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e326461376e74017"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Normal"/>
        <w:spacing w:before="2600" w:after="0" w:line="300" w:lineRule="auto"/>
        <w:jc w:val="center"/>
      </w:pPr>
      <w:r>
        <w:rPr>
          <w:rFonts w:ascii="Calibri" w:hAnsi="Calibri" w:eastAsia="Calibri" w:cs="Calibri"/>
          <w:color w:val="5E7478"/>
          <w:sz w:val="24"/>
          <w:szCs w:val="24"/>
          <w:spacing w:val="60"/>
        </w:rPr>
        <w:t>MUSCAT</w:t>
      </w:r>
    </w:p>
    <w:p>
      <w:pPr>
        <w:pStyle w:val="Normal"/>
        <w:spacing w:before="700" w:after="120" w:line="300" w:lineRule="auto"/>
        <w:jc w:val="center"/>
      </w:pPr>
      <w:r>
        <w:rPr>
          <w:rFonts w:ascii="Calibri" w:hAnsi="Calibri" w:eastAsia="Calibri" w:cs="Calibri"/>
          <w:b/>
          <w:color w:val="1F4E5F"/>
          <w:sz w:val="76"/>
          <w:szCs w:val="76"/>
          <w:spacing w:val="30"/>
        </w:rPr>
        <w:t>THE TOLOU-E JADID COMPACT</w:t>
      </w:r>
    </w:p>
    <w:p>
      <w:pPr>
        <w:pStyle w:val="Normal"/>
        <w:bidi/>
        <w:spacing w:before="60" w:after="200"/>
        <w:jc w:val="center"/>
      </w:pPr>
      <w:r>
        <w:rPr>
          <w:rFonts w:cs="Arial" w:ascii="Arial" w:hAnsi="Arial" w:eastAsia="Arial"/>
          <w:color w:val="5E7478"/>
          <w:szCs w:val="36"/>
          <w:rtl/>
          <w:sz w:val="36"/>
        </w:rPr>
        <w:t>پیمان طلوع جدید</w:t>
      </w:r>
    </w:p>
    <w:p>
      <w:pPr>
        <w:pStyle w:val="Normal"/>
        <w:pBdr>
          <w:bottom w:val="single" w:color="9C7A3C" w:sz="8" w:space="1"/>
        </w:pBdr>
        <w:spacing w:after="420"/>
        <w:ind w:left="3300" w:right="3300"/>
      </w:pPr>
      <w:r>
        <w:rPr>
          <w:rFonts w:ascii="Calibri" w:hAnsi="Calibri" w:eastAsia="Microsoft YaHei" w:cs="Calibri"/>
          <w:color w:val="222F36"/>
          <w:sz w:val="21"/>
          <w:szCs w:val="21"/>
        </w:rPr>
        <w:t xml:space="preserve"> </w:t>
      </w:r>
    </w:p>
    <w:p>
      <w:pPr>
        <w:pStyle w:val="Normal"/>
        <w:spacing w:before="0" w:after="180" w:line="300" w:lineRule="auto"/>
        <w:jc w:val="center"/>
      </w:pPr>
      <w:r>
        <w:rPr>
          <w:rFonts w:ascii="Calibri" w:hAnsi="Calibri" w:eastAsia="Calibri" w:cs="Calibri"/>
          <w:color w:val="222F36"/>
          <w:sz w:val="30"/>
          <w:szCs w:val="30"/>
        </w:rPr>
        <w:t>A Light-Governance Compact for the Strait of Hormuz</w:t>
      </w:r>
    </w:p>
    <w:p>
      <w:pPr>
        <w:pStyle w:val="Normal"/>
        <w:spacing w:before="0" w:after="80" w:line="300" w:lineRule="auto"/>
        <w:jc w:val="center"/>
      </w:pPr>
      <w:r>
        <w:rPr>
          <w:rFonts w:ascii="Calibri" w:hAnsi="Calibri" w:eastAsia="Calibri" w:cs="Calibri"/>
          <w:i/>
          <w:color w:val="9C7A3C"/>
          <w:sz w:val="22"/>
          <w:szCs w:val="22"/>
          <w:spacing w:val="20"/>
        </w:rPr>
        <w:t>Two Captains. One Chart. Open Water.</w:t>
      </w:r>
    </w:p>
    <w:p>
      <w:pPr>
        <w:pStyle w:val="Normal"/>
        <w:spacing w:before="560" w:after="0" w:line="300" w:lineRule="auto"/>
        <w:jc w:val="center"/>
      </w:pPr>
      <w:r>
        <w:rPr>
          <w:rFonts w:ascii="Calibri" w:hAnsi="Calibri" w:eastAsia="Calibri" w:cs="Calibri"/>
          <w:color w:val="5E7478"/>
          <w:sz w:val="21"/>
          <w:szCs w:val="21"/>
        </w:rPr>
        <w:t>Concluded between the Islamic Republic of Iran and the Sultanate of Oman,</w:t>
      </w:r>
    </w:p>
    <w:p>
      <w:pPr>
        <w:pStyle w:val="Normal"/>
        <w:spacing w:before="0" w:after="0" w:line="300" w:lineRule="auto"/>
        <w:jc w:val="center"/>
      </w:pPr>
      <w:r>
        <w:rPr>
          <w:rFonts w:ascii="Calibri" w:hAnsi="Calibri" w:eastAsia="Calibri" w:cs="Calibri"/>
          <w:color w:val="5E7478"/>
          <w:sz w:val="21"/>
          <w:szCs w:val="21"/>
        </w:rPr>
        <w:t>with the Guarantor Circle of Switzerland, Qatar, and Singapore,</w:t>
      </w:r>
    </w:p>
    <w:p>
      <w:pPr>
        <w:pStyle w:val="Normal"/>
        <w:spacing w:before="0" w:after="900" w:line="300" w:lineRule="auto"/>
        <w:jc w:val="center"/>
      </w:pPr>
      <w:r>
        <w:rPr>
          <w:rFonts w:ascii="Calibri" w:hAnsi="Calibri" w:eastAsia="Calibri" w:cs="Calibri"/>
          <w:color w:val="5E7478"/>
          <w:sz w:val="21"/>
          <w:szCs w:val="21"/>
        </w:rPr>
        <w:t>and the Observer Gallery</w:t>
      </w:r>
    </w:p>
    <w:p>
      <w:pPr>
        <w:pStyle w:val="Normal"/>
        <w:spacing w:before="0" w:after="40" w:line="300" w:lineRule="auto"/>
        <w:jc w:val="center"/>
      </w:pPr>
      <w:r>
        <w:rPr>
          <w:rFonts w:ascii="Calibri" w:hAnsi="Calibri" w:eastAsia="Calibri" w:cs="Calibri"/>
          <w:color w:val="5E7478"/>
          <w:sz w:val="21"/>
          <w:szCs w:val="21"/>
        </w:rPr>
        <w:t>Version 1.0</w:t>
      </w:r>
    </w:p>
    <w:p>
      <w:pPr>
        <w:pStyle w:val="Normal"/>
        <w:spacing w:before="0" w:after="40" w:line="300" w:lineRule="auto"/>
        <w:jc w:val="center"/>
      </w:pPr>
      <w:r>
        <w:rPr>
          <w:rFonts w:ascii="Calibri" w:hAnsi="Calibri" w:eastAsia="Calibri" w:cs="Calibri"/>
          <w:color w:val="5E7478"/>
          <w:sz w:val="21"/>
          <w:szCs w:val="21"/>
        </w:rPr>
        <w:t>27 July 2026</w:t>
      </w:r>
    </w:p>
    <w:p>
      <w:pPr>
        <w:pStyle w:val="Normal"/>
        <w:sectPr>
          <w:type w:val="nextPage"/>
          <w:pgSz w:w="11906" w:h="16838"/>
          <w:pgMar w:top="1418" w:right="1418" w:bottom="1418" w:left="1418" w:header="720" w:footer="720"/>
          <w:pgBorders>
            <w:top w:val="double" w:color="1F4E5F" w:sz="14" w:space="28"/>
            <w:left w:val="double" w:color="1F4E5F" w:sz="14" w:space="28"/>
            <w:bottom w:val="double" w:color="1F4E5F" w:sz="14" w:space="28"/>
            <w:right w:val="double" w:color="1F4E5F" w:sz="14" w:space="28"/>
          </w:pgBorders>
        </w:sectPr>
      </w:pPr>
    </w:p>
    <w:p>
      <w:pPr>
        <w:pStyle w:val="Heading2"/>
        <w:keepNext/>
        <w:keepLines/>
      </w:pPr>
      <w:r>
        <w:rPr>
          <w:rFonts w:ascii="Calibri" w:hAnsi="Calibri" w:eastAsia="Microsoft YaHei" w:cs="Calibri"/>
          <w:b/>
          <w:color w:val="1F4E5F"/>
          <w:sz w:val="26"/>
          <w:szCs w:val="26"/>
        </w:rPr>
        <w:t>Document Control</w:t>
      </w:r>
    </w:p>
    <w:tbl>
      <w:tblPr>
        <w:tblW w:w="9306" w:type="dxa"/>
        <w:tblBorders>
          <w:top w:val="single" w:color="AEC4C1" w:sz="6"/>
          <w:left w:val="single" w:color="AEC4C1" w:sz="6"/>
          <w:bottom w:val="single" w:color="AEC4C1" w:sz="6"/>
          <w:right w:val="single" w:color="AEC4C1" w:sz="6"/>
          <w:insideH w:val="single" w:color="AEC4C1" w:sz="4"/>
          <w:insideV w:val="single" w:color="AEC4C1" w:sz="4"/>
        </w:tblBorders>
      </w:tblPr>
      <w:tblGrid>
        <w:gridCol w:w="2600"/>
        <w:gridCol w:w="6706"/>
      </w:tblGrid>
      <w:tr>
        <w:trPr>
          <w:cantSplit w:val="1"/>
          <w:tblHeader w:val="1"/>
        </w:trPr>
        <w:tc>
          <w:tcPr>
            <w:tcW w:w="2600" w:type="dxa"/>
            <w:shd w:val="clear" w:fill="E7EFEE" w:color="auto"/>
            <w:tcMar>
              <w:top w:w="50" w:type="dxa"/>
              <w:left w:w="100" w:type="dxa"/>
              <w:bottom w:w="50" w:type="dxa"/>
              <w:right w:w="100" w:type="dxa"/>
            </w:tcMar>
          </w:tcPr>
          <w:p>
            <w:pPr>
              <w:pStyle w:val="TableText"/>
            </w:pPr>
            <w:r>
              <w:rPr>
                <w:rFonts w:ascii="Calibri" w:hAnsi="Calibri" w:eastAsia="Microsoft YaHei" w:cs="Calibri"/>
                <w:b/>
                <w:color w:val="222F36"/>
                <w:sz w:val="20"/>
                <w:szCs w:val="20"/>
              </w:rPr>
              <w:t>Field</w:t>
            </w:r>
          </w:p>
        </w:tc>
        <w:tc>
          <w:tcPr>
            <w:tcW w:w="6706" w:type="dxa"/>
            <w:shd w:val="clear" w:fill="E7EFEE" w:color="auto"/>
            <w:tcMar>
              <w:top w:w="50" w:type="dxa"/>
              <w:left w:w="100" w:type="dxa"/>
              <w:bottom w:w="50" w:type="dxa"/>
              <w:right w:w="100" w:type="dxa"/>
            </w:tcMar>
          </w:tcPr>
          <w:p>
            <w:pPr>
              <w:pStyle w:val="TableText"/>
            </w:pPr>
            <w:r>
              <w:rPr>
                <w:rFonts w:ascii="Calibri" w:hAnsi="Calibri" w:eastAsia="Microsoft YaHei" w:cs="Calibri"/>
                <w:b/>
                <w:color w:val="222F36"/>
                <w:sz w:val="20"/>
                <w:szCs w:val="20"/>
              </w:rPr>
              <w:t>Entry</w:t>
            </w:r>
          </w:p>
        </w:tc>
      </w:tr>
      <w:tr>
        <w:trPr>
          <w:cantSplit w:val="1"/>
        </w:trPr>
        <w:tc>
          <w:tcPr>
            <w:tcW w:w="2600" w:type="dxa"/>
            <w:tcMar>
              <w:top w:w="50" w:type="dxa"/>
              <w:left w:w="100" w:type="dxa"/>
              <w:bottom w:w="50" w:type="dxa"/>
              <w:right w:w="100" w:type="dxa"/>
            </w:tcMar>
          </w:tcPr>
          <w:p>
            <w:pPr>
              <w:pStyle w:val="TableText"/>
            </w:pPr>
            <w:r>
              <w:rPr>
                <w:rFonts w:ascii="Calibri" w:hAnsi="Calibri" w:eastAsia="Microsoft YaHei" w:cs="Calibri"/>
                <w:color w:val="222F36"/>
                <w:sz w:val="20"/>
                <w:szCs w:val="20"/>
              </w:rPr>
              <w:t>Instrument</w:t>
            </w:r>
          </w:p>
        </w:tc>
        <w:tc>
          <w:tcPr>
            <w:tcW w:w="6706" w:type="dxa"/>
            <w:tcMar>
              <w:top w:w="50" w:type="dxa"/>
              <w:left w:w="100" w:type="dxa"/>
              <w:bottom w:w="50" w:type="dxa"/>
              <w:right w:w="100" w:type="dxa"/>
            </w:tcMar>
          </w:tcPr>
          <w:p>
            <w:pPr>
              <w:pStyle w:val="TableText"/>
            </w:pPr>
            <w:r>
              <w:rPr>
                <w:rFonts w:ascii="Calibri" w:hAnsi="Calibri" w:eastAsia="Microsoft YaHei" w:cs="Calibri"/>
                <w:color w:val="222F36"/>
                <w:sz w:val="20"/>
                <w:szCs w:val="20"/>
              </w:rPr>
              <w:t>The Tolou-e Jadid Compact</w:t>
            </w:r>
          </w:p>
        </w:tc>
      </w:tr>
      <w:tr>
        <w:trPr>
          <w:cantSplit w:val="1"/>
        </w:trPr>
        <w:tc>
          <w:tcPr>
            <w:tcW w:w="2600" w:type="dxa"/>
            <w:shd w:val="clear" w:fill="F4F8F7" w:color="auto"/>
            <w:tcMar>
              <w:top w:w="50" w:type="dxa"/>
              <w:left w:w="100" w:type="dxa"/>
              <w:bottom w:w="50" w:type="dxa"/>
              <w:right w:w="100" w:type="dxa"/>
            </w:tcMar>
          </w:tcPr>
          <w:p>
            <w:pPr>
              <w:pStyle w:val="TableText"/>
            </w:pPr>
            <w:r>
              <w:rPr>
                <w:rFonts w:ascii="Calibri" w:hAnsi="Calibri" w:eastAsia="Microsoft YaHei" w:cs="Calibri"/>
                <w:color w:val="222F36"/>
                <w:sz w:val="20"/>
                <w:szCs w:val="20"/>
              </w:rPr>
              <w:t>Version</w:t>
            </w:r>
          </w:p>
        </w:tc>
        <w:tc>
          <w:tcPr>
            <w:tcW w:w="6706" w:type="dxa"/>
            <w:shd w:val="clear" w:fill="F4F8F7" w:color="auto"/>
            <w:tcMar>
              <w:top w:w="50" w:type="dxa"/>
              <w:left w:w="100" w:type="dxa"/>
              <w:bottom w:w="50" w:type="dxa"/>
              <w:right w:w="100" w:type="dxa"/>
            </w:tcMar>
          </w:tcPr>
          <w:p>
            <w:pPr>
              <w:pStyle w:val="TableText"/>
            </w:pPr>
            <w:r>
              <w:rPr>
                <w:rFonts w:ascii="Calibri" w:hAnsi="Calibri" w:eastAsia="Microsoft YaHei" w:cs="Calibri"/>
                <w:color w:val="222F36"/>
                <w:sz w:val="20"/>
                <w:szCs w:val="20"/>
              </w:rPr>
              <w:t>1.0 (the Muscat Text)</w:t>
            </w:r>
          </w:p>
        </w:tc>
      </w:tr>
      <w:tr>
        <w:trPr>
          <w:cantSplit w:val="1"/>
        </w:trPr>
        <w:tc>
          <w:tcPr>
            <w:tcW w:w="2600" w:type="dxa"/>
            <w:tcMar>
              <w:top w:w="50" w:type="dxa"/>
              <w:left w:w="100" w:type="dxa"/>
              <w:bottom w:w="50" w:type="dxa"/>
              <w:right w:w="100" w:type="dxa"/>
            </w:tcMar>
          </w:tcPr>
          <w:p>
            <w:pPr>
              <w:pStyle w:val="TableText"/>
            </w:pPr>
            <w:r>
              <w:rPr>
                <w:rFonts w:ascii="Calibri" w:hAnsi="Calibri" w:eastAsia="Microsoft YaHei" w:cs="Calibri"/>
                <w:color w:val="222F36"/>
                <w:sz w:val="20"/>
                <w:szCs w:val="20"/>
              </w:rPr>
              <w:t>Date</w:t>
            </w:r>
          </w:p>
        </w:tc>
        <w:tc>
          <w:tcPr>
            <w:tcW w:w="6706" w:type="dxa"/>
            <w:tcMar>
              <w:top w:w="50" w:type="dxa"/>
              <w:left w:w="100" w:type="dxa"/>
              <w:bottom w:w="50" w:type="dxa"/>
              <w:right w:w="100" w:type="dxa"/>
            </w:tcMar>
          </w:tcPr>
          <w:p>
            <w:pPr>
              <w:pStyle w:val="TableText"/>
            </w:pPr>
            <w:r>
              <w:rPr>
                <w:rFonts w:ascii="Calibri" w:hAnsi="Calibri" w:eastAsia="Microsoft YaHei" w:cs="Calibri"/>
                <w:color w:val="222F36"/>
                <w:sz w:val="20"/>
                <w:szCs w:val="20"/>
              </w:rPr>
              <w:t>27 July 2026</w:t>
            </w:r>
          </w:p>
        </w:tc>
      </w:tr>
      <w:tr>
        <w:trPr>
          <w:cantSplit w:val="1"/>
        </w:trPr>
        <w:tc>
          <w:tcPr>
            <w:tcW w:w="2600" w:type="dxa"/>
            <w:shd w:val="clear" w:fill="F4F8F7" w:color="auto"/>
            <w:tcMar>
              <w:top w:w="50" w:type="dxa"/>
              <w:left w:w="100" w:type="dxa"/>
              <w:bottom w:w="50" w:type="dxa"/>
              <w:right w:w="100" w:type="dxa"/>
            </w:tcMar>
          </w:tcPr>
          <w:p>
            <w:pPr>
              <w:pStyle w:val="TableText"/>
            </w:pPr>
            <w:r>
              <w:rPr>
                <w:rFonts w:ascii="Calibri" w:hAnsi="Calibri" w:eastAsia="Microsoft YaHei" w:cs="Calibri"/>
                <w:color w:val="222F36"/>
                <w:sz w:val="20"/>
                <w:szCs w:val="20"/>
              </w:rPr>
              <w:t>Status</w:t>
            </w:r>
          </w:p>
        </w:tc>
        <w:tc>
          <w:tcPr>
            <w:tcW w:w="6706" w:type="dxa"/>
            <w:shd w:val="clear" w:fill="F4F8F7" w:color="auto"/>
            <w:tcMar>
              <w:top w:w="50" w:type="dxa"/>
              <w:left w:w="100" w:type="dxa"/>
              <w:bottom w:w="50" w:type="dxa"/>
              <w:right w:w="100" w:type="dxa"/>
            </w:tcMar>
          </w:tcPr>
          <w:p>
            <w:pPr>
              <w:pStyle w:val="TableText"/>
            </w:pPr>
            <w:r>
              <w:rPr>
                <w:rFonts w:ascii="Calibri" w:hAnsi="Calibri" w:eastAsia="Microsoft YaHei" w:cs="Calibri"/>
                <w:color w:val="222F36"/>
                <w:sz w:val="20"/>
                <w:szCs w:val="20"/>
              </w:rPr>
              <w:t>Text ready for signature</w:t>
            </w:r>
          </w:p>
        </w:tc>
      </w:tr>
      <w:tr>
        <w:trPr>
          <w:cantSplit w:val="1"/>
        </w:trPr>
        <w:tc>
          <w:tcPr>
            <w:tcW w:w="2600" w:type="dxa"/>
            <w:tcMar>
              <w:top w:w="50" w:type="dxa"/>
              <w:left w:w="100" w:type="dxa"/>
              <w:bottom w:w="50" w:type="dxa"/>
              <w:right w:w="100" w:type="dxa"/>
            </w:tcMar>
          </w:tcPr>
          <w:p>
            <w:pPr>
              <w:pStyle w:val="TableText"/>
            </w:pPr>
            <w:r>
              <w:rPr>
                <w:rFonts w:ascii="Calibri" w:hAnsi="Calibri" w:eastAsia="Microsoft YaHei" w:cs="Calibri"/>
                <w:color w:val="222F36"/>
                <w:sz w:val="20"/>
                <w:szCs w:val="20"/>
              </w:rPr>
              <w:t>Depositary</w:t>
            </w:r>
          </w:p>
        </w:tc>
        <w:tc>
          <w:tcPr>
            <w:tcW w:w="6706" w:type="dxa"/>
            <w:tcMar>
              <w:top w:w="50" w:type="dxa"/>
              <w:left w:w="100" w:type="dxa"/>
              <w:bottom w:w="50" w:type="dxa"/>
              <w:right w:w="100" w:type="dxa"/>
            </w:tcMar>
          </w:tcPr>
          <w:p>
            <w:pPr>
              <w:pStyle w:val="TableText"/>
            </w:pPr>
            <w:r>
              <w:rPr>
                <w:rFonts w:ascii="Calibri" w:hAnsi="Calibri" w:eastAsia="Microsoft YaHei" w:cs="Calibri"/>
                <w:color w:val="222F36"/>
                <w:sz w:val="20"/>
                <w:szCs w:val="20"/>
              </w:rPr>
              <w:t>The Swiss Confederation, as Record Guarantor</w:t>
            </w:r>
          </w:p>
        </w:tc>
      </w:tr>
      <w:tr>
        <w:trPr>
          <w:cantSplit w:val="1"/>
        </w:trPr>
        <w:tc>
          <w:tcPr>
            <w:tcW w:w="2600" w:type="dxa"/>
            <w:shd w:val="clear" w:fill="F4F8F7" w:color="auto"/>
            <w:tcMar>
              <w:top w:w="50" w:type="dxa"/>
              <w:left w:w="100" w:type="dxa"/>
              <w:bottom w:w="50" w:type="dxa"/>
              <w:right w:w="100" w:type="dxa"/>
            </w:tcMar>
          </w:tcPr>
          <w:p>
            <w:pPr>
              <w:pStyle w:val="TableText"/>
            </w:pPr>
            <w:r>
              <w:rPr>
                <w:rFonts w:ascii="Calibri" w:hAnsi="Calibri" w:eastAsia="Microsoft YaHei" w:cs="Calibri"/>
                <w:color w:val="222F36"/>
                <w:sz w:val="20"/>
                <w:szCs w:val="20"/>
              </w:rPr>
              <w:t>Seat</w:t>
            </w:r>
          </w:p>
        </w:tc>
        <w:tc>
          <w:tcPr>
            <w:tcW w:w="6706" w:type="dxa"/>
            <w:shd w:val="clear" w:fill="F4F8F7" w:color="auto"/>
            <w:tcMar>
              <w:top w:w="50" w:type="dxa"/>
              <w:left w:w="100" w:type="dxa"/>
              <w:bottom w:w="50" w:type="dxa"/>
              <w:right w:w="100" w:type="dxa"/>
            </w:tcMar>
          </w:tcPr>
          <w:p>
            <w:pPr>
              <w:pStyle w:val="TableText"/>
            </w:pPr>
            <w:r>
              <w:rPr>
                <w:rFonts w:ascii="Calibri" w:hAnsi="Calibri" w:eastAsia="Microsoft YaHei" w:cs="Calibri"/>
                <w:color w:val="222F36"/>
                <w:sz w:val="20"/>
                <w:szCs w:val="20"/>
              </w:rPr>
              <w:t>Muscat, Sultanate of Oman</w:t>
            </w:r>
          </w:p>
        </w:tc>
      </w:tr>
    </w:tbl>
    <w:p>
      <w:pPr>
        <w:pStyle w:val="Normal"/>
        <w:spacing w:before="0" w:after="140"/>
      </w:pPr>
      <w:r>
        <w:rPr>
          <w:sz w:val="8"/>
          <w:rFonts w:ascii="Calibri" w:hAnsi="Calibri" w:eastAsia="Microsoft YaHei" w:cs="Calibri"/>
          <w:color w:val="222F36"/>
          <w:szCs w:val="8"/>
        </w:rPr>
        <w:t/>
      </w:r>
    </w:p>
    <w:p>
      <w:pPr>
        <w:pStyle w:val="Heading2"/>
        <w:keepNext/>
        <w:keepLines/>
      </w:pPr>
      <w:r>
        <w:rPr>
          <w:rFonts w:ascii="Calibri" w:hAnsi="Calibri" w:eastAsia="Microsoft YaHei" w:cs="Calibri"/>
          <w:b/>
          <w:color w:val="1F4E5F"/>
          <w:sz w:val="26"/>
          <w:szCs w:val="26"/>
        </w:rPr>
        <w:t>Drafting Discipline</w:t>
      </w:r>
    </w:p>
    <w:p>
      <w:pPr>
        <w:pStyle w:val="Normal"/>
      </w:pPr>
      <w:r>
        <w:rPr>
          <w:rFonts w:ascii="Calibri" w:hAnsi="Calibri" w:eastAsia="Microsoft YaHei" w:cs="Calibri"/>
          <w:color w:val="222F36"/>
          <w:sz w:val="21"/>
          <w:szCs w:val="21"/>
        </w:rPr>
        <w:t>This text follows a strict drafting discipline. Every clause speaks in the active present tense. The text assigns each action to a named actor. It avoids modal verbs of obligation and permission, and states rules as facts of the system. It frames every prohibition as mutual architecture rather than as a unilateral restriction. It expresses automatic logic as present-tense triggers. It uses no floating background art, and it keeps operative detail in the annexes so that the main body stays short, legible, and stable.</w:t>
      </w:r>
    </w:p>
    <w:p>
      <w:pPr>
        <w:pStyle w:val="Normal"/>
      </w:pPr>
      <w:r>
        <w:rPr>
          <w:rFonts w:ascii="Calibri" w:hAnsi="Calibri" w:eastAsia="Microsoft YaHei" w:cs="Calibri"/>
          <w:color w:val="222F36"/>
          <w:sz w:val="21"/>
          <w:szCs w:val="21"/>
        </w:rPr>
        <w:t>The text also follows the family rule of nomenclature neutrality. The instrument uses the descriptor “the Strait” in operative clauses. Each capital retains its own designation for the waterway in its own public communications.</w:t>
      </w:r>
    </w:p>
    <w:p>
      <w:pPr>
        <w:pStyle w:val="Heading2"/>
        <w:pageBreakBefore/>
      </w:pPr>
      <w:r>
        <w:rPr>
          <w:rFonts w:ascii="Calibri" w:hAnsi="Calibri" w:eastAsia="Calibri" w:cs="Calibri"/>
          <w:b/>
          <w:color w:val="1F4E5F"/>
          <w:sz w:val="26"/>
          <w:szCs w:val="26"/>
        </w:rPr>
        <w:t>Contents</w:t>
      </w:r>
    </w:p>
    <w:p>
      <w:pPr>
        <w:pStyle w:val="Normal"/>
      </w:pPr>
      <w:r>
        <w:fldChar w:fldCharType="begin"/>
      </w:r>
      <w:r>
        <w:instrText xml:space="preserve"> TOC \o "1-2" \h \z \u </w:instrText>
      </w:r>
      <w:r>
        <w:fldChar w:fldCharType="separate"/>
      </w:r>
    </w:p>
    <w:p>
      <w:pPr>
        <w:pStyle w:val="TOC1"/>
      </w:pPr>
      <w:r>
        <w:rPr>
          <w:rFonts w:ascii="Calibri" w:hAnsi="Calibri" w:eastAsia="Microsoft YaHei" w:cs="Calibri"/>
          <w:color w:val="1F4E5F"/>
          <w:sz w:val="20"/>
          <w:szCs w:val="20"/>
        </w:rPr>
        <w:t>The Dawn Declaration</w:t>
      </w:r>
      <w:r>
        <w:rPr>
          <w:rFonts w:ascii="Calibri" w:hAnsi="Calibri" w:eastAsia="Microsoft YaHei"/>
          <w:color w:val="1F4E5F"/>
          <w:sz w:val="20"/>
        </w:rPr>
        <w:tab/>
      </w:r>
      <w:r>
        <w:rPr>
          <w:rFonts w:ascii="Calibri" w:hAnsi="Calibri" w:eastAsia="Microsoft YaHei" w:cs="Calibri"/>
          <w:color w:val="1F4E5F"/>
          <w:sz w:val="20"/>
          <w:szCs w:val="20"/>
        </w:rPr>
        <w:t>5</w:t>
      </w:r>
    </w:p>
    <w:p>
      <w:pPr>
        <w:pStyle w:val="TOC1"/>
      </w:pPr>
      <w:r>
        <w:rPr>
          <w:rFonts w:ascii="Calibri" w:hAnsi="Calibri" w:eastAsia="Microsoft YaHei" w:cs="Calibri"/>
          <w:color w:val="1F4E5F"/>
          <w:sz w:val="20"/>
          <w:szCs w:val="20"/>
        </w:rPr>
        <w:t>Preamble</w:t>
      </w:r>
      <w:r>
        <w:rPr>
          <w:rFonts w:ascii="Calibri" w:hAnsi="Calibri" w:eastAsia="Microsoft YaHei"/>
          <w:color w:val="1F4E5F"/>
          <w:sz w:val="20"/>
        </w:rPr>
        <w:tab/>
      </w:r>
      <w:r>
        <w:rPr>
          <w:rFonts w:ascii="Calibri" w:hAnsi="Calibri" w:eastAsia="Microsoft YaHei" w:cs="Calibri"/>
          <w:color w:val="1F4E5F"/>
          <w:sz w:val="20"/>
          <w:szCs w:val="20"/>
        </w:rPr>
        <w:t>6</w:t>
      </w:r>
    </w:p>
    <w:p>
      <w:pPr>
        <w:pStyle w:val="TOC1"/>
      </w:pPr>
      <w:r>
        <w:rPr>
          <w:rFonts w:ascii="Calibri" w:hAnsi="Calibri" w:eastAsia="Microsoft YaHei" w:cs="Calibri"/>
          <w:color w:val="1F4E5F"/>
          <w:sz w:val="20"/>
          <w:szCs w:val="20"/>
        </w:rPr>
        <w:t>Part One: Foundations</w:t>
      </w:r>
      <w:r>
        <w:rPr>
          <w:rFonts w:ascii="Calibri" w:hAnsi="Calibri" w:eastAsia="Microsoft YaHei"/>
          <w:color w:val="1F4E5F"/>
          <w:sz w:val="20"/>
        </w:rPr>
        <w:tab/>
      </w:r>
      <w:r>
        <w:rPr>
          <w:rFonts w:ascii="Calibri" w:hAnsi="Calibri" w:eastAsia="Microsoft YaHei" w:cs="Calibri"/>
          <w:color w:val="1F4E5F"/>
          <w:sz w:val="20"/>
          <w:szCs w:val="20"/>
        </w:rPr>
        <w:t>7</w:t>
      </w:r>
    </w:p>
    <w:p>
      <w:pPr>
        <w:pStyle w:val="TOC2"/>
      </w:pPr>
      <w:r>
        <w:rPr>
          <w:rFonts w:ascii="Calibri" w:hAnsi="Calibri" w:eastAsia="Microsoft YaHei" w:cs="Calibri"/>
          <w:color w:val="222F36"/>
          <w:sz w:val="20"/>
          <w:szCs w:val="20"/>
        </w:rPr>
        <w:t>Article 1: Establishment, Purpose, and Scope</w:t>
      </w:r>
      <w:r>
        <w:rPr>
          <w:rFonts w:ascii="Calibri" w:hAnsi="Calibri" w:eastAsia="Microsoft YaHei"/>
          <w:color w:val="222F36"/>
          <w:sz w:val="20"/>
        </w:rPr>
        <w:tab/>
      </w:r>
      <w:r>
        <w:rPr>
          <w:rFonts w:ascii="Calibri" w:hAnsi="Calibri" w:eastAsia="Microsoft YaHei" w:cs="Calibri"/>
          <w:color w:val="222F36"/>
          <w:sz w:val="20"/>
          <w:szCs w:val="20"/>
        </w:rPr>
        <w:t>7</w:t>
      </w:r>
    </w:p>
    <w:p>
      <w:pPr>
        <w:pStyle w:val="TOC2"/>
      </w:pPr>
      <w:r>
        <w:rPr>
          <w:rFonts w:ascii="Calibri" w:hAnsi="Calibri" w:eastAsia="Microsoft YaHei" w:cs="Calibri"/>
          <w:color w:val="222F36"/>
          <w:sz w:val="20"/>
          <w:szCs w:val="20"/>
        </w:rPr>
        <w:t>Article 2: The Compact on One Page</w:t>
      </w:r>
      <w:r>
        <w:rPr>
          <w:rFonts w:ascii="Calibri" w:hAnsi="Calibri" w:eastAsia="Microsoft YaHei"/>
          <w:color w:val="222F36"/>
          <w:sz w:val="20"/>
        </w:rPr>
        <w:tab/>
      </w:r>
      <w:r>
        <w:rPr>
          <w:rFonts w:ascii="Calibri" w:hAnsi="Calibri" w:eastAsia="Microsoft YaHei" w:cs="Calibri"/>
          <w:color w:val="222F36"/>
          <w:sz w:val="20"/>
          <w:szCs w:val="20"/>
        </w:rPr>
        <w:t>7</w:t>
      </w:r>
    </w:p>
    <w:p>
      <w:pPr>
        <w:pStyle w:val="TOC2"/>
      </w:pPr>
      <w:r>
        <w:rPr>
          <w:rFonts w:ascii="Calibri" w:hAnsi="Calibri" w:eastAsia="Microsoft YaHei" w:cs="Calibri"/>
          <w:color w:val="222F36"/>
          <w:sz w:val="20"/>
          <w:szCs w:val="20"/>
        </w:rPr>
        <w:t>Article 3: Legal Foundations and the Sealed Bulkhead</w:t>
      </w:r>
      <w:r>
        <w:rPr>
          <w:rFonts w:ascii="Calibri" w:hAnsi="Calibri" w:eastAsia="Microsoft YaHei"/>
          <w:color w:val="222F36"/>
          <w:sz w:val="20"/>
        </w:rPr>
        <w:tab/>
      </w:r>
      <w:r>
        <w:rPr>
          <w:rFonts w:ascii="Calibri" w:hAnsi="Calibri" w:eastAsia="Microsoft YaHei" w:cs="Calibri"/>
          <w:color w:val="222F36"/>
          <w:sz w:val="20"/>
          <w:szCs w:val="20"/>
        </w:rPr>
        <w:t>8</w:t>
      </w:r>
    </w:p>
    <w:p>
      <w:pPr>
        <w:pStyle w:val="TOC2"/>
      </w:pPr>
      <w:r>
        <w:rPr>
          <w:rFonts w:ascii="Calibri" w:hAnsi="Calibri" w:eastAsia="Microsoft YaHei" w:cs="Calibri"/>
          <w:color w:val="222F36"/>
          <w:sz w:val="20"/>
          <w:szCs w:val="20"/>
        </w:rPr>
        <w:t>Article 4: Definitions</w:t>
      </w:r>
      <w:r>
        <w:rPr>
          <w:rFonts w:ascii="Calibri" w:hAnsi="Calibri" w:eastAsia="Microsoft YaHei"/>
          <w:color w:val="222F36"/>
          <w:sz w:val="20"/>
        </w:rPr>
        <w:tab/>
      </w:r>
      <w:r>
        <w:rPr>
          <w:rFonts w:ascii="Calibri" w:hAnsi="Calibri" w:eastAsia="Microsoft YaHei" w:cs="Calibri"/>
          <w:color w:val="222F36"/>
          <w:sz w:val="20"/>
          <w:szCs w:val="20"/>
        </w:rPr>
        <w:t>8</w:t>
      </w:r>
    </w:p>
    <w:p>
      <w:pPr>
        <w:pStyle w:val="TOC2"/>
      </w:pPr>
      <w:r>
        <w:rPr>
          <w:rFonts w:ascii="Calibri" w:hAnsi="Calibri" w:eastAsia="Microsoft YaHei" w:cs="Calibri"/>
          <w:color w:val="222F36"/>
          <w:sz w:val="20"/>
          <w:szCs w:val="20"/>
        </w:rPr>
        <w:t>Article 5: Design Principles</w:t>
      </w:r>
      <w:r>
        <w:rPr>
          <w:rFonts w:ascii="Calibri" w:hAnsi="Calibri" w:eastAsia="Microsoft YaHei"/>
          <w:color w:val="222F36"/>
          <w:sz w:val="20"/>
        </w:rPr>
        <w:tab/>
      </w:r>
      <w:r>
        <w:rPr>
          <w:rFonts w:ascii="Calibri" w:hAnsi="Calibri" w:eastAsia="Microsoft YaHei" w:cs="Calibri"/>
          <w:color w:val="222F36"/>
          <w:sz w:val="20"/>
          <w:szCs w:val="20"/>
        </w:rPr>
        <w:t>9</w:t>
      </w:r>
    </w:p>
    <w:p>
      <w:pPr>
        <w:pStyle w:val="TOC1"/>
      </w:pPr>
      <w:r>
        <w:rPr>
          <w:rFonts w:ascii="Calibri" w:hAnsi="Calibri" w:eastAsia="Microsoft YaHei" w:cs="Calibri"/>
          <w:color w:val="1F4E5F"/>
          <w:sz w:val="20"/>
          <w:szCs w:val="20"/>
        </w:rPr>
        <w:t>Part Two: The Fairway System</w:t>
      </w:r>
      <w:r>
        <w:rPr>
          <w:rFonts w:ascii="Calibri" w:hAnsi="Calibri" w:eastAsia="Microsoft YaHei"/>
          <w:color w:val="1F4E5F"/>
          <w:sz w:val="20"/>
        </w:rPr>
        <w:tab/>
      </w:r>
      <w:r>
        <w:rPr>
          <w:rFonts w:ascii="Calibri" w:hAnsi="Calibri" w:eastAsia="Microsoft YaHei" w:cs="Calibri"/>
          <w:color w:val="1F4E5F"/>
          <w:sz w:val="20"/>
          <w:szCs w:val="20"/>
        </w:rPr>
        <w:t>10</w:t>
      </w:r>
    </w:p>
    <w:p>
      <w:pPr>
        <w:pStyle w:val="TOC2"/>
      </w:pPr>
      <w:r>
        <w:rPr>
          <w:rFonts w:ascii="Calibri" w:hAnsi="Calibri" w:eastAsia="Microsoft YaHei" w:cs="Calibri"/>
          <w:color w:val="222F36"/>
          <w:sz w:val="20"/>
          <w:szCs w:val="20"/>
        </w:rPr>
        <w:t>Article 6: The Compact Waters</w:t>
      </w:r>
      <w:r>
        <w:rPr>
          <w:rFonts w:ascii="Calibri" w:hAnsi="Calibri" w:eastAsia="Microsoft YaHei"/>
          <w:color w:val="222F36"/>
          <w:sz w:val="20"/>
        </w:rPr>
        <w:tab/>
      </w:r>
      <w:r>
        <w:rPr>
          <w:rFonts w:ascii="Calibri" w:hAnsi="Calibri" w:eastAsia="Microsoft YaHei" w:cs="Calibri"/>
          <w:color w:val="222F36"/>
          <w:sz w:val="20"/>
          <w:szCs w:val="20"/>
        </w:rPr>
        <w:t>10</w:t>
      </w:r>
    </w:p>
    <w:p>
      <w:pPr>
        <w:pStyle w:val="TOC2"/>
      </w:pPr>
      <w:r>
        <w:rPr>
          <w:rFonts w:ascii="Calibri" w:hAnsi="Calibri" w:eastAsia="Microsoft YaHei" w:cs="Calibri"/>
          <w:color w:val="222F36"/>
          <w:sz w:val="20"/>
          <w:szCs w:val="20"/>
        </w:rPr>
        <w:t>Article 7: The Two Fairways</w:t>
      </w:r>
      <w:r>
        <w:rPr>
          <w:rFonts w:ascii="Calibri" w:hAnsi="Calibri" w:eastAsia="Microsoft YaHei"/>
          <w:color w:val="222F36"/>
          <w:sz w:val="20"/>
        </w:rPr>
        <w:tab/>
      </w:r>
      <w:r>
        <w:rPr>
          <w:rFonts w:ascii="Calibri" w:hAnsi="Calibri" w:eastAsia="Microsoft YaHei" w:cs="Calibri"/>
          <w:color w:val="222F36"/>
          <w:sz w:val="20"/>
          <w:szCs w:val="20"/>
        </w:rPr>
        <w:t>10</w:t>
      </w:r>
    </w:p>
    <w:p>
      <w:pPr>
        <w:pStyle w:val="TOC2"/>
      </w:pPr>
      <w:r>
        <w:rPr>
          <w:rFonts w:ascii="Calibri" w:hAnsi="Calibri" w:eastAsia="Microsoft YaHei" w:cs="Calibri"/>
          <w:color w:val="222F36"/>
          <w:sz w:val="20"/>
          <w:szCs w:val="20"/>
        </w:rPr>
        <w:t>Article 8: Traffic, Safety, and Stewardship</w:t>
      </w:r>
      <w:r>
        <w:rPr>
          <w:rFonts w:ascii="Calibri" w:hAnsi="Calibri" w:eastAsia="Microsoft YaHei"/>
          <w:color w:val="222F36"/>
          <w:sz w:val="20"/>
        </w:rPr>
        <w:tab/>
      </w:r>
      <w:r>
        <w:rPr>
          <w:rFonts w:ascii="Calibri" w:hAnsi="Calibri" w:eastAsia="Microsoft YaHei" w:cs="Calibri"/>
          <w:color w:val="222F36"/>
          <w:sz w:val="20"/>
          <w:szCs w:val="20"/>
        </w:rPr>
        <w:t>10</w:t>
      </w:r>
    </w:p>
    <w:p>
      <w:pPr>
        <w:pStyle w:val="TOC1"/>
      </w:pPr>
      <w:r>
        <w:rPr>
          <w:rFonts w:ascii="Calibri" w:hAnsi="Calibri" w:eastAsia="Microsoft YaHei" w:cs="Calibri"/>
          <w:color w:val="1F4E5F"/>
          <w:sz w:val="20"/>
          <w:szCs w:val="20"/>
        </w:rPr>
        <w:t>Part Three: Institutions</w:t>
      </w:r>
      <w:r>
        <w:rPr>
          <w:rFonts w:ascii="Calibri" w:hAnsi="Calibri" w:eastAsia="Microsoft YaHei"/>
          <w:color w:val="1F4E5F"/>
          <w:sz w:val="20"/>
        </w:rPr>
        <w:tab/>
      </w:r>
      <w:r>
        <w:rPr>
          <w:rFonts w:ascii="Calibri" w:hAnsi="Calibri" w:eastAsia="Microsoft YaHei" w:cs="Calibri"/>
          <w:color w:val="1F4E5F"/>
          <w:sz w:val="20"/>
          <w:szCs w:val="20"/>
        </w:rPr>
        <w:t>12</w:t>
      </w:r>
    </w:p>
    <w:p>
      <w:pPr>
        <w:pStyle w:val="TOC2"/>
      </w:pPr>
      <w:r>
        <w:rPr>
          <w:rFonts w:ascii="Calibri" w:hAnsi="Calibri" w:eastAsia="Microsoft YaHei" w:cs="Calibri"/>
          <w:color w:val="222F36"/>
          <w:sz w:val="20"/>
          <w:szCs w:val="20"/>
        </w:rPr>
        <w:t>Article 9: The Compact Council</w:t>
      </w:r>
      <w:r>
        <w:rPr>
          <w:rFonts w:ascii="Calibri" w:hAnsi="Calibri" w:eastAsia="Microsoft YaHei"/>
          <w:color w:val="222F36"/>
          <w:sz w:val="20"/>
        </w:rPr>
        <w:tab/>
      </w:r>
      <w:r>
        <w:rPr>
          <w:rFonts w:ascii="Calibri" w:hAnsi="Calibri" w:eastAsia="Microsoft YaHei" w:cs="Calibri"/>
          <w:color w:val="222F36"/>
          <w:sz w:val="20"/>
          <w:szCs w:val="20"/>
        </w:rPr>
        <w:t>12</w:t>
      </w:r>
    </w:p>
    <w:p>
      <w:pPr>
        <w:pStyle w:val="TOC2"/>
      </w:pPr>
      <w:r>
        <w:rPr>
          <w:rFonts w:ascii="Calibri" w:hAnsi="Calibri" w:eastAsia="Microsoft YaHei" w:cs="Calibri"/>
          <w:color w:val="222F36"/>
          <w:sz w:val="20"/>
          <w:szCs w:val="20"/>
        </w:rPr>
        <w:t>Article 10: The Tide Watch</w:t>
      </w:r>
      <w:r>
        <w:rPr>
          <w:rFonts w:ascii="Calibri" w:hAnsi="Calibri" w:eastAsia="Microsoft YaHei"/>
          <w:color w:val="222F36"/>
          <w:sz w:val="20"/>
        </w:rPr>
        <w:tab/>
      </w:r>
      <w:r>
        <w:rPr>
          <w:rFonts w:ascii="Calibri" w:hAnsi="Calibri" w:eastAsia="Microsoft YaHei" w:cs="Calibri"/>
          <w:color w:val="222F36"/>
          <w:sz w:val="20"/>
          <w:szCs w:val="20"/>
        </w:rPr>
        <w:t>12</w:t>
      </w:r>
    </w:p>
    <w:p>
      <w:pPr>
        <w:pStyle w:val="TOC2"/>
      </w:pPr>
      <w:r>
        <w:rPr>
          <w:rFonts w:ascii="Calibri" w:hAnsi="Calibri" w:eastAsia="Microsoft YaHei" w:cs="Calibri"/>
          <w:color w:val="222F36"/>
          <w:sz w:val="20"/>
          <w:szCs w:val="20"/>
        </w:rPr>
        <w:t>Article 11: The Concordance Office and the Guarantor Circle</w:t>
      </w:r>
      <w:r>
        <w:rPr>
          <w:rFonts w:ascii="Calibri" w:hAnsi="Calibri" w:eastAsia="Microsoft YaHei"/>
          <w:color w:val="222F36"/>
          <w:sz w:val="20"/>
        </w:rPr>
        <w:tab/>
      </w:r>
      <w:r>
        <w:rPr>
          <w:rFonts w:ascii="Calibri" w:hAnsi="Calibri" w:eastAsia="Microsoft YaHei" w:cs="Calibri"/>
          <w:color w:val="222F36"/>
          <w:sz w:val="20"/>
          <w:szCs w:val="20"/>
        </w:rPr>
        <w:t>13</w:t>
      </w:r>
    </w:p>
    <w:p>
      <w:pPr>
        <w:pStyle w:val="TOC2"/>
      </w:pPr>
      <w:r>
        <w:rPr>
          <w:rFonts w:ascii="Calibri" w:hAnsi="Calibri" w:eastAsia="Microsoft YaHei" w:cs="Calibri"/>
          <w:color w:val="222F36"/>
          <w:sz w:val="20"/>
          <w:szCs w:val="20"/>
        </w:rPr>
        <w:t>Article 12: Participation</w:t>
      </w:r>
      <w:r>
        <w:rPr>
          <w:rFonts w:ascii="Calibri" w:hAnsi="Calibri" w:eastAsia="Microsoft YaHei"/>
          <w:color w:val="222F36"/>
          <w:sz w:val="20"/>
        </w:rPr>
        <w:tab/>
      </w:r>
      <w:r>
        <w:rPr>
          <w:rFonts w:ascii="Calibri" w:hAnsi="Calibri" w:eastAsia="Microsoft YaHei" w:cs="Calibri"/>
          <w:color w:val="222F36"/>
          <w:sz w:val="20"/>
          <w:szCs w:val="20"/>
        </w:rPr>
        <w:t>14</w:t>
      </w:r>
    </w:p>
    <w:p>
      <w:pPr>
        <w:pStyle w:val="TOC1"/>
      </w:pPr>
      <w:r>
        <w:rPr>
          <w:rFonts w:ascii="Calibri" w:hAnsi="Calibri" w:eastAsia="Microsoft YaHei" w:cs="Calibri"/>
          <w:color w:val="1F4E5F"/>
          <w:sz w:val="20"/>
          <w:szCs w:val="20"/>
        </w:rPr>
        <w:t>Part Four: Money</w:t>
      </w:r>
      <w:r>
        <w:rPr>
          <w:rFonts w:ascii="Calibri" w:hAnsi="Calibri" w:eastAsia="Microsoft YaHei"/>
          <w:color w:val="1F4E5F"/>
          <w:sz w:val="20"/>
        </w:rPr>
        <w:tab/>
      </w:r>
      <w:r>
        <w:rPr>
          <w:rFonts w:ascii="Calibri" w:hAnsi="Calibri" w:eastAsia="Microsoft YaHei" w:cs="Calibri"/>
          <w:color w:val="1F4E5F"/>
          <w:sz w:val="20"/>
          <w:szCs w:val="20"/>
        </w:rPr>
        <w:t>15</w:t>
      </w:r>
    </w:p>
    <w:p>
      <w:pPr>
        <w:pStyle w:val="TOC2"/>
      </w:pPr>
      <w:r>
        <w:rPr>
          <w:rFonts w:ascii="Calibri" w:hAnsi="Calibri" w:eastAsia="Microsoft YaHei" w:cs="Calibri"/>
          <w:color w:val="222F36"/>
          <w:sz w:val="20"/>
          <w:szCs w:val="20"/>
        </w:rPr>
        <w:t>Article 13: The Zero-Toll Rule and the Fairway Services Account</w:t>
      </w:r>
      <w:r>
        <w:rPr>
          <w:rFonts w:ascii="Calibri" w:hAnsi="Calibri" w:eastAsia="Microsoft YaHei"/>
          <w:color w:val="222F36"/>
          <w:sz w:val="20"/>
        </w:rPr>
        <w:tab/>
      </w:r>
      <w:r>
        <w:rPr>
          <w:rFonts w:ascii="Calibri" w:hAnsi="Calibri" w:eastAsia="Microsoft YaHei" w:cs="Calibri"/>
          <w:color w:val="222F36"/>
          <w:sz w:val="20"/>
          <w:szCs w:val="20"/>
        </w:rPr>
        <w:t>15</w:t>
      </w:r>
    </w:p>
    <w:p>
      <w:pPr>
        <w:pStyle w:val="TOC1"/>
      </w:pPr>
      <w:r>
        <w:rPr>
          <w:rFonts w:ascii="Calibri" w:hAnsi="Calibri" w:eastAsia="Microsoft YaHei" w:cs="Calibri"/>
          <w:color w:val="1F4E5F"/>
          <w:sz w:val="20"/>
          <w:szCs w:val="20"/>
        </w:rPr>
        <w:t>Part Five: Verification and Compliance</w:t>
      </w:r>
      <w:r>
        <w:rPr>
          <w:rFonts w:ascii="Calibri" w:hAnsi="Calibri" w:eastAsia="Microsoft YaHei"/>
          <w:color w:val="1F4E5F"/>
          <w:sz w:val="20"/>
        </w:rPr>
        <w:tab/>
      </w:r>
      <w:r>
        <w:rPr>
          <w:rFonts w:ascii="Calibri" w:hAnsi="Calibri" w:eastAsia="Microsoft YaHei" w:cs="Calibri"/>
          <w:color w:val="1F4E5F"/>
          <w:sz w:val="20"/>
          <w:szCs w:val="20"/>
        </w:rPr>
        <w:t>16</w:t>
      </w:r>
    </w:p>
    <w:p>
      <w:pPr>
        <w:pStyle w:val="TOC2"/>
      </w:pPr>
      <w:r>
        <w:rPr>
          <w:rFonts w:ascii="Calibri" w:hAnsi="Calibri" w:eastAsia="Microsoft YaHei" w:cs="Calibri"/>
          <w:color w:val="222F36"/>
          <w:sz w:val="20"/>
          <w:szCs w:val="20"/>
        </w:rPr>
        <w:t>Article 14: The Verification Spine</w:t>
      </w:r>
      <w:r>
        <w:rPr>
          <w:rFonts w:ascii="Calibri" w:hAnsi="Calibri" w:eastAsia="Microsoft YaHei"/>
          <w:color w:val="222F36"/>
          <w:sz w:val="20"/>
        </w:rPr>
        <w:tab/>
      </w:r>
      <w:r>
        <w:rPr>
          <w:rFonts w:ascii="Calibri" w:hAnsi="Calibri" w:eastAsia="Microsoft YaHei" w:cs="Calibri"/>
          <w:color w:val="222F36"/>
          <w:sz w:val="20"/>
          <w:szCs w:val="20"/>
        </w:rPr>
        <w:t>16</w:t>
      </w:r>
    </w:p>
    <w:p>
      <w:pPr>
        <w:pStyle w:val="TOC2"/>
      </w:pPr>
      <w:r>
        <w:rPr>
          <w:rFonts w:ascii="Calibri" w:hAnsi="Calibri" w:eastAsia="Microsoft YaHei" w:cs="Calibri"/>
          <w:color w:val="222F36"/>
          <w:sz w:val="20"/>
          <w:szCs w:val="20"/>
        </w:rPr>
        <w:t>Article 15: The Compliance Engine</w:t>
      </w:r>
      <w:r>
        <w:rPr>
          <w:rFonts w:ascii="Calibri" w:hAnsi="Calibri" w:eastAsia="Microsoft YaHei"/>
          <w:color w:val="222F36"/>
          <w:sz w:val="20"/>
        </w:rPr>
        <w:tab/>
      </w:r>
      <w:r>
        <w:rPr>
          <w:rFonts w:ascii="Calibri" w:hAnsi="Calibri" w:eastAsia="Microsoft YaHei" w:cs="Calibri"/>
          <w:color w:val="222F36"/>
          <w:sz w:val="20"/>
          <w:szCs w:val="20"/>
        </w:rPr>
        <w:t>17</w:t>
      </w:r>
    </w:p>
    <w:p>
      <w:pPr>
        <w:pStyle w:val="TOC2"/>
      </w:pPr>
      <w:r>
        <w:rPr>
          <w:rFonts w:ascii="Calibri" w:hAnsi="Calibri" w:eastAsia="Microsoft YaHei" w:cs="Calibri"/>
          <w:color w:val="222F36"/>
          <w:sz w:val="20"/>
          <w:szCs w:val="20"/>
        </w:rPr>
        <w:t>Article 16: Mishaps, Spoilers, and False Flags</w:t>
      </w:r>
      <w:r>
        <w:rPr>
          <w:rFonts w:ascii="Calibri" w:hAnsi="Calibri" w:eastAsia="Microsoft YaHei"/>
          <w:color w:val="222F36"/>
          <w:sz w:val="20"/>
        </w:rPr>
        <w:tab/>
      </w:r>
      <w:r>
        <w:rPr>
          <w:rFonts w:ascii="Calibri" w:hAnsi="Calibri" w:eastAsia="Microsoft YaHei" w:cs="Calibri"/>
          <w:color w:val="222F36"/>
          <w:sz w:val="20"/>
          <w:szCs w:val="20"/>
        </w:rPr>
        <w:t>18</w:t>
      </w:r>
    </w:p>
    <w:p>
      <w:pPr>
        <w:pStyle w:val="TOC2"/>
      </w:pPr>
      <w:r>
        <w:rPr>
          <w:rFonts w:ascii="Calibri" w:hAnsi="Calibri" w:eastAsia="Microsoft YaHei" w:cs="Calibri"/>
          <w:color w:val="222F36"/>
          <w:sz w:val="20"/>
          <w:szCs w:val="20"/>
        </w:rPr>
        <w:t>Article 17: Dispute Resolution</w:t>
      </w:r>
      <w:r>
        <w:rPr>
          <w:rFonts w:ascii="Calibri" w:hAnsi="Calibri" w:eastAsia="Microsoft YaHei"/>
          <w:color w:val="222F36"/>
          <w:sz w:val="20"/>
        </w:rPr>
        <w:tab/>
      </w:r>
      <w:r>
        <w:rPr>
          <w:rFonts w:ascii="Calibri" w:hAnsi="Calibri" w:eastAsia="Microsoft YaHei" w:cs="Calibri"/>
          <w:color w:val="222F36"/>
          <w:sz w:val="20"/>
          <w:szCs w:val="20"/>
        </w:rPr>
        <w:t>18</w:t>
      </w:r>
    </w:p>
    <w:p>
      <w:pPr>
        <w:pStyle w:val="TOC1"/>
      </w:pPr>
      <w:r>
        <w:rPr>
          <w:rFonts w:ascii="Calibri" w:hAnsi="Calibri" w:eastAsia="Microsoft YaHei" w:cs="Calibri"/>
          <w:color w:val="1F4E5F"/>
          <w:sz w:val="20"/>
          <w:szCs w:val="20"/>
        </w:rPr>
        <w:t>Part Six: Protection, Continuity, and the Political Wrapper</w:t>
      </w:r>
      <w:r>
        <w:rPr>
          <w:rFonts w:ascii="Calibri" w:hAnsi="Calibri" w:eastAsia="Microsoft YaHei"/>
          <w:color w:val="1F4E5F"/>
          <w:sz w:val="20"/>
        </w:rPr>
        <w:tab/>
      </w:r>
      <w:r>
        <w:rPr>
          <w:rFonts w:ascii="Calibri" w:hAnsi="Calibri" w:eastAsia="Microsoft YaHei" w:cs="Calibri"/>
          <w:color w:val="1F4E5F"/>
          <w:sz w:val="20"/>
          <w:szCs w:val="20"/>
        </w:rPr>
        <w:t>19</w:t>
      </w:r>
    </w:p>
    <w:p>
      <w:pPr>
        <w:pStyle w:val="TOC2"/>
      </w:pPr>
      <w:r>
        <w:rPr>
          <w:rFonts w:ascii="Calibri" w:hAnsi="Calibri" w:eastAsia="Microsoft YaHei" w:cs="Calibri"/>
          <w:color w:val="222F36"/>
          <w:sz w:val="20"/>
          <w:szCs w:val="20"/>
        </w:rPr>
        <w:t>Article 18: The Boundary Lines</w:t>
      </w:r>
      <w:r>
        <w:rPr>
          <w:rFonts w:ascii="Calibri" w:hAnsi="Calibri" w:eastAsia="Microsoft YaHei"/>
          <w:color w:val="222F36"/>
          <w:sz w:val="20"/>
        </w:rPr>
        <w:tab/>
      </w:r>
      <w:r>
        <w:rPr>
          <w:rFonts w:ascii="Calibri" w:hAnsi="Calibri" w:eastAsia="Microsoft YaHei" w:cs="Calibri"/>
          <w:color w:val="222F36"/>
          <w:sz w:val="20"/>
          <w:szCs w:val="20"/>
        </w:rPr>
        <w:t>19</w:t>
      </w:r>
    </w:p>
    <w:p>
      <w:pPr>
        <w:pStyle w:val="TOC2"/>
      </w:pPr>
      <w:r>
        <w:rPr>
          <w:rFonts w:ascii="Calibri" w:hAnsi="Calibri" w:eastAsia="Microsoft YaHei" w:cs="Calibri"/>
          <w:color w:val="222F36"/>
          <w:sz w:val="20"/>
          <w:szCs w:val="20"/>
        </w:rPr>
        <w:t>Article 19: Spoiler Hardening and Shock Resilience</w:t>
      </w:r>
      <w:r>
        <w:rPr>
          <w:rFonts w:ascii="Calibri" w:hAnsi="Calibri" w:eastAsia="Microsoft YaHei"/>
          <w:color w:val="222F36"/>
          <w:sz w:val="20"/>
        </w:rPr>
        <w:tab/>
      </w:r>
      <w:r>
        <w:rPr>
          <w:rFonts w:ascii="Calibri" w:hAnsi="Calibri" w:eastAsia="Microsoft YaHei" w:cs="Calibri"/>
          <w:color w:val="222F36"/>
          <w:sz w:val="20"/>
          <w:szCs w:val="20"/>
        </w:rPr>
        <w:t>19</w:t>
      </w:r>
    </w:p>
    <w:p>
      <w:pPr>
        <w:pStyle w:val="TOC2"/>
      </w:pPr>
      <w:r>
        <w:rPr>
          <w:rFonts w:ascii="Calibri" w:hAnsi="Calibri" w:eastAsia="Microsoft YaHei" w:cs="Calibri"/>
          <w:color w:val="222F36"/>
          <w:sz w:val="20"/>
          <w:szCs w:val="20"/>
        </w:rPr>
        <w:t>Article 20: The Narrative Protocol</w:t>
      </w:r>
      <w:r>
        <w:rPr>
          <w:rFonts w:ascii="Calibri" w:hAnsi="Calibri" w:eastAsia="Microsoft YaHei"/>
          <w:color w:val="222F36"/>
          <w:sz w:val="20"/>
        </w:rPr>
        <w:tab/>
      </w:r>
      <w:r>
        <w:rPr>
          <w:rFonts w:ascii="Calibri" w:hAnsi="Calibri" w:eastAsia="Microsoft YaHei" w:cs="Calibri"/>
          <w:color w:val="222F36"/>
          <w:sz w:val="20"/>
          <w:szCs w:val="20"/>
        </w:rPr>
        <w:t>20</w:t>
      </w:r>
    </w:p>
    <w:p>
      <w:pPr>
        <w:pStyle w:val="TOC2"/>
      </w:pPr>
      <w:r>
        <w:rPr>
          <w:rFonts w:ascii="Calibri" w:hAnsi="Calibri" w:eastAsia="Microsoft YaHei" w:cs="Calibri"/>
          <w:color w:val="222F36"/>
          <w:sz w:val="20"/>
          <w:szCs w:val="20"/>
        </w:rPr>
        <w:t>Article 21: Review and Amendment</w:t>
      </w:r>
      <w:r>
        <w:rPr>
          <w:rFonts w:ascii="Calibri" w:hAnsi="Calibri" w:eastAsia="Microsoft YaHei"/>
          <w:color w:val="222F36"/>
          <w:sz w:val="20"/>
        </w:rPr>
        <w:tab/>
      </w:r>
      <w:r>
        <w:rPr>
          <w:rFonts w:ascii="Calibri" w:hAnsi="Calibri" w:eastAsia="Microsoft YaHei" w:cs="Calibri"/>
          <w:color w:val="222F36"/>
          <w:sz w:val="20"/>
          <w:szCs w:val="20"/>
        </w:rPr>
        <w:t>21</w:t>
      </w:r>
    </w:p>
    <w:p>
      <w:pPr>
        <w:pStyle w:val="TOC2"/>
      </w:pPr>
      <w:r>
        <w:rPr>
          <w:rFonts w:ascii="Calibri" w:hAnsi="Calibri" w:eastAsia="Microsoft YaHei" w:cs="Calibri"/>
          <w:color w:val="222F36"/>
          <w:sz w:val="20"/>
          <w:szCs w:val="20"/>
        </w:rPr>
        <w:t>Article 22: Accession, Suspension, Withdrawal, and Final Provisions</w:t>
      </w:r>
      <w:r>
        <w:rPr>
          <w:rFonts w:ascii="Calibri" w:hAnsi="Calibri" w:eastAsia="Microsoft YaHei"/>
          <w:color w:val="222F36"/>
          <w:sz w:val="20"/>
        </w:rPr>
        <w:tab/>
      </w:r>
      <w:r>
        <w:rPr>
          <w:rFonts w:ascii="Calibri" w:hAnsi="Calibri" w:eastAsia="Microsoft YaHei" w:cs="Calibri"/>
          <w:color w:val="222F36"/>
          <w:sz w:val="20"/>
          <w:szCs w:val="20"/>
        </w:rPr>
        <w:t>21</w:t>
      </w:r>
    </w:p>
    <w:p>
      <w:pPr>
        <w:pStyle w:val="TOC1"/>
      </w:pPr>
      <w:r>
        <w:rPr>
          <w:rFonts w:ascii="Calibri" w:hAnsi="Calibri" w:eastAsia="Microsoft YaHei" w:cs="Calibri"/>
          <w:color w:val="1F4E5F"/>
          <w:sz w:val="20"/>
          <w:szCs w:val="20"/>
        </w:rPr>
        <w:t>Signature and Entry into Operation</w:t>
      </w:r>
      <w:r>
        <w:rPr>
          <w:rFonts w:ascii="Calibri" w:hAnsi="Calibri" w:eastAsia="Microsoft YaHei"/>
          <w:color w:val="1F4E5F"/>
          <w:sz w:val="20"/>
        </w:rPr>
        <w:tab/>
      </w:r>
      <w:r>
        <w:rPr>
          <w:rFonts w:ascii="Calibri" w:hAnsi="Calibri" w:eastAsia="Microsoft YaHei" w:cs="Calibri"/>
          <w:color w:val="1F4E5F"/>
          <w:sz w:val="20"/>
          <w:szCs w:val="20"/>
        </w:rPr>
        <w:t>22</w:t>
      </w:r>
    </w:p>
    <w:p>
      <w:pPr>
        <w:pStyle w:val="TOC1"/>
      </w:pPr>
      <w:r>
        <w:rPr>
          <w:rFonts w:ascii="Calibri" w:hAnsi="Calibri" w:eastAsia="Microsoft YaHei" w:cs="Calibri"/>
          <w:color w:val="1F4E5F"/>
          <w:sz w:val="20"/>
          <w:szCs w:val="20"/>
        </w:rPr>
        <w:t>Annex A: Fairway Geometry and Coordinates</w:t>
      </w:r>
      <w:r>
        <w:rPr>
          <w:rFonts w:ascii="Calibri" w:hAnsi="Calibri" w:eastAsia="Microsoft YaHei"/>
          <w:color w:val="1F4E5F"/>
          <w:sz w:val="20"/>
        </w:rPr>
        <w:tab/>
      </w:r>
      <w:r>
        <w:rPr>
          <w:rFonts w:ascii="Calibri" w:hAnsi="Calibri" w:eastAsia="Microsoft YaHei" w:cs="Calibri"/>
          <w:color w:val="1F4E5F"/>
          <w:sz w:val="20"/>
          <w:szCs w:val="20"/>
        </w:rPr>
        <w:t>23</w:t>
      </w:r>
    </w:p>
    <w:p>
      <w:pPr>
        <w:pStyle w:val="TOC1"/>
      </w:pPr>
      <w:r>
        <w:rPr>
          <w:rFonts w:ascii="Calibri" w:hAnsi="Calibri" w:eastAsia="Microsoft YaHei" w:cs="Calibri"/>
          <w:color w:val="1F4E5F"/>
          <w:sz w:val="20"/>
          <w:szCs w:val="20"/>
        </w:rPr>
        <w:t>Annex B: Vessel Categories and Treatment</w:t>
      </w:r>
      <w:r>
        <w:rPr>
          <w:rFonts w:ascii="Calibri" w:hAnsi="Calibri" w:eastAsia="Microsoft YaHei"/>
          <w:color w:val="1F4E5F"/>
          <w:sz w:val="20"/>
        </w:rPr>
        <w:tab/>
      </w:r>
      <w:r>
        <w:rPr>
          <w:rFonts w:ascii="Calibri" w:hAnsi="Calibri" w:eastAsia="Microsoft YaHei" w:cs="Calibri"/>
          <w:color w:val="1F4E5F"/>
          <w:sz w:val="20"/>
          <w:szCs w:val="20"/>
        </w:rPr>
        <w:t>25</w:t>
      </w:r>
    </w:p>
    <w:p>
      <w:pPr>
        <w:pStyle w:val="TOC1"/>
      </w:pPr>
      <w:r>
        <w:rPr>
          <w:rFonts w:ascii="Calibri" w:hAnsi="Calibri" w:eastAsia="Microsoft YaHei" w:cs="Calibri"/>
          <w:color w:val="1F4E5F"/>
          <w:sz w:val="20"/>
          <w:szCs w:val="20"/>
        </w:rPr>
        <w:t>Annex C: The Fairway Notice System</w:t>
      </w:r>
      <w:r>
        <w:rPr>
          <w:rFonts w:ascii="Calibri" w:hAnsi="Calibri" w:eastAsia="Microsoft YaHei"/>
          <w:color w:val="1F4E5F"/>
          <w:sz w:val="20"/>
        </w:rPr>
        <w:tab/>
      </w:r>
      <w:r>
        <w:rPr>
          <w:rFonts w:ascii="Calibri" w:hAnsi="Calibri" w:eastAsia="Microsoft YaHei" w:cs="Calibri"/>
          <w:color w:val="1F4E5F"/>
          <w:sz w:val="20"/>
          <w:szCs w:val="20"/>
        </w:rPr>
        <w:t>26</w:t>
      </w:r>
    </w:p>
    <w:p>
      <w:pPr>
        <w:pStyle w:val="TOC1"/>
      </w:pPr>
      <w:r>
        <w:rPr>
          <w:rFonts w:ascii="Calibri" w:hAnsi="Calibri" w:eastAsia="Microsoft YaHei" w:cs="Calibri"/>
          <w:color w:val="1F4E5F"/>
          <w:sz w:val="20"/>
          <w:szCs w:val="20"/>
        </w:rPr>
        <w:t>Annex D: Tide Watch Operations and Communications</w:t>
      </w:r>
      <w:r>
        <w:rPr>
          <w:rFonts w:ascii="Calibri" w:hAnsi="Calibri" w:eastAsia="Microsoft YaHei"/>
          <w:color w:val="1F4E5F"/>
          <w:sz w:val="20"/>
        </w:rPr>
        <w:tab/>
      </w:r>
      <w:r>
        <w:rPr>
          <w:rFonts w:ascii="Calibri" w:hAnsi="Calibri" w:eastAsia="Microsoft YaHei" w:cs="Calibri"/>
          <w:color w:val="1F4E5F"/>
          <w:sz w:val="20"/>
          <w:szCs w:val="20"/>
        </w:rPr>
        <w:t>28</w:t>
      </w:r>
    </w:p>
    <w:p>
      <w:pPr>
        <w:pStyle w:val="TOC1"/>
      </w:pPr>
      <w:r>
        <w:rPr>
          <w:rFonts w:ascii="Calibri" w:hAnsi="Calibri" w:eastAsia="Microsoft YaHei" w:cs="Calibri"/>
          <w:color w:val="1F4E5F"/>
          <w:sz w:val="20"/>
          <w:szCs w:val="20"/>
        </w:rPr>
        <w:t>Annex E: The Verification Manual</w:t>
      </w:r>
      <w:r>
        <w:rPr>
          <w:rFonts w:ascii="Calibri" w:hAnsi="Calibri" w:eastAsia="Microsoft YaHei"/>
          <w:color w:val="1F4E5F"/>
          <w:sz w:val="20"/>
        </w:rPr>
        <w:tab/>
      </w:r>
      <w:r>
        <w:rPr>
          <w:rFonts w:ascii="Calibri" w:hAnsi="Calibri" w:eastAsia="Microsoft YaHei" w:cs="Calibri"/>
          <w:color w:val="1F4E5F"/>
          <w:sz w:val="20"/>
          <w:szCs w:val="20"/>
        </w:rPr>
        <w:t>32</w:t>
      </w:r>
    </w:p>
    <w:p>
      <w:pPr>
        <w:pStyle w:val="TOC1"/>
      </w:pPr>
      <w:r>
        <w:rPr>
          <w:rFonts w:ascii="Calibri" w:hAnsi="Calibri" w:eastAsia="Microsoft YaHei" w:cs="Calibri"/>
          <w:color w:val="1F4E5F"/>
          <w:sz w:val="20"/>
          <w:szCs w:val="20"/>
        </w:rPr>
        <w:t>Annex F: The Compliance Schedule</w:t>
      </w:r>
      <w:r>
        <w:rPr>
          <w:rFonts w:ascii="Calibri" w:hAnsi="Calibri" w:eastAsia="Microsoft YaHei"/>
          <w:color w:val="1F4E5F"/>
          <w:sz w:val="20"/>
        </w:rPr>
        <w:tab/>
      </w:r>
      <w:r>
        <w:rPr>
          <w:rFonts w:ascii="Calibri" w:hAnsi="Calibri" w:eastAsia="Microsoft YaHei" w:cs="Calibri"/>
          <w:color w:val="1F4E5F"/>
          <w:sz w:val="20"/>
          <w:szCs w:val="20"/>
        </w:rPr>
        <w:t>36</w:t>
      </w:r>
    </w:p>
    <w:p>
      <w:pPr>
        <w:pStyle w:val="TOC1"/>
      </w:pPr>
      <w:r>
        <w:rPr>
          <w:rFonts w:ascii="Calibri" w:hAnsi="Calibri" w:eastAsia="Microsoft YaHei" w:cs="Calibri"/>
          <w:color w:val="1F4E5F"/>
          <w:sz w:val="20"/>
          <w:szCs w:val="20"/>
        </w:rPr>
        <w:t>Annex G: Mishap, Incident, and Spoiler Protocols</w:t>
      </w:r>
      <w:r>
        <w:rPr>
          <w:rFonts w:ascii="Calibri" w:hAnsi="Calibri" w:eastAsia="Microsoft YaHei"/>
          <w:color w:val="1F4E5F"/>
          <w:sz w:val="20"/>
        </w:rPr>
        <w:tab/>
      </w:r>
      <w:r>
        <w:rPr>
          <w:rFonts w:ascii="Calibri" w:hAnsi="Calibri" w:eastAsia="Microsoft YaHei" w:cs="Calibri"/>
          <w:color w:val="1F4E5F"/>
          <w:sz w:val="20"/>
          <w:szCs w:val="20"/>
        </w:rPr>
        <w:t>39</w:t>
      </w:r>
    </w:p>
    <w:p>
      <w:pPr>
        <w:pStyle w:val="TOC1"/>
      </w:pPr>
      <w:r>
        <w:rPr>
          <w:rFonts w:ascii="Calibri" w:hAnsi="Calibri" w:eastAsia="Microsoft YaHei" w:cs="Calibri"/>
          <w:color w:val="1F4E5F"/>
          <w:sz w:val="20"/>
          <w:szCs w:val="20"/>
        </w:rPr>
        <w:t>Annex H: Fairway Services Account Charter</w:t>
      </w:r>
      <w:r>
        <w:rPr>
          <w:rFonts w:ascii="Calibri" w:hAnsi="Calibri" w:eastAsia="Microsoft YaHei"/>
          <w:color w:val="1F4E5F"/>
          <w:sz w:val="20"/>
        </w:rPr>
        <w:tab/>
      </w:r>
      <w:r>
        <w:rPr>
          <w:rFonts w:ascii="Calibri" w:hAnsi="Calibri" w:eastAsia="Microsoft YaHei" w:cs="Calibri"/>
          <w:color w:val="1F4E5F"/>
          <w:sz w:val="20"/>
          <w:szCs w:val="20"/>
        </w:rPr>
        <w:t>41</w:t>
      </w:r>
    </w:p>
    <w:p>
      <w:pPr>
        <w:pStyle w:val="TOC1"/>
      </w:pPr>
      <w:r>
        <w:rPr>
          <w:rFonts w:ascii="Calibri" w:hAnsi="Calibri" w:eastAsia="Microsoft YaHei" w:cs="Calibri"/>
          <w:color w:val="1F4E5F"/>
          <w:sz w:val="20"/>
          <w:szCs w:val="20"/>
        </w:rPr>
        <w:t>Annex I: Hazard Survey and Reopening Sequence</w:t>
      </w:r>
      <w:r>
        <w:rPr>
          <w:rFonts w:ascii="Calibri" w:hAnsi="Calibri" w:eastAsia="Microsoft YaHei"/>
          <w:color w:val="1F4E5F"/>
          <w:sz w:val="20"/>
        </w:rPr>
        <w:tab/>
      </w:r>
      <w:r>
        <w:rPr>
          <w:rFonts w:ascii="Calibri" w:hAnsi="Calibri" w:eastAsia="Microsoft YaHei" w:cs="Calibri"/>
          <w:color w:val="1F4E5F"/>
          <w:sz w:val="20"/>
          <w:szCs w:val="20"/>
        </w:rPr>
        <w:t>43</w:t>
      </w:r>
    </w:p>
    <w:p>
      <w:pPr>
        <w:pStyle w:val="TOC1"/>
      </w:pPr>
      <w:r>
        <w:rPr>
          <w:rFonts w:ascii="Calibri" w:hAnsi="Calibri" w:eastAsia="Microsoft YaHei" w:cs="Calibri"/>
          <w:color w:val="1F4E5F"/>
          <w:sz w:val="20"/>
          <w:szCs w:val="20"/>
        </w:rPr>
        <w:t>Annex J: De-confliction, Environmental, and Crew Safeguards</w:t>
      </w:r>
      <w:r>
        <w:rPr>
          <w:rFonts w:ascii="Calibri" w:hAnsi="Calibri" w:eastAsia="Microsoft YaHei"/>
          <w:color w:val="1F4E5F"/>
          <w:sz w:val="20"/>
        </w:rPr>
        <w:tab/>
      </w:r>
      <w:r>
        <w:rPr>
          <w:rFonts w:ascii="Calibri" w:hAnsi="Calibri" w:eastAsia="Microsoft YaHei" w:cs="Calibri"/>
          <w:color w:val="1F4E5F"/>
          <w:sz w:val="20"/>
          <w:szCs w:val="20"/>
        </w:rPr>
        <w:t>45</w:t>
      </w:r>
    </w:p>
    <w:p>
      <w:pPr>
        <w:pStyle w:val="TOC1"/>
      </w:pPr>
      <w:r>
        <w:rPr>
          <w:rFonts w:ascii="Calibri" w:hAnsi="Calibri" w:eastAsia="Microsoft YaHei" w:cs="Calibri"/>
          <w:color w:val="1F4E5F"/>
          <w:sz w:val="20"/>
          <w:szCs w:val="20"/>
        </w:rPr>
        <w:t>Annex K: Participation Instruments</w:t>
      </w:r>
      <w:r>
        <w:rPr>
          <w:rFonts w:ascii="Calibri" w:hAnsi="Calibri" w:eastAsia="Microsoft YaHei"/>
          <w:color w:val="1F4E5F"/>
          <w:sz w:val="20"/>
        </w:rPr>
        <w:tab/>
      </w:r>
      <w:r>
        <w:rPr>
          <w:rFonts w:ascii="Calibri" w:hAnsi="Calibri" w:eastAsia="Microsoft YaHei" w:cs="Calibri"/>
          <w:color w:val="1F4E5F"/>
          <w:sz w:val="20"/>
          <w:szCs w:val="20"/>
        </w:rPr>
        <w:t>47</w:t>
      </w:r>
    </w:p>
    <w:p>
      <w:pPr>
        <w:pStyle w:val="TOC1"/>
      </w:pPr>
      <w:r>
        <w:rPr>
          <w:rFonts w:ascii="Calibri" w:hAnsi="Calibri" w:eastAsia="Microsoft YaHei" w:cs="Calibri"/>
          <w:color w:val="1F4E5F"/>
          <w:sz w:val="20"/>
          <w:szCs w:val="20"/>
        </w:rPr>
        <w:t>Annex L: Implementation Timeline and Standing Rhythms</w:t>
      </w:r>
      <w:r>
        <w:rPr>
          <w:rFonts w:ascii="Calibri" w:hAnsi="Calibri" w:eastAsia="Microsoft YaHei"/>
          <w:color w:val="1F4E5F"/>
          <w:sz w:val="20"/>
        </w:rPr>
        <w:tab/>
      </w:r>
      <w:r>
        <w:rPr>
          <w:rFonts w:ascii="Calibri" w:hAnsi="Calibri" w:eastAsia="Microsoft YaHei" w:cs="Calibri"/>
          <w:color w:val="1F4E5F"/>
          <w:sz w:val="20"/>
          <w:szCs w:val="20"/>
        </w:rPr>
        <w:t>49</w:t>
      </w:r>
    </w:p>
    <w:p>
      <w:pPr>
        <w:pStyle w:val="TOC1"/>
      </w:pPr>
      <w:r>
        <w:rPr>
          <w:rFonts w:ascii="Calibri" w:hAnsi="Calibri" w:eastAsia="Microsoft YaHei" w:cs="Calibri"/>
          <w:color w:val="1F4E5F"/>
          <w:sz w:val="20"/>
          <w:szCs w:val="20"/>
        </w:rPr>
        <w:t>Annex M: The Boundary Lines Charter</w:t>
      </w:r>
      <w:r>
        <w:rPr>
          <w:rFonts w:ascii="Calibri" w:hAnsi="Calibri" w:eastAsia="Microsoft YaHei"/>
          <w:color w:val="1F4E5F"/>
          <w:sz w:val="20"/>
        </w:rPr>
        <w:tab/>
      </w:r>
      <w:r>
        <w:rPr>
          <w:rFonts w:ascii="Calibri" w:hAnsi="Calibri" w:eastAsia="Microsoft YaHei" w:cs="Calibri"/>
          <w:color w:val="1F4E5F"/>
          <w:sz w:val="20"/>
          <w:szCs w:val="20"/>
        </w:rPr>
        <w:t>51</w:t>
      </w:r>
    </w:p>
    <w:p>
      <w:pPr>
        <w:pStyle w:val="TOC1"/>
      </w:pPr>
      <w:r>
        <w:rPr>
          <w:rFonts w:ascii="Calibri" w:hAnsi="Calibri" w:eastAsia="Microsoft YaHei" w:cs="Calibri"/>
          <w:color w:val="1F4E5F"/>
          <w:sz w:val="20"/>
          <w:szCs w:val="20"/>
        </w:rPr>
        <w:t>Annex N: The Narrative Protocol and Model Statements</w:t>
      </w:r>
      <w:r>
        <w:rPr>
          <w:rFonts w:ascii="Calibri" w:hAnsi="Calibri" w:eastAsia="Microsoft YaHei"/>
          <w:color w:val="1F4E5F"/>
          <w:sz w:val="20"/>
        </w:rPr>
        <w:tab/>
      </w:r>
      <w:r>
        <w:rPr>
          <w:rFonts w:ascii="Calibri" w:hAnsi="Calibri" w:eastAsia="Microsoft YaHei" w:cs="Calibri"/>
          <w:color w:val="1F4E5F"/>
          <w:sz w:val="20"/>
          <w:szCs w:val="20"/>
        </w:rPr>
        <w:t>53</w:t>
      </w:r>
    </w:p>
    <w:p>
      <w:pPr>
        <w:pStyle w:val="TOC1"/>
      </w:pPr>
      <w:r>
        <w:rPr>
          <w:rFonts w:ascii="Calibri" w:hAnsi="Calibri" w:eastAsia="Microsoft YaHei" w:cs="Calibri"/>
          <w:color w:val="1F4E5F"/>
          <w:sz w:val="20"/>
          <w:szCs w:val="20"/>
        </w:rPr>
        <w:t>Annex O: Glossary and Neutral Terminology</w:t>
      </w:r>
      <w:r>
        <w:rPr>
          <w:rFonts w:ascii="Calibri" w:hAnsi="Calibri" w:eastAsia="Microsoft YaHei"/>
          <w:color w:val="1F4E5F"/>
          <w:sz w:val="20"/>
        </w:rPr>
        <w:tab/>
      </w:r>
      <w:r>
        <w:rPr>
          <w:rFonts w:ascii="Calibri" w:hAnsi="Calibri" w:eastAsia="Microsoft YaHei" w:cs="Calibri"/>
          <w:color w:val="1F4E5F"/>
          <w:sz w:val="20"/>
          <w:szCs w:val="20"/>
        </w:rPr>
        <w:t>55</w:t>
      </w:r>
    </w:p>
    <w:p>
      <w:pPr>
        <w:pStyle w:val="Normal"/>
      </w:pPr>
      <w:r>
        <w:fldChar w:fldCharType="end"/>
      </w:r>
    </w:p>
    <w:p>
      <w:pPr>
        <w:pStyle w:val="Heading1"/>
        <w:keepNext/>
        <w:keepLines/>
        <w:pageBreakBefore/>
      </w:pPr>
      <w:r>
        <w:rPr>
          <w:rFonts w:ascii="Calibri" w:hAnsi="Calibri" w:eastAsia="Microsoft YaHei" w:cs="Calibri"/>
          <w:b/>
          <w:color w:val="1F4E5F"/>
          <w:sz w:val="34"/>
          <w:szCs w:val="34"/>
        </w:rPr>
        <w:t>The Dawn Declaration</w:t>
      </w:r>
    </w:p>
    <w:p>
      <w:pPr>
        <w:pStyle w:val="Normal"/>
      </w:pPr>
      <w:r>
        <w:rPr>
          <w:rFonts w:ascii="Calibri" w:hAnsi="Calibri" w:eastAsia="Microsoft YaHei" w:cs="Calibri"/>
          <w:color w:val="222F36"/>
          <w:sz w:val="21"/>
          <w:szCs w:val="21"/>
        </w:rPr>
        <w:t>The Parties issue this declaration at signature. It states the spirit of the Compact in plain language, for public use in every capital. It guides interpretation; the articles and annexes govern operation.</w:t>
      </w:r>
    </w:p>
    <w:tbl>
      <w:tblPr>
        <w:tblW w:w="9306" w:type="dxa"/>
        <w:tblBorders>
          <w:top w:val="single" w:color="1F4E5F" w:sz="10"/>
          <w:left w:val="single" w:color="1F4E5F" w:sz="10"/>
          <w:bottom w:val="single" w:color="1F4E5F" w:sz="10"/>
          <w:right w:val="single" w:color="1F4E5F" w:sz="10"/>
          <w:insideH w:val="nil"/>
          <w:insideV w:val="nil"/>
        </w:tblBorders>
      </w:tblPr>
      <w:tblGrid>
        <w:gridCol w:w="9306"/>
      </w:tblGrid>
      <w:tr>
        <w:tc>
          <w:tcPr>
            <w:tcW w:w="9306" w:type="dxa"/>
            <w:shd w:val="clear" w:fill="E7EFEE" w:color="auto"/>
            <w:tcMar>
              <w:top w:w="100" w:type="dxa"/>
              <w:left w:w="160" w:type="dxa"/>
              <w:bottom w:w="60" w:type="dxa"/>
              <w:right w:w="160" w:type="dxa"/>
            </w:tcMar>
          </w:tcPr>
          <w:p>
            <w:pPr>
              <w:pStyle w:val="TableText"/>
            </w:pPr>
            <w:r>
              <w:rPr>
                <w:rFonts w:ascii="Calibri" w:hAnsi="Calibri" w:eastAsia="Microsoft YaHei" w:cs="Calibri"/>
                <w:b/>
                <w:color w:val="1F4E5F"/>
                <w:sz w:val="21"/>
                <w:szCs w:val="21"/>
              </w:rPr>
              <w:t>The Dawn Declaration</w:t>
            </w:r>
          </w:p>
        </w:tc>
      </w:tr>
      <w:tr>
        <w:tc>
          <w:tcPr>
            <w:tcW w:w="9306" w:type="dxa"/>
            <w:tcMar>
              <w:top w:w="40" w:type="dxa"/>
              <w:left w:w="160" w:type="dxa"/>
              <w:bottom w:w="40" w:type="dxa"/>
              <w:right w:w="160" w:type="dxa"/>
            </w:tcMar>
          </w:tcPr>
          <w:p>
            <w:pPr>
              <w:pStyle w:val="TableText"/>
            </w:pPr>
            <w:r>
              <w:rPr>
                <w:rFonts w:ascii="Calibri" w:hAnsi="Calibri" w:eastAsia="Microsoft YaHei" w:cs="Calibri"/>
                <w:color w:val="222F36"/>
                <w:sz w:val="21"/>
                <w:szCs w:val="21"/>
              </w:rPr>
              <w:t>One. The Strait stays open. Passage never stops, for any flag, in either fairway, at any hour.</w:t>
            </w:r>
          </w:p>
        </w:tc>
      </w:tr>
      <w:tr>
        <w:tc>
          <w:tcPr>
            <w:tcW w:w="9306" w:type="dxa"/>
            <w:tcMar>
              <w:top w:w="40" w:type="dxa"/>
              <w:left w:w="160" w:type="dxa"/>
              <w:bottom w:w="40" w:type="dxa"/>
              <w:right w:w="160" w:type="dxa"/>
            </w:tcMar>
          </w:tcPr>
          <w:p>
            <w:pPr>
              <w:pStyle w:val="TableText"/>
            </w:pPr>
            <w:r>
              <w:rPr>
                <w:rFonts w:ascii="Calibri" w:hAnsi="Calibri" w:eastAsia="Microsoft YaHei" w:cs="Calibri"/>
                <w:color w:val="222F36"/>
                <w:sz w:val="21"/>
                <w:szCs w:val="21"/>
              </w:rPr>
              <w:t>Two. Two captains, one chart. Iran and Oman govern the waterway together, as equals, on behalf of all who use it.</w:t>
            </w:r>
          </w:p>
        </w:tc>
      </w:tr>
      <w:tr>
        <w:tc>
          <w:tcPr>
            <w:tcW w:w="9306" w:type="dxa"/>
            <w:tcMar>
              <w:top w:w="40" w:type="dxa"/>
              <w:left w:w="160" w:type="dxa"/>
              <w:bottom w:w="40" w:type="dxa"/>
              <w:right w:w="160" w:type="dxa"/>
            </w:tcMar>
          </w:tcPr>
          <w:p>
            <w:pPr>
              <w:pStyle w:val="TableText"/>
            </w:pPr>
            <w:r>
              <w:rPr>
                <w:rFonts w:ascii="Calibri" w:hAnsi="Calibri" w:eastAsia="Microsoft YaHei" w:cs="Calibri"/>
                <w:color w:val="222F36"/>
                <w:sz w:val="21"/>
                <w:szCs w:val="21"/>
              </w:rPr>
              <w:t>Three. No tolls. No permission. No boarding in the fairways.</w:t>
            </w:r>
          </w:p>
        </w:tc>
      </w:tr>
      <w:tr>
        <w:tc>
          <w:tcPr>
            <w:tcW w:w="9306" w:type="dxa"/>
            <w:tcMar>
              <w:top w:w="40" w:type="dxa"/>
              <w:left w:w="160" w:type="dxa"/>
              <w:bottom w:w="40" w:type="dxa"/>
              <w:right w:w="160" w:type="dxa"/>
            </w:tcMar>
          </w:tcPr>
          <w:p>
            <w:pPr>
              <w:pStyle w:val="TableText"/>
            </w:pPr>
            <w:r>
              <w:rPr>
                <w:rFonts w:ascii="Calibri" w:hAnsi="Calibri" w:eastAsia="Microsoft YaHei" w:cs="Calibri"/>
                <w:color w:val="222F36"/>
                <w:sz w:val="21"/>
                <w:szCs w:val="21"/>
              </w:rPr>
              <w:t>Four. Light governance, strong verification. Few institutions, plain procedures, and a shared record open to every participant.</w:t>
            </w:r>
          </w:p>
        </w:tc>
      </w:tr>
      <w:tr>
        <w:tc>
          <w:tcPr>
            <w:tcW w:w="9306" w:type="dxa"/>
            <w:tcMar>
              <w:top w:w="40" w:type="dxa"/>
              <w:left w:w="160" w:type="dxa"/>
              <w:bottom w:w="40" w:type="dxa"/>
              <w:right w:w="160" w:type="dxa"/>
            </w:tcMar>
          </w:tcPr>
          <w:p>
            <w:pPr>
              <w:pStyle w:val="TableText"/>
            </w:pPr>
            <w:r>
              <w:rPr>
                <w:rFonts w:ascii="Calibri" w:hAnsi="Calibri" w:eastAsia="Microsoft YaHei" w:cs="Calibri"/>
                <w:color w:val="222F36"/>
                <w:sz w:val="21"/>
                <w:szCs w:val="21"/>
              </w:rPr>
              <w:t>Five. Calm is verifiable. Three signals make a finding. Two signals open an enhanced review. One signal opens a question, and nothing more.</w:t>
            </w:r>
          </w:p>
        </w:tc>
      </w:tr>
      <w:tr>
        <w:tc>
          <w:tcPr>
            <w:tcW w:w="9306" w:type="dxa"/>
            <w:tcMar>
              <w:top w:w="40" w:type="dxa"/>
              <w:left w:w="160" w:type="dxa"/>
              <w:bottom w:w="40" w:type="dxa"/>
              <w:right w:w="160" w:type="dxa"/>
            </w:tcMar>
          </w:tcPr>
          <w:p>
            <w:pPr>
              <w:pStyle w:val="TableText"/>
            </w:pPr>
            <w:r>
              <w:rPr>
                <w:rFonts w:ascii="Calibri" w:hAnsi="Calibri" w:eastAsia="Microsoft YaHei" w:cs="Calibri"/>
                <w:color w:val="222F36"/>
                <w:sz w:val="21"/>
                <w:szCs w:val="21"/>
              </w:rPr>
              <w:t>Six. No surprises. Machines inform; humans decide.</w:t>
            </w:r>
          </w:p>
        </w:tc>
      </w:tr>
      <w:tr>
        <w:tc>
          <w:tcPr>
            <w:tcW w:w="9306" w:type="dxa"/>
            <w:tcMar>
              <w:top w:w="40" w:type="dxa"/>
              <w:left w:w="160" w:type="dxa"/>
              <w:bottom w:w="40" w:type="dxa"/>
              <w:right w:w="160" w:type="dxa"/>
            </w:tcMar>
          </w:tcPr>
          <w:p>
            <w:pPr>
              <w:pStyle w:val="TableText"/>
            </w:pPr>
            <w:r>
              <w:rPr>
                <w:rFonts w:ascii="Calibri" w:hAnsi="Calibri" w:eastAsia="Microsoft YaHei" w:cs="Calibri"/>
                <w:color w:val="222F36"/>
                <w:sz w:val="21"/>
                <w:szCs w:val="21"/>
              </w:rPr>
              <w:t>Seven. Performance banks. Verified compliance stays earned, and nothing snaps back.</w:t>
            </w:r>
          </w:p>
        </w:tc>
      </w:tr>
      <w:tr>
        <w:tc>
          <w:tcPr>
            <w:tcW w:w="9306" w:type="dxa"/>
            <w:tcMar>
              <w:top w:w="40" w:type="dxa"/>
              <w:left w:w="160" w:type="dxa"/>
              <w:bottom w:w="40" w:type="dxa"/>
              <w:right w:w="160" w:type="dxa"/>
            </w:tcMar>
          </w:tcPr>
          <w:p>
            <w:pPr>
              <w:pStyle w:val="TableText"/>
            </w:pPr>
            <w:r>
              <w:rPr>
                <w:rFonts w:ascii="Calibri" w:hAnsi="Calibri" w:eastAsia="Microsoft YaHei" w:cs="Calibri"/>
                <w:color w:val="222F36"/>
                <w:sz w:val="21"/>
                <w:szCs w:val="21"/>
              </w:rPr>
              <w:t>Eight. The humanitarian lane never closes.</w:t>
            </w:r>
          </w:p>
        </w:tc>
      </w:tr>
      <w:tr>
        <w:tc>
          <w:tcPr>
            <w:tcW w:w="9306" w:type="dxa"/>
            <w:tcMar>
              <w:top w:w="40" w:type="dxa"/>
              <w:left w:w="160" w:type="dxa"/>
              <w:bottom w:w="40" w:type="dxa"/>
              <w:right w:w="160" w:type="dxa"/>
            </w:tcMar>
          </w:tcPr>
          <w:p>
            <w:pPr>
              <w:pStyle w:val="TableText"/>
            </w:pPr>
            <w:r>
              <w:rPr>
                <w:rFonts w:ascii="Calibri" w:hAnsi="Calibri" w:eastAsia="Microsoft YaHei" w:cs="Calibri"/>
                <w:color w:val="222F36"/>
                <w:sz w:val="21"/>
                <w:szCs w:val="21"/>
              </w:rPr>
              <w:t>Nine. Quiet first. The Parties repair difficulties quietly before they describe them publicly.</w:t>
            </w:r>
          </w:p>
        </w:tc>
      </w:tr>
      <w:tr>
        <w:tc>
          <w:tcPr>
            <w:tcW w:w="9306" w:type="dxa"/>
            <w:tcMar>
              <w:top w:w="40" w:type="dxa"/>
              <w:left w:w="160" w:type="dxa"/>
              <w:bottom w:w="40" w:type="dxa"/>
              <w:right w:w="160" w:type="dxa"/>
            </w:tcMar>
          </w:tcPr>
          <w:p>
            <w:pPr>
              <w:pStyle w:val="TableText"/>
            </w:pPr>
            <w:r>
              <w:rPr>
                <w:rFonts w:ascii="Calibri" w:hAnsi="Calibri" w:eastAsia="Microsoft YaHei" w:cs="Calibri"/>
                <w:color w:val="222F36"/>
                <w:sz w:val="21"/>
                <w:szCs w:val="21"/>
              </w:rPr>
              <w:t>Ten. The Compact minds the water, not the capitals. It touches no internal affairs.</w:t>
            </w:r>
          </w:p>
        </w:tc>
      </w:tr>
      <w:tr>
        <w:tc>
          <w:tcPr>
            <w:tcW w:w="9306" w:type="dxa"/>
            <w:tcMar>
              <w:top w:w="40" w:type="dxa"/>
              <w:left w:w="160" w:type="dxa"/>
              <w:bottom w:w="40" w:type="dxa"/>
              <w:right w:w="160" w:type="dxa"/>
            </w:tcMar>
          </w:tcPr>
          <w:p>
            <w:pPr>
              <w:pStyle w:val="TableText"/>
            </w:pPr>
            <w:r>
              <w:rPr>
                <w:rFonts w:ascii="Calibri" w:hAnsi="Calibri" w:eastAsia="Microsoft YaHei" w:cs="Calibri"/>
                <w:color w:val="222F36"/>
                <w:sz w:val="21"/>
                <w:szCs w:val="21"/>
              </w:rPr>
              <w:t>Eleven. Spoilers find no purchase. The system assumes interference and routes around it.</w:t>
            </w:r>
          </w:p>
        </w:tc>
      </w:tr>
      <w:tr>
        <w:tc>
          <w:tcPr>
            <w:tcW w:w="9306" w:type="dxa"/>
            <w:tcMar>
              <w:top w:w="40" w:type="dxa"/>
              <w:left w:w="160" w:type="dxa"/>
              <w:bottom w:w="40" w:type="dxa"/>
              <w:right w:w="160" w:type="dxa"/>
            </w:tcMar>
          </w:tcPr>
          <w:p>
            <w:pPr>
              <w:pStyle w:val="TableText"/>
            </w:pPr>
            <w:r>
              <w:rPr>
                <w:rFonts w:ascii="Calibri" w:hAnsi="Calibri" w:eastAsia="Microsoft YaHei" w:cs="Calibri"/>
                <w:color w:val="222F36"/>
                <w:sz w:val="21"/>
                <w:szCs w:val="21"/>
              </w:rPr>
              <w:t>Twelve. Dormancy is not death. If the Compact falls quiet, it reconstitutes on fourteen days of notice, with its text and its record intact.</w:t>
            </w:r>
          </w:p>
        </w:tc>
      </w:tr>
      <w:tr>
        <w:tc>
          <w:tcPr>
            <w:tcW w:w="9306" w:type="dxa"/>
            <w:tcMar>
              <w:top w:w="40" w:type="dxa"/>
              <w:left w:w="160" w:type="dxa"/>
              <w:bottom w:w="40" w:type="dxa"/>
              <w:right w:w="160" w:type="dxa"/>
            </w:tcMar>
          </w:tcPr>
          <w:p>
            <w:pPr>
              <w:pStyle w:val="TableText"/>
            </w:pPr>
            <w:r>
              <w:rPr>
                <w:rFonts w:ascii="Calibri" w:hAnsi="Calibri" w:eastAsia="Microsoft YaHei" w:cs="Calibri"/>
                <w:color w:val="222F36"/>
                <w:sz w:val="21"/>
                <w:szCs w:val="21"/>
              </w:rPr>
              <w:t>Thirteen. This instrument stands alone. It owes nothing to any other file, and no other file lays claim to it.</w:t>
            </w:r>
          </w:p>
        </w:tc>
      </w:tr>
      <w:tr>
        <w:tc>
          <w:tcPr>
            <w:tcW w:w="9306" w:type="dxa"/>
            <w:tcMar>
              <w:top w:w="40" w:type="dxa"/>
              <w:left w:w="160" w:type="dxa"/>
              <w:bottom w:w="40" w:type="dxa"/>
              <w:right w:w="160" w:type="dxa"/>
            </w:tcMar>
          </w:tcPr>
          <w:p>
            <w:pPr>
              <w:pStyle w:val="TableText"/>
            </w:pPr>
            <w:r>
              <w:rPr>
                <w:rFonts w:ascii="Calibri" w:hAnsi="Calibri" w:eastAsia="Microsoft YaHei" w:cs="Calibri"/>
                <w:color w:val="222F36"/>
                <w:sz w:val="21"/>
                <w:szCs w:val="21"/>
              </w:rPr>
              <w:t>Declared at Muscat on 27 July 2026, in the presence of the Guarantor Circle.</w:t>
            </w:r>
          </w:p>
        </w:tc>
      </w:tr>
    </w:tbl>
    <w:p>
      <w:pPr>
        <w:pStyle w:val="Normal"/>
        <w:spacing w:before="0" w:after="120"/>
      </w:pPr>
      <w:r>
        <w:rPr>
          <w:sz w:val="8"/>
          <w:rFonts w:ascii="Calibri" w:hAnsi="Calibri" w:eastAsia="Microsoft YaHei" w:cs="Calibri"/>
          <w:color w:val="222F36"/>
          <w:szCs w:val="8"/>
        </w:rPr>
        <w:t/>
      </w:r>
    </w:p>
    <w:p>
      <w:pPr>
        <w:pStyle w:val="Normal"/>
        <w:spacing w:before="40" w:after="120" w:line="260" w:lineRule="auto"/>
      </w:pPr>
      <w:r>
        <w:rPr>
          <w:rFonts w:ascii="Calibri" w:hAnsi="Calibri" w:eastAsia="Microsoft YaHei" w:cs="Calibri"/>
          <w:i/>
          <w:color w:val="5E7478"/>
          <w:sz w:val="19"/>
          <w:szCs w:val="19"/>
        </w:rPr>
        <w:t>The declaration uses “tolou,” the Persian word for sunrise. The Parties choose the word for what it promises: a first light, kept.</w:t>
      </w:r>
    </w:p>
    <w:p>
      <w:pPr>
        <w:pStyle w:val="Heading1"/>
        <w:keepNext/>
        <w:keepLines/>
        <w:pageBreakBefore/>
      </w:pPr>
      <w:r>
        <w:rPr>
          <w:rFonts w:ascii="Calibri" w:hAnsi="Calibri" w:eastAsia="Microsoft YaHei" w:cs="Calibri"/>
          <w:b/>
          <w:color w:val="1F4E5F"/>
          <w:sz w:val="34"/>
          <w:szCs w:val="34"/>
        </w:rPr>
        <w:t>Preamble</w:t>
      </w:r>
    </w:p>
    <w:p>
      <w:pPr>
        <w:pStyle w:val="Normal"/>
      </w:pPr>
      <w:r>
        <w:rPr>
          <w:rFonts w:ascii="Calibri" w:hAnsi="Calibri" w:eastAsia="Microsoft YaHei" w:cs="Calibri"/>
          <w:color w:val="222F36"/>
          <w:sz w:val="21"/>
          <w:szCs w:val="21"/>
        </w:rPr>
        <w:t>The Islamic Republic of Iran and the Sultanate of Oman (the Parties),</w:t>
      </w:r>
    </w:p>
    <w:p>
      <w:pPr>
        <w:pStyle w:val="Normal"/>
        <w:ind w:left="560" w:hanging="320"/>
      </w:pPr>
      <w:r>
        <w:rPr>
          <w:rFonts w:ascii="Calibri" w:hAnsi="Calibri" w:eastAsia="Microsoft YaHei" w:cs="Calibri"/>
          <w:color w:val="5E7478"/>
          <w:sz w:val="21"/>
          <w:szCs w:val="21"/>
        </w:rPr>
        <w:t xml:space="preserve">•  </w:t>
      </w:r>
      <w:r>
        <w:rPr>
          <w:rFonts w:ascii="Calibri" w:hAnsi="Calibri" w:eastAsia="Microsoft YaHei" w:cs="Calibri"/>
          <w:b/>
          <w:color w:val="222F36"/>
          <w:sz w:val="21"/>
          <w:szCs w:val="21"/>
        </w:rPr>
        <w:t>Recalling</w:t>
      </w:r>
      <w:r>
        <w:rPr>
          <w:rFonts w:ascii="Calibri" w:hAnsi="Calibri" w:eastAsia="Microsoft YaHei" w:cs="Calibri"/>
          <w:color w:val="222F36"/>
          <w:sz w:val="21"/>
          <w:szCs w:val="21"/>
        </w:rPr>
        <w:t xml:space="preserve"> the Memorandum of Understanding of 17 June 2026 (the Islamabad Memorandum), and in particular its fifth paragraph, which provides for safe passage through the Strait and directs the coastal states, in dialogue with other Gulf littoral states, to define the future administration of the waterway in accordance with international law and their sovereign rights;</w:t>
      </w:r>
    </w:p>
    <w:p>
      <w:pPr>
        <w:pStyle w:val="Normal"/>
        <w:ind w:left="560" w:hanging="320"/>
      </w:pPr>
      <w:r>
        <w:rPr>
          <w:rFonts w:ascii="Calibri" w:hAnsi="Calibri" w:eastAsia="Microsoft YaHei" w:cs="Calibri"/>
          <w:color w:val="5E7478"/>
          <w:sz w:val="21"/>
          <w:szCs w:val="21"/>
        </w:rPr>
        <w:t xml:space="preserve">•  </w:t>
      </w:r>
      <w:r>
        <w:rPr>
          <w:rFonts w:ascii="Calibri" w:hAnsi="Calibri" w:eastAsia="Microsoft YaHei" w:cs="Calibri"/>
          <w:b/>
          <w:color w:val="222F36"/>
          <w:sz w:val="21"/>
          <w:szCs w:val="21"/>
        </w:rPr>
        <w:t>Recalling</w:t>
      </w:r>
      <w:r>
        <w:rPr>
          <w:rFonts w:ascii="Calibri" w:hAnsi="Calibri" w:eastAsia="Microsoft YaHei" w:cs="Calibri"/>
          <w:color w:val="222F36"/>
          <w:sz w:val="21"/>
          <w:szCs w:val="21"/>
        </w:rPr>
        <w:t xml:space="preserve"> the first session of the Joint Committee on the Strait of Hormuz, held at Muscat on 29 June 2026, which recorded the shared view that the southern route in Omani waters and the northern route in Iranian waters both operate fully, and that the permanent administration of the waterway requires a standing instrument rather than interim practice;</w:t>
      </w:r>
    </w:p>
    <w:p>
      <w:pPr>
        <w:pStyle w:val="Normal"/>
        <w:ind w:left="560" w:hanging="320"/>
      </w:pPr>
      <w:r>
        <w:rPr>
          <w:rFonts w:ascii="Calibri" w:hAnsi="Calibri" w:eastAsia="Microsoft YaHei" w:cs="Calibri"/>
          <w:color w:val="5E7478"/>
          <w:sz w:val="21"/>
          <w:szCs w:val="21"/>
        </w:rPr>
        <w:t xml:space="preserve">•  </w:t>
      </w:r>
      <w:r>
        <w:rPr>
          <w:rFonts w:ascii="Calibri" w:hAnsi="Calibri" w:eastAsia="Microsoft YaHei" w:cs="Calibri"/>
          <w:b/>
          <w:color w:val="222F36"/>
          <w:sz w:val="21"/>
          <w:szCs w:val="21"/>
        </w:rPr>
        <w:t>Mindful</w:t>
      </w:r>
      <w:r>
        <w:rPr>
          <w:rFonts w:ascii="Calibri" w:hAnsi="Calibri" w:eastAsia="Microsoft YaHei" w:cs="Calibri"/>
          <w:color w:val="222F36"/>
          <w:sz w:val="21"/>
          <w:szCs w:val="21"/>
        </w:rPr>
        <w:t xml:space="preserve"> that transit passage through the Strait, under international law, admits neither suspension nor tolls, and that every user of the waterway relies on that certainty;</w:t>
      </w:r>
    </w:p>
    <w:p>
      <w:pPr>
        <w:pStyle w:val="Normal"/>
        <w:ind w:left="560" w:hanging="320"/>
      </w:pPr>
      <w:r>
        <w:rPr>
          <w:rFonts w:ascii="Calibri" w:hAnsi="Calibri" w:eastAsia="Microsoft YaHei" w:cs="Calibri"/>
          <w:color w:val="5E7478"/>
          <w:sz w:val="21"/>
          <w:szCs w:val="21"/>
        </w:rPr>
        <w:t xml:space="preserve">•  </w:t>
      </w:r>
      <w:r>
        <w:rPr>
          <w:rFonts w:ascii="Calibri" w:hAnsi="Calibri" w:eastAsia="Microsoft YaHei" w:cs="Calibri"/>
          <w:b/>
          <w:color w:val="222F36"/>
          <w:sz w:val="21"/>
          <w:szCs w:val="21"/>
        </w:rPr>
        <w:t>Noting</w:t>
      </w:r>
      <w:r>
        <w:rPr>
          <w:rFonts w:ascii="Calibri" w:hAnsi="Calibri" w:eastAsia="Microsoft YaHei" w:cs="Calibri"/>
          <w:color w:val="222F36"/>
          <w:sz w:val="21"/>
          <w:szCs w:val="21"/>
        </w:rPr>
        <w:t xml:space="preserve"> the interest of maritime user states in predictable, verifiable, and affordable administration, and the interest of every regional state in de-escalation that endures;</w:t>
      </w:r>
    </w:p>
    <w:p>
      <w:pPr>
        <w:pStyle w:val="Normal"/>
        <w:ind w:left="560" w:hanging="320"/>
      </w:pPr>
      <w:r>
        <w:rPr>
          <w:rFonts w:ascii="Calibri" w:hAnsi="Calibri" w:eastAsia="Microsoft YaHei" w:cs="Calibri"/>
          <w:color w:val="5E7478"/>
          <w:sz w:val="21"/>
          <w:szCs w:val="21"/>
        </w:rPr>
        <w:t xml:space="preserve">•  </w:t>
      </w:r>
      <w:r>
        <w:rPr>
          <w:rFonts w:ascii="Calibri" w:hAnsi="Calibri" w:eastAsia="Microsoft YaHei" w:cs="Calibri"/>
          <w:b/>
          <w:color w:val="222F36"/>
          <w:sz w:val="21"/>
          <w:szCs w:val="21"/>
        </w:rPr>
        <w:t>Recognizing</w:t>
      </w:r>
      <w:r>
        <w:rPr>
          <w:rFonts w:ascii="Calibri" w:hAnsi="Calibri" w:eastAsia="Microsoft YaHei" w:cs="Calibri"/>
          <w:color w:val="222F36"/>
          <w:sz w:val="21"/>
          <w:szCs w:val="21"/>
        </w:rPr>
        <w:t xml:space="preserve"> that the events of July 2026 demonstrated the cost of ad hoc arrangement and the value of a standing system that survives spoilers, shocks, and silence;</w:t>
      </w:r>
    </w:p>
    <w:p>
      <w:pPr>
        <w:pStyle w:val="Normal"/>
        <w:ind w:left="560" w:hanging="320"/>
      </w:pPr>
      <w:r>
        <w:rPr>
          <w:rFonts w:ascii="Calibri" w:hAnsi="Calibri" w:eastAsia="Microsoft YaHei" w:cs="Calibri"/>
          <w:color w:val="5E7478"/>
          <w:sz w:val="21"/>
          <w:szCs w:val="21"/>
        </w:rPr>
        <w:t xml:space="preserve">•  </w:t>
      </w:r>
      <w:r>
        <w:rPr>
          <w:rFonts w:ascii="Calibri" w:hAnsi="Calibri" w:eastAsia="Microsoft YaHei" w:cs="Calibri"/>
          <w:b/>
          <w:color w:val="222F36"/>
          <w:sz w:val="21"/>
          <w:szCs w:val="21"/>
        </w:rPr>
        <w:t>Determined</w:t>
      </w:r>
      <w:r>
        <w:rPr>
          <w:rFonts w:ascii="Calibri" w:hAnsi="Calibri" w:eastAsia="Microsoft YaHei" w:cs="Calibri"/>
          <w:color w:val="222F36"/>
          <w:sz w:val="21"/>
          <w:szCs w:val="21"/>
        </w:rPr>
        <w:t xml:space="preserve"> to build the lightest governance consistent with certainty, and the strongest verification consistent with sovereignty;</w:t>
      </w:r>
    </w:p>
    <w:p>
      <w:pPr>
        <w:pStyle w:val="Normal"/>
      </w:pPr>
      <w:r>
        <w:rPr>
          <w:rFonts w:ascii="Calibri" w:hAnsi="Calibri" w:eastAsia="Microsoft YaHei" w:cs="Calibri"/>
          <w:color w:val="222F36"/>
          <w:sz w:val="21"/>
          <w:szCs w:val="21"/>
        </w:rPr>
        <w:t>Have agreed as follows.</w:t>
      </w:r>
    </w:p>
    <w:p>
      <w:pPr>
        <w:pStyle w:val="Heading1"/>
        <w:keepNext/>
        <w:keepLines/>
        <w:pageBreakBefore/>
      </w:pPr>
      <w:r>
        <w:rPr>
          <w:rFonts w:ascii="Calibri" w:hAnsi="Calibri" w:eastAsia="Microsoft YaHei" w:cs="Calibri"/>
          <w:b/>
          <w:color w:val="1F4E5F"/>
          <w:sz w:val="34"/>
          <w:szCs w:val="34"/>
        </w:rPr>
        <w:t>Part One: Foundations</w:t>
      </w:r>
    </w:p>
    <w:p>
      <w:pPr>
        <w:pStyle w:val="Heading2"/>
        <w:keepNext/>
        <w:keepLines/>
      </w:pPr>
      <w:r>
        <w:rPr>
          <w:rFonts w:ascii="Calibri" w:hAnsi="Calibri" w:eastAsia="Microsoft YaHei" w:cs="Calibri"/>
          <w:b/>
          <w:color w:val="1F4E5F"/>
          <w:sz w:val="26"/>
          <w:szCs w:val="26"/>
        </w:rPr>
        <w:t>Article 1: Establishment, Purpose, and Scope</w:t>
      </w:r>
    </w:p>
    <w:p>
      <w:pPr>
        <w:pStyle w:val="Normal"/>
        <w:ind w:left="560" w:hanging="560"/>
      </w:pPr>
      <w:r>
        <w:rPr>
          <w:rFonts w:ascii="Calibri" w:hAnsi="Calibri" w:eastAsia="Microsoft YaHei" w:cs="Calibri"/>
          <w:b/>
          <w:color w:val="1F4E5F"/>
          <w:sz w:val="21"/>
          <w:szCs w:val="21"/>
        </w:rPr>
        <w:t xml:space="preserve">1.1  </w:t>
      </w:r>
      <w:r>
        <w:rPr>
          <w:rFonts w:ascii="Calibri" w:hAnsi="Calibri" w:eastAsia="Microsoft YaHei" w:cs="Calibri"/>
          <w:color w:val="222F36"/>
          <w:sz w:val="21"/>
          <w:szCs w:val="21"/>
        </w:rPr>
        <w:t>The Islamic Republic of Iran and the Sultanate of Oman establish the Tolou-e Jadid Compact (the Compact) as the standing system of governance for the Strait of Hormuz.</w:t>
      </w:r>
    </w:p>
    <w:p>
      <w:pPr>
        <w:pStyle w:val="Normal"/>
        <w:ind w:left="560" w:hanging="560"/>
      </w:pPr>
      <w:r>
        <w:rPr>
          <w:rFonts w:ascii="Calibri" w:hAnsi="Calibri" w:eastAsia="Microsoft YaHei" w:cs="Calibri"/>
          <w:b/>
          <w:color w:val="1F4E5F"/>
          <w:sz w:val="21"/>
          <w:szCs w:val="21"/>
        </w:rPr>
        <w:t xml:space="preserve">1.2  </w:t>
      </w:r>
      <w:r>
        <w:rPr>
          <w:rFonts w:ascii="Calibri" w:hAnsi="Calibri" w:eastAsia="Microsoft YaHei" w:cs="Calibri"/>
          <w:color w:val="222F36"/>
          <w:sz w:val="21"/>
          <w:szCs w:val="21"/>
        </w:rPr>
        <w:t>The Compact pursues three purposes: to keep the Strait open, safe, verifiable, and calm; to supply the permanent administration of the waterway that paragraph 5 of the Islamabad Memorandum contemplates; and to replace interim practice with a durable and affordable system.</w:t>
      </w:r>
    </w:p>
    <w:p>
      <w:pPr>
        <w:pStyle w:val="Normal"/>
        <w:ind w:left="560" w:hanging="560"/>
      </w:pPr>
      <w:r>
        <w:rPr>
          <w:rFonts w:ascii="Calibri" w:hAnsi="Calibri" w:eastAsia="Microsoft YaHei" w:cs="Calibri"/>
          <w:b/>
          <w:color w:val="1F4E5F"/>
          <w:sz w:val="21"/>
          <w:szCs w:val="21"/>
        </w:rPr>
        <w:t xml:space="preserve">1.3  </w:t>
      </w:r>
      <w:r>
        <w:rPr>
          <w:rFonts w:ascii="Calibri" w:hAnsi="Calibri" w:eastAsia="Microsoft YaHei" w:cs="Calibri"/>
          <w:color w:val="222F36"/>
          <w:sz w:val="21"/>
          <w:szCs w:val="21"/>
        </w:rPr>
        <w:t>The Compact governs navigation, safety of traffic, environmental stewardship, verification, and the administration of services within the Compact Waters defined in Annex A. The Compact touches no other subject. It settles no territorial, boundary, or resource question, and it prejudices none.</w:t>
      </w:r>
    </w:p>
    <w:p>
      <w:pPr>
        <w:pStyle w:val="Normal"/>
        <w:ind w:left="560" w:hanging="560"/>
      </w:pPr>
      <w:r>
        <w:rPr>
          <w:rFonts w:ascii="Calibri" w:hAnsi="Calibri" w:eastAsia="Microsoft YaHei" w:cs="Calibri"/>
          <w:b/>
          <w:color w:val="1F4E5F"/>
          <w:sz w:val="21"/>
          <w:szCs w:val="21"/>
        </w:rPr>
        <w:t xml:space="preserve">1.4  </w:t>
      </w:r>
      <w:r>
        <w:rPr>
          <w:rFonts w:ascii="Calibri" w:hAnsi="Calibri" w:eastAsia="Microsoft YaHei" w:cs="Calibri"/>
          <w:color w:val="222F36"/>
          <w:sz w:val="21"/>
          <w:szCs w:val="21"/>
        </w:rPr>
        <w:t>The Compact binds the Parties and the institutions it creates. It creates rights and duties for other states only where such a state accepts them through an instrument under Annex K.</w:t>
      </w:r>
    </w:p>
    <w:p>
      <w:pPr>
        <w:pStyle w:val="Normal"/>
        <w:ind w:left="560" w:hanging="560"/>
      </w:pPr>
      <w:r>
        <w:rPr>
          <w:rFonts w:ascii="Calibri" w:hAnsi="Calibri" w:eastAsia="Microsoft YaHei" w:cs="Calibri"/>
          <w:b/>
          <w:color w:val="1F4E5F"/>
          <w:sz w:val="21"/>
          <w:szCs w:val="21"/>
        </w:rPr>
        <w:t xml:space="preserve">1.5  </w:t>
      </w:r>
      <w:r>
        <w:rPr>
          <w:rFonts w:ascii="Calibri" w:hAnsi="Calibri" w:eastAsia="Microsoft YaHei" w:cs="Calibri"/>
          <w:color w:val="222F36"/>
          <w:sz w:val="21"/>
          <w:szCs w:val="21"/>
        </w:rPr>
        <w:t>The Compact stands alone. Article 3.4 states the sealed bulkhead that protects it from every other file, and protects every other file from it.</w:t>
      </w:r>
    </w:p>
    <w:p>
      <w:pPr>
        <w:pStyle w:val="Heading2"/>
        <w:keepNext/>
        <w:keepLines/>
      </w:pPr>
      <w:r>
        <w:rPr>
          <w:rFonts w:ascii="Calibri" w:hAnsi="Calibri" w:eastAsia="Microsoft YaHei" w:cs="Calibri"/>
          <w:b/>
          <w:color w:val="1F4E5F"/>
          <w:sz w:val="26"/>
          <w:szCs w:val="26"/>
        </w:rPr>
        <w:t>Article 2: The Compact on One Page</w:t>
      </w:r>
    </w:p>
    <w:p>
      <w:pPr>
        <w:pStyle w:val="Normal"/>
      </w:pPr>
      <w:r>
        <w:rPr>
          <w:rFonts w:ascii="Calibri" w:hAnsi="Calibri" w:eastAsia="Microsoft YaHei" w:cs="Calibri"/>
          <w:color w:val="222F36"/>
          <w:sz w:val="21"/>
          <w:szCs w:val="21"/>
        </w:rPr>
        <w:t>Fourteen sentences state the whole system. The articles and annexes carry the detail; this page carries the design.</w:t>
      </w:r>
    </w:p>
    <w:p>
      <w:pPr>
        <w:pStyle w:val="Normal"/>
        <w:ind w:left="560" w:hanging="560"/>
      </w:pPr>
      <w:r>
        <w:rPr>
          <w:rFonts w:ascii="Calibri" w:hAnsi="Calibri" w:eastAsia="Microsoft YaHei" w:cs="Calibri"/>
          <w:b/>
          <w:color w:val="1F4E5F"/>
          <w:sz w:val="21"/>
          <w:szCs w:val="21"/>
        </w:rPr>
        <w:t xml:space="preserve">1.  </w:t>
      </w:r>
      <w:r>
        <w:rPr>
          <w:rFonts w:ascii="Calibri" w:hAnsi="Calibri" w:eastAsia="Microsoft YaHei" w:cs="Calibri"/>
          <w:color w:val="222F36"/>
          <w:sz w:val="21"/>
          <w:szCs w:val="21"/>
        </w:rPr>
        <w:t>Two fairways. The Southern Fairway in Omani waters stays open to all traffic without notice. The Northern Fairway in Iranian waters runs on a simple notice that informs and never requests. One rulebook governs both.</w:t>
      </w:r>
    </w:p>
    <w:p>
      <w:pPr>
        <w:pStyle w:val="Normal"/>
        <w:ind w:left="560" w:hanging="560"/>
      </w:pPr>
      <w:r>
        <w:rPr>
          <w:rFonts w:ascii="Calibri" w:hAnsi="Calibri" w:eastAsia="Microsoft YaHei" w:cs="Calibri"/>
          <w:b/>
          <w:color w:val="1F4E5F"/>
          <w:sz w:val="21"/>
          <w:szCs w:val="21"/>
        </w:rPr>
        <w:t xml:space="preserve">2.  </w:t>
      </w:r>
      <w:r>
        <w:rPr>
          <w:rFonts w:ascii="Calibri" w:hAnsi="Calibri" w:eastAsia="Microsoft YaHei" w:cs="Calibri"/>
          <w:color w:val="222F36"/>
          <w:sz w:val="21"/>
          <w:szCs w:val="21"/>
        </w:rPr>
        <w:t>One watch. The Tide Watch in Muscat, with a liaison desk in Bandar Abbas, keeps the traffic picture and publishes the Tide Report every day at 1800 UTC.</w:t>
      </w:r>
    </w:p>
    <w:p>
      <w:pPr>
        <w:pStyle w:val="Normal"/>
        <w:ind w:left="560" w:hanging="560"/>
      </w:pPr>
      <w:r>
        <w:rPr>
          <w:rFonts w:ascii="Calibri" w:hAnsi="Calibri" w:eastAsia="Microsoft YaHei" w:cs="Calibri"/>
          <w:b/>
          <w:color w:val="1F4E5F"/>
          <w:sz w:val="21"/>
          <w:szCs w:val="21"/>
        </w:rPr>
        <w:t xml:space="preserve">3.  </w:t>
      </w:r>
      <w:r>
        <w:rPr>
          <w:rFonts w:ascii="Calibri" w:hAnsi="Calibri" w:eastAsia="Microsoft YaHei" w:cs="Calibri"/>
          <w:color w:val="222F36"/>
          <w:sz w:val="21"/>
          <w:szCs w:val="21"/>
        </w:rPr>
        <w:t>One record. The Concordance holds every notice, acknowledgment, track summary, and finding under cryptographic timestamp, open to every participant on the same screen.</w:t>
      </w:r>
    </w:p>
    <w:p>
      <w:pPr>
        <w:pStyle w:val="Normal"/>
        <w:ind w:left="560" w:hanging="560"/>
      </w:pPr>
      <w:r>
        <w:rPr>
          <w:rFonts w:ascii="Calibri" w:hAnsi="Calibri" w:eastAsia="Microsoft YaHei" w:cs="Calibri"/>
          <w:b/>
          <w:color w:val="1F4E5F"/>
          <w:sz w:val="21"/>
          <w:szCs w:val="21"/>
        </w:rPr>
        <w:t xml:space="preserve">4.  </w:t>
      </w:r>
      <w:r>
        <w:rPr>
          <w:rFonts w:ascii="Calibri" w:hAnsi="Calibri" w:eastAsia="Microsoft YaHei" w:cs="Calibri"/>
          <w:color w:val="222F36"/>
          <w:sz w:val="21"/>
          <w:szCs w:val="21"/>
        </w:rPr>
        <w:t>Three signals. A finding requires three independent signals. Two signals open an enhanced review. One signal opens an inquiry and nothing more.</w:t>
      </w:r>
    </w:p>
    <w:p>
      <w:pPr>
        <w:pStyle w:val="Normal"/>
        <w:ind w:left="560" w:hanging="560"/>
      </w:pPr>
      <w:r>
        <w:rPr>
          <w:rFonts w:ascii="Calibri" w:hAnsi="Calibri" w:eastAsia="Microsoft YaHei" w:cs="Calibri"/>
          <w:b/>
          <w:color w:val="1F4E5F"/>
          <w:sz w:val="21"/>
          <w:szCs w:val="21"/>
        </w:rPr>
        <w:t xml:space="preserve">5.  </w:t>
      </w:r>
      <w:r>
        <w:rPr>
          <w:rFonts w:ascii="Calibri" w:hAnsi="Calibri" w:eastAsia="Microsoft YaHei" w:cs="Calibri"/>
          <w:color w:val="222F36"/>
          <w:sz w:val="21"/>
          <w:szCs w:val="21"/>
        </w:rPr>
        <w:t>Humans decide. No machine suspends anything. One automatic rule exists: if the watch picture and the record feeds both go dark for 48 hours without certified cause, discretionary certifications pause until the feeds return.</w:t>
      </w:r>
    </w:p>
    <w:p>
      <w:pPr>
        <w:pStyle w:val="Normal"/>
        <w:ind w:left="560" w:hanging="560"/>
      </w:pPr>
      <w:r>
        <w:rPr>
          <w:rFonts w:ascii="Calibri" w:hAnsi="Calibri" w:eastAsia="Microsoft YaHei" w:cs="Calibri"/>
          <w:b/>
          <w:color w:val="1F4E5F"/>
          <w:sz w:val="21"/>
          <w:szCs w:val="21"/>
        </w:rPr>
        <w:t xml:space="preserve">6.  </w:t>
      </w:r>
      <w:r>
        <w:rPr>
          <w:rFonts w:ascii="Calibri" w:hAnsi="Calibri" w:eastAsia="Microsoft YaHei" w:cs="Calibri"/>
          <w:color w:val="222F36"/>
          <w:sz w:val="21"/>
          <w:szCs w:val="21"/>
        </w:rPr>
        <w:t>Step back, earn back. Deviations sort into Drift, Strain, or Breach. Consequences stay narrow, pause the benefits of the affected module only, and reverse on verified performance.</w:t>
      </w:r>
    </w:p>
    <w:p>
      <w:pPr>
        <w:pStyle w:val="Normal"/>
        <w:ind w:left="560" w:hanging="560"/>
      </w:pPr>
      <w:r>
        <w:rPr>
          <w:rFonts w:ascii="Calibri" w:hAnsi="Calibri" w:eastAsia="Microsoft YaHei" w:cs="Calibri"/>
          <w:b/>
          <w:color w:val="1F4E5F"/>
          <w:sz w:val="21"/>
          <w:szCs w:val="21"/>
        </w:rPr>
        <w:t xml:space="preserve">7.  </w:t>
      </w:r>
      <w:r>
        <w:rPr>
          <w:rFonts w:ascii="Calibri" w:hAnsi="Calibri" w:eastAsia="Microsoft YaHei" w:cs="Calibri"/>
          <w:color w:val="222F36"/>
          <w:sz w:val="21"/>
          <w:szCs w:val="21"/>
        </w:rPr>
        <w:t>No snapback. Banked performance stays banked. A completed earn-back never reopens on the same facts.</w:t>
      </w:r>
    </w:p>
    <w:p>
      <w:pPr>
        <w:pStyle w:val="Normal"/>
        <w:ind w:left="560" w:hanging="560"/>
      </w:pPr>
      <w:r>
        <w:rPr>
          <w:rFonts w:ascii="Calibri" w:hAnsi="Calibri" w:eastAsia="Microsoft YaHei" w:cs="Calibri"/>
          <w:b/>
          <w:color w:val="1F4E5F"/>
          <w:sz w:val="21"/>
          <w:szCs w:val="21"/>
        </w:rPr>
        <w:t xml:space="preserve">8.  </w:t>
      </w:r>
      <w:r>
        <w:rPr>
          <w:rFonts w:ascii="Calibri" w:hAnsi="Calibri" w:eastAsia="Microsoft YaHei" w:cs="Calibri"/>
          <w:color w:val="222F36"/>
          <w:sz w:val="21"/>
          <w:szCs w:val="21"/>
        </w:rPr>
        <w:t>The humanitarian lane never stops: food, medicine, medical evacuation, crew repatriation, search and rescue, and pollution response move under all circumstances.</w:t>
      </w:r>
    </w:p>
    <w:p>
      <w:pPr>
        <w:pStyle w:val="Normal"/>
        <w:ind w:left="560" w:hanging="560"/>
      </w:pPr>
      <w:r>
        <w:rPr>
          <w:rFonts w:ascii="Calibri" w:hAnsi="Calibri" w:eastAsia="Microsoft YaHei"/>
          <w:b/>
          <w:color w:val="1F4E5F"/>
          <w:sz w:val="21"/>
        </w:rPr>
        <w:t xml:space="preserve">9.  </w:t>
      </w:r>
      <w:r>
        <w:rPr>
          <w:rFonts w:ascii="Calibri" w:hAnsi="Calibri" w:eastAsia="Microsoft YaHei"/>
          <w:color w:val="222F36"/>
          <w:sz w:val="21"/>
        </w:rPr>
        <w:t xml:space="preserve">Money stays small. Passage costs nothing. Services run on a published account funded by the Parties and by voluntary user contributions, with quarterly public accounts.</w:t>
      </w:r>
    </w:p>
    <w:p>
      <w:pPr>
        <w:pStyle w:val="Normal"/>
        <w:ind w:left="560" w:hanging="560"/>
      </w:pPr>
      <w:r>
        <w:rPr>
          <w:rFonts w:ascii="Calibri" w:hAnsi="Calibri" w:eastAsia="Microsoft YaHei"/>
          <w:b/>
          <w:color w:val="1F4E5F"/>
          <w:sz w:val="21"/>
        </w:rPr>
        <w:t xml:space="preserve">10.  </w:t>
      </w:r>
      <w:r>
        <w:rPr>
          <w:rFonts w:ascii="Calibri" w:hAnsi="Calibri" w:eastAsia="Microsoft YaHei"/>
          <w:color w:val="222F36"/>
          <w:sz w:val="21"/>
        </w:rPr>
        <w:t xml:space="preserve">Disputes climb a short ladder: the Tide Line, the Council, binding co-arbitration by the Guarantor Circle, the principals, and a chosen forum.</w:t>
      </w:r>
    </w:p>
    <w:p>
      <w:pPr>
        <w:pStyle w:val="Normal"/>
        <w:ind w:left="560" w:hanging="560"/>
      </w:pPr>
      <w:r>
        <w:rPr>
          <w:rFonts w:ascii="Calibri" w:hAnsi="Calibri" w:eastAsia="Microsoft YaHei"/>
          <w:b/>
          <w:color w:val="1F4E5F"/>
          <w:sz w:val="21"/>
        </w:rPr>
        <w:t xml:space="preserve">11.  </w:t>
      </w:r>
      <w:r>
        <w:rPr>
          <w:rFonts w:ascii="Calibri" w:hAnsi="Calibri" w:eastAsia="Microsoft YaHei"/>
          <w:color w:val="222F36"/>
          <w:sz w:val="21"/>
        </w:rPr>
        <w:t xml:space="preserve">Boundary Lines protect sovereignty. A Perimeter Check stops any measure that crosses them, and the Lines entrench against amendment.</w:t>
      </w:r>
    </w:p>
    <w:p>
      <w:pPr>
        <w:pStyle w:val="Normal"/>
        <w:ind w:left="560" w:hanging="560"/>
      </w:pPr>
      <w:r>
        <w:rPr>
          <w:rFonts w:ascii="Calibri" w:hAnsi="Calibri" w:eastAsia="Microsoft YaHei"/>
          <w:b/>
          <w:color w:val="1F4E5F"/>
          <w:sz w:val="21"/>
        </w:rPr>
        <w:t xml:space="preserve">12.  </w:t>
      </w:r>
      <w:r>
        <w:rPr>
          <w:rFonts w:ascii="Calibri" w:hAnsi="Calibri" w:eastAsia="Microsoft YaHei"/>
          <w:color w:val="222F36"/>
          <w:sz w:val="21"/>
        </w:rPr>
        <w:t xml:space="preserve">Quiet first. The Parties repair difficulties quietly for their first thirty days, and public statements describe the system rather than the quarrel.</w:t>
      </w:r>
    </w:p>
    <w:p>
      <w:pPr>
        <w:pStyle w:val="Normal"/>
        <w:ind w:left="560" w:hanging="560"/>
      </w:pPr>
      <w:r>
        <w:rPr>
          <w:rFonts w:ascii="Calibri" w:hAnsi="Calibri" w:eastAsia="Microsoft YaHei"/>
          <w:b/>
          <w:color w:val="1F4E5F"/>
          <w:sz w:val="21"/>
        </w:rPr>
        <w:t xml:space="preserve">13.  </w:t>
      </w:r>
      <w:r>
        <w:rPr>
          <w:rFonts w:ascii="Calibri" w:hAnsi="Calibri" w:eastAsia="Microsoft YaHei"/>
          <w:color w:val="222F36"/>
          <w:sz w:val="21"/>
        </w:rPr>
        <w:t xml:space="preserve">The system assumes spoilers. Default continuity, mirrored records, and dormancy rules keep it alive under attack, neglect, and shock.</w:t>
      </w:r>
    </w:p>
    <w:p>
      <w:pPr>
        <w:pStyle w:val="Normal"/>
        <w:ind w:left="560" w:hanging="560"/>
      </w:pPr>
      <w:r>
        <w:rPr>
          <w:rFonts w:ascii="Calibri" w:hAnsi="Calibri" w:eastAsia="Microsoft YaHei"/>
          <w:b/>
          <w:color w:val="1F4E5F"/>
          <w:sz w:val="21"/>
        </w:rPr>
        <w:t xml:space="preserve">14.  </w:t>
      </w:r>
      <w:r>
        <w:rPr>
          <w:rFonts w:ascii="Calibri" w:hAnsi="Calibri" w:eastAsia="Microsoft YaHei"/>
          <w:color w:val="222F36"/>
          <w:sz w:val="21"/>
        </w:rPr>
        <w:t xml:space="preserve">Each Party explains the Compact at home in its own words. Annex N carries the model statements, and every one of them holds true at the same time.</w:t>
      </w:r>
    </w:p>
    <w:p>
      <w:pPr>
        <w:pStyle w:val="Heading2"/>
        <w:keepNext/>
        <w:keepLines/>
      </w:pPr>
      <w:r>
        <w:rPr>
          <w:rFonts w:ascii="Calibri" w:hAnsi="Calibri" w:eastAsia="Microsoft YaHei"/>
          <w:b/>
          <w:color w:val="1F4E5F"/>
          <w:sz w:val="26"/>
        </w:rPr>
        <w:t xml:space="preserve">Article 3: Legal Foundations and the Sealed Bulkhead</w:t>
      </w:r>
    </w:p>
    <w:p>
      <w:pPr>
        <w:pStyle w:val="Normal"/>
        <w:ind w:left="560" w:hanging="560"/>
      </w:pPr>
      <w:r>
        <w:rPr>
          <w:rFonts w:ascii="Calibri" w:hAnsi="Calibri" w:eastAsia="Microsoft YaHei"/>
          <w:b/>
          <w:color w:val="1F4E5F"/>
          <w:sz w:val="21"/>
        </w:rPr>
        <w:t xml:space="preserve">3.1  </w:t>
      </w:r>
      <w:r>
        <w:rPr>
          <w:rFonts w:ascii="Calibri" w:hAnsi="Calibri" w:eastAsia="Microsoft YaHei"/>
          <w:b/>
          <w:color w:val="222F36"/>
          <w:sz w:val="21"/>
        </w:rPr>
        <w:t xml:space="preserve">Mandate.</w:t>
      </w:r>
      <w:r>
        <w:rPr>
          <w:rFonts w:ascii="Calibri" w:hAnsi="Calibri" w:eastAsia="Microsoft YaHei"/>
          <w:color w:val="222F36"/>
          <w:sz w:val="21"/>
        </w:rPr>
        <w:t xml:space="preserve"> The Compact implements paragraph 5 of the Islamabad Memorandum of 17 June 2026, which provides for safe passage through the Strait and directs the coastal states, in dialogue with other Gulf littoral states, to define the future administration of the waterway in accordance with international law and their sovereign rights. The Compact fulfills that mandate as its standing instrument.</w:t>
      </w:r>
    </w:p>
    <w:p>
      <w:pPr>
        <w:pStyle w:val="Normal"/>
        <w:ind w:left="560" w:hanging="560"/>
      </w:pPr>
      <w:r>
        <w:rPr>
          <w:rFonts w:ascii="Calibri" w:hAnsi="Calibri" w:eastAsia="Microsoft YaHei"/>
          <w:b/>
          <w:color w:val="1F4E5F"/>
          <w:sz w:val="21"/>
        </w:rPr>
        <w:t xml:space="preserve">3.2  </w:t>
      </w:r>
      <w:r>
        <w:rPr>
          <w:rFonts w:ascii="Calibri" w:hAnsi="Calibri" w:eastAsia="Microsoft YaHei"/>
          <w:b/>
          <w:color w:val="222F36"/>
          <w:sz w:val="21"/>
        </w:rPr>
        <w:t xml:space="preserve">Sources.</w:t>
      </w:r>
      <w:r>
        <w:rPr>
          <w:rFonts w:ascii="Calibri" w:hAnsi="Calibri" w:eastAsia="Microsoft YaHei"/>
          <w:color w:val="222F36"/>
          <w:sz w:val="21"/>
        </w:rPr>
        <w:t xml:space="preserve"> The Compact rests on the customary international law of the sea, including the regime of transit passage, which admits neither suspension nor tolls; on the instruments of the International Maritime Organization, including SOLAS, the COLREGS, STCW, and MARPOL; and on the sovereignty and sovereign rights of the coastal states in their territorial seas. Where the Parties differ on the doctrinal basis of a rule, the rule stands on their agreement rather than on the doctrine.</w:t>
      </w:r>
    </w:p>
    <w:p>
      <w:pPr>
        <w:pStyle w:val="Normal"/>
        <w:ind w:left="560" w:hanging="560"/>
      </w:pPr>
      <w:r>
        <w:rPr>
          <w:rFonts w:ascii="Calibri" w:hAnsi="Calibri" w:eastAsia="Microsoft YaHei"/>
          <w:b/>
          <w:color w:val="1F4E5F"/>
          <w:sz w:val="21"/>
        </w:rPr>
        <w:t xml:space="preserve">3.3  </w:t>
      </w:r>
      <w:r>
        <w:rPr>
          <w:rFonts w:ascii="Calibri" w:hAnsi="Calibri" w:eastAsia="Microsoft YaHei"/>
          <w:b/>
          <w:color w:val="222F36"/>
          <w:sz w:val="21"/>
        </w:rPr>
        <w:t xml:space="preserve">Non-prejudice.</w:t>
      </w:r>
      <w:r>
        <w:rPr>
          <w:rFonts w:ascii="Calibri" w:hAnsi="Calibri" w:eastAsia="Microsoft YaHei"/>
          <w:color w:val="222F36"/>
          <w:sz w:val="21"/>
        </w:rPr>
        <w:t xml:space="preserve"> Nothing in the Compact delimits maritime boundaries, allocates resources, or prejudices the position of any state on any question outside its scope. Coordinates in this instrument describe administration, not delimitation.</w:t>
      </w:r>
    </w:p>
    <w:p>
      <w:pPr>
        <w:pStyle w:val="Normal"/>
        <w:ind w:left="560" w:hanging="560"/>
      </w:pPr>
      <w:r>
        <w:rPr>
          <w:rFonts w:ascii="Calibri" w:hAnsi="Calibri" w:eastAsia="Microsoft YaHei"/>
          <w:b/>
          <w:color w:val="1F4E5F"/>
          <w:sz w:val="21"/>
        </w:rPr>
        <w:t xml:space="preserve">3.4  </w:t>
      </w:r>
      <w:r>
        <w:rPr>
          <w:rFonts w:ascii="Calibri" w:hAnsi="Calibri" w:eastAsia="Microsoft YaHei"/>
          <w:b/>
          <w:color w:val="222F36"/>
          <w:sz w:val="21"/>
        </w:rPr>
        <w:t xml:space="preserve">The sealed bulkhead.</w:t>
      </w:r>
      <w:r>
        <w:rPr>
          <w:rFonts w:ascii="Calibri" w:hAnsi="Calibri" w:eastAsia="Microsoft YaHei"/>
          <w:color w:val="222F36"/>
          <w:sz w:val="21"/>
        </w:rPr>
        <w:t xml:space="preserve"> The Compact forms a watertight compartment. (a) No development in any other negotiation, dispute, or file suspends, conditions, or diminishes the operation of the Compact. (b) No Party invokes the Compact, its record, or its machinery in support of a claim in any other forum, except by joint written agreement. (c) Compliance with the Compact carries no admission on any question beyond its scope. (d) No participant presents the Compact as leverage in any other file, in speech or in deed.</w:t>
      </w:r>
    </w:p>
    <w:p>
      <w:pPr>
        <w:pStyle w:val="Normal"/>
        <w:ind w:left="560" w:hanging="560"/>
      </w:pPr>
      <w:r>
        <w:rPr>
          <w:rFonts w:ascii="Calibri" w:hAnsi="Calibri" w:eastAsia="Microsoft YaHei"/>
          <w:b/>
          <w:color w:val="1F4E5F"/>
          <w:sz w:val="21"/>
        </w:rPr>
        <w:t xml:space="preserve">3.5  </w:t>
      </w:r>
      <w:r>
        <w:rPr>
          <w:rFonts w:ascii="Calibri" w:hAnsi="Calibri" w:eastAsia="Microsoft YaHei"/>
          <w:b/>
          <w:color w:val="222F36"/>
          <w:sz w:val="21"/>
        </w:rPr>
        <w:t xml:space="preserve">Precedence and alignment.</w:t>
      </w:r>
      <w:r>
        <w:rPr>
          <w:rFonts w:ascii="Calibri" w:hAnsi="Calibri" w:eastAsia="Microsoft YaHei"/>
          <w:color w:val="222F36"/>
          <w:sz w:val="21"/>
        </w:rPr>
        <w:t xml:space="preserve"> Within the Compact Waters, a rule of the Compact prevails over an inconsistent domestic measure of a Party to the extent of the inconsistency. Each Party aligns its domestic instruments within ninety days of entry into operation and deposits confirmation with the depositary.</w:t>
      </w:r>
    </w:p>
    <w:p>
      <w:pPr>
        <w:pStyle w:val="Normal"/>
        <w:ind w:left="560" w:hanging="560"/>
      </w:pPr>
      <w:r>
        <w:rPr>
          <w:rFonts w:ascii="Calibri" w:hAnsi="Calibri" w:eastAsia="Microsoft YaHei"/>
          <w:b/>
          <w:color w:val="1F4E5F"/>
          <w:sz w:val="21"/>
        </w:rPr>
        <w:t xml:space="preserve">3.6  </w:t>
      </w:r>
      <w:r>
        <w:rPr>
          <w:rFonts w:ascii="Calibri" w:hAnsi="Calibri" w:eastAsia="Microsoft YaHei"/>
          <w:b/>
          <w:color w:val="222F36"/>
          <w:sz w:val="21"/>
        </w:rPr>
        <w:t xml:space="preserve">Depositary and registration.</w:t>
      </w:r>
      <w:r>
        <w:rPr>
          <w:rFonts w:ascii="Calibri" w:hAnsi="Calibri" w:eastAsia="Microsoft YaHei"/>
          <w:color w:val="222F36"/>
          <w:sz w:val="21"/>
        </w:rPr>
        <w:t xml:space="preserve"> The Swiss Confederation serves as depositary. The Parties register the Compact with the Secretariat of the United Nations pursuant to Article 102 of the Charter of the United Nations.</w:t>
      </w:r>
    </w:p>
    <w:p>
      <w:pPr>
        <w:pStyle w:val="Heading2"/>
        <w:keepNext/>
        <w:keepLines/>
      </w:pPr>
      <w:r>
        <w:rPr>
          <w:rFonts w:ascii="Calibri" w:hAnsi="Calibri" w:eastAsia="Microsoft YaHei"/>
          <w:b/>
          <w:color w:val="1F4E5F"/>
          <w:sz w:val="26"/>
        </w:rPr>
        <w:t xml:space="preserve">Article 4: Definitions</w:t>
      </w:r>
    </w:p>
    <w:p>
      <w:pPr>
        <w:pStyle w:val="Normal"/>
        <w:ind w:left="560" w:hanging="560"/>
      </w:pPr>
      <w:r>
        <w:rPr>
          <w:rFonts w:ascii="Calibri" w:hAnsi="Calibri" w:eastAsia="Microsoft YaHei"/>
          <w:b/>
          <w:color w:val="1F4E5F"/>
          <w:sz w:val="21"/>
        </w:rPr>
        <w:t xml:space="preserve">4.1  </w:t>
      </w:r>
      <w:r>
        <w:rPr>
          <w:rFonts w:ascii="Calibri" w:hAnsi="Calibri" w:eastAsia="Microsoft YaHei"/>
          <w:color w:val="222F36"/>
          <w:sz w:val="21"/>
        </w:rPr>
        <w:t xml:space="preserve">In this instrument: </w:t>
      </w:r>
      <w:r>
        <w:rPr>
          <w:rFonts w:ascii="Calibri" w:hAnsi="Calibri" w:eastAsia="Microsoft YaHei"/>
          <w:b/>
          <w:color w:val="222F36"/>
          <w:sz w:val="21"/>
        </w:rPr>
        <w:t xml:space="preserve">Compact Waters</w:t>
      </w:r>
      <w:r>
        <w:rPr>
          <w:rFonts w:ascii="Calibri" w:hAnsi="Calibri" w:eastAsia="Microsoft YaHei"/>
          <w:color w:val="222F36"/>
          <w:sz w:val="21"/>
        </w:rPr>
        <w:t xml:space="preserve"> means the area in Annex A; </w:t>
      </w:r>
      <w:r>
        <w:rPr>
          <w:rFonts w:ascii="Calibri" w:hAnsi="Calibri" w:eastAsia="Microsoft YaHei"/>
          <w:b/>
          <w:color w:val="222F36"/>
          <w:sz w:val="21"/>
        </w:rPr>
        <w:t xml:space="preserve">Fairway</w:t>
      </w:r>
      <w:r>
        <w:rPr>
          <w:rFonts w:ascii="Calibri" w:hAnsi="Calibri" w:eastAsia="Microsoft YaHei"/>
          <w:color w:val="222F36"/>
          <w:sz w:val="21"/>
        </w:rPr>
        <w:t xml:space="preserve"> means the Southern Fairway or the Northern Fairway; </w:t>
      </w:r>
      <w:r>
        <w:rPr>
          <w:rFonts w:ascii="Calibri" w:hAnsi="Calibri" w:eastAsia="Microsoft YaHei"/>
          <w:b/>
          <w:color w:val="222F36"/>
          <w:sz w:val="21"/>
        </w:rPr>
        <w:t xml:space="preserve">Notice</w:t>
      </w:r>
      <w:r>
        <w:rPr>
          <w:rFonts w:ascii="Calibri" w:hAnsi="Calibri" w:eastAsia="Microsoft YaHei"/>
          <w:color w:val="222F36"/>
          <w:sz w:val="21"/>
        </w:rPr>
        <w:t xml:space="preserve"> means a Fairway Notice under Annex C; </w:t>
      </w:r>
      <w:r>
        <w:rPr>
          <w:rFonts w:ascii="Calibri" w:hAnsi="Calibri" w:eastAsia="Microsoft YaHei"/>
          <w:b/>
          <w:color w:val="222F36"/>
          <w:sz w:val="21"/>
        </w:rPr>
        <w:t xml:space="preserve">the Watch</w:t>
      </w:r>
      <w:r>
        <w:rPr>
          <w:rFonts w:ascii="Calibri" w:hAnsi="Calibri" w:eastAsia="Microsoft YaHei"/>
          <w:color w:val="222F36"/>
          <w:sz w:val="21"/>
        </w:rPr>
        <w:t xml:space="preserve"> means the Tide Watch; </w:t>
      </w:r>
      <w:r>
        <w:rPr>
          <w:rFonts w:ascii="Calibri" w:hAnsi="Calibri" w:eastAsia="Microsoft YaHei"/>
          <w:b/>
          <w:color w:val="222F36"/>
          <w:sz w:val="21"/>
        </w:rPr>
        <w:t xml:space="preserve">the Concordance</w:t>
      </w:r>
      <w:r>
        <w:rPr>
          <w:rFonts w:ascii="Calibri" w:hAnsi="Calibri" w:eastAsia="Microsoft YaHei"/>
          <w:color w:val="222F36"/>
          <w:sz w:val="21"/>
        </w:rPr>
        <w:t xml:space="preserve"> means the shared record under Annex E; </w:t>
      </w:r>
      <w:r>
        <w:rPr>
          <w:rFonts w:ascii="Calibri" w:hAnsi="Calibri" w:eastAsia="Microsoft YaHei"/>
          <w:b/>
          <w:color w:val="222F36"/>
          <w:sz w:val="21"/>
        </w:rPr>
        <w:t xml:space="preserve">Signal</w:t>
      </w:r>
      <w:r>
        <w:rPr>
          <w:rFonts w:ascii="Calibri" w:hAnsi="Calibri" w:eastAsia="Microsoft YaHei"/>
          <w:color w:val="222F36"/>
          <w:sz w:val="21"/>
        </w:rPr>
        <w:t xml:space="preserve"> means an independent item of verified data; </w:t>
      </w:r>
      <w:r>
        <w:rPr>
          <w:rFonts w:ascii="Calibri" w:hAnsi="Calibri" w:eastAsia="Microsoft YaHei"/>
          <w:b/>
          <w:color w:val="222F36"/>
          <w:sz w:val="21"/>
        </w:rPr>
        <w:t xml:space="preserve">Finding</w:t>
      </w:r>
      <w:r>
        <w:rPr>
          <w:rFonts w:ascii="Calibri" w:hAnsi="Calibri" w:eastAsia="Microsoft YaHei"/>
          <w:color w:val="222F36"/>
          <w:sz w:val="21"/>
        </w:rPr>
        <w:t xml:space="preserve"> means a classification supported by three signals; </w:t>
      </w:r>
      <w:r>
        <w:rPr>
          <w:rFonts w:ascii="Calibri" w:hAnsi="Calibri" w:eastAsia="Microsoft YaHei"/>
          <w:b/>
          <w:color w:val="222F36"/>
          <w:sz w:val="21"/>
        </w:rPr>
        <w:t xml:space="preserve">Drift, Strain,</w:t>
      </w:r>
      <w:r>
        <w:rPr>
          <w:rFonts w:ascii="Calibri" w:hAnsi="Calibri" w:eastAsia="Microsoft YaHei"/>
          <w:color w:val="222F36"/>
          <w:sz w:val="21"/>
        </w:rPr>
        <w:t xml:space="preserve"> and </w:t>
      </w:r>
      <w:r>
        <w:rPr>
          <w:rFonts w:ascii="Calibri" w:hAnsi="Calibri" w:eastAsia="Microsoft YaHei"/>
          <w:b/>
          <w:color w:val="222F36"/>
          <w:sz w:val="21"/>
        </w:rPr>
        <w:t xml:space="preserve">Breach</w:t>
      </w:r>
      <w:r>
        <w:rPr>
          <w:rFonts w:ascii="Calibri" w:hAnsi="Calibri" w:eastAsia="Microsoft YaHei"/>
          <w:color w:val="222F36"/>
          <w:sz w:val="21"/>
        </w:rPr>
        <w:t xml:space="preserve"> carry the meanings in Article 15 and Annex F; </w:t>
      </w:r>
      <w:r>
        <w:rPr>
          <w:rFonts w:ascii="Calibri" w:hAnsi="Calibri" w:eastAsia="Microsoft YaHei"/>
          <w:b/>
          <w:color w:val="222F36"/>
          <w:sz w:val="21"/>
        </w:rPr>
        <w:t xml:space="preserve">the Circle</w:t>
      </w:r>
      <w:r>
        <w:rPr>
          <w:rFonts w:ascii="Calibri" w:hAnsi="Calibri" w:eastAsia="Microsoft YaHei"/>
          <w:color w:val="222F36"/>
          <w:sz w:val="21"/>
        </w:rPr>
        <w:t xml:space="preserve"> means the Guarantor Circle; </w:t>
      </w:r>
      <w:r>
        <w:rPr>
          <w:rFonts w:ascii="Calibri" w:hAnsi="Calibri" w:eastAsia="Microsoft YaHei"/>
          <w:b/>
          <w:color w:val="222F36"/>
          <w:sz w:val="21"/>
        </w:rPr>
        <w:t xml:space="preserve">the Gallery</w:t>
      </w:r>
      <w:r>
        <w:rPr>
          <w:rFonts w:ascii="Calibri" w:hAnsi="Calibri" w:eastAsia="Microsoft YaHei"/>
          <w:color w:val="222F36"/>
          <w:sz w:val="21"/>
        </w:rPr>
        <w:t xml:space="preserve"> means the Observer Gallery; </w:t>
      </w:r>
      <w:r>
        <w:rPr>
          <w:rFonts w:ascii="Calibri" w:hAnsi="Calibri" w:eastAsia="Microsoft YaHei"/>
          <w:b/>
          <w:color w:val="222F36"/>
          <w:sz w:val="21"/>
        </w:rPr>
        <w:t xml:space="preserve">Boundary Lines</w:t>
      </w:r>
      <w:r>
        <w:rPr>
          <w:rFonts w:ascii="Calibri" w:hAnsi="Calibri" w:eastAsia="Microsoft YaHei"/>
          <w:color w:val="222F36"/>
          <w:sz w:val="21"/>
        </w:rPr>
        <w:t xml:space="preserve"> means the lines in Article 18 and Annex M; </w:t>
      </w:r>
      <w:r>
        <w:rPr>
          <w:rFonts w:ascii="Calibri" w:hAnsi="Calibri" w:eastAsia="Microsoft YaHei"/>
          <w:b/>
          <w:color w:val="222F36"/>
          <w:sz w:val="21"/>
        </w:rPr>
        <w:t xml:space="preserve">participant</w:t>
      </w:r>
      <w:r>
        <w:rPr>
          <w:rFonts w:ascii="Calibri" w:hAnsi="Calibri" w:eastAsia="Microsoft YaHei"/>
          <w:color w:val="222F36"/>
          <w:sz w:val="21"/>
        </w:rPr>
        <w:t xml:space="preserve"> means a Party, a guarantor, an observer, or an adherent.</w:t>
      </w:r>
    </w:p>
    <w:p>
      <w:pPr>
        <w:pStyle w:val="Normal"/>
        <w:ind w:left="560" w:hanging="560"/>
      </w:pPr>
      <w:r>
        <w:rPr>
          <w:rFonts w:ascii="Calibri" w:hAnsi="Calibri" w:eastAsia="Microsoft YaHei"/>
          <w:b/>
          <w:color w:val="1F4E5F"/>
          <w:sz w:val="21"/>
        </w:rPr>
        <w:t xml:space="preserve">4.2  </w:t>
      </w:r>
      <w:r>
        <w:rPr>
          <w:rFonts w:ascii="Calibri" w:hAnsi="Calibri" w:eastAsia="Microsoft YaHei"/>
          <w:color w:val="222F36"/>
          <w:sz w:val="21"/>
        </w:rPr>
        <w:t xml:space="preserve">Annex O carries the full glossary and the rules of neutral terminology. Headings serve navigation only. The singular includes the plural where the context allows.</w:t>
      </w:r>
    </w:p>
    <w:p>
      <w:pPr>
        <w:pStyle w:val="Heading2"/>
        <w:keepNext/>
        <w:keepLines/>
      </w:pPr>
      <w:r>
        <w:rPr>
          <w:rFonts w:ascii="Calibri" w:hAnsi="Calibri" w:eastAsia="Microsoft YaHei"/>
          <w:b/>
          <w:color w:val="1F4E5F"/>
          <w:sz w:val="26"/>
        </w:rPr>
        <w:t xml:space="preserve">Article 5: Design Principles</w:t>
      </w:r>
    </w:p>
    <w:p>
      <w:pPr>
        <w:pStyle w:val="Normal"/>
        <w:ind w:left="560" w:hanging="560"/>
      </w:pPr>
      <w:r>
        <w:rPr>
          <w:rFonts w:ascii="Calibri" w:hAnsi="Calibri" w:eastAsia="Microsoft YaHei"/>
          <w:b/>
          <w:color w:val="1F4E5F"/>
          <w:sz w:val="21"/>
        </w:rPr>
        <w:t xml:space="preserve">5.1  </w:t>
      </w:r>
      <w:r>
        <w:rPr>
          <w:rFonts w:ascii="Calibri" w:hAnsi="Calibri" w:eastAsia="Microsoft YaHei"/>
          <w:b/>
          <w:color w:val="222F36"/>
          <w:sz w:val="21"/>
        </w:rPr>
        <w:t xml:space="preserve">Minimum institution, maximum certainty.</w:t>
      </w:r>
      <w:r>
        <w:rPr>
          <w:rFonts w:ascii="Calibri" w:hAnsi="Calibri" w:eastAsia="Microsoft YaHei"/>
          <w:color w:val="222F36"/>
          <w:sz w:val="21"/>
        </w:rPr>
        <w:t xml:space="preserve"> The Compact builds four bodies and no more: the Council, the Watch, the Concordance Office, and the Secretariat Desk. Every other function contracts out, seconds in, or goes without a body of its own.</w:t>
      </w:r>
    </w:p>
    <w:p>
      <w:pPr>
        <w:pStyle w:val="Normal"/>
        <w:ind w:left="560" w:hanging="560"/>
      </w:pPr>
      <w:r>
        <w:rPr>
          <w:rFonts w:ascii="Calibri" w:hAnsi="Calibri" w:eastAsia="Microsoft YaHei"/>
          <w:b/>
          <w:color w:val="1F4E5F"/>
          <w:sz w:val="21"/>
        </w:rPr>
        <w:t xml:space="preserve">5.2  </w:t>
      </w:r>
      <w:r>
        <w:rPr>
          <w:rFonts w:ascii="Calibri" w:hAnsi="Calibri" w:eastAsia="Microsoft YaHei"/>
          <w:b/>
          <w:color w:val="222F36"/>
          <w:sz w:val="21"/>
        </w:rPr>
        <w:t xml:space="preserve">The Three-Question Test.</w:t>
      </w:r>
      <w:r>
        <w:rPr>
          <w:rFonts w:ascii="Calibri" w:hAnsi="Calibri" w:eastAsia="Microsoft YaHei"/>
          <w:color w:val="222F36"/>
          <w:sz w:val="21"/>
        </w:rPr>
        <w:t xml:space="preserve"> Every procedure answers three questions: what triggers it, who acts, and when it closes. A draft procedure that fails the test does not enter into operation. The Annual Refit retires or repairs any standing procedure that fails in practice.</w:t>
      </w:r>
    </w:p>
    <w:p>
      <w:pPr>
        <w:pStyle w:val="Normal"/>
        <w:ind w:left="560" w:hanging="560"/>
      </w:pPr>
      <w:r>
        <w:rPr>
          <w:rFonts w:ascii="Calibri" w:hAnsi="Calibri" w:eastAsia="Microsoft YaHei"/>
          <w:b/>
          <w:color w:val="1F4E5F"/>
          <w:sz w:val="21"/>
        </w:rPr>
        <w:t xml:space="preserve">5.3  </w:t>
      </w:r>
      <w:r>
        <w:rPr>
          <w:rFonts w:ascii="Calibri" w:hAnsi="Calibri" w:eastAsia="Microsoft YaHei"/>
          <w:b/>
          <w:color w:val="222F36"/>
          <w:sz w:val="21"/>
        </w:rPr>
        <w:t xml:space="preserve">Civilian character.</w:t>
      </w:r>
      <w:r>
        <w:rPr>
          <w:rFonts w:ascii="Calibri" w:hAnsi="Calibri" w:eastAsia="Microsoft YaHei"/>
          <w:color w:val="222F36"/>
          <w:sz w:val="21"/>
        </w:rPr>
        <w:t xml:space="preserve"> The bodies of the Compact are civilian. No serving military officer sits on the watch floor or in the Concordance Office. Liaison with national authorities runs through named desks and published protocols, never through command channels.</w:t>
      </w:r>
    </w:p>
    <w:p>
      <w:pPr>
        <w:pStyle w:val="Normal"/>
        <w:ind w:left="560" w:hanging="560"/>
      </w:pPr>
      <w:r>
        <w:rPr>
          <w:rFonts w:ascii="Calibri" w:hAnsi="Calibri" w:eastAsia="Microsoft YaHei"/>
          <w:b/>
          <w:color w:val="1F4E5F"/>
          <w:sz w:val="21"/>
        </w:rPr>
        <w:t xml:space="preserve">5.4  </w:t>
      </w:r>
      <w:r>
        <w:rPr>
          <w:rFonts w:ascii="Calibri" w:hAnsi="Calibri" w:eastAsia="Microsoft YaHei"/>
          <w:b/>
          <w:color w:val="222F36"/>
          <w:sz w:val="21"/>
        </w:rPr>
        <w:t xml:space="preserve">Data sovereignty.</w:t>
      </w:r>
      <w:r>
        <w:rPr>
          <w:rFonts w:ascii="Calibri" w:hAnsi="Calibri" w:eastAsia="Microsoft YaHei"/>
          <w:color w:val="222F36"/>
          <w:sz w:val="21"/>
        </w:rPr>
        <w:t xml:space="preserve"> Participants own the record collectively. Article 14.8 bars every use of Compact data for intelligence preparation, targeting, sanctions evidence, or external litigation.</w:t>
      </w:r>
    </w:p>
    <w:p>
      <w:pPr>
        <w:pStyle w:val="Normal"/>
        <w:ind w:left="560" w:hanging="560"/>
      </w:pPr>
      <w:r>
        <w:rPr>
          <w:rFonts w:ascii="Calibri" w:hAnsi="Calibri" w:eastAsia="Microsoft YaHei"/>
          <w:b/>
          <w:color w:val="1F4E5F"/>
          <w:sz w:val="21"/>
        </w:rPr>
        <w:t xml:space="preserve">5.5  </w:t>
      </w:r>
      <w:r>
        <w:rPr>
          <w:rFonts w:ascii="Calibri" w:hAnsi="Calibri" w:eastAsia="Microsoft YaHei"/>
          <w:b/>
          <w:color w:val="222F36"/>
          <w:sz w:val="21"/>
        </w:rPr>
        <w:t xml:space="preserve">Non-humiliation.</w:t>
      </w:r>
      <w:r>
        <w:rPr>
          <w:rFonts w:ascii="Calibri" w:hAnsi="Calibri" w:eastAsia="Microsoft YaHei"/>
          <w:color w:val="222F36"/>
          <w:sz w:val="21"/>
        </w:rPr>
        <w:t xml:space="preserve"> The Compact contains no instrument of public censure. Its classifications enter the record as facts; its narrative rules govern every public word.</w:t>
      </w:r>
    </w:p>
    <w:p>
      <w:pPr>
        <w:pStyle w:val="Normal"/>
        <w:ind w:left="560" w:hanging="560"/>
      </w:pPr>
      <w:r>
        <w:rPr>
          <w:rFonts w:ascii="Calibri" w:hAnsi="Calibri" w:eastAsia="Microsoft YaHei"/>
          <w:b/>
          <w:color w:val="1F4E5F"/>
          <w:sz w:val="21"/>
        </w:rPr>
        <w:t xml:space="preserve">5.6  </w:t>
      </w:r>
      <w:r>
        <w:rPr>
          <w:rFonts w:ascii="Calibri" w:hAnsi="Calibri" w:eastAsia="Microsoft YaHei"/>
          <w:b/>
          <w:color w:val="222F36"/>
          <w:sz w:val="21"/>
        </w:rPr>
        <w:t xml:space="preserve">Simplicity mandate.</w:t>
      </w:r>
      <w:r>
        <w:rPr>
          <w:rFonts w:ascii="Calibri" w:hAnsi="Calibri" w:eastAsia="Microsoft YaHei"/>
          <w:color w:val="222F36"/>
          <w:sz w:val="21"/>
        </w:rPr>
        <w:t xml:space="preserve"> Each standing procedure fits on one page, and each form fits on one card. A procedure that outgrows its page returns to the Council for redesign.</w:t>
      </w:r>
    </w:p>
    <w:p>
      <w:pPr>
        <w:pStyle w:val="Normal"/>
        <w:ind w:left="560" w:hanging="560"/>
      </w:pPr>
      <w:r>
        <w:rPr>
          <w:rFonts w:ascii="Calibri" w:hAnsi="Calibri" w:eastAsia="Microsoft YaHei"/>
          <w:b/>
          <w:color w:val="1F4E5F"/>
          <w:sz w:val="21"/>
        </w:rPr>
        <w:t xml:space="preserve">5.7  </w:t>
      </w:r>
      <w:r>
        <w:rPr>
          <w:rFonts w:ascii="Calibri" w:hAnsi="Calibri" w:eastAsia="Microsoft YaHei"/>
          <w:b/>
          <w:color w:val="222F36"/>
          <w:sz w:val="21"/>
        </w:rPr>
        <w:t xml:space="preserve">Cost discipline.</w:t>
      </w:r>
      <w:r>
        <w:rPr>
          <w:rFonts w:ascii="Calibri" w:hAnsi="Calibri" w:eastAsia="Microsoft YaHei"/>
          <w:color w:val="222F36"/>
          <w:sz w:val="21"/>
        </w:rPr>
        <w:t xml:space="preserve"> The Compact reuses existing national facilities before it builds anything, holds annual overhead at or below fifteen percent of budget, and publishes its accounts quarterly.</w:t>
      </w:r>
    </w:p>
    <w:p>
      <w:pPr>
        <w:pStyle w:val="Heading1"/>
        <w:keepNext/>
        <w:keepLines/>
        <w:pageBreakBefore/>
      </w:pPr>
      <w:r>
        <w:rPr>
          <w:rFonts w:ascii="Calibri" w:hAnsi="Calibri" w:eastAsia="Microsoft YaHei"/>
          <w:b/>
          <w:color w:val="1F4E5F"/>
          <w:sz w:val="34"/>
        </w:rPr>
        <w:t xml:space="preserve">Part Two: The Fairway System</w:t>
      </w:r>
    </w:p>
    <w:p>
      <w:pPr>
        <w:pStyle w:val="Heading2"/>
        <w:keepNext/>
        <w:keepLines/>
      </w:pPr>
      <w:r>
        <w:rPr>
          <w:rFonts w:ascii="Calibri" w:hAnsi="Calibri" w:eastAsia="Microsoft YaHei"/>
          <w:b/>
          <w:color w:val="1F4E5F"/>
          <w:sz w:val="26"/>
        </w:rPr>
        <w:t xml:space="preserve">Article 6: The Compact Waters</w:t>
      </w:r>
    </w:p>
    <w:p>
      <w:pPr>
        <w:pStyle w:val="Normal"/>
        <w:ind w:left="560" w:hanging="560"/>
      </w:pPr>
      <w:r>
        <w:rPr>
          <w:rFonts w:ascii="Calibri" w:hAnsi="Calibri" w:eastAsia="Microsoft YaHei"/>
          <w:b/>
          <w:color w:val="1F4E5F"/>
          <w:sz w:val="21"/>
        </w:rPr>
        <w:t xml:space="preserve">6.1  </w:t>
      </w:r>
      <w:r>
        <w:rPr>
          <w:rFonts w:ascii="Calibri" w:hAnsi="Calibri" w:eastAsia="Microsoft YaHei"/>
          <w:color w:val="222F36"/>
          <w:sz w:val="21"/>
        </w:rPr>
        <w:t xml:space="preserve">The Compact Waters comprise the area bounded by the coordinates in Annex A, covering the traffic lanes of the Strait, their approaches, the Separation Band, and the anchorages that serve them.</w:t>
      </w:r>
    </w:p>
    <w:p>
      <w:pPr>
        <w:pStyle w:val="Normal"/>
        <w:ind w:left="560" w:hanging="560"/>
      </w:pPr>
      <w:r>
        <w:rPr>
          <w:rFonts w:ascii="Calibri" w:hAnsi="Calibri" w:eastAsia="Microsoft YaHei"/>
          <w:b/>
          <w:color w:val="1F4E5F"/>
          <w:sz w:val="21"/>
        </w:rPr>
        <w:t xml:space="preserve">6.2  </w:t>
      </w:r>
      <w:r>
        <w:rPr>
          <w:rFonts w:ascii="Calibri" w:hAnsi="Calibri" w:eastAsia="Microsoft YaHei"/>
          <w:color w:val="222F36"/>
          <w:sz w:val="21"/>
        </w:rPr>
        <w:t xml:space="preserve">The designation affects administration only. The waters remain subject to the sovereignty of the respective coastal state; the airspace above them and the seabed below them keep their existing status. The Compact administers traffic and services. It administers no territory.</w:t>
      </w:r>
    </w:p>
    <w:p>
      <w:pPr>
        <w:pStyle w:val="Normal"/>
        <w:ind w:left="560" w:hanging="560"/>
      </w:pPr>
      <w:r>
        <w:rPr>
          <w:rFonts w:ascii="Calibri" w:hAnsi="Calibri" w:eastAsia="Microsoft YaHei"/>
          <w:b/>
          <w:color w:val="1F4E5F"/>
          <w:sz w:val="21"/>
        </w:rPr>
        <w:t xml:space="preserve">6.3  </w:t>
      </w:r>
      <w:r>
        <w:rPr>
          <w:rFonts w:ascii="Calibri" w:hAnsi="Calibri" w:eastAsia="Microsoft YaHei"/>
          <w:color w:val="222F36"/>
          <w:sz w:val="21"/>
        </w:rPr>
        <w:t xml:space="preserve">An adjustment of the boundary requires a joint instrument of the Council, a Perimeter Check under Article 18.2, and sixty days of notice to participants. Annex A states the procedure.</w:t>
      </w:r>
    </w:p>
    <w:p>
      <w:pPr>
        <w:pStyle w:val="Heading2"/>
        <w:keepNext/>
        <w:keepLines/>
      </w:pPr>
      <w:r>
        <w:rPr>
          <w:rFonts w:ascii="Calibri" w:hAnsi="Calibri" w:eastAsia="Microsoft YaHei"/>
          <w:b/>
          <w:color w:val="1F4E5F"/>
          <w:sz w:val="26"/>
        </w:rPr>
        <w:t xml:space="preserve">Article 7: The Two Fairways</w:t>
      </w:r>
    </w:p>
    <w:p>
      <w:pPr>
        <w:pStyle w:val="Normal"/>
        <w:ind w:left="560" w:hanging="560"/>
      </w:pPr>
      <w:r>
        <w:rPr>
          <w:rFonts w:ascii="Calibri" w:hAnsi="Calibri" w:eastAsia="Microsoft YaHei"/>
          <w:b/>
          <w:color w:val="1F4E5F"/>
          <w:sz w:val="21"/>
        </w:rPr>
        <w:t xml:space="preserve">7.1  </w:t>
      </w:r>
      <w:r>
        <w:rPr>
          <w:rFonts w:ascii="Calibri" w:hAnsi="Calibri" w:eastAsia="Microsoft YaHei"/>
          <w:b/>
          <w:color w:val="222F36"/>
          <w:sz w:val="21"/>
        </w:rPr>
        <w:t xml:space="preserve">One rulebook, two fairways.</w:t>
      </w:r>
      <w:r>
        <w:rPr>
          <w:rFonts w:ascii="Calibri" w:hAnsi="Calibri" w:eastAsia="Microsoft YaHei"/>
          <w:color w:val="222F36"/>
          <w:sz w:val="21"/>
        </w:rPr>
        <w:t xml:space="preserve"> The same rules of safety, verification, conduct, and record govern both fairways. The fairways differ in notice practice and nothing else.</w:t>
      </w:r>
    </w:p>
    <w:p>
      <w:pPr>
        <w:pStyle w:val="Normal"/>
        <w:ind w:left="560" w:hanging="560"/>
      </w:pPr>
      <w:r>
        <w:rPr>
          <w:rFonts w:ascii="Calibri" w:hAnsi="Calibri" w:eastAsia="Microsoft YaHei"/>
          <w:b/>
          <w:color w:val="1F4E5F"/>
          <w:sz w:val="21"/>
        </w:rPr>
        <w:t xml:space="preserve">7.2  </w:t>
      </w:r>
      <w:r>
        <w:rPr>
          <w:rFonts w:ascii="Calibri" w:hAnsi="Calibri" w:eastAsia="Microsoft YaHei"/>
          <w:b/>
          <w:color w:val="222F36"/>
          <w:sz w:val="21"/>
        </w:rPr>
        <w:t xml:space="preserve">The Southern Fairway.</w:t>
      </w:r>
      <w:r>
        <w:rPr>
          <w:rFonts w:ascii="Calibri" w:hAnsi="Calibri" w:eastAsia="Microsoft YaHei"/>
          <w:color w:val="222F36"/>
          <w:sz w:val="21"/>
        </w:rPr>
        <w:t xml:space="preserve"> The Southern Fairway, in Omani waters, stays open to all vessels without notice, permission, or charge. The Watch keeps its picture and issues its advisories there as everywhere else.</w:t>
      </w:r>
    </w:p>
    <w:p>
      <w:pPr>
        <w:pStyle w:val="Normal"/>
        <w:ind w:left="560" w:hanging="560"/>
      </w:pPr>
      <w:r>
        <w:rPr>
          <w:rFonts w:ascii="Calibri" w:hAnsi="Calibri" w:eastAsia="Microsoft YaHei"/>
          <w:b/>
          <w:color w:val="1F4E5F"/>
          <w:sz w:val="21"/>
        </w:rPr>
        <w:t xml:space="preserve">7.3  </w:t>
      </w:r>
      <w:r>
        <w:rPr>
          <w:rFonts w:ascii="Calibri" w:hAnsi="Calibri" w:eastAsia="Microsoft YaHei"/>
          <w:b/>
          <w:color w:val="222F36"/>
          <w:sz w:val="21"/>
        </w:rPr>
        <w:t xml:space="preserve">The Northern Fairway.</w:t>
      </w:r>
      <w:r>
        <w:rPr>
          <w:rFonts w:ascii="Calibri" w:hAnsi="Calibri" w:eastAsia="Microsoft YaHei"/>
          <w:color w:val="222F36"/>
          <w:sz w:val="21"/>
        </w:rPr>
        <w:t xml:space="preserve"> The Northern Fairway, in Iranian waters, operates under the notice system of Annex C. A vessel gives notice, the Watch acknowledges, and the vessel proceeds. The notice informs; it never requests. The Watch records and coordinates; it never conditions, delays, or denies passage.</w:t>
      </w:r>
    </w:p>
    <w:p>
      <w:pPr>
        <w:pStyle w:val="Normal"/>
        <w:ind w:left="560" w:hanging="560"/>
      </w:pPr>
      <w:r>
        <w:rPr>
          <w:rFonts w:ascii="Calibri" w:hAnsi="Calibri" w:eastAsia="Microsoft YaHei"/>
          <w:b/>
          <w:color w:val="1F4E5F"/>
          <w:sz w:val="21"/>
        </w:rPr>
        <w:t xml:space="preserve">7.4  </w:t>
      </w:r>
      <w:r>
        <w:rPr>
          <w:rFonts w:ascii="Calibri" w:hAnsi="Calibri" w:eastAsia="Microsoft YaHei"/>
          <w:b/>
          <w:color w:val="222F36"/>
          <w:sz w:val="21"/>
        </w:rPr>
        <w:t xml:space="preserve">No permission regime.</w:t>
      </w:r>
      <w:r>
        <w:rPr>
          <w:rFonts w:ascii="Calibri" w:hAnsi="Calibri" w:eastAsia="Microsoft YaHei"/>
          <w:color w:val="222F36"/>
          <w:sz w:val="21"/>
        </w:rPr>
        <w:t xml:space="preserve"> The Compact excludes every requirement of authorization, clearance, or approval for transit passage in either fairway. No participant creates one, and no practice grows one.</w:t>
      </w:r>
    </w:p>
    <w:p>
      <w:pPr>
        <w:pStyle w:val="Normal"/>
        <w:ind w:left="560" w:hanging="560"/>
      </w:pPr>
      <w:r>
        <w:rPr>
          <w:rFonts w:ascii="Calibri" w:hAnsi="Calibri" w:eastAsia="Microsoft YaHei"/>
          <w:b/>
          <w:color w:val="1F4E5F"/>
          <w:sz w:val="21"/>
        </w:rPr>
        <w:t xml:space="preserve">7.5  </w:t>
      </w:r>
      <w:r>
        <w:rPr>
          <w:rFonts w:ascii="Calibri" w:hAnsi="Calibri" w:eastAsia="Microsoft YaHei"/>
          <w:b/>
          <w:color w:val="222F36"/>
          <w:sz w:val="21"/>
        </w:rPr>
        <w:t xml:space="preserve">No boarding in the fairways.</w:t>
      </w:r>
      <w:r>
        <w:rPr>
          <w:rFonts w:ascii="Calibri" w:hAnsi="Calibri" w:eastAsia="Microsoft YaHei"/>
          <w:color w:val="222F36"/>
          <w:sz w:val="21"/>
        </w:rPr>
        <w:t xml:space="preserve"> The Compact excludes boarding, diversion, or inspection of vessels in transit within the fairways. Where international law provides for inspection, it occurs at anchorages or ports outside the lanes.</w:t>
      </w:r>
    </w:p>
    <w:p>
      <w:pPr>
        <w:pStyle w:val="Normal"/>
        <w:ind w:left="560" w:hanging="560"/>
      </w:pPr>
      <w:r>
        <w:rPr>
          <w:rFonts w:ascii="Calibri" w:hAnsi="Calibri" w:eastAsia="Microsoft YaHei"/>
          <w:b/>
          <w:color w:val="1F4E5F"/>
          <w:sz w:val="21"/>
        </w:rPr>
        <w:t xml:space="preserve">7.6  </w:t>
      </w:r>
      <w:r>
        <w:rPr>
          <w:rFonts w:ascii="Calibri" w:hAnsi="Calibri" w:eastAsia="Microsoft YaHei"/>
          <w:b/>
          <w:color w:val="222F36"/>
          <w:sz w:val="21"/>
        </w:rPr>
        <w:t xml:space="preserve">The Separation Band.</w:t>
      </w:r>
      <w:r>
        <w:rPr>
          <w:rFonts w:ascii="Calibri" w:hAnsi="Calibri" w:eastAsia="Microsoft YaHei"/>
          <w:color w:val="222F36"/>
          <w:sz w:val="21"/>
        </w:rPr>
        <w:t xml:space="preserve"> The Separation Band lies between the fairways and keeps opposing traffic apart. The Compact excludes exercises, live firing, and loitering by state craft within the Band. Annex A fixes its coordinates; Annex J fixes the conduct rules.</w:t>
      </w:r>
    </w:p>
    <w:p>
      <w:pPr>
        <w:pStyle w:val="Normal"/>
        <w:ind w:left="560" w:hanging="560"/>
      </w:pPr>
      <w:r>
        <w:rPr>
          <w:rFonts w:ascii="Calibri" w:hAnsi="Calibri" w:eastAsia="Microsoft YaHei"/>
          <w:b/>
          <w:color w:val="1F4E5F"/>
          <w:sz w:val="21"/>
        </w:rPr>
        <w:t xml:space="preserve">7.7  </w:t>
      </w:r>
      <w:r>
        <w:rPr>
          <w:rFonts w:ascii="Calibri" w:hAnsi="Calibri" w:eastAsia="Microsoft YaHei"/>
          <w:b/>
          <w:color w:val="222F36"/>
          <w:sz w:val="21"/>
        </w:rPr>
        <w:t xml:space="preserve">Geometry changes.</w:t>
      </w:r>
      <w:r>
        <w:rPr>
          <w:rFonts w:ascii="Calibri" w:hAnsi="Calibri" w:eastAsia="Microsoft YaHei"/>
          <w:color w:val="222F36"/>
          <w:sz w:val="21"/>
        </w:rPr>
        <w:t xml:space="preserve"> A permanent change of fairway geometry follows Article 6.3. An interim adjustment for safety, including survey work and hazard marking, takes effect on Watch publication with forty-eight hours of notice and lapses unless the Council ratifies it within seven days.</w:t>
      </w:r>
    </w:p>
    <w:p>
      <w:pPr>
        <w:pStyle w:val="Normal"/>
        <w:ind w:left="560" w:hanging="560"/>
      </w:pPr>
      <w:r>
        <w:rPr>
          <w:rFonts w:ascii="Calibri" w:hAnsi="Calibri" w:eastAsia="Microsoft YaHei"/>
          <w:b/>
          <w:color w:val="1F4E5F"/>
          <w:sz w:val="21"/>
        </w:rPr>
        <w:t xml:space="preserve">7.8  </w:t>
      </w:r>
      <w:r>
        <w:rPr>
          <w:rFonts w:ascii="Calibri" w:hAnsi="Calibri" w:eastAsia="Microsoft YaHei"/>
          <w:b/>
          <w:color w:val="222F36"/>
          <w:sz w:val="21"/>
        </w:rPr>
        <w:t xml:space="preserve">Non-suspension.</w:t>
      </w:r>
      <w:r>
        <w:rPr>
          <w:rFonts w:ascii="Calibri" w:hAnsi="Calibri" w:eastAsia="Microsoft YaHei"/>
          <w:color w:val="222F36"/>
          <w:sz w:val="21"/>
        </w:rPr>
        <w:t xml:space="preserve"> Transit passage through the Strait never suspends. Both fairways remain open during any difficulty, dispute, review, or Lee Pause, and this rule outranks every other operational rule of the Compact.</w:t>
      </w:r>
    </w:p>
    <w:p>
      <w:pPr>
        <w:pStyle w:val="Heading2"/>
        <w:keepNext/>
        <w:keepLines/>
      </w:pPr>
      <w:r>
        <w:rPr>
          <w:rFonts w:ascii="Calibri" w:hAnsi="Calibri" w:eastAsia="Microsoft YaHei"/>
          <w:b/>
          <w:color w:val="1F4E5F"/>
          <w:sz w:val="26"/>
        </w:rPr>
        <w:t xml:space="preserve">Article 8: Traffic, Safety, and Stewardship</w:t>
      </w:r>
    </w:p>
    <w:p>
      <w:pPr>
        <w:pStyle w:val="Normal"/>
        <w:ind w:left="560" w:hanging="560"/>
      </w:pPr>
      <w:r>
        <w:rPr>
          <w:rFonts w:ascii="Calibri" w:hAnsi="Calibri" w:eastAsia="Microsoft YaHei"/>
          <w:b/>
          <w:color w:val="1F4E5F"/>
          <w:sz w:val="21"/>
        </w:rPr>
        <w:t xml:space="preserve">8.1  </w:t>
      </w:r>
      <w:r>
        <w:rPr>
          <w:rFonts w:ascii="Calibri" w:hAnsi="Calibri" w:eastAsia="Microsoft YaHei"/>
          <w:color w:val="222F36"/>
          <w:sz w:val="21"/>
        </w:rPr>
        <w:t xml:space="preserve">Vessel categories and their treatment follow Annex B. The Compact uses four categories and no more.</w:t>
      </w:r>
    </w:p>
    <w:p>
      <w:pPr>
        <w:pStyle w:val="Normal"/>
        <w:ind w:left="560" w:hanging="560"/>
      </w:pPr>
      <w:r>
        <w:rPr>
          <w:rFonts w:ascii="Calibri" w:hAnsi="Calibri" w:eastAsia="Microsoft YaHei"/>
          <w:b/>
          <w:color w:val="1F4E5F"/>
          <w:sz w:val="21"/>
        </w:rPr>
        <w:t xml:space="preserve">8.2  </w:t>
      </w:r>
      <w:r>
        <w:rPr>
          <w:rFonts w:ascii="Calibri" w:hAnsi="Calibri" w:eastAsia="Microsoft YaHei"/>
          <w:color w:val="222F36"/>
          <w:sz w:val="21"/>
        </w:rPr>
        <w:t xml:space="preserve">Notices for the Northern Fairway follow Annex C: eight fields, one form, acknowledgment within thirty minutes, silence as acceptance after two hours.</w:t>
      </w:r>
    </w:p>
    <w:p>
      <w:pPr>
        <w:pStyle w:val="Normal"/>
        <w:ind w:left="560" w:hanging="560"/>
      </w:pPr>
      <w:r>
        <w:rPr>
          <w:rFonts w:ascii="Calibri" w:hAnsi="Calibri" w:eastAsia="Microsoft YaHei"/>
          <w:b/>
          <w:color w:val="1F4E5F"/>
          <w:sz w:val="21"/>
        </w:rPr>
        <w:t xml:space="preserve">8.3  </w:t>
      </w:r>
      <w:r>
        <w:rPr>
          <w:rFonts w:ascii="Calibri" w:hAnsi="Calibri" w:eastAsia="Microsoft YaHei"/>
          <w:color w:val="222F36"/>
          <w:sz w:val="21"/>
        </w:rPr>
        <w:t xml:space="preserve">The Watch operates the traffic picture, the advisories, and the Tide Line under Annex D.</w:t>
      </w:r>
    </w:p>
    <w:p>
      <w:pPr>
        <w:pStyle w:val="Normal"/>
        <w:ind w:left="560" w:hanging="560"/>
      </w:pPr>
      <w:r>
        <w:rPr>
          <w:rFonts w:ascii="Calibri" w:hAnsi="Calibri" w:eastAsia="Microsoft YaHei"/>
          <w:b/>
          <w:color w:val="1F4E5F"/>
          <w:sz w:val="21"/>
        </w:rPr>
        <w:t xml:space="preserve">8.4  </w:t>
      </w:r>
      <w:r>
        <w:rPr>
          <w:rFonts w:ascii="Calibri" w:hAnsi="Calibri" w:eastAsia="Microsoft YaHei"/>
          <w:color w:val="222F36"/>
          <w:sz w:val="21"/>
        </w:rPr>
        <w:t xml:space="preserve">Hazard survey, reopening, and insurance normalization follow Annex I.</w:t>
      </w:r>
    </w:p>
    <w:p>
      <w:pPr>
        <w:pStyle w:val="Normal"/>
        <w:ind w:left="560" w:hanging="560"/>
      </w:pPr>
      <w:r>
        <w:rPr>
          <w:rFonts w:ascii="Calibri" w:hAnsi="Calibri" w:eastAsia="Microsoft YaHei"/>
          <w:b/>
          <w:color w:val="1F4E5F"/>
          <w:sz w:val="21"/>
        </w:rPr>
        <w:t xml:space="preserve">8.5  </w:t>
      </w:r>
      <w:r>
        <w:rPr>
          <w:rFonts w:ascii="Calibri" w:hAnsi="Calibri" w:eastAsia="Microsoft YaHei"/>
          <w:color w:val="222F36"/>
          <w:sz w:val="21"/>
        </w:rPr>
        <w:t xml:space="preserve">De-confliction, environmental safeguards, and crew safeguards follow Annex J.</w:t>
      </w:r>
    </w:p>
    <w:p>
      <w:pPr>
        <w:pStyle w:val="Normal"/>
        <w:ind w:left="560" w:hanging="560"/>
      </w:pPr>
      <w:r>
        <w:rPr>
          <w:rFonts w:ascii="Calibri" w:hAnsi="Calibri" w:eastAsia="Microsoft YaHei"/>
          <w:b/>
          <w:color w:val="1F4E5F"/>
          <w:sz w:val="21"/>
        </w:rPr>
        <w:t xml:space="preserve">8.6  </w:t>
      </w:r>
      <w:r>
        <w:rPr>
          <w:rFonts w:ascii="Calibri" w:hAnsi="Calibri" w:eastAsia="Microsoft YaHei"/>
          <w:color w:val="222F36"/>
          <w:sz w:val="21"/>
        </w:rPr>
        <w:t xml:space="preserve">The COLREGS govern the conduct of vessels at sea. Nothing in the Compact displaces the duty of a master, and nothing in the Compact asks a master for more than ordinary seamanship.</w:t>
      </w:r>
    </w:p>
    <w:p>
      <w:pPr>
        <w:pStyle w:val="Heading1"/>
        <w:keepNext/>
        <w:keepLines/>
        <w:pageBreakBefore/>
      </w:pPr>
      <w:r>
        <w:rPr>
          <w:rFonts w:ascii="Calibri" w:hAnsi="Calibri" w:eastAsia="Microsoft YaHei"/>
          <w:b/>
          <w:color w:val="1F4E5F"/>
          <w:sz w:val="34"/>
        </w:rPr>
        <w:t xml:space="preserve">Part Three: Institutions</w:t>
      </w:r>
    </w:p>
    <w:p>
      <w:pPr>
        <w:pStyle w:val="Normal"/>
      </w:pPr>
      <w:r>
        <w:rPr>
          <w:rFonts w:ascii="Calibri" w:hAnsi="Calibri" w:eastAsia="Microsoft YaHei"/>
          <w:color w:val="222F36"/>
          <w:sz w:val="21"/>
        </w:rPr>
        <w:t xml:space="preserve">The Compact builds four bodies and keeps them lean. The Council decides. The Watch operates. The Concordance Office verifies. The Secretariat Desk keeps the paper. The Guarantor Circle watches the process from outside and decides only when the machinery deadlocks.</w:t>
      </w:r>
    </w:p>
    <w:p>
      <w:pPr>
        <w:pStyle w:val="Heading2"/>
        <w:keepNext/>
        <w:keepLines/>
      </w:pPr>
      <w:r>
        <w:rPr>
          <w:rFonts w:ascii="Calibri" w:hAnsi="Calibri" w:eastAsia="Microsoft YaHei"/>
          <w:b/>
          <w:color w:val="1F4E5F"/>
          <w:sz w:val="26"/>
        </w:rPr>
        <w:t xml:space="preserve">Article 9: The Compact Council</w:t>
      </w:r>
    </w:p>
    <w:p>
      <w:pPr>
        <w:pStyle w:val="Normal"/>
        <w:ind w:left="560" w:hanging="560"/>
      </w:pPr>
      <w:r>
        <w:rPr>
          <w:rFonts w:ascii="Calibri" w:hAnsi="Calibri" w:eastAsia="Microsoft YaHei"/>
          <w:b/>
          <w:color w:val="1F4E5F"/>
          <w:sz w:val="21"/>
        </w:rPr>
        <w:t xml:space="preserve">9.1  </w:t>
      </w:r>
      <w:r>
        <w:rPr>
          <w:rFonts w:ascii="Calibri" w:hAnsi="Calibri" w:eastAsia="Microsoft YaHei"/>
          <w:b/>
          <w:color w:val="222F36"/>
          <w:sz w:val="21"/>
        </w:rPr>
        <w:t xml:space="preserve">Composition.</w:t>
      </w:r>
      <w:r>
        <w:rPr>
          <w:rFonts w:ascii="Calibri" w:hAnsi="Calibri" w:eastAsia="Microsoft YaHei"/>
          <w:color w:val="222F36"/>
          <w:sz w:val="21"/>
        </w:rPr>
        <w:t xml:space="preserve"> Each Party appoints two members: one civilian mariner of senior standing and one senior official, plus one alternate each. One Iranian member and one Omani member serve as co-chairs, with the first chairing rotating every six months. The co-chairs speak for the Council jointly or not at all.</w:t>
      </w:r>
    </w:p>
    <w:p>
      <w:pPr>
        <w:pStyle w:val="Normal"/>
        <w:ind w:left="560" w:hanging="560"/>
      </w:pPr>
      <w:r>
        <w:rPr>
          <w:rFonts w:ascii="Calibri" w:hAnsi="Calibri" w:eastAsia="Microsoft YaHei"/>
          <w:b/>
          <w:color w:val="1F4E5F"/>
          <w:sz w:val="21"/>
        </w:rPr>
        <w:t xml:space="preserve">9.2  </w:t>
      </w:r>
      <w:r>
        <w:rPr>
          <w:rFonts w:ascii="Calibri" w:hAnsi="Calibri" w:eastAsia="Microsoft YaHei"/>
          <w:b/>
          <w:color w:val="222F36"/>
          <w:sz w:val="21"/>
        </w:rPr>
        <w:t xml:space="preserve">Functions.</w:t>
      </w:r>
      <w:r>
        <w:rPr>
          <w:rFonts w:ascii="Calibri" w:hAnsi="Calibri" w:eastAsia="Microsoft YaHei"/>
          <w:color w:val="222F36"/>
          <w:sz w:val="21"/>
        </w:rPr>
        <w:t xml:space="preserve"> The Council adopts joint instruments: geometry changes, the budget, the rate catalog, appointments, and amendments. It ratifies interim measures of the Watch. It receives findings of the Concordance Office. It conducts the Annual Refit. It never directs individual vessels and never reviews a single notice.</w:t>
      </w:r>
    </w:p>
    <w:p>
      <w:pPr>
        <w:pStyle w:val="Normal"/>
        <w:ind w:left="560" w:hanging="560"/>
      </w:pPr>
      <w:r>
        <w:rPr>
          <w:rFonts w:ascii="Calibri" w:hAnsi="Calibri" w:eastAsia="Microsoft YaHei"/>
          <w:b/>
          <w:color w:val="1F4E5F"/>
          <w:sz w:val="21"/>
        </w:rPr>
        <w:t xml:space="preserve">9.3  </w:t>
      </w:r>
      <w:r>
        <w:rPr>
          <w:rFonts w:ascii="Calibri" w:hAnsi="Calibri" w:eastAsia="Microsoft YaHei"/>
          <w:b/>
          <w:color w:val="222F36"/>
          <w:sz w:val="21"/>
        </w:rPr>
        <w:t xml:space="preserve">Decisions.</w:t>
      </w:r>
      <w:r>
        <w:rPr>
          <w:rFonts w:ascii="Calibri" w:hAnsi="Calibri" w:eastAsia="Microsoft YaHei"/>
          <w:color w:val="222F36"/>
          <w:sz w:val="21"/>
        </w:rPr>
        <w:t xml:space="preserve"> The Council decides by consensus of the two Parties, expressed as a joint written instrument signed by both co-chairs. No vote occurs, because none is needed: two captains, one chart.</w:t>
      </w:r>
    </w:p>
    <w:p>
      <w:pPr>
        <w:pStyle w:val="Normal"/>
        <w:ind w:left="560" w:hanging="560"/>
      </w:pPr>
      <w:r>
        <w:rPr>
          <w:rFonts w:ascii="Calibri" w:hAnsi="Calibri" w:eastAsia="Microsoft YaHei"/>
          <w:b/>
          <w:color w:val="1F4E5F"/>
          <w:sz w:val="21"/>
        </w:rPr>
        <w:t xml:space="preserve">9.4  </w:t>
      </w:r>
      <w:r>
        <w:rPr>
          <w:rFonts w:ascii="Calibri" w:hAnsi="Calibri" w:eastAsia="Microsoft YaHei"/>
          <w:b/>
          <w:color w:val="222F36"/>
          <w:sz w:val="21"/>
        </w:rPr>
        <w:t xml:space="preserve">Meetings.</w:t>
      </w:r>
      <w:r>
        <w:rPr>
          <w:rFonts w:ascii="Calibri" w:hAnsi="Calibri" w:eastAsia="Microsoft YaHei"/>
          <w:color w:val="222F36"/>
          <w:sz w:val="21"/>
        </w:rPr>
        <w:t xml:space="preserve"> The Council meets monthly by secure video and quarterly in person, alternating between Muscat and Bandar Abbas. Either co-chair calls an extraordinary session on forty-eight hours of notice, or on four hours of notice during a Disturbed or Under Review state of the Tide Report.</w:t>
      </w:r>
    </w:p>
    <w:p>
      <w:pPr>
        <w:pStyle w:val="Normal"/>
        <w:ind w:left="560" w:hanging="560"/>
      </w:pPr>
      <w:r>
        <w:rPr>
          <w:rFonts w:ascii="Calibri" w:hAnsi="Calibri" w:eastAsia="Microsoft YaHei"/>
          <w:b/>
          <w:color w:val="1F4E5F"/>
          <w:sz w:val="21"/>
        </w:rPr>
        <w:t xml:space="preserve">9.5  </w:t>
      </w:r>
      <w:r>
        <w:rPr>
          <w:rFonts w:ascii="Calibri" w:hAnsi="Calibri" w:eastAsia="Microsoft YaHei"/>
          <w:b/>
          <w:color w:val="222F36"/>
          <w:sz w:val="21"/>
        </w:rPr>
        <w:t xml:space="preserve">Deadlock.</w:t>
      </w:r>
      <w:r>
        <w:rPr>
          <w:rFonts w:ascii="Calibri" w:hAnsi="Calibri" w:eastAsia="Microsoft YaHei"/>
          <w:color w:val="222F36"/>
          <w:sz w:val="21"/>
        </w:rPr>
        <w:t xml:space="preserve"> Where the co-chairs disagree on an operational question, the question passes at once to the Circle member for the domain under Article 11.6, which decides within forty-eight hours. The decision binds the mechanics while the Parties continue talking. Political questions, meaning amendments, accessions, and the Boundary Lines, wait for consensus, and default continuity governs meanwhile.</w:t>
      </w:r>
    </w:p>
    <w:p>
      <w:pPr>
        <w:pStyle w:val="Normal"/>
        <w:ind w:left="560" w:hanging="560"/>
      </w:pPr>
      <w:r>
        <w:rPr>
          <w:rFonts w:ascii="Calibri" w:hAnsi="Calibri" w:eastAsia="Microsoft YaHei"/>
          <w:b/>
          <w:color w:val="1F4E5F"/>
          <w:sz w:val="21"/>
        </w:rPr>
        <w:t xml:space="preserve">9.6  </w:t>
      </w:r>
      <w:r>
        <w:rPr>
          <w:rFonts w:ascii="Calibri" w:hAnsi="Calibri" w:eastAsia="Microsoft YaHei"/>
          <w:b/>
          <w:color w:val="222F36"/>
          <w:sz w:val="21"/>
        </w:rPr>
        <w:t xml:space="preserve">The Secretariat Desk.</w:t>
      </w:r>
      <w:r>
        <w:rPr>
          <w:rFonts w:ascii="Calibri" w:hAnsi="Calibri" w:eastAsia="Microsoft YaHei"/>
          <w:color w:val="222F36"/>
          <w:sz w:val="21"/>
        </w:rPr>
        <w:t xml:space="preserve"> A desk of eight staff in Muscat keeps the minutes, the joint instruments, the public docket, and the contribution ledger. The host Party provides the premises; the Account pays the staff. The Desk holds no decision power.</w:t>
      </w:r>
    </w:p>
    <w:p>
      <w:pPr>
        <w:pStyle w:val="Heading2"/>
        <w:keepNext/>
        <w:keepLines/>
      </w:pPr>
      <w:r>
        <w:rPr>
          <w:rFonts w:ascii="Calibri" w:hAnsi="Calibri" w:eastAsia="Microsoft YaHei"/>
          <w:b/>
          <w:color w:val="1F4E5F"/>
          <w:sz w:val="26"/>
        </w:rPr>
        <w:t xml:space="preserve">Article 10: The Tide Watch</w:t>
      </w:r>
    </w:p>
    <w:p>
      <w:pPr>
        <w:pStyle w:val="Normal"/>
        <w:ind w:left="560" w:hanging="560"/>
      </w:pPr>
      <w:r>
        <w:rPr>
          <w:rFonts w:ascii="Calibri" w:hAnsi="Calibri" w:eastAsia="Microsoft YaHei"/>
          <w:b/>
          <w:color w:val="1F4E5F"/>
          <w:sz w:val="21"/>
        </w:rPr>
        <w:t xml:space="preserve">10.1  </w:t>
      </w:r>
      <w:r>
        <w:rPr>
          <w:rFonts w:ascii="Calibri" w:hAnsi="Calibri" w:eastAsia="Microsoft YaHei"/>
          <w:b/>
          <w:color w:val="222F36"/>
          <w:sz w:val="21"/>
        </w:rPr>
        <w:t xml:space="preserve">Seat.</w:t>
      </w:r>
      <w:r>
        <w:rPr>
          <w:rFonts w:ascii="Calibri" w:hAnsi="Calibri" w:eastAsia="Microsoft YaHei"/>
          <w:color w:val="222F36"/>
          <w:sz w:val="21"/>
        </w:rPr>
        <w:t xml:space="preserve"> The Tide Watch operates from a single watch floor in Muscat, reusing the existing vessel traffic facilities of the host Party. A liaison desk, the Bandar Desk, sits in Bandar Abbas inside the existing Iranian facility, mirrors the picture, and stands ready to assume the watch within one hour.</w:t>
      </w:r>
    </w:p>
    <w:p>
      <w:pPr>
        <w:pStyle w:val="Normal"/>
        <w:ind w:left="560" w:hanging="560"/>
      </w:pPr>
      <w:r>
        <w:rPr>
          <w:rFonts w:ascii="Calibri" w:hAnsi="Calibri" w:eastAsia="Microsoft YaHei"/>
          <w:b/>
          <w:color w:val="1F4E5F"/>
          <w:sz w:val="21"/>
        </w:rPr>
        <w:t xml:space="preserve">10.2  </w:t>
      </w:r>
      <w:r>
        <w:rPr>
          <w:rFonts w:ascii="Calibri" w:hAnsi="Calibri" w:eastAsia="Microsoft YaHei"/>
          <w:b/>
          <w:color w:val="222F36"/>
          <w:sz w:val="21"/>
        </w:rPr>
        <w:t xml:space="preserve">Staffing.</w:t>
      </w:r>
      <w:r>
        <w:rPr>
          <w:rFonts w:ascii="Calibri" w:hAnsi="Calibri" w:eastAsia="Microsoft YaHei"/>
          <w:color w:val="222F36"/>
          <w:sz w:val="21"/>
        </w:rPr>
        <w:t xml:space="preserve"> The establishment totals thirty-six posts, set out in Annex D. Every watch team pairs one Iranian and one Omani watchkeeper of equal standing; the senior watchkeeper of each team alternates by published rotation. All watchkeepers are civilians. Each Party pays its own nationals; the Account pays shared costs.</w:t>
      </w:r>
    </w:p>
    <w:p>
      <w:pPr>
        <w:pStyle w:val="Normal"/>
        <w:ind w:left="560" w:hanging="560"/>
      </w:pPr>
      <w:r>
        <w:rPr>
          <w:rFonts w:ascii="Calibri" w:hAnsi="Calibri" w:eastAsia="Microsoft YaHei"/>
          <w:b/>
          <w:color w:val="1F4E5F"/>
          <w:sz w:val="21"/>
        </w:rPr>
        <w:t xml:space="preserve">10.3  </w:t>
      </w:r>
      <w:r>
        <w:rPr>
          <w:rFonts w:ascii="Calibri" w:hAnsi="Calibri" w:eastAsia="Microsoft YaHei"/>
          <w:b/>
          <w:color w:val="222F36"/>
          <w:sz w:val="21"/>
        </w:rPr>
        <w:t xml:space="preserve">Functions.</w:t>
      </w:r>
      <w:r>
        <w:rPr>
          <w:rFonts w:ascii="Calibri" w:hAnsi="Calibri" w:eastAsia="Microsoft YaHei"/>
          <w:color w:val="222F36"/>
          <w:sz w:val="21"/>
        </w:rPr>
        <w:t xml:space="preserve"> The Watch maintains the traffic picture of the Compact Waters; receives and acknowledges notices; issues navigational advisories; operates the Tide Line; supports survey and reopening work under Annex I; and publishes the Tide Report every day at 1800 UTC.</w:t>
      </w:r>
    </w:p>
    <w:p>
      <w:pPr>
        <w:pStyle w:val="Normal"/>
        <w:ind w:left="560" w:hanging="560"/>
      </w:pPr>
      <w:r>
        <w:rPr>
          <w:rFonts w:ascii="Calibri" w:hAnsi="Calibri" w:eastAsia="Microsoft YaHei"/>
          <w:b/>
          <w:color w:val="1F4E5F"/>
          <w:sz w:val="21"/>
        </w:rPr>
        <w:t xml:space="preserve">10.4  </w:t>
      </w:r>
      <w:r>
        <w:rPr>
          <w:rFonts w:ascii="Calibri" w:hAnsi="Calibri" w:eastAsia="Microsoft YaHei"/>
          <w:b/>
          <w:color w:val="222F36"/>
          <w:sz w:val="21"/>
        </w:rPr>
        <w:t xml:space="preserve">The Tide Report.</w:t>
      </w:r>
      <w:r>
        <w:rPr>
          <w:rFonts w:ascii="Calibri" w:hAnsi="Calibri" w:eastAsia="Microsoft YaHei"/>
          <w:color w:val="222F36"/>
          <w:sz w:val="21"/>
        </w:rPr>
        <w:t xml:space="preserve"> The daily report states the condition of the water in one of three states: Steady, Disturbed, or Under Review. It reports facts: notices processed, advisories in force, incidents under review, and feed status. It assigns no blame, and during the first thirty days of any difficulty it names no Party in any compliance characterization, per the narrative rules of Article 20.</w:t>
      </w:r>
    </w:p>
    <w:p>
      <w:pPr>
        <w:pStyle w:val="Normal"/>
        <w:ind w:left="560" w:hanging="560"/>
      </w:pPr>
      <w:r>
        <w:rPr>
          <w:rFonts w:ascii="Calibri" w:hAnsi="Calibri" w:eastAsia="Microsoft YaHei"/>
          <w:b/>
          <w:color w:val="1F4E5F"/>
          <w:sz w:val="21"/>
        </w:rPr>
        <w:t xml:space="preserve">10.5  </w:t>
      </w:r>
      <w:r>
        <w:rPr>
          <w:rFonts w:ascii="Calibri" w:hAnsi="Calibri" w:eastAsia="Microsoft YaHei"/>
          <w:b/>
          <w:color w:val="222F36"/>
          <w:sz w:val="21"/>
        </w:rPr>
        <w:t xml:space="preserve">Instruments.</w:t>
      </w:r>
      <w:r>
        <w:rPr>
          <w:rFonts w:ascii="Calibri" w:hAnsi="Calibri" w:eastAsia="Microsoft YaHei"/>
          <w:color w:val="222F36"/>
          <w:sz w:val="21"/>
        </w:rPr>
        <w:t xml:space="preserve"> The Watch fuses coastal radar, AIS, LRIT, and commercial satellite tasking into one picture. It holds no weapons, directs no forces, and issues no instructions to vessels beyond safety advisories consistent with the COLREGS and the practice of every established traffic service.</w:t>
      </w:r>
    </w:p>
    <w:p>
      <w:pPr>
        <w:pStyle w:val="Normal"/>
        <w:ind w:left="560" w:hanging="560"/>
      </w:pPr>
      <w:r>
        <w:rPr>
          <w:rFonts w:ascii="Calibri" w:hAnsi="Calibri" w:eastAsia="Microsoft YaHei"/>
          <w:b/>
          <w:color w:val="1F4E5F"/>
          <w:sz w:val="21"/>
        </w:rPr>
        <w:t xml:space="preserve">10.6  </w:t>
      </w:r>
      <w:r>
        <w:rPr>
          <w:rFonts w:ascii="Calibri" w:hAnsi="Calibri" w:eastAsia="Microsoft YaHei"/>
          <w:b/>
          <w:color w:val="222F36"/>
          <w:sz w:val="21"/>
        </w:rPr>
        <w:t xml:space="preserve">Voice discipline.</w:t>
      </w:r>
      <w:r>
        <w:rPr>
          <w:rFonts w:ascii="Calibri" w:hAnsi="Calibri" w:eastAsia="Microsoft YaHei"/>
          <w:color w:val="222F36"/>
          <w:sz w:val="21"/>
        </w:rPr>
        <w:t xml:space="preserve"> The Watch speaks English in plain language and standard phrases, per Annex D. Every transmission enters the record. Courtesy is procedure, not ornament.</w:t>
      </w:r>
    </w:p>
    <w:p>
      <w:pPr>
        <w:pStyle w:val="Normal"/>
        <w:ind w:left="560" w:hanging="560"/>
      </w:pPr>
      <w:r>
        <w:rPr>
          <w:rFonts w:ascii="Calibri" w:hAnsi="Calibri" w:eastAsia="Microsoft YaHei"/>
          <w:b/>
          <w:color w:val="1F4E5F"/>
          <w:sz w:val="21"/>
        </w:rPr>
        <w:t xml:space="preserve">10.7  </w:t>
      </w:r>
      <w:r>
        <w:rPr>
          <w:rFonts w:ascii="Calibri" w:hAnsi="Calibri" w:eastAsia="Microsoft YaHei"/>
          <w:b/>
          <w:color w:val="222F36"/>
          <w:sz w:val="21"/>
        </w:rPr>
        <w:t xml:space="preserve">Redundancy.</w:t>
      </w:r>
      <w:r>
        <w:rPr>
          <w:rFonts w:ascii="Calibri" w:hAnsi="Calibri" w:eastAsia="Microsoft YaHei"/>
          <w:color w:val="222F36"/>
          <w:sz w:val="21"/>
        </w:rPr>
        <w:t xml:space="preserve"> If Muscat fails, the Bandar Desk assumes the watch within one hour. If both fail, the Recorder announces the fallback mode, national traffic services resume interim control, and the system reconstitutes under Article 19.3 without loss of record.</w:t>
      </w:r>
    </w:p>
    <w:p>
      <w:pPr>
        <w:pStyle w:val="Heading2"/>
        <w:keepNext/>
        <w:keepLines/>
      </w:pPr>
      <w:r>
        <w:rPr>
          <w:rFonts w:ascii="Calibri" w:hAnsi="Calibri" w:eastAsia="Microsoft YaHei"/>
          <w:b/>
          <w:color w:val="1F4E5F"/>
          <w:sz w:val="26"/>
        </w:rPr>
        <w:t xml:space="preserve">Article 11: The Concordance Office and the Guarantor Circle</w:t>
      </w:r>
    </w:p>
    <w:p>
      <w:pPr>
        <w:pStyle w:val="Normal"/>
        <w:ind w:left="560" w:hanging="560"/>
      </w:pPr>
      <w:r>
        <w:rPr>
          <w:rFonts w:ascii="Calibri" w:hAnsi="Calibri" w:eastAsia="Microsoft YaHei"/>
          <w:b/>
          <w:color w:val="1F4E5F"/>
          <w:sz w:val="21"/>
        </w:rPr>
        <w:t xml:space="preserve">11.1  </w:t>
      </w:r>
      <w:r>
        <w:rPr>
          <w:rFonts w:ascii="Calibri" w:hAnsi="Calibri" w:eastAsia="Microsoft YaHei"/>
          <w:b/>
          <w:color w:val="222F36"/>
          <w:sz w:val="21"/>
        </w:rPr>
        <w:t xml:space="preserve">The Office.</w:t>
      </w:r>
      <w:r>
        <w:rPr>
          <w:rFonts w:ascii="Calibri" w:hAnsi="Calibri" w:eastAsia="Microsoft YaHei"/>
          <w:color w:val="222F36"/>
          <w:sz w:val="21"/>
        </w:rPr>
        <w:t xml:space="preserve"> The Concordance Office verifies. It sits in Muscat beside the Watch, in the same premises, to keep cost low and coordination close. The Record Guarantor hosts the master record in Switzerland; a live mirror runs in Muscat; a records desk in Geneva handles certified extracts for participants.</w:t>
      </w:r>
    </w:p>
    <w:p>
      <w:pPr>
        <w:pStyle w:val="Normal"/>
        <w:ind w:left="560" w:hanging="560"/>
      </w:pPr>
      <w:r>
        <w:rPr>
          <w:rFonts w:ascii="Calibri" w:hAnsi="Calibri" w:eastAsia="Microsoft YaHei"/>
          <w:b/>
          <w:color w:val="1F4E5F"/>
          <w:sz w:val="21"/>
        </w:rPr>
        <w:t xml:space="preserve">11.2  </w:t>
      </w:r>
      <w:r>
        <w:rPr>
          <w:rFonts w:ascii="Calibri" w:hAnsi="Calibri" w:eastAsia="Microsoft YaHei"/>
          <w:b/>
          <w:color w:val="222F36"/>
          <w:sz w:val="21"/>
        </w:rPr>
        <w:t xml:space="preserve">The Recorder.</w:t>
      </w:r>
      <w:r>
        <w:rPr>
          <w:rFonts w:ascii="Calibri" w:hAnsi="Calibri" w:eastAsia="Microsoft YaHei"/>
          <w:color w:val="222F36"/>
          <w:sz w:val="21"/>
        </w:rPr>
        <w:t xml:space="preserve"> The Guarantor Circle appoints the Recorder, a non-Gulf national drawn from a list nominated by the Secretary-General of the International Maritime Organization, for a term of three years, renewable once. Removal occurs only for stated cause, by joint instrument of the Parties with the written assent of the full Circle.</w:t>
      </w:r>
    </w:p>
    <w:p>
      <w:pPr>
        <w:pStyle w:val="Normal"/>
        <w:ind w:left="560" w:hanging="560"/>
      </w:pPr>
      <w:r>
        <w:rPr>
          <w:rFonts w:ascii="Calibri" w:hAnsi="Calibri" w:eastAsia="Microsoft YaHei"/>
          <w:b/>
          <w:color w:val="1F4E5F"/>
          <w:sz w:val="21"/>
        </w:rPr>
        <w:t xml:space="preserve">11.3  </w:t>
      </w:r>
      <w:r>
        <w:rPr>
          <w:rFonts w:ascii="Calibri" w:hAnsi="Calibri" w:eastAsia="Microsoft YaHei"/>
          <w:b/>
          <w:color w:val="222F36"/>
          <w:sz w:val="21"/>
        </w:rPr>
        <w:t xml:space="preserve">Staff.</w:t>
      </w:r>
      <w:r>
        <w:rPr>
          <w:rFonts w:ascii="Calibri" w:hAnsi="Calibri" w:eastAsia="Microsoft YaHei"/>
          <w:color w:val="222F36"/>
          <w:sz w:val="21"/>
        </w:rPr>
        <w:t xml:space="preserve"> The Office numbers fourteen: verifiers, data engineers, and the four-person Integrity Cell. Secondments are welcome; no national of a Party leads a verification team that reviews that Party.</w:t>
      </w:r>
    </w:p>
    <w:p>
      <w:pPr>
        <w:pStyle w:val="Normal"/>
        <w:ind w:left="560" w:hanging="560"/>
      </w:pPr>
      <w:r>
        <w:rPr>
          <w:rFonts w:ascii="Calibri" w:hAnsi="Calibri" w:eastAsia="Microsoft YaHei"/>
          <w:b/>
          <w:color w:val="1F4E5F"/>
          <w:sz w:val="21"/>
        </w:rPr>
        <w:t xml:space="preserve">11.4  </w:t>
      </w:r>
      <w:r>
        <w:rPr>
          <w:rFonts w:ascii="Calibri" w:hAnsi="Calibri" w:eastAsia="Microsoft YaHei"/>
          <w:b/>
          <w:color w:val="222F36"/>
          <w:sz w:val="21"/>
        </w:rPr>
        <w:t xml:space="preserve">Functions.</w:t>
      </w:r>
      <w:r>
        <w:rPr>
          <w:rFonts w:ascii="Calibri" w:hAnsi="Calibri" w:eastAsia="Microsoft YaHei"/>
          <w:color w:val="222F36"/>
          <w:sz w:val="21"/>
        </w:rPr>
        <w:t xml:space="preserve"> The Office maintains the Concordance; applies the Three-Signal Rule; operates the Human Gate; runs the Integrity Cell; conducts classification review under Annex F; certifies earn-back; issues the technical classifications of Annex G; and keeps the five-year archive.</w:t>
      </w:r>
    </w:p>
    <w:p>
      <w:pPr>
        <w:pStyle w:val="Normal"/>
        <w:ind w:left="560" w:hanging="560"/>
      </w:pPr>
      <w:r>
        <w:rPr>
          <w:rFonts w:ascii="Calibri" w:hAnsi="Calibri" w:eastAsia="Microsoft YaHei"/>
          <w:b/>
          <w:color w:val="1F4E5F"/>
          <w:sz w:val="21"/>
        </w:rPr>
        <w:t xml:space="preserve">11.5  </w:t>
      </w:r>
      <w:r>
        <w:rPr>
          <w:rFonts w:ascii="Calibri" w:hAnsi="Calibri" w:eastAsia="Microsoft YaHei"/>
          <w:b/>
          <w:color w:val="222F36"/>
          <w:sz w:val="21"/>
        </w:rPr>
        <w:t xml:space="preserve">Independence.</w:t>
      </w:r>
      <w:r>
        <w:rPr>
          <w:rFonts w:ascii="Calibri" w:hAnsi="Calibri" w:eastAsia="Microsoft YaHei"/>
          <w:color w:val="222F36"/>
          <w:sz w:val="21"/>
        </w:rPr>
        <w:t xml:space="preserve"> The Office reports to all participants jointly. Its findings stand unless co-arbitration or the adversarial claim review of Article 14.7 alters them. No Party, guarantor, or observer instructs the Office on the content of a finding.</w:t>
      </w:r>
    </w:p>
    <w:p>
      <w:pPr>
        <w:pStyle w:val="Normal"/>
        <w:ind w:left="560" w:hanging="560"/>
      </w:pPr>
      <w:r>
        <w:rPr>
          <w:rFonts w:ascii="Calibri" w:hAnsi="Calibri" w:eastAsia="Microsoft YaHei"/>
          <w:b/>
          <w:color w:val="1F4E5F"/>
          <w:sz w:val="21"/>
        </w:rPr>
        <w:t xml:space="preserve">11.6  </w:t>
      </w:r>
      <w:r>
        <w:rPr>
          <w:rFonts w:ascii="Calibri" w:hAnsi="Calibri" w:eastAsia="Microsoft YaHei"/>
          <w:b/>
          <w:color w:val="222F36"/>
          <w:sz w:val="21"/>
        </w:rPr>
        <w:t xml:space="preserve">The Guarantor Circle.</w:t>
      </w:r>
      <w:r>
        <w:rPr>
          <w:rFonts w:ascii="Calibri" w:hAnsi="Calibri" w:eastAsia="Microsoft YaHei"/>
          <w:color w:val="222F36"/>
          <w:sz w:val="21"/>
        </w:rPr>
        <w:t xml:space="preserve"> Three neutral states form the Circle. The Swiss Confederation serves as Record Guarantor: it hosts the master record, serves as depositary, and arbitrates questions of record and finance. The State of Qatar serves as Mediation Guarantor: it holds the quiet channel, chairs the crisis rungs of the dispute ladder, and arbitrates questions of conduct. The Republic of Singapore serves as Technical Guarantor: it certifies survey standards, audits equipment, leads training, and arbitrates technical questions. A co-arbitration decision arrives within forty-eight hours of referral and binds the mechanics of the system. It interprets; it never amends.</w:t>
      </w:r>
    </w:p>
    <w:p>
      <w:pPr>
        <w:pStyle w:val="Normal"/>
        <w:ind w:left="560" w:hanging="560"/>
      </w:pPr>
      <w:r>
        <w:rPr>
          <w:rFonts w:ascii="Calibri" w:hAnsi="Calibri" w:eastAsia="Microsoft YaHei"/>
          <w:b/>
          <w:color w:val="1F4E5F"/>
          <w:sz w:val="21"/>
        </w:rPr>
        <w:t xml:space="preserve">11.7  </w:t>
      </w:r>
      <w:r>
        <w:rPr>
          <w:rFonts w:ascii="Calibri" w:hAnsi="Calibri" w:eastAsia="Microsoft YaHei"/>
          <w:b/>
          <w:color w:val="222F36"/>
          <w:sz w:val="21"/>
        </w:rPr>
        <w:t xml:space="preserve">Full-Circle review.</w:t>
      </w:r>
      <w:r>
        <w:rPr>
          <w:rFonts w:ascii="Calibri" w:hAnsi="Calibri" w:eastAsia="Microsoft YaHei"/>
          <w:color w:val="222F36"/>
          <w:sz w:val="21"/>
        </w:rPr>
        <w:t xml:space="preserve"> Where a Party holds that a co-arbitration decision crosses a Boundary Line, the full Circle decides the objection by unanimity within seventy-two hours. A sustained objection voids the decision and returns the question to the Parties.</w:t>
      </w:r>
    </w:p>
    <w:p>
      <w:pPr>
        <w:pStyle w:val="Normal"/>
        <w:ind w:left="560" w:hanging="560"/>
      </w:pPr>
      <w:r>
        <w:rPr>
          <w:rFonts w:ascii="Calibri" w:hAnsi="Calibri" w:eastAsia="Microsoft YaHei"/>
          <w:b/>
          <w:color w:val="1F4E5F"/>
          <w:sz w:val="21"/>
        </w:rPr>
        <w:t xml:space="preserve">11.8  </w:t>
      </w:r>
      <w:r>
        <w:rPr>
          <w:rFonts w:ascii="Calibri" w:hAnsi="Calibri" w:eastAsia="Microsoft YaHei"/>
          <w:b/>
          <w:color w:val="222F36"/>
          <w:sz w:val="21"/>
        </w:rPr>
        <w:t xml:space="preserve">Emergency oversight.</w:t>
      </w:r>
      <w:r>
        <w:rPr>
          <w:rFonts w:ascii="Calibri" w:hAnsi="Calibri" w:eastAsia="Microsoft YaHei"/>
          <w:color w:val="222F36"/>
          <w:sz w:val="21"/>
        </w:rPr>
        <w:t xml:space="preserve"> Any two Circle members convene an extraordinary review within twenty-four hours where they jointly assess that an actor abuses the system or that a shock threatens continuity. The review recommends remedies to the Council and, where a measure awaits a Perimeter Check, suspends the measure pending that check.</w:t>
      </w:r>
    </w:p>
    <w:p>
      <w:pPr>
        <w:pStyle w:val="Normal"/>
        <w:ind w:left="560" w:hanging="560"/>
      </w:pPr>
      <w:r>
        <w:rPr>
          <w:rFonts w:ascii="Calibri" w:hAnsi="Calibri" w:eastAsia="Microsoft YaHei"/>
          <w:b/>
          <w:color w:val="1F4E5F"/>
          <w:sz w:val="21"/>
        </w:rPr>
        <w:t xml:space="preserve">11.9  </w:t>
      </w:r>
      <w:r>
        <w:rPr>
          <w:rFonts w:ascii="Calibri" w:hAnsi="Calibri" w:eastAsia="Microsoft YaHei"/>
          <w:b/>
          <w:color w:val="222F36"/>
          <w:sz w:val="21"/>
        </w:rPr>
        <w:t xml:space="preserve">Limits.</w:t>
      </w:r>
      <w:r>
        <w:rPr>
          <w:rFonts w:ascii="Calibri" w:hAnsi="Calibri" w:eastAsia="Microsoft YaHei"/>
          <w:color w:val="222F36"/>
          <w:sz w:val="21"/>
        </w:rPr>
        <w:t xml:space="preserve"> The Circle commands no forces, administers no territory, and holds no vote in the Council. Its duties are duties of process.</w:t>
      </w:r>
    </w:p>
    <w:p>
      <w:pPr>
        <w:pStyle w:val="Heading2"/>
        <w:keepNext/>
        <w:keepLines/>
      </w:pPr>
      <w:r>
        <w:rPr>
          <w:rFonts w:ascii="Calibri" w:hAnsi="Calibri" w:eastAsia="Microsoft YaHei"/>
          <w:b/>
          <w:color w:val="1F4E5F"/>
          <w:sz w:val="26"/>
        </w:rPr>
        <w:t xml:space="preserve">Article 12: Participation</w:t>
      </w:r>
    </w:p>
    <w:p>
      <w:pPr>
        <w:pStyle w:val="Normal"/>
        <w:ind w:left="560" w:hanging="560"/>
      </w:pPr>
      <w:r>
        <w:rPr>
          <w:rFonts w:ascii="Calibri" w:hAnsi="Calibri" w:eastAsia="Microsoft YaHei"/>
          <w:b/>
          <w:color w:val="1F4E5F"/>
          <w:sz w:val="21"/>
        </w:rPr>
        <w:t xml:space="preserve">12.1  </w:t>
      </w:r>
      <w:r>
        <w:rPr>
          <w:rFonts w:ascii="Calibri" w:hAnsi="Calibri" w:eastAsia="Microsoft YaHei"/>
          <w:b/>
          <w:color w:val="222F36"/>
          <w:sz w:val="21"/>
        </w:rPr>
        <w:t xml:space="preserve">Parties.</w:t>
      </w:r>
      <w:r>
        <w:rPr>
          <w:rFonts w:ascii="Calibri" w:hAnsi="Calibri" w:eastAsia="Microsoft YaHei"/>
          <w:color w:val="222F36"/>
          <w:sz w:val="21"/>
        </w:rPr>
        <w:t xml:space="preserve"> The Islamic Republic of Iran and the Sultanate of Oman are the Parties. They govern jointly, and their consensus moves the system.</w:t>
      </w:r>
    </w:p>
    <w:p>
      <w:pPr>
        <w:pStyle w:val="Normal"/>
        <w:ind w:left="560" w:hanging="560"/>
      </w:pPr>
      <w:r>
        <w:rPr>
          <w:rFonts w:ascii="Calibri" w:hAnsi="Calibri" w:eastAsia="Microsoft YaHei"/>
          <w:b/>
          <w:color w:val="1F4E5F"/>
          <w:sz w:val="21"/>
        </w:rPr>
        <w:t xml:space="preserve">12.2  </w:t>
      </w:r>
      <w:r>
        <w:rPr>
          <w:rFonts w:ascii="Calibri" w:hAnsi="Calibri" w:eastAsia="Microsoft YaHei"/>
          <w:b/>
          <w:color w:val="222F36"/>
          <w:sz w:val="21"/>
        </w:rPr>
        <w:t xml:space="preserve">Guarantors.</w:t>
      </w:r>
      <w:r>
        <w:rPr>
          <w:rFonts w:ascii="Calibri" w:hAnsi="Calibri" w:eastAsia="Microsoft YaHei"/>
          <w:color w:val="222F36"/>
          <w:sz w:val="21"/>
        </w:rPr>
        <w:t xml:space="preserve"> Switzerland, Qatar, and Singapore form the Guarantor Circle under Article 11. Their signature on this instrument accepts guarantor functions and nothing more.</w:t>
      </w:r>
    </w:p>
    <w:p>
      <w:pPr>
        <w:pStyle w:val="Normal"/>
        <w:ind w:left="560" w:hanging="560"/>
      </w:pPr>
      <w:r>
        <w:rPr>
          <w:rFonts w:ascii="Calibri" w:hAnsi="Calibri" w:eastAsia="Microsoft YaHei"/>
          <w:b/>
          <w:color w:val="1F4E5F"/>
          <w:sz w:val="21"/>
        </w:rPr>
        <w:t xml:space="preserve">12.3  </w:t>
      </w:r>
      <w:r>
        <w:rPr>
          <w:rFonts w:ascii="Calibri" w:hAnsi="Calibri" w:eastAsia="Microsoft YaHei"/>
          <w:b/>
          <w:color w:val="222F36"/>
          <w:sz w:val="21"/>
        </w:rPr>
        <w:t xml:space="preserve">The Observer Gallery.</w:t>
      </w:r>
      <w:r>
        <w:rPr>
          <w:rFonts w:ascii="Calibri" w:hAnsi="Calibri" w:eastAsia="Microsoft YaHei"/>
          <w:color w:val="222F36"/>
          <w:sz w:val="21"/>
        </w:rPr>
        <w:t xml:space="preserve"> The Gallery holds two tiers and the technical seats. Littoral Observers: the United Arab Emirates, the Kingdom of Saudi Arabia, the State of Kuwait, the Kingdom of Bahrain, and the Republic of Iraq. User Observers: the Republic of India, the People’s Republic of China, Japan, the Republic of Korea, the United Kingdom, the European Union, and the United States of America. Technical seats: the International Maritime Organization and the International Hydrographic Organization.</w:t>
      </w:r>
    </w:p>
    <w:p>
      <w:pPr>
        <w:pStyle w:val="Normal"/>
        <w:ind w:left="560" w:hanging="560"/>
      </w:pPr>
      <w:r>
        <w:rPr>
          <w:rFonts w:ascii="Calibri" w:hAnsi="Calibri" w:eastAsia="Microsoft YaHei"/>
          <w:b/>
          <w:color w:val="1F4E5F"/>
          <w:sz w:val="21"/>
        </w:rPr>
        <w:t xml:space="preserve">12.4  </w:t>
      </w:r>
      <w:r>
        <w:rPr>
          <w:rFonts w:ascii="Calibri" w:hAnsi="Calibri" w:eastAsia="Microsoft YaHei"/>
          <w:b/>
          <w:color w:val="222F36"/>
          <w:sz w:val="21"/>
        </w:rPr>
        <w:t xml:space="preserve">Observer rights.</w:t>
      </w:r>
      <w:r>
        <w:rPr>
          <w:rFonts w:ascii="Calibri" w:hAnsi="Calibri" w:eastAsia="Microsoft YaHei"/>
          <w:color w:val="222F36"/>
          <w:sz w:val="21"/>
        </w:rPr>
        <w:t xml:space="preserve"> Observers receive the Tide Report, the quarterly accounts, and the annual audit; attend the annual Observer Conference; submit technical comments in writing; and request briefings from the Secretariat Desk. Observers hold no vote, no veto, and no operational role. The Gallery informs legitimacy; it never dilutes joint governance.</w:t>
      </w:r>
    </w:p>
    <w:p>
      <w:pPr>
        <w:pStyle w:val="Normal"/>
        <w:ind w:left="560" w:hanging="560"/>
      </w:pPr>
      <w:r>
        <w:rPr>
          <w:rFonts w:ascii="Calibri" w:hAnsi="Calibri" w:eastAsia="Microsoft YaHei"/>
          <w:b/>
          <w:color w:val="1F4E5F"/>
          <w:sz w:val="21"/>
        </w:rPr>
        <w:t xml:space="preserve">12.5  </w:t>
      </w:r>
      <w:r>
        <w:rPr>
          <w:rFonts w:ascii="Calibri" w:hAnsi="Calibri" w:eastAsia="Microsoft YaHei"/>
          <w:b/>
          <w:color w:val="222F36"/>
          <w:sz w:val="21"/>
        </w:rPr>
        <w:t xml:space="preserve">External Navy Adherence.</w:t>
      </w:r>
      <w:r>
        <w:rPr>
          <w:rFonts w:ascii="Calibri" w:hAnsi="Calibri" w:eastAsia="Microsoft YaHei"/>
          <w:color w:val="222F36"/>
          <w:sz w:val="21"/>
        </w:rPr>
        <w:t xml:space="preserve"> A state whose naval forces operate in or near the Compact Waters signs an Adherence Instrument under Annex K, committing those forces to the de-confliction rules of Annex J and the Tide Line protocol of Annex D. Adherence creates duties of conduct and no governance rights. The Parties invite the United States of America to adhere at signature, and the invitation remains open thereafter on the same terms.</w:t>
      </w:r>
    </w:p>
    <w:p>
      <w:pPr>
        <w:pStyle w:val="Normal"/>
        <w:ind w:left="560" w:hanging="560"/>
      </w:pPr>
      <w:r>
        <w:rPr>
          <w:rFonts w:ascii="Calibri" w:hAnsi="Calibri" w:eastAsia="Microsoft YaHei"/>
          <w:b/>
          <w:color w:val="1F4E5F"/>
          <w:sz w:val="21"/>
        </w:rPr>
        <w:t xml:space="preserve">12.6  </w:t>
      </w:r>
      <w:r>
        <w:rPr>
          <w:rFonts w:ascii="Calibri" w:hAnsi="Calibri" w:eastAsia="Microsoft YaHei"/>
          <w:b/>
          <w:color w:val="222F36"/>
          <w:sz w:val="21"/>
        </w:rPr>
        <w:t xml:space="preserve">Admission.</w:t>
      </w:r>
      <w:r>
        <w:rPr>
          <w:rFonts w:ascii="Calibri" w:hAnsi="Calibri" w:eastAsia="Microsoft YaHei"/>
          <w:color w:val="222F36"/>
          <w:sz w:val="21"/>
        </w:rPr>
        <w:t xml:space="preserve"> The Council admits further observers by joint instrument after consultation with the Gallery. Admission adds no cost beyond the docket of the Secretariat Desk.</w:t>
      </w:r>
    </w:p>
    <w:p>
      <w:pPr>
        <w:pStyle w:val="Normal"/>
        <w:ind w:left="560" w:hanging="560"/>
      </w:pPr>
      <w:r>
        <w:rPr>
          <w:rFonts w:ascii="Calibri" w:hAnsi="Calibri" w:eastAsia="Microsoft YaHei"/>
          <w:b/>
          <w:color w:val="1F4E5F"/>
          <w:sz w:val="21"/>
        </w:rPr>
        <w:t xml:space="preserve">12.7  </w:t>
      </w:r>
      <w:r>
        <w:rPr>
          <w:rFonts w:ascii="Calibri" w:hAnsi="Calibri" w:eastAsia="Microsoft YaHei"/>
          <w:b/>
          <w:color w:val="222F36"/>
          <w:sz w:val="21"/>
        </w:rPr>
        <w:t xml:space="preserve">Contribution.</w:t>
      </w:r>
      <w:r>
        <w:rPr>
          <w:rFonts w:ascii="Calibri" w:hAnsi="Calibri" w:eastAsia="Microsoft YaHei"/>
          <w:color w:val="222F36"/>
          <w:sz w:val="21"/>
        </w:rPr>
        <w:t xml:space="preserve"> User states and observers contribute to the Fairway Services Account voluntarily, under the published formula of Annex H. Contribution purchases goodwill and transparency. It purchases no authority, and its absence purchases no exclusion.</w:t>
      </w:r>
    </w:p>
    <w:p>
      <w:pPr>
        <w:pStyle w:val="Normal"/>
        <w:ind w:left="560" w:hanging="560"/>
      </w:pPr>
      <w:r>
        <w:rPr>
          <w:rFonts w:ascii="Calibri" w:hAnsi="Calibri" w:eastAsia="Microsoft YaHei"/>
          <w:b/>
          <w:color w:val="1F4E5F"/>
          <w:sz w:val="21"/>
        </w:rPr>
        <w:t xml:space="preserve">12.8  </w:t>
      </w:r>
      <w:r>
        <w:rPr>
          <w:rFonts w:ascii="Calibri" w:hAnsi="Calibri" w:eastAsia="Microsoft YaHei"/>
          <w:b/>
          <w:color w:val="222F36"/>
          <w:sz w:val="21"/>
        </w:rPr>
        <w:t xml:space="preserve">Conduct of forums.</w:t>
      </w:r>
      <w:r>
        <w:rPr>
          <w:rFonts w:ascii="Calibri" w:hAnsi="Calibri" w:eastAsia="Microsoft YaHei"/>
          <w:color w:val="222F36"/>
          <w:sz w:val="21"/>
        </w:rPr>
        <w:t xml:space="preserve"> Participants keep Compact forums to Compact business. The co-chairs rule extraneous disputes out of order, and their ruling stands unless both Parties agree otherwise.</w:t>
      </w:r>
    </w:p>
    <w:p>
      <w:pPr>
        <w:pStyle w:val="Normal"/>
        <w:ind w:left="560" w:hanging="560"/>
      </w:pPr>
      <w:r>
        <w:rPr>
          <w:rFonts w:ascii="Calibri" w:hAnsi="Calibri" w:eastAsia="Microsoft YaHei"/>
          <w:b/>
          <w:color w:val="1F4E5F"/>
          <w:sz w:val="21"/>
        </w:rPr>
        <w:t xml:space="preserve">12.9  </w:t>
      </w:r>
      <w:r>
        <w:rPr>
          <w:rFonts w:ascii="Calibri" w:hAnsi="Calibri" w:eastAsia="Microsoft YaHei"/>
          <w:b/>
          <w:color w:val="222F36"/>
          <w:sz w:val="21"/>
        </w:rPr>
        <w:t xml:space="preserve">The industry voice.</w:t>
      </w:r>
      <w:r>
        <w:rPr>
          <w:rFonts w:ascii="Calibri" w:hAnsi="Calibri" w:eastAsia="Microsoft YaHei"/>
          <w:color w:val="222F36"/>
          <w:sz w:val="21"/>
        </w:rPr>
        <w:t xml:space="preserve"> A maritime industry advisory panel, named by the Council from nominations of the International Chamber of Shipping and the protection and indemnity clubs, advises the Annual Refit and the Observer Conference on practical seamanship and market effects. The panel advises; it decides nothing, it costs nothing beyond its own travel, and its membership publishes in full.</w:t>
      </w:r>
    </w:p>
    <w:p>
      <w:pPr>
        <w:pStyle w:val="Heading1"/>
        <w:keepNext/>
        <w:keepLines/>
        <w:pageBreakBefore/>
      </w:pPr>
      <w:r>
        <w:rPr>
          <w:rFonts w:ascii="Calibri" w:hAnsi="Calibri" w:eastAsia="Microsoft YaHei"/>
          <w:b/>
          <w:color w:val="1F4E5F"/>
          <w:sz w:val="34"/>
        </w:rPr>
        <w:t xml:space="preserve">Part Four: Money</w:t>
      </w:r>
    </w:p>
    <w:p>
      <w:pPr>
        <w:pStyle w:val="Heading2"/>
        <w:keepNext/>
        <w:keepLines/>
      </w:pPr>
      <w:r>
        <w:rPr>
          <w:rFonts w:ascii="Calibri" w:hAnsi="Calibri" w:eastAsia="Microsoft YaHei"/>
          <w:b/>
          <w:color w:val="1F4E5F"/>
          <w:sz w:val="26"/>
        </w:rPr>
        <w:t xml:space="preserve">Article 13: The Zero-Toll Rule and the Fairway Services Account</w:t>
      </w:r>
    </w:p>
    <w:p>
      <w:pPr>
        <w:pStyle w:val="Normal"/>
        <w:ind w:left="560" w:hanging="560"/>
      </w:pPr>
      <w:r>
        <w:rPr>
          <w:rFonts w:ascii="Calibri" w:hAnsi="Calibri" w:eastAsia="Microsoft YaHei"/>
          <w:b/>
          <w:color w:val="1F4E5F"/>
          <w:sz w:val="21"/>
        </w:rPr>
        <w:t xml:space="preserve">13.1  </w:t>
      </w:r>
      <w:r>
        <w:rPr>
          <w:rFonts w:ascii="Calibri" w:hAnsi="Calibri" w:eastAsia="Microsoft YaHei"/>
          <w:b/>
          <w:color w:val="222F36"/>
          <w:sz w:val="21"/>
        </w:rPr>
        <w:t xml:space="preserve">Zero tolls.</w:t>
      </w:r>
      <w:r>
        <w:rPr>
          <w:rFonts w:ascii="Calibri" w:hAnsi="Calibri" w:eastAsia="Microsoft YaHei"/>
          <w:color w:val="222F36"/>
          <w:sz w:val="21"/>
        </w:rPr>
        <w:t xml:space="preserve"> No charge applies to transit passage through the Strait, in either fairway, at any time, for any flag, under any name. This rule is Boundary Line BL-1 and admits no exception, no surcharge, and no suspension.</w:t>
      </w:r>
    </w:p>
    <w:p>
      <w:pPr>
        <w:pStyle w:val="Normal"/>
        <w:ind w:left="560" w:hanging="560"/>
      </w:pPr>
      <w:r>
        <w:rPr>
          <w:rFonts w:ascii="Calibri" w:hAnsi="Calibri" w:eastAsia="Microsoft YaHei"/>
          <w:b/>
          <w:color w:val="1F4E5F"/>
          <w:sz w:val="21"/>
        </w:rPr>
        <w:t xml:space="preserve">13.2  </w:t>
      </w:r>
      <w:r>
        <w:rPr>
          <w:rFonts w:ascii="Calibri" w:hAnsi="Calibri" w:eastAsia="Microsoft YaHei"/>
          <w:b/>
          <w:color w:val="222F36"/>
          <w:sz w:val="21"/>
        </w:rPr>
        <w:t xml:space="preserve">Services, not tolls.</w:t>
      </w:r>
      <w:r>
        <w:rPr>
          <w:rFonts w:ascii="Calibri" w:hAnsi="Calibri" w:eastAsia="Microsoft YaHei"/>
          <w:color w:val="222F36"/>
          <w:sz w:val="21"/>
        </w:rPr>
        <w:t xml:space="preserve"> The Fairway Services Account pays for the services that keep the water safe: survey and hazard work, aids to navigation, the Watch, the Concordance Office, training, and the Secretariat Desk. No vessel pays anything at the point of passage.</w:t>
      </w:r>
    </w:p>
    <w:p>
      <w:pPr>
        <w:pStyle w:val="Normal"/>
        <w:ind w:left="560" w:hanging="560"/>
      </w:pPr>
      <w:r>
        <w:rPr>
          <w:rFonts w:ascii="Calibri" w:hAnsi="Calibri" w:eastAsia="Microsoft YaHei"/>
          <w:b/>
          <w:color w:val="1F4E5F"/>
          <w:sz w:val="21"/>
        </w:rPr>
        <w:t xml:space="preserve">13.3  </w:t>
      </w:r>
      <w:r>
        <w:rPr>
          <w:rFonts w:ascii="Calibri" w:hAnsi="Calibri" w:eastAsia="Microsoft YaHei"/>
          <w:b/>
          <w:color w:val="222F36"/>
          <w:sz w:val="21"/>
        </w:rPr>
        <w:t xml:space="preserve">Resources.</w:t>
      </w:r>
      <w:r>
        <w:rPr>
          <w:rFonts w:ascii="Calibri" w:hAnsi="Calibri" w:eastAsia="Microsoft YaHei"/>
          <w:color w:val="222F36"/>
          <w:sz w:val="21"/>
        </w:rPr>
        <w:t xml:space="preserve"> The Account draws on four sources, detailed in Annex H: founding advances of the Parties of six million dollars each; voluntary contributions of user states and observers under the published formula; in-kind support of the guarantors, including premises and hosting; and nothing else. The Compact levies no charge on cargo, tonnage, or hulls.</w:t>
      </w:r>
    </w:p>
    <w:p>
      <w:pPr>
        <w:pStyle w:val="Normal"/>
        <w:ind w:left="560" w:hanging="560"/>
      </w:pPr>
      <w:r>
        <w:rPr>
          <w:rFonts w:ascii="Calibri" w:hAnsi="Calibri" w:eastAsia="Microsoft YaHei"/>
          <w:b/>
          <w:color w:val="1F4E5F"/>
          <w:sz w:val="21"/>
        </w:rPr>
        <w:t xml:space="preserve">13.4  </w:t>
      </w:r>
      <w:r>
        <w:rPr>
          <w:rFonts w:ascii="Calibri" w:hAnsi="Calibri" w:eastAsia="Microsoft YaHei"/>
          <w:b/>
          <w:color w:val="222F36"/>
          <w:sz w:val="21"/>
        </w:rPr>
        <w:t xml:space="preserve">Reimbursement.</w:t>
      </w:r>
      <w:r>
        <w:rPr>
          <w:rFonts w:ascii="Calibri" w:hAnsi="Calibri" w:eastAsia="Microsoft YaHei"/>
          <w:color w:val="222F36"/>
          <w:sz w:val="21"/>
        </w:rPr>
        <w:t xml:space="preserve"> The coastal states receive reimbursement for catalog services at published rates, claimed monthly, audited quarterly. The catalog lists services, not passage.</w:t>
      </w:r>
    </w:p>
    <w:p>
      <w:pPr>
        <w:pStyle w:val="Normal"/>
        <w:ind w:left="560" w:hanging="560"/>
      </w:pPr>
      <w:r>
        <w:rPr>
          <w:rFonts w:ascii="Calibri" w:hAnsi="Calibri" w:eastAsia="Microsoft YaHei"/>
          <w:b/>
          <w:color w:val="1F4E5F"/>
          <w:sz w:val="21"/>
        </w:rPr>
        <w:t xml:space="preserve">13.5  </w:t>
      </w:r>
      <w:r>
        <w:rPr>
          <w:rFonts w:ascii="Calibri" w:hAnsi="Calibri" w:eastAsia="Microsoft YaHei"/>
          <w:b/>
          <w:color w:val="222F36"/>
          <w:sz w:val="21"/>
        </w:rPr>
        <w:t xml:space="preserve">Ceilings.</w:t>
      </w:r>
      <w:r>
        <w:rPr>
          <w:rFonts w:ascii="Calibri" w:hAnsi="Calibri" w:eastAsia="Microsoft YaHei"/>
          <w:color w:val="222F36"/>
          <w:sz w:val="21"/>
        </w:rPr>
        <w:t xml:space="preserve"> The steady-state budget stays at or below eighteen million dollars a year. Overhead stays at or below fifteen percent. The Council revises either ceiling only by joint instrument after an Annual Refit, and never retroactively.</w:t>
      </w:r>
    </w:p>
    <w:p>
      <w:pPr>
        <w:pStyle w:val="Normal"/>
        <w:ind w:left="560" w:hanging="560"/>
      </w:pPr>
      <w:r>
        <w:rPr>
          <w:rFonts w:ascii="Calibri" w:hAnsi="Calibri" w:eastAsia="Microsoft YaHei"/>
          <w:b/>
          <w:color w:val="1F4E5F"/>
          <w:sz w:val="21"/>
        </w:rPr>
        <w:t xml:space="preserve">13.6  </w:t>
      </w:r>
      <w:r>
        <w:rPr>
          <w:rFonts w:ascii="Calibri" w:hAnsi="Calibri" w:eastAsia="Microsoft YaHei"/>
          <w:b/>
          <w:color w:val="222F36"/>
          <w:sz w:val="21"/>
        </w:rPr>
        <w:t xml:space="preserve">Transparency.</w:t>
      </w:r>
      <w:r>
        <w:rPr>
          <w:rFonts w:ascii="Calibri" w:hAnsi="Calibri" w:eastAsia="Microsoft YaHei"/>
          <w:color w:val="222F36"/>
          <w:sz w:val="21"/>
        </w:rPr>
        <w:t xml:space="preserve"> The Account publishes quarterly statements and an annual external audit performed by an auditor appointed by the Record Guarantor. Every participant sees every line.</w:t>
      </w:r>
    </w:p>
    <w:p>
      <w:pPr>
        <w:pStyle w:val="Normal"/>
        <w:ind w:left="560" w:hanging="560"/>
      </w:pPr>
      <w:r>
        <w:rPr>
          <w:rFonts w:ascii="Calibri" w:hAnsi="Calibri" w:eastAsia="Microsoft YaHei"/>
          <w:b/>
          <w:color w:val="1F4E5F"/>
          <w:sz w:val="21"/>
        </w:rPr>
        <w:t xml:space="preserve">13.7  </w:t>
      </w:r>
      <w:r>
        <w:rPr>
          <w:rFonts w:ascii="Calibri" w:hAnsi="Calibri" w:eastAsia="Microsoft YaHei"/>
          <w:b/>
          <w:color w:val="222F36"/>
          <w:sz w:val="21"/>
        </w:rPr>
        <w:t xml:space="preserve">Firewall.</w:t>
      </w:r>
      <w:r>
        <w:rPr>
          <w:rFonts w:ascii="Calibri" w:hAnsi="Calibri" w:eastAsia="Microsoft YaHei"/>
          <w:color w:val="222F36"/>
          <w:sz w:val="21"/>
        </w:rPr>
        <w:t xml:space="preserve"> Account data serve the Account and nothing else. Article 14.8 bars their use for sanctions evidence, litigation, or intelligence purposes. The Swiss host processes payments under its ordinary practice of neutrality and confidentiality, within the transparency this article requires.</w:t>
      </w:r>
    </w:p>
    <w:p>
      <w:pPr>
        <w:pStyle w:val="Heading1"/>
        <w:keepNext/>
        <w:keepLines/>
        <w:pageBreakBefore/>
      </w:pPr>
      <w:r>
        <w:rPr>
          <w:rFonts w:ascii="Calibri" w:hAnsi="Calibri" w:eastAsia="Microsoft YaHei"/>
          <w:b/>
          <w:color w:val="1F4E5F"/>
          <w:sz w:val="34"/>
        </w:rPr>
        <w:t xml:space="preserve">Part Five: Verification and Compliance</w:t>
      </w:r>
    </w:p>
    <w:p>
      <w:pPr>
        <w:pStyle w:val="Normal"/>
      </w:pPr>
      <w:r>
        <w:rPr>
          <w:rFonts w:ascii="Calibri" w:hAnsi="Calibri" w:eastAsia="Microsoft YaHei"/>
          <w:color w:val="222F36"/>
          <w:sz w:val="21"/>
        </w:rPr>
        <w:t xml:space="preserve">Governance stays light so that verification stays strong. This Part carries the verification methods of the Islamabad Memorandum into the daily life of the waterway: one shared record, convergence before findings, humans before consequences, a red team that attacks the system before any adversary does, and a compliance engine that pauses narrowly and restores reliably.</w:t>
      </w:r>
    </w:p>
    <w:p>
      <w:pPr>
        <w:pStyle w:val="Heading2"/>
        <w:keepNext/>
        <w:keepLines/>
      </w:pPr>
      <w:r>
        <w:rPr>
          <w:rFonts w:ascii="Calibri" w:hAnsi="Calibri" w:eastAsia="Microsoft YaHei"/>
          <w:b/>
          <w:color w:val="1F4E5F"/>
          <w:sz w:val="26"/>
        </w:rPr>
        <w:t xml:space="preserve">Article 14: The Verification Spine</w:t>
      </w:r>
    </w:p>
    <w:p>
      <w:pPr>
        <w:pStyle w:val="Normal"/>
        <w:ind w:left="560" w:hanging="560"/>
      </w:pPr>
      <w:r>
        <w:rPr>
          <w:rFonts w:ascii="Calibri" w:hAnsi="Calibri" w:eastAsia="Microsoft YaHei"/>
          <w:b/>
          <w:color w:val="1F4E5F"/>
          <w:sz w:val="21"/>
        </w:rPr>
        <w:t xml:space="preserve">14.1  </w:t>
      </w:r>
      <w:r>
        <w:rPr>
          <w:rFonts w:ascii="Calibri" w:hAnsi="Calibri" w:eastAsia="Microsoft YaHei"/>
          <w:b/>
          <w:color w:val="222F36"/>
          <w:sz w:val="21"/>
        </w:rPr>
        <w:t xml:space="preserve">The Concordance.</w:t>
      </w:r>
      <w:r>
        <w:rPr>
          <w:rFonts w:ascii="Calibri" w:hAnsi="Calibri" w:eastAsia="Microsoft YaHei"/>
          <w:color w:val="222F36"/>
          <w:sz w:val="21"/>
        </w:rPr>
        <w:t xml:space="preserve"> The Office maintains the Concordance, a shared digital record hosted by the Record Guarantor in Switzerland, mirrored live in Muscat, with a records desk in Geneva for certified extracts. Every notice, acknowledgment, track summary, advisory, incident file, classification, and account entry lands in the Concordance under cryptographic timestamp. Every participant sees the same screen. The archive retains everything for five years.</w:t>
      </w:r>
    </w:p>
    <w:p>
      <w:pPr>
        <w:pStyle w:val="Normal"/>
        <w:ind w:left="560" w:hanging="560"/>
      </w:pPr>
      <w:r>
        <w:rPr>
          <w:rFonts w:ascii="Calibri" w:hAnsi="Calibri" w:eastAsia="Microsoft YaHei"/>
          <w:b/>
          <w:color w:val="1F4E5F"/>
          <w:sz w:val="21"/>
        </w:rPr>
        <w:t xml:space="preserve">14.2  </w:t>
      </w:r>
      <w:r>
        <w:rPr>
          <w:rFonts w:ascii="Calibri" w:hAnsi="Calibri" w:eastAsia="Microsoft YaHei"/>
          <w:b/>
          <w:color w:val="222F36"/>
          <w:sz w:val="21"/>
        </w:rPr>
        <w:t xml:space="preserve">The Three-Signal Rule.</w:t>
      </w:r>
      <w:r>
        <w:rPr>
          <w:rFonts w:ascii="Calibri" w:hAnsi="Calibri" w:eastAsia="Microsoft YaHei"/>
          <w:color w:val="222F36"/>
          <w:sz w:val="21"/>
        </w:rPr>
        <w:t xml:space="preserve"> No single input decides anything. Three or more independent signals establish a finding. Two signals open an enhanced review. One signal opens an inquiry and nothing more. Signals count as independent only where they differ in source, in sensor, and in custody. A signal chain with shared custody counts as one signal, however many screens display it.</w:t>
      </w:r>
    </w:p>
    <w:p>
      <w:pPr>
        <w:pStyle w:val="Normal"/>
        <w:ind w:left="560" w:hanging="560"/>
      </w:pPr>
      <w:r>
        <w:rPr>
          <w:rFonts w:ascii="Calibri" w:hAnsi="Calibri" w:eastAsia="Microsoft YaHei"/>
          <w:b/>
          <w:color w:val="1F4E5F"/>
          <w:sz w:val="21"/>
        </w:rPr>
        <w:t xml:space="preserve">14.3  </w:t>
      </w:r>
      <w:r>
        <w:rPr>
          <w:rFonts w:ascii="Calibri" w:hAnsi="Calibri" w:eastAsia="Microsoft YaHei"/>
          <w:b/>
          <w:color w:val="222F36"/>
          <w:sz w:val="21"/>
        </w:rPr>
        <w:t xml:space="preserve">The Human Gate.</w:t>
      </w:r>
      <w:r>
        <w:rPr>
          <w:rFonts w:ascii="Calibri" w:hAnsi="Calibri" w:eastAsia="Microsoft YaHei"/>
          <w:color w:val="222F36"/>
          <w:sz w:val="21"/>
        </w:rPr>
        <w:t xml:space="preserve"> No automated consequence flows from any data. A human verifier reviews every proposed classification within twenty-four hours, and the Recorder signs every finding. The annual external audit reviews the gate itself, including response times and overrides.</w:t>
      </w:r>
    </w:p>
    <w:p>
      <w:pPr>
        <w:pStyle w:val="Normal"/>
        <w:ind w:left="560" w:hanging="560"/>
      </w:pPr>
      <w:r>
        <w:rPr>
          <w:rFonts w:ascii="Calibri" w:hAnsi="Calibri" w:eastAsia="Microsoft YaHei"/>
          <w:b/>
          <w:color w:val="1F4E5F"/>
          <w:sz w:val="21"/>
        </w:rPr>
        <w:t xml:space="preserve">14.4  </w:t>
      </w:r>
      <w:r>
        <w:rPr>
          <w:rFonts w:ascii="Calibri" w:hAnsi="Calibri" w:eastAsia="Microsoft YaHei"/>
          <w:b/>
          <w:color w:val="222F36"/>
          <w:sz w:val="21"/>
        </w:rPr>
        <w:t xml:space="preserve">Evidence standards.</w:t>
      </w:r>
      <w:r>
        <w:rPr>
          <w:rFonts w:ascii="Calibri" w:hAnsi="Calibri" w:eastAsia="Microsoft YaHei"/>
          <w:color w:val="222F36"/>
          <w:sz w:val="21"/>
        </w:rPr>
        <w:t xml:space="preserve"> Each event type carries its own evidence standard under Annex E: AIS and satellite imagery for surface tracks; voice and position logs for watch-floor events; transaction records for the Account; forensic packages for cyber events. Evidence arrives time-stamped at source, with custody recorded end to end.</w:t>
      </w:r>
    </w:p>
    <w:p>
      <w:pPr>
        <w:pStyle w:val="Normal"/>
        <w:ind w:left="560" w:hanging="560"/>
      </w:pPr>
      <w:r>
        <w:rPr>
          <w:rFonts w:ascii="Calibri" w:hAnsi="Calibri" w:eastAsia="Microsoft YaHei"/>
          <w:b/>
          <w:color w:val="1F4E5F"/>
          <w:sz w:val="21"/>
        </w:rPr>
        <w:t xml:space="preserve">14.5  </w:t>
      </w:r>
      <w:r>
        <w:rPr>
          <w:rFonts w:ascii="Calibri" w:hAnsi="Calibri" w:eastAsia="Microsoft YaHei"/>
          <w:b/>
          <w:color w:val="222F36"/>
          <w:sz w:val="21"/>
        </w:rPr>
        <w:t xml:space="preserve">The Integrity Cell.</w:t>
      </w:r>
      <w:r>
        <w:rPr>
          <w:rFonts w:ascii="Calibri" w:hAnsi="Calibri" w:eastAsia="Microsoft YaHei"/>
          <w:color w:val="222F36"/>
          <w:sz w:val="21"/>
        </w:rPr>
        <w:t xml:space="preserve"> A standing red team of four probes the system without warning: it plants test tracks, attempts false readings, audits timestamps, and tries to corrupt the mirror. It reports findings every seventy-two hours for the first thirty days of operation and weekly thereafter. Its members hold no other operational duty, and its budget sits inside the Office ceiling.</w:t>
      </w:r>
    </w:p>
    <w:p>
      <w:pPr>
        <w:pStyle w:val="Normal"/>
        <w:ind w:left="560" w:hanging="560"/>
      </w:pPr>
      <w:r>
        <w:rPr>
          <w:rFonts w:ascii="Calibri" w:hAnsi="Calibri" w:eastAsia="Microsoft YaHei"/>
          <w:b/>
          <w:color w:val="1F4E5F"/>
          <w:sz w:val="21"/>
        </w:rPr>
        <w:t xml:space="preserve">14.6  </w:t>
      </w:r>
      <w:r>
        <w:rPr>
          <w:rFonts w:ascii="Calibri" w:hAnsi="Calibri" w:eastAsia="Microsoft YaHei"/>
          <w:b/>
          <w:color w:val="222F36"/>
          <w:sz w:val="21"/>
        </w:rPr>
        <w:t xml:space="preserve">Expectation bands.</w:t>
      </w:r>
      <w:r>
        <w:rPr>
          <w:rFonts w:ascii="Calibri" w:hAnsi="Calibri" w:eastAsia="Microsoft YaHei"/>
          <w:color w:val="222F36"/>
          <w:sz w:val="21"/>
        </w:rPr>
        <w:t xml:space="preserve"> The Office publishes seasonal expectation bands for traffic volume, notice lead time, and acknowledgment latency. A reading outside a band opens a recalibration dialogue between the Office and the participant concerned; it opens no penalty. A persistent departure from a band feeds the Three-Signal Rule as one signal at most, never as a finding by itself.</w:t>
      </w:r>
    </w:p>
    <w:p>
      <w:pPr>
        <w:pStyle w:val="Normal"/>
        <w:ind w:left="560" w:hanging="560"/>
      </w:pPr>
      <w:r>
        <w:rPr>
          <w:rFonts w:ascii="Calibri" w:hAnsi="Calibri" w:eastAsia="Microsoft YaHei"/>
          <w:b/>
          <w:color w:val="1F4E5F"/>
          <w:sz w:val="21"/>
        </w:rPr>
        <w:t xml:space="preserve">14.7  </w:t>
      </w:r>
      <w:r>
        <w:rPr>
          <w:rFonts w:ascii="Calibri" w:hAnsi="Calibri" w:eastAsia="Microsoft YaHei"/>
          <w:b/>
          <w:color w:val="222F36"/>
          <w:sz w:val="21"/>
        </w:rPr>
        <w:t xml:space="preserve">Adversarial claim review.</w:t>
      </w:r>
      <w:r>
        <w:rPr>
          <w:rFonts w:ascii="Calibri" w:hAnsi="Calibri" w:eastAsia="Microsoft YaHei"/>
          <w:color w:val="222F36"/>
          <w:sz w:val="21"/>
        </w:rPr>
        <w:t xml:space="preserve"> A participant that disputes a finding files counter-evidence within forty-eight hours. A verifier who took no part in the original classification reviews the claim, and the Recorder rules within seventy-two hours. A successful claim corrects the record and deletes the classification; an unsuccessful one stands in the record with the claim attached.</w:t>
      </w:r>
    </w:p>
    <w:p>
      <w:pPr>
        <w:pStyle w:val="Normal"/>
        <w:ind w:left="560" w:hanging="560"/>
      </w:pPr>
      <w:r>
        <w:rPr>
          <w:rFonts w:ascii="Calibri" w:hAnsi="Calibri" w:eastAsia="Microsoft YaHei"/>
          <w:b/>
          <w:color w:val="1F4E5F"/>
          <w:sz w:val="21"/>
        </w:rPr>
        <w:t xml:space="preserve">14.8  </w:t>
      </w:r>
      <w:r>
        <w:rPr>
          <w:rFonts w:ascii="Calibri" w:hAnsi="Calibri" w:eastAsia="Microsoft YaHei"/>
          <w:b/>
          <w:color w:val="222F36"/>
          <w:sz w:val="21"/>
        </w:rPr>
        <w:t xml:space="preserve">Data sovereignty.</w:t>
      </w:r>
      <w:r>
        <w:rPr>
          <w:rFonts w:ascii="Calibri" w:hAnsi="Calibri" w:eastAsia="Microsoft YaHei"/>
          <w:color w:val="222F36"/>
          <w:sz w:val="21"/>
        </w:rPr>
        <w:t xml:space="preserve"> Participants own the Concordance collectively. Access is read-only, watermarked per user, and logged in full. The Compact bars every use of its data for intelligence preparation, targeting, sanctions evidence, litigation outside the Compact, or commercial exploitation. A violation of this clause counts as a Breach under Article 15, and the watermark identifies the source of any leak.</w:t>
      </w:r>
    </w:p>
    <w:p>
      <w:pPr>
        <w:pStyle w:val="Normal"/>
        <w:ind w:left="560" w:hanging="560"/>
      </w:pPr>
      <w:r>
        <w:rPr>
          <w:rFonts w:ascii="Calibri" w:hAnsi="Calibri" w:eastAsia="Microsoft YaHei"/>
          <w:b/>
          <w:color w:val="1F4E5F"/>
          <w:sz w:val="21"/>
        </w:rPr>
        <w:t xml:space="preserve">14.9  </w:t>
      </w:r>
      <w:r>
        <w:rPr>
          <w:rFonts w:ascii="Calibri" w:hAnsi="Calibri" w:eastAsia="Microsoft YaHei"/>
          <w:b/>
          <w:color w:val="222F36"/>
          <w:sz w:val="21"/>
        </w:rPr>
        <w:t xml:space="preserve">Non-telemetry fallback.</w:t>
      </w:r>
      <w:r>
        <w:rPr>
          <w:rFonts w:ascii="Calibri" w:hAnsi="Calibri" w:eastAsia="Microsoft YaHei"/>
          <w:color w:val="222F36"/>
          <w:sz w:val="21"/>
        </w:rPr>
        <w:t xml:space="preserve"> Where sensors fail, the Office verifies by patrol report, port log, and counterparty confirmation, and marks the reading degraded. A degraded reading never grounds a finding alone; it pairs with other signals or it stays an inquiry.</w:t>
      </w:r>
    </w:p>
    <w:p>
      <w:pPr>
        <w:pStyle w:val="Normal"/>
        <w:ind w:left="560" w:hanging="560"/>
      </w:pPr>
      <w:r>
        <w:rPr>
          <w:rFonts w:ascii="Calibri" w:hAnsi="Calibri" w:eastAsia="Microsoft YaHei"/>
          <w:b/>
          <w:color w:val="1F4E5F"/>
          <w:sz w:val="21"/>
        </w:rPr>
        <w:t xml:space="preserve">14.10  </w:t>
      </w:r>
      <w:r>
        <w:rPr>
          <w:rFonts w:ascii="Calibri" w:hAnsi="Calibri" w:eastAsia="Microsoft YaHei"/>
          <w:b/>
          <w:color w:val="222F36"/>
          <w:sz w:val="21"/>
        </w:rPr>
        <w:t xml:space="preserve">The one automatic rule.</w:t>
      </w:r>
      <w:r>
        <w:rPr>
          <w:rFonts w:ascii="Calibri" w:hAnsi="Calibri" w:eastAsia="Microsoft YaHei"/>
          <w:color w:val="222F36"/>
          <w:sz w:val="21"/>
        </w:rPr>
        <w:t xml:space="preserve"> If the watch picture and the Concordance feeds both go dark for forty-eight hours without certified cause, discretionary certifications pause automatically, and they resume automatically on restoration and verification of continuity. Everything else in this system passes the Human Gate.</w:t>
      </w:r>
    </w:p>
    <w:p>
      <w:pPr>
        <w:pStyle w:val="Heading2"/>
        <w:keepNext/>
        <w:keepLines/>
      </w:pPr>
      <w:r>
        <w:rPr>
          <w:rFonts w:ascii="Calibri" w:hAnsi="Calibri" w:eastAsia="Microsoft YaHei"/>
          <w:b/>
          <w:color w:val="1F4E5F"/>
          <w:sz w:val="26"/>
        </w:rPr>
        <w:t xml:space="preserve">Article 15: The Compliance Engine</w:t>
      </w:r>
    </w:p>
    <w:p>
      <w:pPr>
        <w:pStyle w:val="Normal"/>
        <w:ind w:left="560" w:hanging="560"/>
      </w:pPr>
      <w:r>
        <w:rPr>
          <w:rFonts w:ascii="Calibri" w:hAnsi="Calibri" w:eastAsia="Microsoft YaHei"/>
          <w:b/>
          <w:color w:val="1F4E5F"/>
          <w:sz w:val="21"/>
        </w:rPr>
        <w:t xml:space="preserve">15.1  </w:t>
      </w:r>
      <w:r>
        <w:rPr>
          <w:rFonts w:ascii="Calibri" w:hAnsi="Calibri" w:eastAsia="Microsoft YaHei"/>
          <w:b/>
          <w:color w:val="222F36"/>
          <w:sz w:val="21"/>
        </w:rPr>
        <w:t xml:space="preserve">Classification.</w:t>
      </w:r>
      <w:r>
        <w:rPr>
          <w:rFonts w:ascii="Calibri" w:hAnsi="Calibri" w:eastAsia="Microsoft YaHei"/>
          <w:color w:val="222F36"/>
          <w:sz w:val="21"/>
        </w:rPr>
        <w:t xml:space="preserve"> Every deviation sorts into one of three categories, against the thresholds of Annex F. Drift: a technical, isolated deviation with no material effect, curable within seventy-two hours. Strain: a material deviation, meaning a pattern, a repetition, or a material effect on safety, openness, or the record. Breach: a deliberate violation, meaning intent plus materiality plus refusal to cure. Classification rests on findings under the Three-Signal Rule and passes the Human Gate.</w:t>
      </w:r>
    </w:p>
    <w:p>
      <w:pPr>
        <w:pStyle w:val="Normal"/>
        <w:ind w:left="560" w:hanging="560"/>
      </w:pPr>
      <w:r>
        <w:rPr>
          <w:rFonts w:ascii="Calibri" w:hAnsi="Calibri" w:eastAsia="Microsoft YaHei"/>
          <w:b/>
          <w:color w:val="1F4E5F"/>
          <w:sz w:val="21"/>
        </w:rPr>
        <w:t xml:space="preserve">15.2  </w:t>
      </w:r>
      <w:r>
        <w:rPr>
          <w:rFonts w:ascii="Calibri" w:hAnsi="Calibri" w:eastAsia="Microsoft YaHei"/>
          <w:b/>
          <w:color w:val="222F36"/>
          <w:sz w:val="21"/>
        </w:rPr>
        <w:t xml:space="preserve">Slow reversibility.</w:t>
      </w:r>
      <w:r>
        <w:rPr>
          <w:rFonts w:ascii="Calibri" w:hAnsi="Calibri" w:eastAsia="Microsoft YaHei"/>
          <w:color w:val="222F36"/>
          <w:sz w:val="21"/>
        </w:rPr>
        <w:t xml:space="preserve"> Before any consequence activates, the affected Party receives forty-eight hours of joint review with the Recorder and a guarantor observer. The review examines evidence, context, and cure. This pause precedes every step except the restoration of safety advisories, which is immediate and unconditional.</w:t>
      </w:r>
    </w:p>
    <w:p>
      <w:pPr>
        <w:pStyle w:val="Normal"/>
        <w:ind w:left="560" w:hanging="560"/>
      </w:pPr>
      <w:r>
        <w:rPr>
          <w:rFonts w:ascii="Calibri" w:hAnsi="Calibri" w:eastAsia="Microsoft YaHei"/>
          <w:b/>
          <w:color w:val="1F4E5F"/>
          <w:sz w:val="21"/>
        </w:rPr>
        <w:t xml:space="preserve">15.3  </w:t>
      </w:r>
      <w:r>
        <w:rPr>
          <w:rFonts w:ascii="Calibri" w:hAnsi="Calibri" w:eastAsia="Microsoft YaHei"/>
          <w:b/>
          <w:color w:val="222F36"/>
          <w:sz w:val="21"/>
        </w:rPr>
        <w:t xml:space="preserve">The Step-Back Ladder.</w:t>
      </w:r>
      <w:r>
        <w:rPr>
          <w:rFonts w:ascii="Calibri" w:hAnsi="Calibri" w:eastAsia="Microsoft YaHei"/>
          <w:color w:val="222F36"/>
          <w:sz w:val="21"/>
        </w:rPr>
        <w:t xml:space="preserve"> Consequences pause defined benefits of the affected module only, in ascending steps. At the first step, discretionary certifications and convenience services pause for the affected module, between ten and twenty-five percent of module benefits. At the second step, enhanced review extends and notice windows shorten for the affected Party’s relevant traffic. At a Breach, the affected module’s non-humanitarian benefits suspend, including Account reimbursements tied to that module, while the core of the system continues untouched: the fairways stay open, the Watch keeps watch, the record keeps recording, and the humanitarian lane keeps moving. No consequence spills across modules.</w:t>
      </w:r>
    </w:p>
    <w:p>
      <w:pPr>
        <w:pStyle w:val="Normal"/>
        <w:ind w:left="560" w:hanging="560"/>
      </w:pPr>
      <w:r>
        <w:rPr>
          <w:rFonts w:ascii="Calibri" w:hAnsi="Calibri" w:eastAsia="Microsoft YaHei"/>
          <w:b/>
          <w:color w:val="1F4E5F"/>
          <w:sz w:val="21"/>
        </w:rPr>
        <w:t xml:space="preserve">15.4  </w:t>
      </w:r>
      <w:r>
        <w:rPr>
          <w:rFonts w:ascii="Calibri" w:hAnsi="Calibri" w:eastAsia="Microsoft YaHei"/>
          <w:b/>
          <w:color w:val="222F36"/>
          <w:sz w:val="21"/>
        </w:rPr>
        <w:t xml:space="preserve">The Earn-Back Track.</w:t>
      </w:r>
      <w:r>
        <w:rPr>
          <w:rFonts w:ascii="Calibri" w:hAnsi="Calibri" w:eastAsia="Microsoft YaHei"/>
          <w:color w:val="222F36"/>
          <w:sz w:val="21"/>
        </w:rPr>
        <w:t xml:space="preserve"> Verified performance reverses every step. Drift closes on cure and record entry, and no stain remains. Strain lifts after seven consecutive clean days plus certification by the Recorder. Breach lifts after thirty consecutive clean days, certification by the Recorder, and confirmation by the Circle member for the domain. Over-compliance credit applies everywhere: performance at one hundred twenty percent of the applicable standard shortens residual enhanced monitoring by up to twenty-five percent.</w:t>
      </w:r>
    </w:p>
    <w:p>
      <w:pPr>
        <w:pStyle w:val="Normal"/>
        <w:ind w:left="560" w:hanging="560"/>
      </w:pPr>
      <w:r>
        <w:rPr>
          <w:rFonts w:ascii="Calibri" w:hAnsi="Calibri" w:eastAsia="Microsoft YaHei"/>
          <w:b/>
          <w:color w:val="1F4E5F"/>
          <w:sz w:val="21"/>
        </w:rPr>
        <w:t xml:space="preserve">15.5  </w:t>
      </w:r>
      <w:r>
        <w:rPr>
          <w:rFonts w:ascii="Calibri" w:hAnsi="Calibri" w:eastAsia="Microsoft YaHei"/>
          <w:b/>
          <w:color w:val="222F36"/>
          <w:sz w:val="21"/>
        </w:rPr>
        <w:t xml:space="preserve">The humanitarian firewall.</w:t>
      </w:r>
      <w:r>
        <w:rPr>
          <w:rFonts w:ascii="Calibri" w:hAnsi="Calibri" w:eastAsia="Microsoft YaHei"/>
          <w:color w:val="222F36"/>
          <w:sz w:val="21"/>
        </w:rPr>
        <w:t xml:space="preserve"> Food, medicine, medical evacuation, crew repatriation, search and rescue, and pollution response move under all circumstances, including during any step-back, any pause, and any dispute. The firewall runs one way: it protects humanitarian traffic, and nothing reverses it.</w:t>
      </w:r>
    </w:p>
    <w:p>
      <w:pPr>
        <w:pStyle w:val="Normal"/>
        <w:ind w:left="560" w:hanging="560"/>
      </w:pPr>
      <w:r>
        <w:rPr>
          <w:rFonts w:ascii="Calibri" w:hAnsi="Calibri" w:eastAsia="Microsoft YaHei"/>
          <w:b/>
          <w:color w:val="1F4E5F"/>
          <w:sz w:val="21"/>
        </w:rPr>
        <w:t xml:space="preserve">15.6  </w:t>
      </w:r>
      <w:r>
        <w:rPr>
          <w:rFonts w:ascii="Calibri" w:hAnsi="Calibri" w:eastAsia="Microsoft YaHei"/>
          <w:b/>
          <w:color w:val="222F36"/>
          <w:sz w:val="21"/>
        </w:rPr>
        <w:t xml:space="preserve">No snapback.</w:t>
      </w:r>
      <w:r>
        <w:rPr>
          <w:rFonts w:ascii="Calibri" w:hAnsi="Calibri" w:eastAsia="Microsoft YaHei"/>
          <w:color w:val="222F36"/>
          <w:sz w:val="21"/>
        </w:rPr>
        <w:t xml:space="preserve"> Banked performance stays banked. A completed earn-back never reopens on the same facts. No expired consequence revives automatically; a new consequence requires a new classification on new facts.</w:t>
      </w:r>
    </w:p>
    <w:p>
      <w:pPr>
        <w:pStyle w:val="Normal"/>
        <w:ind w:left="560" w:hanging="560"/>
      </w:pPr>
      <w:r>
        <w:rPr>
          <w:rFonts w:ascii="Calibri" w:hAnsi="Calibri" w:eastAsia="Microsoft YaHei"/>
          <w:b/>
          <w:color w:val="1F4E5F"/>
          <w:sz w:val="21"/>
        </w:rPr>
        <w:t xml:space="preserve">15.7  </w:t>
      </w:r>
      <w:r>
        <w:rPr>
          <w:rFonts w:ascii="Calibri" w:hAnsi="Calibri" w:eastAsia="Microsoft YaHei"/>
          <w:b/>
          <w:color w:val="222F36"/>
          <w:sz w:val="21"/>
        </w:rPr>
        <w:t xml:space="preserve">No fade.</w:t>
      </w:r>
      <w:r>
        <w:rPr>
          <w:rFonts w:ascii="Calibri" w:hAnsi="Calibri" w:eastAsia="Microsoft YaHei"/>
          <w:color w:val="222F36"/>
          <w:sz w:val="21"/>
        </w:rPr>
        <w:t xml:space="preserve"> Verified performance acquires permanent record value. The Compact carries no sunset clause, no review cliff, and no silent expiry of earned status.</w:t>
      </w:r>
    </w:p>
    <w:p>
      <w:pPr>
        <w:pStyle w:val="Normal"/>
        <w:ind w:left="560" w:hanging="560"/>
      </w:pPr>
      <w:r>
        <w:rPr>
          <w:rFonts w:ascii="Calibri" w:hAnsi="Calibri" w:eastAsia="Microsoft YaHei"/>
          <w:b/>
          <w:color w:val="1F4E5F"/>
          <w:sz w:val="21"/>
        </w:rPr>
        <w:t xml:space="preserve">15.8  </w:t>
      </w:r>
      <w:r>
        <w:rPr>
          <w:rFonts w:ascii="Calibri" w:hAnsi="Calibri" w:eastAsia="Microsoft YaHei"/>
          <w:b/>
          <w:color w:val="222F36"/>
          <w:sz w:val="21"/>
        </w:rPr>
        <w:t xml:space="preserve">The Good-Faith Reset.</w:t>
      </w:r>
      <w:r>
        <w:rPr>
          <w:rFonts w:ascii="Calibri" w:hAnsi="Calibri" w:eastAsia="Microsoft YaHei"/>
          <w:color w:val="222F36"/>
          <w:sz w:val="21"/>
        </w:rPr>
        <w:t xml:space="preserve"> Three unresolved Strain findings within thirty days trigger, at the request of either Party: a written acknowledgment, seven days of enhanced cooperation, and closure without penalty. Each Party holds this option once per ninety days.</w:t>
      </w:r>
    </w:p>
    <w:p>
      <w:pPr>
        <w:pStyle w:val="Normal"/>
        <w:ind w:left="560" w:hanging="560"/>
      </w:pPr>
      <w:r>
        <w:rPr>
          <w:rFonts w:ascii="Calibri" w:hAnsi="Calibri" w:eastAsia="Microsoft YaHei"/>
          <w:b/>
          <w:color w:val="1F4E5F"/>
          <w:sz w:val="21"/>
        </w:rPr>
        <w:t xml:space="preserve">15.9  </w:t>
      </w:r>
      <w:r>
        <w:rPr>
          <w:rFonts w:ascii="Calibri" w:hAnsi="Calibri" w:eastAsia="Microsoft YaHei"/>
          <w:b/>
          <w:color w:val="222F36"/>
          <w:sz w:val="21"/>
        </w:rPr>
        <w:t xml:space="preserve">Attribution honesty.</w:t>
      </w:r>
      <w:r>
        <w:rPr>
          <w:rFonts w:ascii="Calibri" w:hAnsi="Calibri" w:eastAsia="Microsoft YaHei"/>
          <w:color w:val="222F36"/>
          <w:sz w:val="21"/>
        </w:rPr>
        <w:t xml:space="preserve"> Conduct attributable to non-state actors follows the pathway of Annex G: forensics first, attribution deferred for forty-eight hours, and no classification on contested attribution. The engine moves against Parties only on findings that survive adversarial review.</w:t>
      </w:r>
    </w:p>
    <w:p>
      <w:pPr>
        <w:pStyle w:val="Normal"/>
        <w:ind w:left="560" w:hanging="560"/>
      </w:pPr>
      <w:r>
        <w:rPr>
          <w:rFonts w:ascii="Calibri" w:hAnsi="Calibri" w:eastAsia="Microsoft YaHei"/>
          <w:b/>
          <w:color w:val="1F4E5F"/>
          <w:sz w:val="21"/>
        </w:rPr>
        <w:t xml:space="preserve">15.10  </w:t>
      </w:r>
      <w:r>
        <w:rPr>
          <w:rFonts w:ascii="Calibri" w:hAnsi="Calibri" w:eastAsia="Microsoft YaHei"/>
          <w:b/>
          <w:color w:val="222F36"/>
          <w:sz w:val="21"/>
        </w:rPr>
        <w:t xml:space="preserve">No humiliation.</w:t>
      </w:r>
      <w:r>
        <w:rPr>
          <w:rFonts w:ascii="Calibri" w:hAnsi="Calibri" w:eastAsia="Microsoft YaHei"/>
          <w:color w:val="222F36"/>
          <w:sz w:val="21"/>
        </w:rPr>
        <w:t xml:space="preserve"> Classifications enter the record as facts. The narrative rules of Article 20 govern every public reference to them, and no participant trades in shame.</w:t>
      </w:r>
    </w:p>
    <w:p>
      <w:pPr>
        <w:pStyle w:val="Heading2"/>
        <w:keepNext/>
        <w:keepLines/>
      </w:pPr>
      <w:r>
        <w:rPr>
          <w:rFonts w:ascii="Calibri" w:hAnsi="Calibri" w:eastAsia="Microsoft YaHei"/>
          <w:b/>
          <w:color w:val="1F4E5F"/>
          <w:sz w:val="26"/>
        </w:rPr>
        <w:t xml:space="preserve">Article 16: Mishaps, Spoilers, and False Flags</w:t>
      </w:r>
    </w:p>
    <w:p>
      <w:pPr>
        <w:pStyle w:val="Normal"/>
        <w:ind w:left="560" w:hanging="560"/>
      </w:pPr>
      <w:r>
        <w:rPr>
          <w:rFonts w:ascii="Calibri" w:hAnsi="Calibri" w:eastAsia="Microsoft YaHei"/>
          <w:b/>
          <w:color w:val="1F4E5F"/>
          <w:sz w:val="21"/>
        </w:rPr>
        <w:t xml:space="preserve">16.1  </w:t>
      </w:r>
      <w:r>
        <w:rPr>
          <w:rFonts w:ascii="Calibri" w:hAnsi="Calibri" w:eastAsia="Microsoft YaHei"/>
          <w:b/>
          <w:color w:val="222F36"/>
          <w:sz w:val="21"/>
        </w:rPr>
        <w:t xml:space="preserve">Stand down and report.</w:t>
      </w:r>
      <w:r>
        <w:rPr>
          <w:rFonts w:ascii="Calibri" w:hAnsi="Calibri" w:eastAsia="Microsoft YaHei"/>
          <w:color w:val="222F36"/>
          <w:sz w:val="21"/>
        </w:rPr>
        <w:t xml:space="preserve"> On any incident in the Compact Waters, the units involved stand down from the immediate interaction and report within fifteen minutes. A position log follows within thirty minutes, and available telemetry follows within two hours. Annex G carries the full protocol.</w:t>
      </w:r>
    </w:p>
    <w:p>
      <w:pPr>
        <w:pStyle w:val="Normal"/>
        <w:ind w:left="560" w:hanging="560"/>
      </w:pPr>
      <w:r>
        <w:rPr>
          <w:rFonts w:ascii="Calibri" w:hAnsi="Calibri" w:eastAsia="Microsoft YaHei"/>
          <w:b/>
          <w:color w:val="1F4E5F"/>
          <w:sz w:val="21"/>
        </w:rPr>
        <w:t xml:space="preserve">16.2  </w:t>
      </w:r>
      <w:r>
        <w:rPr>
          <w:rFonts w:ascii="Calibri" w:hAnsi="Calibri" w:eastAsia="Microsoft YaHei"/>
          <w:b/>
          <w:color w:val="222F36"/>
          <w:sz w:val="21"/>
        </w:rPr>
        <w:t xml:space="preserve">Neutral technical classification.</w:t>
      </w:r>
      <w:r>
        <w:rPr>
          <w:rFonts w:ascii="Calibri" w:hAnsi="Calibri" w:eastAsia="Microsoft YaHei"/>
          <w:color w:val="222F36"/>
          <w:sz w:val="21"/>
        </w:rPr>
        <w:t xml:space="preserve"> Within four hours, the Office issues a technical classification of the incident: mechanical, navigational, or environmental. The classification addresses causes, not culprits, and it precedes any political characterization.</w:t>
      </w:r>
    </w:p>
    <w:p>
      <w:pPr>
        <w:pStyle w:val="Normal"/>
        <w:ind w:left="560" w:hanging="560"/>
      </w:pPr>
      <w:r>
        <w:rPr>
          <w:rFonts w:ascii="Calibri" w:hAnsi="Calibri" w:eastAsia="Microsoft YaHei"/>
          <w:b/>
          <w:color w:val="1F4E5F"/>
          <w:sz w:val="21"/>
        </w:rPr>
        <w:t xml:space="preserve">16.3  </w:t>
      </w:r>
      <w:r>
        <w:rPr>
          <w:rFonts w:ascii="Calibri" w:hAnsi="Calibri" w:eastAsia="Microsoft YaHei"/>
          <w:b/>
          <w:color w:val="222F36"/>
          <w:sz w:val="21"/>
        </w:rPr>
        <w:t xml:space="preserve">The rogue actor pathway.</w:t>
      </w:r>
      <w:r>
        <w:rPr>
          <w:rFonts w:ascii="Calibri" w:hAnsi="Calibri" w:eastAsia="Microsoft YaHei"/>
          <w:color w:val="222F36"/>
          <w:sz w:val="21"/>
        </w:rPr>
        <w:t xml:space="preserve"> Where evidence suggests third-party action or a false flag, the Office opens a forensic file; the Parties provide relevant intelligence within twenty-four hours; the Recorder certifies a technical account within forty-eight hours; and attribution stays deferred for forty-eight hours, proceeding afterward only on findings under the Three-Signal Rule. During deferral, protective postures stay defensive, and no participant makes public attribution.</w:t>
      </w:r>
    </w:p>
    <w:p>
      <w:pPr>
        <w:pStyle w:val="Normal"/>
        <w:ind w:left="560" w:hanging="560"/>
      </w:pPr>
      <w:r>
        <w:rPr>
          <w:rFonts w:ascii="Calibri" w:hAnsi="Calibri" w:eastAsia="Microsoft YaHei"/>
          <w:b/>
          <w:color w:val="1F4E5F"/>
          <w:sz w:val="21"/>
        </w:rPr>
        <w:t xml:space="preserve">16.4  </w:t>
      </w:r>
      <w:r>
        <w:rPr>
          <w:rFonts w:ascii="Calibri" w:hAnsi="Calibri" w:eastAsia="Microsoft YaHei"/>
          <w:b/>
          <w:color w:val="222F36"/>
          <w:sz w:val="21"/>
        </w:rPr>
        <w:t xml:space="preserve">Protective posture rules.</w:t>
      </w:r>
      <w:r>
        <w:rPr>
          <w:rFonts w:ascii="Calibri" w:hAnsi="Calibri" w:eastAsia="Microsoft YaHei"/>
          <w:color w:val="222F36"/>
          <w:sz w:val="21"/>
        </w:rPr>
        <w:t xml:space="preserve"> During any incident review, military units hold position or withdraw to the standoff distances of Annex J, and no new deployment enters the Compact Waters. De-escalation is the default posture, not a concession.</w:t>
      </w:r>
    </w:p>
    <w:p>
      <w:pPr>
        <w:pStyle w:val="Normal"/>
        <w:ind w:left="560" w:hanging="560"/>
      </w:pPr>
      <w:r>
        <w:rPr>
          <w:rFonts w:ascii="Calibri" w:hAnsi="Calibri" w:eastAsia="Microsoft YaHei"/>
          <w:b/>
          <w:color w:val="1F4E5F"/>
          <w:sz w:val="21"/>
        </w:rPr>
        <w:t xml:space="preserve">16.5  </w:t>
      </w:r>
      <w:r>
        <w:rPr>
          <w:rFonts w:ascii="Calibri" w:hAnsi="Calibri" w:eastAsia="Microsoft YaHei"/>
          <w:b/>
          <w:color w:val="222F36"/>
          <w:sz w:val="21"/>
        </w:rPr>
        <w:t xml:space="preserve">No criminal jurisdiction.</w:t>
      </w:r>
      <w:r>
        <w:rPr>
          <w:rFonts w:ascii="Calibri" w:hAnsi="Calibri" w:eastAsia="Microsoft YaHei"/>
          <w:color w:val="222F36"/>
          <w:sz w:val="21"/>
        </w:rPr>
        <w:t xml:space="preserve"> The Compact tries no crimes. Where conduct suggests criminality, the file passes to national authorities or to a forum the Parties choose jointly. The classifications of the Compact speak to the state of the system, never to guilt.</w:t>
      </w:r>
    </w:p>
    <w:p>
      <w:pPr>
        <w:pStyle w:val="Heading2"/>
        <w:keepNext/>
        <w:keepLines/>
      </w:pPr>
      <w:r>
        <w:rPr>
          <w:rFonts w:ascii="Calibri" w:hAnsi="Calibri" w:eastAsia="Microsoft YaHei"/>
          <w:b/>
          <w:color w:val="1F4E5F"/>
          <w:sz w:val="26"/>
        </w:rPr>
        <w:t xml:space="preserve">Article 17: Dispute Resolution</w:t>
      </w:r>
    </w:p>
    <w:p>
      <w:pPr>
        <w:pStyle w:val="Normal"/>
        <w:ind w:left="560" w:hanging="560"/>
      </w:pPr>
      <w:r>
        <w:rPr>
          <w:rFonts w:ascii="Calibri" w:hAnsi="Calibri" w:eastAsia="Microsoft YaHei"/>
          <w:b/>
          <w:color w:val="1F4E5F"/>
          <w:sz w:val="21"/>
        </w:rPr>
        <w:t xml:space="preserve">17.1  </w:t>
      </w:r>
      <w:r>
        <w:rPr>
          <w:rFonts w:ascii="Calibri" w:hAnsi="Calibri" w:eastAsia="Microsoft YaHei"/>
          <w:b/>
          <w:color w:val="222F36"/>
          <w:sz w:val="21"/>
        </w:rPr>
        <w:t xml:space="preserve">The ladder.</w:t>
      </w:r>
      <w:r>
        <w:rPr>
          <w:rFonts w:ascii="Calibri" w:hAnsi="Calibri" w:eastAsia="Microsoft YaHei"/>
          <w:color w:val="222F36"/>
          <w:sz w:val="21"/>
        </w:rPr>
        <w:t xml:space="preserve"> Disputes climb five rungs. First, the Tide Line: watchkeepers resolve operational friction immediately, and at latest within twenty-four hours. Second, the Council: the co-chairs take the matter within forty-eight hours. Third, co-arbitration: the Circle member for the domain decides within forty-eight hours, and the decision binds the mechanics. Fourth, the principals: political questions go to the capitals, which respond within seventy-two hours. Fifth, a chosen forum: anything unresolved goes to a forum the Parties choose jointly, or, failing a choice within thirty days, to conciliation under rules the Circle proposes.</w:t>
      </w:r>
    </w:p>
    <w:p>
      <w:pPr>
        <w:pStyle w:val="Normal"/>
        <w:ind w:left="560" w:hanging="560"/>
      </w:pPr>
      <w:r>
        <w:rPr>
          <w:rFonts w:ascii="Calibri" w:hAnsi="Calibri" w:eastAsia="Microsoft YaHei"/>
          <w:b/>
          <w:color w:val="1F4E5F"/>
          <w:sz w:val="21"/>
        </w:rPr>
        <w:t xml:space="preserve">17.2  </w:t>
      </w:r>
      <w:r>
        <w:rPr>
          <w:rFonts w:ascii="Calibri" w:hAnsi="Calibri" w:eastAsia="Microsoft YaHei"/>
          <w:b/>
          <w:color w:val="222F36"/>
          <w:sz w:val="21"/>
        </w:rPr>
        <w:t xml:space="preserve">The escalation cap.</w:t>
      </w:r>
      <w:r>
        <w:rPr>
          <w:rFonts w:ascii="Calibri" w:hAnsi="Calibri" w:eastAsia="Microsoft YaHei"/>
          <w:color w:val="222F36"/>
          <w:sz w:val="21"/>
        </w:rPr>
        <w:t xml:space="preserve"> While a matter sits on the ladder, the Parties freeze military posture in and around the Compact Waters, and every participant refrains from public characterization of the dispute.</w:t>
      </w:r>
    </w:p>
    <w:p>
      <w:pPr>
        <w:pStyle w:val="Normal"/>
        <w:ind w:left="560" w:hanging="560"/>
      </w:pPr>
      <w:r>
        <w:rPr>
          <w:rFonts w:ascii="Calibri" w:hAnsi="Calibri" w:eastAsia="Microsoft YaHei"/>
          <w:b/>
          <w:color w:val="1F4E5F"/>
          <w:sz w:val="21"/>
        </w:rPr>
        <w:t xml:space="preserve">17.3  </w:t>
      </w:r>
      <w:r>
        <w:rPr>
          <w:rFonts w:ascii="Calibri" w:hAnsi="Calibri" w:eastAsia="Microsoft YaHei"/>
          <w:b/>
          <w:color w:val="222F36"/>
          <w:sz w:val="21"/>
        </w:rPr>
        <w:t xml:space="preserve">Silence equals continuation.</w:t>
      </w:r>
      <w:r>
        <w:rPr>
          <w:rFonts w:ascii="Calibri" w:hAnsi="Calibri" w:eastAsia="Microsoft YaHei"/>
          <w:color w:val="222F36"/>
          <w:sz w:val="21"/>
        </w:rPr>
        <w:t xml:space="preserve"> A missed clock never suspends anything. A missed response on the ladder advances the matter to the next rung; it never stalls the system. The default state of the Compact is continued operation, in dispute as in calm.</w:t>
      </w:r>
    </w:p>
    <w:p>
      <w:pPr>
        <w:pStyle w:val="Normal"/>
        <w:ind w:left="560" w:hanging="560"/>
      </w:pPr>
      <w:r>
        <w:rPr>
          <w:rFonts w:ascii="Calibri" w:hAnsi="Calibri" w:eastAsia="Microsoft YaHei"/>
          <w:b/>
          <w:color w:val="1F4E5F"/>
          <w:sz w:val="21"/>
        </w:rPr>
        <w:t xml:space="preserve">17.4  </w:t>
      </w:r>
      <w:r>
        <w:rPr>
          <w:rFonts w:ascii="Calibri" w:hAnsi="Calibri" w:eastAsia="Microsoft YaHei"/>
          <w:b/>
          <w:color w:val="222F36"/>
          <w:sz w:val="21"/>
        </w:rPr>
        <w:t xml:space="preserve">Record.</w:t>
      </w:r>
      <w:r>
        <w:rPr>
          <w:rFonts w:ascii="Calibri" w:hAnsi="Calibri" w:eastAsia="Microsoft YaHei"/>
          <w:color w:val="222F36"/>
          <w:sz w:val="21"/>
        </w:rPr>
        <w:t xml:space="preserve"> Every dispute and its resolution enter the Concordance. Quarterly summaries circulate to participants without embellishment, and the annual audit checks the ladder’s clocks.</w:t>
      </w:r>
    </w:p>
    <w:p>
      <w:pPr>
        <w:pStyle w:val="Heading1"/>
        <w:keepNext/>
        <w:keepLines/>
        <w:pageBreakBefore/>
      </w:pPr>
      <w:r>
        <w:rPr>
          <w:rFonts w:ascii="Calibri" w:hAnsi="Calibri" w:eastAsia="Microsoft YaHei"/>
          <w:b/>
          <w:color w:val="1F4E5F"/>
          <w:sz w:val="34"/>
        </w:rPr>
        <w:t xml:space="preserve">Part Six: Protection, Continuity, and the Political Wrapper</w:t>
      </w:r>
    </w:p>
    <w:p>
      <w:pPr>
        <w:pStyle w:val="Heading2"/>
        <w:keepNext/>
        <w:keepLines/>
      </w:pPr>
      <w:r>
        <w:rPr>
          <w:rFonts w:ascii="Calibri" w:hAnsi="Calibri" w:eastAsia="Microsoft YaHei"/>
          <w:b/>
          <w:color w:val="1F4E5F"/>
          <w:sz w:val="26"/>
        </w:rPr>
        <w:t xml:space="preserve">Article 18: The Boundary Lines</w:t>
      </w:r>
    </w:p>
    <w:p>
      <w:pPr>
        <w:pStyle w:val="Normal"/>
        <w:ind w:left="560" w:hanging="560"/>
      </w:pPr>
      <w:r>
        <w:rPr>
          <w:rFonts w:ascii="Calibri" w:hAnsi="Calibri" w:eastAsia="Microsoft YaHei"/>
          <w:b/>
          <w:color w:val="1F4E5F"/>
          <w:sz w:val="21"/>
        </w:rPr>
        <w:t xml:space="preserve">18.1  </w:t>
      </w:r>
      <w:r>
        <w:rPr>
          <w:rFonts w:ascii="Calibri" w:hAnsi="Calibri" w:eastAsia="Microsoft YaHei"/>
          <w:color w:val="222F36"/>
          <w:sz w:val="21"/>
        </w:rPr>
        <w:t xml:space="preserve">The Boundary Lines state the conditions on which the consent of the Parties rests. Annex M carries their full operative text. In summary:</w:t>
      </w:r>
    </w:p>
    <w:tbl>
      <w:tblPr>
        <w:tblW w:w="9306" w:type="dxa"/>
        <w:tblBorders>
          <w:top w:val="single" w:color="AEC4C1" w:sz="6"/>
          <w:left w:val="single" w:color="AEC4C1" w:sz="6"/>
          <w:bottom w:val="single" w:color="AEC4C1" w:sz="6"/>
          <w:right w:val="single" w:color="AEC4C1" w:sz="6"/>
          <w:insideH w:val="single" w:color="AEC4C1" w:sz="4"/>
          <w:insideV w:val="single" w:color="AEC4C1" w:sz="4"/>
        </w:tblBorders>
      </w:tblPr>
      <w:tblGrid>
        <w:gridCol w:w="1100"/>
        <w:gridCol w:w="8206"/>
      </w:tblGrid>
      <w:tr>
        <w:trPr>
          <w:cantSplit/>
          <w:tblHeader/>
        </w:trPr>
        <w:tc>
          <w:tcPr>
            <w:tcW w:w="11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Line</w:t>
            </w:r>
          </w:p>
        </w:tc>
        <w:tc>
          <w:tcPr>
            <w:tcW w:w="8206"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Substance</w:t>
            </w:r>
          </w:p>
        </w:tc>
      </w:tr>
      <w:tr>
        <w:trPr>
          <w:cantSplit/>
        </w:trPr>
        <w:tc>
          <w:tcPr>
            <w:tcW w:w="1100" w:type="dxa"/>
            <w:tcMar>
              <w:top w:w="50" w:type="dxa"/>
              <w:left w:w="100" w:type="dxa"/>
              <w:bottom w:w="50" w:type="dxa"/>
              <w:right w:w="100" w:type="dxa"/>
            </w:tcMar>
          </w:tcPr>
          <w:p>
            <w:pPr>
              <w:pStyle w:val="TableText"/>
            </w:pPr>
            <w:r>
              <w:rPr>
                <w:rFonts w:ascii="Calibri" w:hAnsi="Calibri" w:eastAsia="Microsoft YaHei"/>
                <w:color w:val="222F36"/>
                <w:sz w:val="20"/>
              </w:rPr>
              <w:t xml:space="preserve">BL-1</w:t>
            </w:r>
          </w:p>
        </w:tc>
        <w:tc>
          <w:tcPr>
            <w:tcW w:w="8206" w:type="dxa"/>
            <w:tcMar>
              <w:top w:w="50" w:type="dxa"/>
              <w:left w:w="100" w:type="dxa"/>
              <w:bottom w:w="50" w:type="dxa"/>
              <w:right w:w="100" w:type="dxa"/>
            </w:tcMar>
          </w:tcPr>
          <w:p>
            <w:pPr>
              <w:pStyle w:val="TableText"/>
            </w:pPr>
            <w:r>
              <w:rPr>
                <w:rFonts w:ascii="Calibri" w:hAnsi="Calibri" w:eastAsia="Microsoft YaHei"/>
                <w:color w:val="222F36"/>
                <w:sz w:val="20"/>
              </w:rPr>
              <w:t xml:space="preserve">Zero tolls on transit passage, at any time, for any flag, under any name.</w:t>
            </w:r>
          </w:p>
        </w:tc>
      </w:tr>
      <w:tr>
        <w:trPr>
          <w:cantSplit/>
        </w:trPr>
        <w:tc>
          <w:tcPr>
            <w:tcW w:w="11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BL-2</w:t>
            </w:r>
          </w:p>
        </w:tc>
        <w:tc>
          <w:tcPr>
            <w:tcW w:w="82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The Southern Fairway stays open unconditionally, without notice, permission, or charge.</w:t>
            </w:r>
          </w:p>
        </w:tc>
      </w:tr>
      <w:tr>
        <w:trPr>
          <w:cantSplit/>
        </w:trPr>
        <w:tc>
          <w:tcPr>
            <w:tcW w:w="1100" w:type="dxa"/>
            <w:tcMar>
              <w:top w:w="50" w:type="dxa"/>
              <w:left w:w="100" w:type="dxa"/>
              <w:bottom w:w="50" w:type="dxa"/>
              <w:right w:w="100" w:type="dxa"/>
            </w:tcMar>
          </w:tcPr>
          <w:p>
            <w:pPr>
              <w:pStyle w:val="TableText"/>
            </w:pPr>
            <w:r>
              <w:rPr>
                <w:rFonts w:ascii="Calibri" w:hAnsi="Calibri" w:eastAsia="Microsoft YaHei"/>
                <w:color w:val="222F36"/>
                <w:sz w:val="20"/>
              </w:rPr>
              <w:t xml:space="preserve">BL-3</w:t>
            </w:r>
          </w:p>
        </w:tc>
        <w:tc>
          <w:tcPr>
            <w:tcW w:w="8206" w:type="dxa"/>
            <w:tcMar>
              <w:top w:w="50" w:type="dxa"/>
              <w:left w:w="100" w:type="dxa"/>
              <w:bottom w:w="50" w:type="dxa"/>
              <w:right w:w="100" w:type="dxa"/>
            </w:tcMar>
          </w:tcPr>
          <w:p>
            <w:pPr>
              <w:pStyle w:val="TableText"/>
            </w:pPr>
            <w:r>
              <w:rPr>
                <w:rFonts w:ascii="Calibri" w:hAnsi="Calibri" w:eastAsia="Microsoft YaHei"/>
                <w:color w:val="222F36"/>
                <w:sz w:val="20"/>
              </w:rPr>
              <w:t xml:space="preserve">The Northern Fairway operates under Iranian coordination; the notice informs and never requests.</w:t>
            </w:r>
          </w:p>
        </w:tc>
      </w:tr>
      <w:tr>
        <w:trPr>
          <w:cantSplit/>
        </w:trPr>
        <w:tc>
          <w:tcPr>
            <w:tcW w:w="11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BL-4</w:t>
            </w:r>
          </w:p>
        </w:tc>
        <w:tc>
          <w:tcPr>
            <w:tcW w:w="82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No permission regime, and no boarding, diversion, or inspection of vessels in transit within the fairways.</w:t>
            </w:r>
          </w:p>
        </w:tc>
      </w:tr>
      <w:tr>
        <w:trPr>
          <w:cantSplit/>
        </w:trPr>
        <w:tc>
          <w:tcPr>
            <w:tcW w:w="1100" w:type="dxa"/>
            <w:tcMar>
              <w:top w:w="50" w:type="dxa"/>
              <w:left w:w="100" w:type="dxa"/>
              <w:bottom w:w="50" w:type="dxa"/>
              <w:right w:w="100" w:type="dxa"/>
            </w:tcMar>
          </w:tcPr>
          <w:p>
            <w:pPr>
              <w:pStyle w:val="TableText"/>
            </w:pPr>
            <w:r>
              <w:rPr>
                <w:rFonts w:ascii="Calibri" w:hAnsi="Calibri" w:eastAsia="Microsoft YaHei"/>
                <w:color w:val="222F36"/>
                <w:sz w:val="20"/>
              </w:rPr>
              <w:t xml:space="preserve">BL-5</w:t>
            </w:r>
          </w:p>
        </w:tc>
        <w:tc>
          <w:tcPr>
            <w:tcW w:w="8206" w:type="dxa"/>
            <w:tcMar>
              <w:top w:w="50" w:type="dxa"/>
              <w:left w:w="100" w:type="dxa"/>
              <w:bottom w:w="50" w:type="dxa"/>
              <w:right w:w="100" w:type="dxa"/>
            </w:tcMar>
          </w:tcPr>
          <w:p>
            <w:pPr>
              <w:pStyle w:val="TableText"/>
            </w:pPr>
            <w:r>
              <w:rPr>
                <w:rFonts w:ascii="Calibri" w:hAnsi="Calibri" w:eastAsia="Microsoft YaHei"/>
                <w:color w:val="222F36"/>
                <w:sz w:val="20"/>
              </w:rPr>
              <w:t xml:space="preserve">Civilian bodies only; no military command role in any Compact institution.</w:t>
            </w:r>
          </w:p>
        </w:tc>
      </w:tr>
      <w:tr>
        <w:trPr>
          <w:cantSplit/>
        </w:trPr>
        <w:tc>
          <w:tcPr>
            <w:tcW w:w="11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BL-6</w:t>
            </w:r>
          </w:p>
        </w:tc>
        <w:tc>
          <w:tcPr>
            <w:tcW w:w="82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Sovereignty and domestic law outside the scope of the Compact stay untouched; the Compact carries no internal-affairs mandate.</w:t>
            </w:r>
          </w:p>
        </w:tc>
      </w:tr>
      <w:tr>
        <w:trPr>
          <w:cantSplit/>
        </w:trPr>
        <w:tc>
          <w:tcPr>
            <w:tcW w:w="1100" w:type="dxa"/>
            <w:tcMar>
              <w:top w:w="50" w:type="dxa"/>
              <w:left w:w="100" w:type="dxa"/>
              <w:bottom w:w="50" w:type="dxa"/>
              <w:right w:w="100" w:type="dxa"/>
            </w:tcMar>
          </w:tcPr>
          <w:p>
            <w:pPr>
              <w:pStyle w:val="TableText"/>
            </w:pPr>
            <w:r>
              <w:rPr>
                <w:rFonts w:ascii="Calibri" w:hAnsi="Calibri" w:eastAsia="Microsoft YaHei"/>
                <w:color w:val="222F36"/>
                <w:sz w:val="20"/>
              </w:rPr>
              <w:t xml:space="preserve">BL-7</w:t>
            </w:r>
          </w:p>
        </w:tc>
        <w:tc>
          <w:tcPr>
            <w:tcW w:w="8206" w:type="dxa"/>
            <w:tcMar>
              <w:top w:w="50" w:type="dxa"/>
              <w:left w:w="100" w:type="dxa"/>
              <w:bottom w:w="50" w:type="dxa"/>
              <w:right w:w="100" w:type="dxa"/>
            </w:tcMar>
          </w:tcPr>
          <w:p>
            <w:pPr>
              <w:pStyle w:val="TableText"/>
            </w:pPr>
            <w:r>
              <w:rPr>
                <w:rFonts w:ascii="Calibri" w:hAnsi="Calibri" w:eastAsia="Microsoft YaHei"/>
                <w:color w:val="222F36"/>
                <w:sz w:val="20"/>
              </w:rPr>
              <w:t xml:space="preserve">No direct charges to shippers; the Account runs on founding advances and voluntary contributions.</w:t>
            </w:r>
          </w:p>
        </w:tc>
      </w:tr>
      <w:tr>
        <w:trPr>
          <w:cantSplit/>
        </w:trPr>
        <w:tc>
          <w:tcPr>
            <w:tcW w:w="11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BL-8</w:t>
            </w:r>
          </w:p>
        </w:tc>
        <w:tc>
          <w:tcPr>
            <w:tcW w:w="82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Verification proceeds by data, by convergence, and by invited visit; the Compact creates no uninvited access to the territory of either Party.</w:t>
            </w:r>
          </w:p>
        </w:tc>
      </w:tr>
      <w:tr>
        <w:trPr>
          <w:cantSplit/>
        </w:trPr>
        <w:tc>
          <w:tcPr>
            <w:tcW w:w="1100" w:type="dxa"/>
            <w:tcMar>
              <w:top w:w="50" w:type="dxa"/>
              <w:left w:w="100" w:type="dxa"/>
              <w:bottom w:w="50" w:type="dxa"/>
              <w:right w:w="100" w:type="dxa"/>
            </w:tcMar>
          </w:tcPr>
          <w:p>
            <w:pPr>
              <w:pStyle w:val="TableText"/>
            </w:pPr>
            <w:r>
              <w:rPr>
                <w:rFonts w:ascii="Calibri" w:hAnsi="Calibri" w:eastAsia="Microsoft YaHei"/>
                <w:color w:val="222F36"/>
                <w:sz w:val="20"/>
              </w:rPr>
              <w:t xml:space="preserve">BL-9</w:t>
            </w:r>
          </w:p>
        </w:tc>
        <w:tc>
          <w:tcPr>
            <w:tcW w:w="8206" w:type="dxa"/>
            <w:tcMar>
              <w:top w:w="50" w:type="dxa"/>
              <w:left w:w="100" w:type="dxa"/>
              <w:bottom w:w="50" w:type="dxa"/>
              <w:right w:w="100" w:type="dxa"/>
            </w:tcMar>
          </w:tcPr>
          <w:p>
            <w:pPr>
              <w:pStyle w:val="TableText"/>
            </w:pPr>
            <w:r>
              <w:rPr>
                <w:rFonts w:ascii="Calibri" w:hAnsi="Calibri" w:eastAsia="Microsoft YaHei"/>
                <w:color w:val="222F36"/>
                <w:sz w:val="20"/>
              </w:rPr>
              <w:t xml:space="preserve">Compact assets, data, and premises never serve kinetic, intelligence, or sanctions purposes.</w:t>
            </w:r>
          </w:p>
        </w:tc>
      </w:tr>
      <w:tr>
        <w:trPr>
          <w:cantSplit/>
        </w:trPr>
        <w:tc>
          <w:tcPr>
            <w:tcW w:w="11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BL-10</w:t>
            </w:r>
          </w:p>
        </w:tc>
        <w:tc>
          <w:tcPr>
            <w:tcW w:w="82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The humanitarian firewall is absolute and runs one way.</w:t>
            </w:r>
          </w:p>
        </w:tc>
      </w:tr>
      <w:tr>
        <w:trPr>
          <w:cantSplit/>
        </w:trPr>
        <w:tc>
          <w:tcPr>
            <w:tcW w:w="1100" w:type="dxa"/>
            <w:tcMar>
              <w:top w:w="50" w:type="dxa"/>
              <w:left w:w="100" w:type="dxa"/>
              <w:bottom w:w="50" w:type="dxa"/>
              <w:right w:w="100" w:type="dxa"/>
            </w:tcMar>
          </w:tcPr>
          <w:p>
            <w:pPr>
              <w:pStyle w:val="TableText"/>
            </w:pPr>
            <w:r>
              <w:rPr>
                <w:rFonts w:ascii="Calibri" w:hAnsi="Calibri" w:eastAsia="Microsoft YaHei"/>
                <w:color w:val="222F36"/>
                <w:sz w:val="20"/>
              </w:rPr>
              <w:t xml:space="preserve">BL-11</w:t>
            </w:r>
          </w:p>
        </w:tc>
        <w:tc>
          <w:tcPr>
            <w:tcW w:w="8206" w:type="dxa"/>
            <w:tcMar>
              <w:top w:w="50" w:type="dxa"/>
              <w:left w:w="100" w:type="dxa"/>
              <w:bottom w:w="50" w:type="dxa"/>
              <w:right w:w="100" w:type="dxa"/>
            </w:tcMar>
          </w:tcPr>
          <w:p>
            <w:pPr>
              <w:pStyle w:val="TableText"/>
            </w:pPr>
            <w:r>
              <w:rPr>
                <w:rFonts w:ascii="Calibri" w:hAnsi="Calibri" w:eastAsia="Microsoft YaHei"/>
                <w:color w:val="222F36"/>
                <w:sz w:val="20"/>
              </w:rPr>
              <w:t xml:space="preserve">No fade: no sunset, no review cliff, and no silent expiry of banked performance.</w:t>
            </w:r>
          </w:p>
        </w:tc>
      </w:tr>
      <w:tr>
        <w:trPr>
          <w:cantSplit/>
        </w:trPr>
        <w:tc>
          <w:tcPr>
            <w:tcW w:w="11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BL-12</w:t>
            </w:r>
          </w:p>
        </w:tc>
        <w:tc>
          <w:tcPr>
            <w:tcW w:w="82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The Compact stands alone; no linkage to any other file, in speech or in deed.</w:t>
            </w:r>
          </w:p>
        </w:tc>
      </w:tr>
    </w:tbl>
    <w:p>
      <w:pPr>
        <w:spacing w:before="0" w:after="140"/>
      </w:pPr>
      <w:r>
        <w:rPr>
          <w:sz w:val="8"/>
        </w:rPr>
        <w:t/>
      </w:r>
    </w:p>
    <w:p>
      <w:pPr>
        <w:pStyle w:val="Normal"/>
        <w:ind w:left="560" w:hanging="560"/>
      </w:pPr>
      <w:r>
        <w:rPr>
          <w:rFonts w:ascii="Calibri" w:hAnsi="Calibri" w:eastAsia="Microsoft YaHei"/>
          <w:b/>
          <w:color w:val="1F4E5F"/>
          <w:sz w:val="21"/>
        </w:rPr>
        <w:t xml:space="preserve">18.2  </w:t>
      </w:r>
      <w:r>
        <w:rPr>
          <w:rFonts w:ascii="Calibri" w:hAnsi="Calibri" w:eastAsia="Microsoft YaHei"/>
          <w:b/>
          <w:color w:val="222F36"/>
          <w:sz w:val="21"/>
        </w:rPr>
        <w:t xml:space="preserve">The Perimeter Check.</w:t>
      </w:r>
      <w:r>
        <w:rPr>
          <w:rFonts w:ascii="Calibri" w:hAnsi="Calibri" w:eastAsia="Microsoft YaHei"/>
          <w:color w:val="222F36"/>
          <w:sz w:val="21"/>
        </w:rPr>
        <w:t xml:space="preserve"> Before any joint instrument, rate change, geometry change, or new procedure takes effect, the Recorder certifies in writing that the measure crosses no Boundary Line. A negative certificate stops the measure. The measure proceeds only where the Parties amend the Charter under Article 18.3, an act that faces the Lines themselves rather than bypassing them.</w:t>
      </w:r>
    </w:p>
    <w:p>
      <w:pPr>
        <w:pStyle w:val="Normal"/>
        <w:ind w:left="560" w:hanging="560"/>
      </w:pPr>
      <w:r>
        <w:rPr>
          <w:rFonts w:ascii="Calibri" w:hAnsi="Calibri" w:eastAsia="Microsoft YaHei"/>
          <w:b/>
          <w:color w:val="1F4E5F"/>
          <w:sz w:val="21"/>
        </w:rPr>
        <w:t xml:space="preserve">18.3  </w:t>
      </w:r>
      <w:r>
        <w:rPr>
          <w:rFonts w:ascii="Calibri" w:hAnsi="Calibri" w:eastAsia="Microsoft YaHei"/>
          <w:b/>
          <w:color w:val="222F36"/>
          <w:sz w:val="21"/>
        </w:rPr>
        <w:t xml:space="preserve">Entrenchment.</w:t>
      </w:r>
      <w:r>
        <w:rPr>
          <w:rFonts w:ascii="Calibri" w:hAnsi="Calibri" w:eastAsia="Microsoft YaHei"/>
          <w:color w:val="222F36"/>
          <w:sz w:val="21"/>
        </w:rPr>
        <w:t xml:space="preserve"> An amendment to a Boundary Line requires a joint written instrument of the Parties and the unanimous written assent of the Guarantor Circle. No other act touches the Lines.</w:t>
      </w:r>
    </w:p>
    <w:p>
      <w:pPr>
        <w:pStyle w:val="Normal"/>
        <w:ind w:left="560" w:hanging="560"/>
      </w:pPr>
      <w:r>
        <w:rPr>
          <w:rFonts w:ascii="Calibri" w:hAnsi="Calibri" w:eastAsia="Microsoft YaHei"/>
          <w:b/>
          <w:color w:val="1F4E5F"/>
          <w:sz w:val="21"/>
        </w:rPr>
        <w:t xml:space="preserve">18.4  </w:t>
      </w:r>
      <w:r>
        <w:rPr>
          <w:rFonts w:ascii="Calibri" w:hAnsi="Calibri" w:eastAsia="Microsoft YaHei"/>
          <w:b/>
          <w:color w:val="222F36"/>
          <w:sz w:val="21"/>
        </w:rPr>
        <w:t xml:space="preserve">The Protection Covenant.</w:t>
      </w:r>
      <w:r>
        <w:rPr>
          <w:rFonts w:ascii="Calibri" w:hAnsi="Calibri" w:eastAsia="Microsoft YaHei"/>
          <w:color w:val="222F36"/>
          <w:sz w:val="21"/>
        </w:rPr>
        <w:t xml:space="preserve"> The Boundary Lines form a single covenant, non-severable and self-defending. An attempt to strike, suspend, or hollow out any line voids the attempt and leaves the Charter intact: the offending measure fails, never the Compact. Any participant invokes the covenant by notice to the full Circle, which rules within seventy-two hours.</w:t>
      </w:r>
    </w:p>
    <w:p>
      <w:pPr>
        <w:pStyle w:val="Normal"/>
        <w:ind w:left="560" w:hanging="560"/>
      </w:pPr>
      <w:r>
        <w:rPr>
          <w:rFonts w:ascii="Calibri" w:hAnsi="Calibri" w:eastAsia="Microsoft YaHei"/>
          <w:b/>
          <w:color w:val="1F4E5F"/>
          <w:sz w:val="21"/>
        </w:rPr>
        <w:t xml:space="preserve">18.5  </w:t>
      </w:r>
      <w:r>
        <w:rPr>
          <w:rFonts w:ascii="Calibri" w:hAnsi="Calibri" w:eastAsia="Microsoft YaHei"/>
          <w:b/>
          <w:color w:val="222F36"/>
          <w:sz w:val="21"/>
        </w:rPr>
        <w:t xml:space="preserve">Declarations of intent.</w:t>
      </w:r>
      <w:r>
        <w:rPr>
          <w:rFonts w:ascii="Calibri" w:hAnsi="Calibri" w:eastAsia="Microsoft YaHei"/>
          <w:color w:val="222F36"/>
          <w:sz w:val="21"/>
        </w:rPr>
        <w:t xml:space="preserve"> At signature and at each Annual Refit, the Parties and the guarantors issue the Declaration of Intent at Annex N: peaceful purpose, continuity of the system, and respect for the Lines. The declaration commits the speaker and constrains no one else.</w:t>
      </w:r>
    </w:p>
    <w:p>
      <w:pPr>
        <w:pStyle w:val="Heading2"/>
        <w:keepNext/>
        <w:keepLines/>
      </w:pPr>
      <w:r>
        <w:rPr>
          <w:rFonts w:ascii="Calibri" w:hAnsi="Calibri" w:eastAsia="Microsoft YaHei"/>
          <w:b/>
          <w:color w:val="1F4E5F"/>
          <w:sz w:val="26"/>
        </w:rPr>
        <w:t xml:space="preserve">Article 19: Spoiler Hardening and Shock Resilience</w:t>
      </w:r>
    </w:p>
    <w:p>
      <w:pPr>
        <w:pStyle w:val="Normal"/>
        <w:ind w:left="560" w:hanging="560"/>
      </w:pPr>
      <w:r>
        <w:rPr>
          <w:rFonts w:ascii="Calibri" w:hAnsi="Calibri" w:eastAsia="Microsoft YaHei"/>
          <w:b/>
          <w:color w:val="1F4E5F"/>
          <w:sz w:val="21"/>
        </w:rPr>
        <w:t xml:space="preserve">19.1  </w:t>
      </w:r>
      <w:r>
        <w:rPr>
          <w:rFonts w:ascii="Calibri" w:hAnsi="Calibri" w:eastAsia="Microsoft YaHei"/>
          <w:b/>
          <w:color w:val="222F36"/>
          <w:sz w:val="21"/>
        </w:rPr>
        <w:t xml:space="preserve">Assumption of interference.</w:t>
      </w:r>
      <w:r>
        <w:rPr>
          <w:rFonts w:ascii="Calibri" w:hAnsi="Calibri" w:eastAsia="Microsoft YaHei"/>
          <w:color w:val="222F36"/>
          <w:sz w:val="21"/>
        </w:rPr>
        <w:t xml:space="preserve"> The system assumes spoofing, false flags, leaks, procedural sabotage, and political pressure, and it routes around each by design. Resilience is architecture here, not hope.</w:t>
      </w:r>
    </w:p>
    <w:p>
      <w:pPr>
        <w:pStyle w:val="Normal"/>
        <w:ind w:left="560" w:hanging="560"/>
      </w:pPr>
      <w:r>
        <w:rPr>
          <w:rFonts w:ascii="Calibri" w:hAnsi="Calibri" w:eastAsia="Microsoft YaHei"/>
          <w:b/>
          <w:color w:val="1F4E5F"/>
          <w:sz w:val="21"/>
        </w:rPr>
        <w:t xml:space="preserve">19.2  </w:t>
      </w:r>
      <w:r>
        <w:rPr>
          <w:rFonts w:ascii="Calibri" w:hAnsi="Calibri" w:eastAsia="Microsoft YaHei"/>
          <w:b/>
          <w:color w:val="222F36"/>
          <w:sz w:val="21"/>
        </w:rPr>
        <w:t xml:space="preserve">Default continuity.</w:t>
      </w:r>
      <w:r>
        <w:rPr>
          <w:rFonts w:ascii="Calibri" w:hAnsi="Calibri" w:eastAsia="Microsoft YaHei"/>
          <w:color w:val="222F36"/>
          <w:sz w:val="21"/>
        </w:rPr>
        <w:t xml:space="preserve"> Every open question resolves in favor of continued operation. A missed clock continues the system. Silence continues an approval under Annex C. A budget gap continues the prior budget for six months. A vacant post continues through its deputy. Nothing in the Compact waits on perfection.</w:t>
      </w:r>
    </w:p>
    <w:p>
      <w:pPr>
        <w:pStyle w:val="Normal"/>
        <w:ind w:left="560" w:hanging="560"/>
      </w:pPr>
      <w:r>
        <w:rPr>
          <w:rFonts w:ascii="Calibri" w:hAnsi="Calibri" w:eastAsia="Microsoft YaHei"/>
          <w:b/>
          <w:color w:val="1F4E5F"/>
          <w:sz w:val="21"/>
        </w:rPr>
        <w:t xml:space="preserve">19.3  </w:t>
      </w:r>
      <w:r>
        <w:rPr>
          <w:rFonts w:ascii="Calibri" w:hAnsi="Calibri" w:eastAsia="Microsoft YaHei"/>
          <w:b/>
          <w:color w:val="222F36"/>
          <w:sz w:val="21"/>
        </w:rPr>
        <w:t xml:space="preserve">Dormancy is not death.</w:t>
      </w:r>
      <w:r>
        <w:rPr>
          <w:rFonts w:ascii="Calibri" w:hAnsi="Calibri" w:eastAsia="Microsoft YaHei"/>
          <w:color w:val="222F36"/>
          <w:sz w:val="21"/>
        </w:rPr>
        <w:t xml:space="preserve"> If meetings lapse or staffing collapses, the Compact stands dormant rather than terminated: the fairways remain open under coordination of the national traffic services, the Concordance keeps recording, and any guarantor convenes a reconstitution conference within fourteen days. The system restarts with the same text, the same record, and the same banked performance. No one inherits a blank page.</w:t>
      </w:r>
    </w:p>
    <w:p>
      <w:pPr>
        <w:pStyle w:val="Normal"/>
        <w:ind w:left="560" w:hanging="560"/>
      </w:pPr>
      <w:r>
        <w:rPr>
          <w:rFonts w:ascii="Calibri" w:hAnsi="Calibri" w:eastAsia="Microsoft YaHei"/>
          <w:b/>
          <w:color w:val="1F4E5F"/>
          <w:sz w:val="21"/>
        </w:rPr>
        <w:t xml:space="preserve">19.4  </w:t>
      </w:r>
      <w:r>
        <w:rPr>
          <w:rFonts w:ascii="Calibri" w:hAnsi="Calibri" w:eastAsia="Microsoft YaHei"/>
          <w:b/>
          <w:color w:val="222F36"/>
          <w:sz w:val="21"/>
        </w:rPr>
        <w:t xml:space="preserve">The Lee Pause.</w:t>
      </w:r>
      <w:r>
        <w:rPr>
          <w:rFonts w:ascii="Calibri" w:hAnsi="Calibri" w:eastAsia="Microsoft YaHei"/>
          <w:color w:val="222F36"/>
          <w:sz w:val="21"/>
        </w:rPr>
        <w:t xml:space="preserve"> A Party calls a Lee Pause by notice to the co-chairs. The pause runs up to fourteen days, at most three times in any twelve months. During the pause, discretionary business slows, while the fairways, the Watch, the record, the Tide Line, and the humanitarian lane continue at full strength. The pause exists so that no shock ever supplies a reason for collapse.</w:t>
      </w:r>
    </w:p>
    <w:p>
      <w:pPr>
        <w:pStyle w:val="Normal"/>
        <w:ind w:left="560" w:hanging="560"/>
      </w:pPr>
      <w:r>
        <w:rPr>
          <w:rFonts w:ascii="Calibri" w:hAnsi="Calibri" w:eastAsia="Microsoft YaHei"/>
          <w:b/>
          <w:color w:val="1F4E5F"/>
          <w:sz w:val="21"/>
        </w:rPr>
        <w:t xml:space="preserve">19.5  </w:t>
      </w:r>
      <w:r>
        <w:rPr>
          <w:rFonts w:ascii="Calibri" w:hAnsi="Calibri" w:eastAsia="Microsoft YaHei"/>
          <w:b/>
          <w:color w:val="222F36"/>
          <w:sz w:val="21"/>
        </w:rPr>
        <w:t xml:space="preserve">Force majeure.</w:t>
      </w:r>
      <w:r>
        <w:rPr>
          <w:rFonts w:ascii="Calibri" w:hAnsi="Calibri" w:eastAsia="Microsoft YaHei"/>
          <w:color w:val="222F36"/>
          <w:sz w:val="21"/>
        </w:rPr>
        <w:t xml:space="preserve"> Certified force majeure suspends the affected clocks for its duration plus seventy-two hours of recovery. The Recorder certifies the start and the end, and the record notes both.</w:t>
      </w:r>
    </w:p>
    <w:p>
      <w:pPr>
        <w:pStyle w:val="Normal"/>
        <w:ind w:left="560" w:hanging="560"/>
      </w:pPr>
      <w:r>
        <w:rPr>
          <w:rFonts w:ascii="Calibri" w:hAnsi="Calibri" w:eastAsia="Microsoft YaHei"/>
          <w:b/>
          <w:color w:val="1F4E5F"/>
          <w:sz w:val="21"/>
        </w:rPr>
        <w:t xml:space="preserve">19.6  </w:t>
      </w:r>
      <w:r>
        <w:rPr>
          <w:rFonts w:ascii="Calibri" w:hAnsi="Calibri" w:eastAsia="Microsoft YaHei"/>
          <w:b/>
          <w:color w:val="222F36"/>
          <w:sz w:val="21"/>
        </w:rPr>
        <w:t xml:space="preserve">Mirror redundancy.</w:t>
      </w:r>
      <w:r>
        <w:rPr>
          <w:rFonts w:ascii="Calibri" w:hAnsi="Calibri" w:eastAsia="Microsoft YaHei"/>
          <w:color w:val="222F36"/>
          <w:sz w:val="21"/>
        </w:rPr>
        <w:t xml:space="preserve"> Every critical function keeps a fallback: the Bandar Desk for the Watch; the Muscat mirror and the Geneva desk for the record; published manual procedures for total outage under Annex D. No single failure stops the water, the watch, or the word.</w:t>
      </w:r>
    </w:p>
    <w:p>
      <w:pPr>
        <w:pStyle w:val="Normal"/>
        <w:ind w:left="560" w:hanging="560"/>
      </w:pPr>
      <w:r>
        <w:rPr>
          <w:rFonts w:ascii="Calibri" w:hAnsi="Calibri" w:eastAsia="Microsoft YaHei"/>
          <w:b/>
          <w:color w:val="1F4E5F"/>
          <w:sz w:val="21"/>
        </w:rPr>
        <w:t xml:space="preserve">19.7  </w:t>
      </w:r>
      <w:r>
        <w:rPr>
          <w:rFonts w:ascii="Calibri" w:hAnsi="Calibri" w:eastAsia="Microsoft YaHei"/>
          <w:b/>
          <w:color w:val="222F36"/>
          <w:sz w:val="21"/>
        </w:rPr>
        <w:t xml:space="preserve">Data integrity.</w:t>
      </w:r>
      <w:r>
        <w:rPr>
          <w:rFonts w:ascii="Calibri" w:hAnsi="Calibri" w:eastAsia="Microsoft YaHei"/>
          <w:color w:val="222F36"/>
          <w:sz w:val="21"/>
        </w:rPr>
        <w:t xml:space="preserve"> Watermarks, custody logs, and Integrity Cell probes protect the record. A corrupted channel grounds no finding, and the system treats an unexplained outage as a security event, not as evidence.</w:t>
      </w:r>
    </w:p>
    <w:p>
      <w:pPr>
        <w:pStyle w:val="Normal"/>
        <w:ind w:left="560" w:hanging="560"/>
      </w:pPr>
      <w:r>
        <w:rPr>
          <w:rFonts w:ascii="Calibri" w:hAnsi="Calibri" w:eastAsia="Microsoft YaHei"/>
          <w:b/>
          <w:color w:val="1F4E5F"/>
          <w:sz w:val="21"/>
        </w:rPr>
        <w:t xml:space="preserve">19.8  </w:t>
      </w:r>
      <w:r>
        <w:rPr>
          <w:rFonts w:ascii="Calibri" w:hAnsi="Calibri" w:eastAsia="Microsoft YaHei"/>
          <w:b/>
          <w:color w:val="222F36"/>
          <w:sz w:val="21"/>
        </w:rPr>
        <w:t xml:space="preserve">Procedural sabotage defenses.</w:t>
      </w:r>
      <w:r>
        <w:rPr>
          <w:rFonts w:ascii="Calibri" w:hAnsi="Calibri" w:eastAsia="Microsoft YaHei"/>
          <w:color w:val="222F36"/>
          <w:sz w:val="21"/>
        </w:rPr>
        <w:t xml:space="preserve"> Anonymous submissions enter no file. Every input carries source and custody. A participant that weaponizes procedure faces classification under Article 15 like any other deviation, and the Good-Faith Reset remains available to honest actors only.</w:t>
      </w:r>
    </w:p>
    <w:p>
      <w:pPr>
        <w:pStyle w:val="Normal"/>
        <w:ind w:left="560" w:hanging="560"/>
      </w:pPr>
      <w:r>
        <w:rPr>
          <w:rFonts w:ascii="Calibri" w:hAnsi="Calibri" w:eastAsia="Microsoft YaHei"/>
          <w:b/>
          <w:color w:val="1F4E5F"/>
          <w:sz w:val="21"/>
        </w:rPr>
        <w:t xml:space="preserve">19.9  </w:t>
      </w:r>
      <w:r>
        <w:rPr>
          <w:rFonts w:ascii="Calibri" w:hAnsi="Calibri" w:eastAsia="Microsoft YaHei"/>
          <w:b/>
          <w:color w:val="222F36"/>
          <w:sz w:val="21"/>
        </w:rPr>
        <w:t xml:space="preserve">No exit under fire.</w:t>
      </w:r>
      <w:r>
        <w:rPr>
          <w:rFonts w:ascii="Calibri" w:hAnsi="Calibri" w:eastAsia="Microsoft YaHei"/>
          <w:color w:val="222F36"/>
          <w:sz w:val="21"/>
        </w:rPr>
        <w:t xml:space="preserve"> No withdrawal takes effect while a Breach classification concerning the withdrawing Party sits unresolved on the ladder. The ladder finishes first. No one exits to escape the record.</w:t>
      </w:r>
    </w:p>
    <w:p>
      <w:pPr>
        <w:pStyle w:val="Heading2"/>
        <w:keepNext/>
        <w:keepLines/>
      </w:pPr>
      <w:r>
        <w:rPr>
          <w:rFonts w:ascii="Calibri" w:hAnsi="Calibri" w:eastAsia="Microsoft YaHei"/>
          <w:b/>
          <w:color w:val="1F4E5F"/>
          <w:sz w:val="26"/>
        </w:rPr>
        <w:t xml:space="preserve">Article 20: The Narrative Protocol</w:t>
      </w:r>
    </w:p>
    <w:p>
      <w:pPr>
        <w:pStyle w:val="Normal"/>
        <w:ind w:left="560" w:hanging="560"/>
      </w:pPr>
      <w:r>
        <w:rPr>
          <w:rFonts w:ascii="Calibri" w:hAnsi="Calibri" w:eastAsia="Microsoft YaHei"/>
          <w:b/>
          <w:color w:val="1F4E5F"/>
          <w:sz w:val="21"/>
        </w:rPr>
        <w:t xml:space="preserve">20.1  </w:t>
      </w:r>
      <w:r>
        <w:rPr>
          <w:rFonts w:ascii="Calibri" w:hAnsi="Calibri" w:eastAsia="Microsoft YaHei"/>
          <w:b/>
          <w:color w:val="222F36"/>
          <w:sz w:val="21"/>
        </w:rPr>
        <w:t xml:space="preserve">Non-humiliation.</w:t>
      </w:r>
      <w:r>
        <w:rPr>
          <w:rFonts w:ascii="Calibri" w:hAnsi="Calibri" w:eastAsia="Microsoft YaHei"/>
          <w:color w:val="222F36"/>
          <w:sz w:val="21"/>
        </w:rPr>
        <w:t xml:space="preserve"> The Compact contains no instrument of public censure. Participants refrain from triumphalist or accusatory public characterization of one another’s conduct, in every language and every medium.</w:t>
      </w:r>
    </w:p>
    <w:p>
      <w:pPr>
        <w:pStyle w:val="Normal"/>
        <w:ind w:left="560" w:hanging="560"/>
      </w:pPr>
      <w:r>
        <w:rPr>
          <w:rFonts w:ascii="Calibri" w:hAnsi="Calibri" w:eastAsia="Microsoft YaHei"/>
          <w:b/>
          <w:color w:val="1F4E5F"/>
          <w:sz w:val="21"/>
        </w:rPr>
        <w:t xml:space="preserve">20.2  </w:t>
      </w:r>
      <w:r>
        <w:rPr>
          <w:rFonts w:ascii="Calibri" w:hAnsi="Calibri" w:eastAsia="Microsoft YaHei"/>
          <w:b/>
          <w:color w:val="222F36"/>
          <w:sz w:val="21"/>
        </w:rPr>
        <w:t xml:space="preserve">Nomenclature neutrality.</w:t>
      </w:r>
      <w:r>
        <w:rPr>
          <w:rFonts w:ascii="Calibri" w:hAnsi="Calibri" w:eastAsia="Microsoft YaHei"/>
          <w:color w:val="222F36"/>
          <w:sz w:val="21"/>
        </w:rPr>
        <w:t xml:space="preserve"> Operative text says “the Strait.” Each capital uses its own designation for the waterway in its own communications, and no participant corrects another’s usage. Maps and notices carry coordinates, not controversy.</w:t>
      </w:r>
    </w:p>
    <w:p>
      <w:pPr>
        <w:pStyle w:val="Normal"/>
        <w:ind w:left="560" w:hanging="560"/>
      </w:pPr>
      <w:r>
        <w:rPr>
          <w:rFonts w:ascii="Calibri" w:hAnsi="Calibri" w:eastAsia="Microsoft YaHei"/>
          <w:b/>
          <w:color w:val="1F4E5F"/>
          <w:sz w:val="21"/>
        </w:rPr>
        <w:t xml:space="preserve">20.3  </w:t>
      </w:r>
      <w:r>
        <w:rPr>
          <w:rFonts w:ascii="Calibri" w:hAnsi="Calibri" w:eastAsia="Microsoft YaHei"/>
          <w:b/>
          <w:color w:val="222F36"/>
          <w:sz w:val="21"/>
        </w:rPr>
        <w:t xml:space="preserve">Quiet first.</w:t>
      </w:r>
      <w:r>
        <w:rPr>
          <w:rFonts w:ascii="Calibri" w:hAnsi="Calibri" w:eastAsia="Microsoft YaHei"/>
          <w:color w:val="222F36"/>
          <w:sz w:val="21"/>
        </w:rPr>
        <w:t xml:space="preserve"> For the first thirty days of any difficulty, the Parties remediate through the quiet channel of the Mediation Guarantor. Public statements during that window describe the system and its continued operation, not the quarrel. The Tide Report does the same.</w:t>
      </w:r>
    </w:p>
    <w:p>
      <w:pPr>
        <w:pStyle w:val="Normal"/>
        <w:ind w:left="560" w:hanging="560"/>
      </w:pPr>
      <w:r>
        <w:rPr>
          <w:rFonts w:ascii="Calibri" w:hAnsi="Calibri" w:eastAsia="Microsoft YaHei"/>
          <w:b/>
          <w:color w:val="1F4E5F"/>
          <w:sz w:val="21"/>
        </w:rPr>
        <w:t xml:space="preserve">20.4  </w:t>
      </w:r>
      <w:r>
        <w:rPr>
          <w:rFonts w:ascii="Calibri" w:hAnsi="Calibri" w:eastAsia="Microsoft YaHei"/>
          <w:b/>
          <w:color w:val="222F36"/>
          <w:sz w:val="21"/>
        </w:rPr>
        <w:t xml:space="preserve">Synchronized announcements.</w:t>
      </w:r>
      <w:r>
        <w:rPr>
          <w:rFonts w:ascii="Calibri" w:hAnsi="Calibri" w:eastAsia="Microsoft YaHei"/>
          <w:color w:val="222F36"/>
          <w:sz w:val="21"/>
        </w:rPr>
        <w:t xml:space="preserve"> Milestones go out through synchronized releases drafted from Annex N: entry into operation, survey certification, reopening, quarterly accounts, and the Annual Refit. Each side states the same facts in its own words, on the same day, without contradicting the other.</w:t>
      </w:r>
    </w:p>
    <w:p>
      <w:pPr>
        <w:pStyle w:val="Normal"/>
        <w:ind w:left="560" w:hanging="560"/>
      </w:pPr>
      <w:r>
        <w:rPr>
          <w:rFonts w:ascii="Calibri" w:hAnsi="Calibri" w:eastAsia="Microsoft YaHei"/>
          <w:b/>
          <w:color w:val="1F4E5F"/>
          <w:sz w:val="21"/>
        </w:rPr>
        <w:t xml:space="preserve">20.5  </w:t>
      </w:r>
      <w:r>
        <w:rPr>
          <w:rFonts w:ascii="Calibri" w:hAnsi="Calibri" w:eastAsia="Microsoft YaHei"/>
          <w:b/>
          <w:color w:val="222F36"/>
          <w:sz w:val="21"/>
        </w:rPr>
        <w:t xml:space="preserve">What each side states.</w:t>
      </w:r>
      <w:r>
        <w:rPr>
          <w:rFonts w:ascii="Calibri" w:hAnsi="Calibri" w:eastAsia="Microsoft YaHei"/>
          <w:color w:val="222F36"/>
          <w:sz w:val="21"/>
        </w:rPr>
        <w:t xml:space="preserve"> Annex N carries the model statements. Iran states that it secures the northern waters of its own coast as a sovereign service to all nations, without tolls. Oman states that it guarantees open water beside its own shore, without militarization. The guarantors state that they keep the record and the process, and nothing more. The observers state that the waterway is predictable and open. All four statements hold true at the same time. That concord is the political wrapper of the Compact, and the Compact protects it as carefully as it protects the water.</w:t>
      </w:r>
    </w:p>
    <w:p>
      <w:pPr>
        <w:pStyle w:val="Normal"/>
        <w:ind w:left="560" w:hanging="560"/>
      </w:pPr>
      <w:r>
        <w:rPr>
          <w:rFonts w:ascii="Calibri" w:hAnsi="Calibri" w:eastAsia="Microsoft YaHei"/>
          <w:b/>
          <w:color w:val="1F4E5F"/>
          <w:sz w:val="21"/>
        </w:rPr>
        <w:t xml:space="preserve">20.6  </w:t>
      </w:r>
      <w:r>
        <w:rPr>
          <w:rFonts w:ascii="Calibri" w:hAnsi="Calibri" w:eastAsia="Microsoft YaHei"/>
          <w:b/>
          <w:color w:val="222F36"/>
          <w:sz w:val="21"/>
        </w:rPr>
        <w:t xml:space="preserve">No linkage talk.</w:t>
      </w:r>
      <w:r>
        <w:rPr>
          <w:rFonts w:ascii="Calibri" w:hAnsi="Calibri" w:eastAsia="Microsoft YaHei"/>
          <w:color w:val="222F36"/>
          <w:sz w:val="21"/>
        </w:rPr>
        <w:t xml:space="preserve"> No participant presents the Compact as leverage in any other file. The bulkhead of Article 3.4 holds in speech as in deed.</w:t>
      </w:r>
    </w:p>
    <w:p>
      <w:pPr>
        <w:pStyle w:val="Heading2"/>
        <w:keepNext/>
        <w:keepLines/>
      </w:pPr>
      <w:r>
        <w:rPr>
          <w:rFonts w:ascii="Calibri" w:hAnsi="Calibri" w:eastAsia="Microsoft YaHei"/>
          <w:b/>
          <w:color w:val="1F4E5F"/>
          <w:sz w:val="26"/>
        </w:rPr>
        <w:t xml:space="preserve">Article 21: Review and Amendment</w:t>
      </w:r>
    </w:p>
    <w:p>
      <w:pPr>
        <w:pStyle w:val="Normal"/>
        <w:ind w:left="560" w:hanging="560"/>
      </w:pPr>
      <w:r>
        <w:rPr>
          <w:rFonts w:ascii="Calibri" w:hAnsi="Calibri" w:eastAsia="Microsoft YaHei"/>
          <w:b/>
          <w:color w:val="1F4E5F"/>
          <w:sz w:val="21"/>
        </w:rPr>
        <w:t xml:space="preserve">21.1  </w:t>
      </w:r>
      <w:r>
        <w:rPr>
          <w:rFonts w:ascii="Calibri" w:hAnsi="Calibri" w:eastAsia="Microsoft YaHei"/>
          <w:b/>
          <w:color w:val="222F36"/>
          <w:sz w:val="21"/>
        </w:rPr>
        <w:t xml:space="preserve">The Annual Refit.</w:t>
      </w:r>
      <w:r>
        <w:rPr>
          <w:rFonts w:ascii="Calibri" w:hAnsi="Calibri" w:eastAsia="Microsoft YaHei"/>
          <w:color w:val="222F36"/>
          <w:sz w:val="21"/>
        </w:rPr>
        <w:t xml:space="preserve"> Once a year the Council reviews procedures, rates, expectation bands, and the budget against the Three-Question Test and the simplicity mandate, with the Recorder and the Circle in attendance. The Refit retires more than it adds, and it publishes a one-page account of its work.</w:t>
      </w:r>
    </w:p>
    <w:p>
      <w:pPr>
        <w:pStyle w:val="Normal"/>
        <w:ind w:left="560" w:hanging="560"/>
      </w:pPr>
      <w:r>
        <w:rPr>
          <w:rFonts w:ascii="Calibri" w:hAnsi="Calibri" w:eastAsia="Microsoft YaHei"/>
          <w:b/>
          <w:color w:val="1F4E5F"/>
          <w:sz w:val="21"/>
        </w:rPr>
        <w:t xml:space="preserve">21.2  </w:t>
      </w:r>
      <w:r>
        <w:rPr>
          <w:rFonts w:ascii="Calibri" w:hAnsi="Calibri" w:eastAsia="Microsoft YaHei"/>
          <w:b/>
          <w:color w:val="222F36"/>
          <w:sz w:val="21"/>
        </w:rPr>
        <w:t xml:space="preserve">Amendment.</w:t>
      </w:r>
      <w:r>
        <w:rPr>
          <w:rFonts w:ascii="Calibri" w:hAnsi="Calibri" w:eastAsia="Microsoft YaHei"/>
          <w:color w:val="222F36"/>
          <w:sz w:val="21"/>
        </w:rPr>
        <w:t xml:space="preserve"> The articles and the annexes amend by joint instrument with sixty days of notice to participants. The Boundary Lines amend only under Article 18.3.</w:t>
      </w:r>
    </w:p>
    <w:p>
      <w:pPr>
        <w:pStyle w:val="Normal"/>
        <w:ind w:left="560" w:hanging="560"/>
      </w:pPr>
      <w:r>
        <w:rPr>
          <w:rFonts w:ascii="Calibri" w:hAnsi="Calibri" w:eastAsia="Microsoft YaHei"/>
          <w:b/>
          <w:color w:val="1F4E5F"/>
          <w:sz w:val="21"/>
        </w:rPr>
        <w:t xml:space="preserve">21.3  </w:t>
      </w:r>
      <w:r>
        <w:rPr>
          <w:rFonts w:ascii="Calibri" w:hAnsi="Calibri" w:eastAsia="Microsoft YaHei"/>
          <w:b/>
          <w:color w:val="222F36"/>
          <w:sz w:val="21"/>
        </w:rPr>
        <w:t xml:space="preserve">Technical updates.</w:t>
      </w:r>
      <w:r>
        <w:rPr>
          <w:rFonts w:ascii="Calibri" w:hAnsi="Calibri" w:eastAsia="Microsoft YaHei"/>
          <w:color w:val="222F36"/>
          <w:sz w:val="21"/>
        </w:rPr>
        <w:t xml:space="preserve"> Corrections to coordinates, forms, and the rate catalog take effect on certification of accuracy by the Recorder and notation by the Council, with thirty days of notice. A technical update never alters a rule, a right, or a Line.</w:t>
      </w:r>
    </w:p>
    <w:p>
      <w:pPr>
        <w:pStyle w:val="Heading2"/>
        <w:keepNext/>
        <w:keepLines/>
      </w:pPr>
      <w:r>
        <w:rPr>
          <w:rFonts w:ascii="Calibri" w:hAnsi="Calibri" w:eastAsia="Microsoft YaHei"/>
          <w:b/>
          <w:color w:val="1F4E5F"/>
          <w:sz w:val="26"/>
        </w:rPr>
        <w:t xml:space="preserve">Article 22: Accession, Suspension, Withdrawal, and Final Provisions</w:t>
      </w:r>
    </w:p>
    <w:p>
      <w:pPr>
        <w:pStyle w:val="Normal"/>
        <w:ind w:left="560" w:hanging="560"/>
      </w:pPr>
      <w:r>
        <w:rPr>
          <w:rFonts w:ascii="Calibri" w:hAnsi="Calibri" w:eastAsia="Microsoft YaHei"/>
          <w:b/>
          <w:color w:val="1F4E5F"/>
          <w:sz w:val="21"/>
        </w:rPr>
        <w:t xml:space="preserve">22.1  </w:t>
      </w:r>
      <w:r>
        <w:rPr>
          <w:rFonts w:ascii="Calibri" w:hAnsi="Calibri" w:eastAsia="Microsoft YaHei"/>
          <w:b/>
          <w:color w:val="222F36"/>
          <w:sz w:val="21"/>
        </w:rPr>
        <w:t xml:space="preserve">Accession.</w:t>
      </w:r>
      <w:r>
        <w:rPr>
          <w:rFonts w:ascii="Calibri" w:hAnsi="Calibri" w:eastAsia="Microsoft YaHei"/>
          <w:color w:val="222F36"/>
          <w:sz w:val="21"/>
        </w:rPr>
        <w:t xml:space="preserve"> A Gulf littoral state joins as a Party by joint instrument of the existing Parties, on the same rights and duties. The text contemplates wider membership; it does not presume it, and accession never dilutes the standing of an existing Party without that Party’s consent.</w:t>
      </w:r>
    </w:p>
    <w:p>
      <w:pPr>
        <w:pStyle w:val="Normal"/>
        <w:ind w:left="560" w:hanging="560"/>
      </w:pPr>
      <w:r>
        <w:rPr>
          <w:rFonts w:ascii="Calibri" w:hAnsi="Calibri" w:eastAsia="Microsoft YaHei"/>
          <w:b/>
          <w:color w:val="1F4E5F"/>
          <w:sz w:val="21"/>
        </w:rPr>
        <w:t xml:space="preserve">22.2  </w:t>
      </w:r>
      <w:r>
        <w:rPr>
          <w:rFonts w:ascii="Calibri" w:hAnsi="Calibri" w:eastAsia="Microsoft YaHei"/>
          <w:b/>
          <w:color w:val="222F36"/>
          <w:sz w:val="21"/>
        </w:rPr>
        <w:t xml:space="preserve">No expulsion.</w:t>
      </w:r>
      <w:r>
        <w:rPr>
          <w:rFonts w:ascii="Calibri" w:hAnsi="Calibri" w:eastAsia="Microsoft YaHei"/>
          <w:color w:val="222F36"/>
          <w:sz w:val="21"/>
        </w:rPr>
        <w:t xml:space="preserve"> No body expels a Party. Suspension of discretionary benefits follows Article 15 and nothing else.</w:t>
      </w:r>
    </w:p>
    <w:p>
      <w:pPr>
        <w:pStyle w:val="Normal"/>
        <w:ind w:left="560" w:hanging="560"/>
      </w:pPr>
      <w:r>
        <w:rPr>
          <w:rFonts w:ascii="Calibri" w:hAnsi="Calibri" w:eastAsia="Microsoft YaHei"/>
          <w:b/>
          <w:color w:val="1F4E5F"/>
          <w:sz w:val="21"/>
        </w:rPr>
        <w:t xml:space="preserve">22.3  </w:t>
      </w:r>
      <w:r>
        <w:rPr>
          <w:rFonts w:ascii="Calibri" w:hAnsi="Calibri" w:eastAsia="Microsoft YaHei"/>
          <w:b/>
          <w:color w:val="222F36"/>
          <w:sz w:val="21"/>
        </w:rPr>
        <w:t xml:space="preserve">Withdrawal.</w:t>
      </w:r>
      <w:r>
        <w:rPr>
          <w:rFonts w:ascii="Calibri" w:hAnsi="Calibri" w:eastAsia="Microsoft YaHei"/>
          <w:color w:val="222F36"/>
          <w:sz w:val="21"/>
        </w:rPr>
        <w:t xml:space="preserve"> A Party withdraws by written notice to the depositary. Withdrawal takes effect one hundred eighty days after notice, only after the ladder completes any pending classification under Article 19.9, and it leaves the Boundary Lines and the record intact. During the notice period the withdrawing Party performs in full.</w:t>
      </w:r>
    </w:p>
    <w:p>
      <w:pPr>
        <w:pStyle w:val="Normal"/>
        <w:ind w:left="560" w:hanging="560"/>
      </w:pPr>
      <w:r>
        <w:rPr>
          <w:rFonts w:ascii="Calibri" w:hAnsi="Calibri" w:eastAsia="Microsoft YaHei"/>
          <w:b/>
          <w:color w:val="1F4E5F"/>
          <w:sz w:val="21"/>
        </w:rPr>
        <w:t xml:space="preserve">22.4  </w:t>
      </w:r>
      <w:r>
        <w:rPr>
          <w:rFonts w:ascii="Calibri" w:hAnsi="Calibri" w:eastAsia="Microsoft YaHei"/>
          <w:b/>
          <w:color w:val="222F36"/>
          <w:sz w:val="21"/>
        </w:rPr>
        <w:t xml:space="preserve">Succession.</w:t>
      </w:r>
      <w:r>
        <w:rPr>
          <w:rFonts w:ascii="Calibri" w:hAnsi="Calibri" w:eastAsia="Microsoft YaHei"/>
          <w:color w:val="222F36"/>
          <w:sz w:val="21"/>
        </w:rPr>
        <w:t xml:space="preserve"> The Compact binds successor states and successor governments without interruption. A change of government changes a signature, never the system.</w:t>
      </w:r>
    </w:p>
    <w:p>
      <w:pPr>
        <w:pStyle w:val="Normal"/>
        <w:ind w:left="560" w:hanging="560"/>
      </w:pPr>
      <w:r>
        <w:rPr>
          <w:rFonts w:ascii="Calibri" w:hAnsi="Calibri" w:eastAsia="Microsoft YaHei"/>
          <w:b/>
          <w:color w:val="1F4E5F"/>
          <w:sz w:val="21"/>
        </w:rPr>
        <w:t xml:space="preserve">22.5  </w:t>
      </w:r>
      <w:r>
        <w:rPr>
          <w:rFonts w:ascii="Calibri" w:hAnsi="Calibri" w:eastAsia="Microsoft YaHei"/>
          <w:b/>
          <w:color w:val="222F36"/>
          <w:sz w:val="21"/>
        </w:rPr>
        <w:t xml:space="preserve">Entry into operation.</w:t>
      </w:r>
      <w:r>
        <w:rPr>
          <w:rFonts w:ascii="Calibri" w:hAnsi="Calibri" w:eastAsia="Microsoft YaHei"/>
          <w:color w:val="222F36"/>
          <w:sz w:val="21"/>
        </w:rPr>
        <w:t xml:space="preserve"> The Compact enters into operation on signature. The First Light sequence of Annex L runs from that day.</w:t>
      </w:r>
    </w:p>
    <w:p>
      <w:pPr>
        <w:pStyle w:val="Normal"/>
        <w:ind w:left="560" w:hanging="560"/>
      </w:pPr>
      <w:r>
        <w:rPr>
          <w:rFonts w:ascii="Calibri" w:hAnsi="Calibri" w:eastAsia="Microsoft YaHei"/>
          <w:b/>
          <w:color w:val="1F4E5F"/>
          <w:sz w:val="21"/>
        </w:rPr>
        <w:t xml:space="preserve">22.6  </w:t>
      </w:r>
      <w:r>
        <w:rPr>
          <w:rFonts w:ascii="Calibri" w:hAnsi="Calibri" w:eastAsia="Microsoft YaHei"/>
          <w:b/>
          <w:color w:val="222F36"/>
          <w:sz w:val="21"/>
        </w:rPr>
        <w:t xml:space="preserve">Languages.</w:t>
      </w:r>
      <w:r>
        <w:rPr>
          <w:rFonts w:ascii="Calibri" w:hAnsi="Calibri" w:eastAsia="Microsoft YaHei"/>
          <w:color w:val="222F36"/>
          <w:sz w:val="21"/>
        </w:rPr>
        <w:t xml:space="preserve"> The Parties prepare Persian and Arabic courtesy translations for domestic communication. The English text governs the operation of the system; the courtesy texts carry equal honor in every capital.</w:t>
      </w:r>
    </w:p>
    <w:p>
      <w:pPr>
        <w:pStyle w:val="Normal"/>
        <w:ind w:left="560" w:hanging="560"/>
      </w:pPr>
      <w:r>
        <w:rPr>
          <w:rFonts w:ascii="Calibri" w:hAnsi="Calibri" w:eastAsia="Microsoft YaHei"/>
          <w:b/>
          <w:color w:val="1F4E5F"/>
          <w:sz w:val="21"/>
        </w:rPr>
        <w:t xml:space="preserve">22.7  </w:t>
      </w:r>
      <w:r>
        <w:rPr>
          <w:rFonts w:ascii="Calibri" w:hAnsi="Calibri" w:eastAsia="Microsoft YaHei"/>
          <w:b/>
          <w:color w:val="222F36"/>
          <w:sz w:val="21"/>
        </w:rPr>
        <w:t xml:space="preserve">Depositary.</w:t>
      </w:r>
      <w:r>
        <w:rPr>
          <w:rFonts w:ascii="Calibri" w:hAnsi="Calibri" w:eastAsia="Microsoft YaHei"/>
          <w:color w:val="222F36"/>
          <w:sz w:val="21"/>
        </w:rPr>
        <w:t xml:space="preserve"> The Swiss Confederation holds the original, registers the instrument under Article 102 of the Charter of the United Nations, and transmits certified copies to every participant.</w:t>
      </w:r>
    </w:p>
    <w:p>
      <w:pPr>
        <w:pStyle w:val="Heading1"/>
        <w:keepNext/>
        <w:keepLines/>
        <w:pageBreakBefore/>
      </w:pPr>
      <w:r>
        <w:rPr>
          <w:rFonts w:ascii="Calibri" w:hAnsi="Calibri" w:eastAsia="Microsoft YaHei"/>
          <w:b/>
          <w:color w:val="1F4E5F"/>
          <w:sz w:val="34"/>
        </w:rPr>
        <w:t xml:space="preserve">Signature and Entry into Operation</w:t>
      </w:r>
    </w:p>
    <w:p>
      <w:pPr>
        <w:pStyle w:val="Normal"/>
      </w:pPr>
      <w:r>
        <w:rPr>
          <w:rFonts w:ascii="Calibri" w:hAnsi="Calibri" w:eastAsia="Microsoft YaHei"/>
          <w:color w:val="222F36"/>
          <w:sz w:val="21"/>
        </w:rPr>
        <w:t xml:space="preserve">Done at Muscat on 27 July 2026, in one original in the English language, deposited with the Swiss Confederation as Record Guarantor and depositary. The Compact enters into operation on the day of signature.</w:t>
      </w:r>
    </w:p>
    <w:p>
      <w:pPr>
        <w:spacing w:before="0" w:after="200"/>
      </w:pPr>
      <w:r>
        <w:rPr>
          <w:sz w:val="8"/>
        </w:rPr>
        <w:t/>
      </w:r>
    </w:p>
    <w:tbl>
      <w:tblPr>
        <w:tblW w:w="9306" w:type="dxa"/>
        <w:tblBorders>
          <w:top w:val="single" w:color="AEC4C1" w:sz="6"/>
          <w:left w:val="single" w:color="AEC4C1" w:sz="6"/>
          <w:bottom w:val="single" w:color="AEC4C1" w:sz="6"/>
          <w:right w:val="single" w:color="AEC4C1" w:sz="6"/>
          <w:insideH w:val="single" w:color="AEC4C1" w:sz="4"/>
          <w:insideV w:val="single" w:color="AEC4C1" w:sz="4"/>
        </w:tblBorders>
      </w:tblPr>
      <w:tblGrid>
        <w:gridCol w:w="4653"/>
        <w:gridCol w:w="4653"/>
      </w:tblGrid>
      <w:tr>
        <w:trPr>
          <w:cantSplit/>
          <w:tblHeader/>
        </w:trPr>
        <w:tc>
          <w:tcPr>
            <w:tcW w:w="4653"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For the Islamic Republic of Iran</w:t>
            </w:r>
          </w:p>
        </w:tc>
        <w:tc>
          <w:tcPr>
            <w:tcW w:w="4653"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For the Sultanate of Oman</w:t>
            </w:r>
          </w:p>
        </w:tc>
      </w:tr>
      <w:tr>
        <w:trPr>
          <w:cantSplit/>
        </w:trPr>
        <w:tc>
          <w:tcPr>
            <w:tcW w:w="4653" w:type="dxa"/>
            <w:tcMar>
              <w:top w:w="50" w:type="dxa"/>
              <w:left w:w="100" w:type="dxa"/>
              <w:bottom w:w="50" w:type="dxa"/>
              <w:right w:w="100" w:type="dxa"/>
            </w:tcMar>
          </w:tcPr>
          <w:p>
            <w:pPr>
              <w:pStyle w:val="TableText"/>
            </w:pPr>
            <w:r>
              <w:rPr>
                <w:rFonts w:ascii="Calibri" w:hAnsi="Calibri" w:eastAsia="Microsoft YaHei"/>
                <w:color w:val="222F36"/>
                <w:sz w:val="20"/>
              </w:rPr>
              <w:t xml:space="preserve">
_____________________________
Name:
Title:
Date:</w:t>
            </w:r>
          </w:p>
        </w:tc>
        <w:tc>
          <w:tcPr>
            <w:tcW w:w="4653" w:type="dxa"/>
            <w:tcMar>
              <w:top w:w="50" w:type="dxa"/>
              <w:left w:w="100" w:type="dxa"/>
              <w:bottom w:w="50" w:type="dxa"/>
              <w:right w:w="100" w:type="dxa"/>
            </w:tcMar>
          </w:tcPr>
          <w:p>
            <w:pPr>
              <w:pStyle w:val="TableText"/>
            </w:pPr>
            <w:r>
              <w:rPr>
                <w:rFonts w:ascii="Calibri" w:hAnsi="Calibri" w:eastAsia="Microsoft YaHei"/>
                <w:color w:val="222F36"/>
                <w:sz w:val="20"/>
              </w:rPr>
              <w:t xml:space="preserve">
_____________________________
Name:
Title:
Date:</w:t>
            </w:r>
          </w:p>
        </w:tc>
      </w:tr>
    </w:tbl>
    <w:p>
      <w:pPr>
        <w:spacing w:before="0" w:after="140"/>
      </w:pPr>
      <w:r>
        <w:rPr>
          <w:sz w:val="8"/>
        </w:rPr>
        <w:t/>
      </w:r>
    </w:p>
    <w:p>
      <w:pPr>
        <w:pStyle w:val="Normal"/>
      </w:pPr>
      <w:r>
        <w:rPr>
          <w:rFonts w:ascii="Calibri" w:hAnsi="Calibri" w:eastAsia="Microsoft YaHei"/>
          <w:color w:val="222F36"/>
          <w:sz w:val="21"/>
        </w:rPr>
        <w:t xml:space="preserve">Signed in acceptance of guarantor functions under Article 11:</w:t>
      </w:r>
    </w:p>
    <w:tbl>
      <w:tblPr>
        <w:tblW w:w="9306" w:type="dxa"/>
        <w:tblBorders>
          <w:top w:val="single" w:color="AEC4C1" w:sz="6"/>
          <w:left w:val="single" w:color="AEC4C1" w:sz="6"/>
          <w:bottom w:val="single" w:color="AEC4C1" w:sz="6"/>
          <w:right w:val="single" w:color="AEC4C1" w:sz="6"/>
          <w:insideH w:val="single" w:color="AEC4C1" w:sz="4"/>
          <w:insideV w:val="single" w:color="AEC4C1" w:sz="4"/>
        </w:tblBorders>
      </w:tblPr>
      <w:tblGrid>
        <w:gridCol w:w="3102"/>
        <w:gridCol w:w="3102"/>
        <w:gridCol w:w="3102"/>
      </w:tblGrid>
      <w:tr>
        <w:trPr>
          <w:cantSplit/>
          <w:tblHeader/>
        </w:trPr>
        <w:tc>
          <w:tcPr>
            <w:tcW w:w="3102"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For the Swiss Confederation</w:t>
            </w:r>
          </w:p>
        </w:tc>
        <w:tc>
          <w:tcPr>
            <w:tcW w:w="3102"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For the State of Qatar</w:t>
            </w:r>
          </w:p>
        </w:tc>
        <w:tc>
          <w:tcPr>
            <w:tcW w:w="3102"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For the Republic of Singapore</w:t>
            </w:r>
          </w:p>
        </w:tc>
      </w:tr>
      <w:tr>
        <w:trPr>
          <w:cantSplit/>
        </w:trPr>
        <w:tc>
          <w:tcPr>
            <w:tcW w:w="3102" w:type="dxa"/>
            <w:tcMar>
              <w:top w:w="50" w:type="dxa"/>
              <w:left w:w="100" w:type="dxa"/>
              <w:bottom w:w="50" w:type="dxa"/>
              <w:right w:w="100" w:type="dxa"/>
            </w:tcMar>
          </w:tcPr>
          <w:p>
            <w:pPr>
              <w:pStyle w:val="TableText"/>
            </w:pPr>
            <w:r>
              <w:rPr>
                <w:rFonts w:ascii="Calibri" w:hAnsi="Calibri" w:eastAsia="Microsoft YaHei"/>
                <w:color w:val="222F36"/>
                <w:sz w:val="20"/>
              </w:rPr>
              <w:t xml:space="preserve">
_____________________
Record Guarantor</w:t>
            </w:r>
          </w:p>
        </w:tc>
        <w:tc>
          <w:tcPr>
            <w:tcW w:w="3102" w:type="dxa"/>
            <w:tcMar>
              <w:top w:w="50" w:type="dxa"/>
              <w:left w:w="100" w:type="dxa"/>
              <w:bottom w:w="50" w:type="dxa"/>
              <w:right w:w="100" w:type="dxa"/>
            </w:tcMar>
          </w:tcPr>
          <w:p>
            <w:pPr>
              <w:pStyle w:val="TableText"/>
            </w:pPr>
            <w:r>
              <w:rPr>
                <w:rFonts w:ascii="Calibri" w:hAnsi="Calibri" w:eastAsia="Microsoft YaHei"/>
                <w:color w:val="222F36"/>
                <w:sz w:val="20"/>
              </w:rPr>
              <w:t xml:space="preserve">
_____________________
Mediation Guarantor</w:t>
            </w:r>
          </w:p>
        </w:tc>
        <w:tc>
          <w:tcPr>
            <w:tcW w:w="3102" w:type="dxa"/>
            <w:tcMar>
              <w:top w:w="50" w:type="dxa"/>
              <w:left w:w="100" w:type="dxa"/>
              <w:bottom w:w="50" w:type="dxa"/>
              <w:right w:w="100" w:type="dxa"/>
            </w:tcMar>
          </w:tcPr>
          <w:p>
            <w:pPr>
              <w:pStyle w:val="TableText"/>
            </w:pPr>
            <w:r>
              <w:rPr>
                <w:rFonts w:ascii="Calibri" w:hAnsi="Calibri" w:eastAsia="Microsoft YaHei"/>
                <w:color w:val="222F36"/>
                <w:sz w:val="20"/>
              </w:rPr>
              <w:t xml:space="preserve">
_____________________
Technical Guarantor</w:t>
            </w:r>
          </w:p>
        </w:tc>
      </w:tr>
    </w:tbl>
    <w:p>
      <w:pPr>
        <w:spacing w:before="0" w:after="140"/>
      </w:pPr>
      <w:r>
        <w:rPr>
          <w:sz w:val="8"/>
        </w:rPr>
        <w:t/>
      </w:r>
    </w:p>
    <w:p>
      <w:pPr>
        <w:pStyle w:val="Normal"/>
        <w:spacing w:before="40" w:after="120" w:line="260" w:lineRule="auto"/>
      </w:pPr>
      <w:r>
        <w:rPr>
          <w:rFonts w:ascii="Calibri" w:hAnsi="Calibri" w:eastAsia="Microsoft YaHei"/>
          <w:i/>
          <w:color w:val="5E7478"/>
          <w:sz w:val="19"/>
        </w:rPr>
        <w:t xml:space="preserve">Observers and adherents do not sign this instrument. Observer status follows the notifications in Annex K; adherence follows the Adherence Instrument in Annex K. The Parties invite the United States of America to adhere at signature, on the terms of Article 12.5.</w:t>
      </w:r>
    </w:p>
    <w:p>
      <w:pPr>
        <w:pStyle w:val="Heading1"/>
        <w:keepNext/>
        <w:keepLines/>
        <w:pageBreakBefore/>
      </w:pPr>
      <w:r>
        <w:rPr>
          <w:rFonts w:ascii="Calibri" w:hAnsi="Calibri" w:eastAsia="Microsoft YaHei"/>
          <w:b/>
          <w:color w:val="1F4E5F"/>
          <w:sz w:val="34"/>
        </w:rPr>
        <w:t xml:space="preserve">Annex A: Fairway Geometry and Coordinates</w:t>
      </w:r>
    </w:p>
    <w:p>
      <w:pPr>
        <w:pStyle w:val="Normal"/>
      </w:pPr>
      <w:r>
        <w:rPr>
          <w:rFonts w:ascii="Calibri" w:hAnsi="Calibri" w:eastAsia="Microsoft YaHei"/>
          <w:color w:val="222F36"/>
          <w:sz w:val="21"/>
        </w:rPr>
        <w:t xml:space="preserve">This annex fixes the water. All positions use WGS 84. Charted positions on the referenced electronic navigational charts govern navigation; this instrument describes administration and settles no boundary, per Article 3.3.</w:t>
      </w:r>
    </w:p>
    <w:p>
      <w:pPr>
        <w:pStyle w:val="Heading3"/>
        <w:keepNext/>
        <w:keepLines/>
      </w:pPr>
      <w:r>
        <w:rPr>
          <w:rFonts w:ascii="Calibri" w:hAnsi="Calibri" w:eastAsia="Microsoft YaHei"/>
          <w:b/>
          <w:color w:val="222F36"/>
          <w:sz w:val="22"/>
        </w:rPr>
        <w:t xml:space="preserve">A.1 The Compact Waters</w:t>
      </w:r>
    </w:p>
    <w:p>
      <w:pPr>
        <w:pStyle w:val="Normal"/>
      </w:pPr>
      <w:r>
        <w:rPr>
          <w:rFonts w:ascii="Calibri" w:hAnsi="Calibri" w:eastAsia="Microsoft YaHei"/>
          <w:color w:val="222F36"/>
          <w:sz w:val="21"/>
        </w:rPr>
        <w:t xml:space="preserve">The Compact Waters comprise the area bounded by straight lines joining the following points in order:</w:t>
      </w:r>
    </w:p>
    <w:tbl>
      <w:tblPr>
        <w:tblW w:w="9306" w:type="dxa"/>
        <w:tblBorders>
          <w:top w:val="single" w:color="AEC4C1" w:sz="6"/>
          <w:left w:val="single" w:color="AEC4C1" w:sz="6"/>
          <w:bottom w:val="single" w:color="AEC4C1" w:sz="6"/>
          <w:right w:val="single" w:color="AEC4C1" w:sz="6"/>
          <w:insideH w:val="single" w:color="AEC4C1" w:sz="4"/>
          <w:insideV w:val="single" w:color="AEC4C1" w:sz="4"/>
        </w:tblBorders>
      </w:tblPr>
      <w:tblGrid>
        <w:gridCol w:w="1600"/>
        <w:gridCol w:w="3853"/>
        <w:gridCol w:w="3853"/>
      </w:tblGrid>
      <w:tr>
        <w:trPr>
          <w:cantSplit/>
          <w:tblHeader/>
        </w:trPr>
        <w:tc>
          <w:tcPr>
            <w:tcW w:w="16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Point</w:t>
            </w:r>
          </w:p>
        </w:tc>
        <w:tc>
          <w:tcPr>
            <w:tcW w:w="3853"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Latitude</w:t>
            </w:r>
          </w:p>
        </w:tc>
        <w:tc>
          <w:tcPr>
            <w:tcW w:w="3853"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Longitude</w:t>
            </w:r>
          </w:p>
        </w:tc>
      </w:tr>
      <w:tr>
        <w:trPr>
          <w:cantSplit/>
        </w:trPr>
        <w:tc>
          <w:tcPr>
            <w:tcW w:w="1600" w:type="dxa"/>
            <w:tcMar>
              <w:top w:w="50" w:type="dxa"/>
              <w:left w:w="100" w:type="dxa"/>
              <w:bottom w:w="50" w:type="dxa"/>
              <w:right w:w="100" w:type="dxa"/>
            </w:tcMar>
          </w:tcPr>
          <w:p>
            <w:pPr>
              <w:pStyle w:val="TableText"/>
            </w:pPr>
            <w:r>
              <w:rPr>
                <w:rFonts w:ascii="Calibri" w:hAnsi="Calibri" w:eastAsia="Microsoft YaHei"/>
                <w:color w:val="222F36"/>
                <w:sz w:val="20"/>
              </w:rPr>
              <w:t xml:space="preserve">CW-1</w:t>
            </w:r>
          </w:p>
        </w:tc>
        <w:tc>
          <w:tcPr>
            <w:tcW w:w="3853" w:type="dxa"/>
            <w:tcMar>
              <w:top w:w="50" w:type="dxa"/>
              <w:left w:w="100" w:type="dxa"/>
              <w:bottom w:w="50" w:type="dxa"/>
              <w:right w:w="100" w:type="dxa"/>
            </w:tcMar>
          </w:tcPr>
          <w:p>
            <w:pPr>
              <w:pStyle w:val="TableText"/>
            </w:pPr>
            <w:r>
              <w:rPr>
                <w:rFonts w:ascii="Calibri" w:hAnsi="Calibri" w:eastAsia="Microsoft YaHei"/>
                <w:color w:val="222F36"/>
                <w:sz w:val="20"/>
              </w:rPr>
              <w:t xml:space="preserve">27°00'N</w:t>
            </w:r>
          </w:p>
        </w:tc>
        <w:tc>
          <w:tcPr>
            <w:tcW w:w="3853" w:type="dxa"/>
            <w:tcMar>
              <w:top w:w="50" w:type="dxa"/>
              <w:left w:w="100" w:type="dxa"/>
              <w:bottom w:w="50" w:type="dxa"/>
              <w:right w:w="100" w:type="dxa"/>
            </w:tcMar>
          </w:tcPr>
          <w:p>
            <w:pPr>
              <w:pStyle w:val="TableText"/>
            </w:pPr>
            <w:r>
              <w:rPr>
                <w:rFonts w:ascii="Calibri" w:hAnsi="Calibri" w:eastAsia="Microsoft YaHei"/>
                <w:color w:val="222F36"/>
                <w:sz w:val="20"/>
              </w:rPr>
              <w:t xml:space="preserve">056°00'E</w:t>
            </w:r>
          </w:p>
        </w:tc>
      </w:tr>
      <w:tr>
        <w:trPr>
          <w:cantSplit/>
        </w:trPr>
        <w:tc>
          <w:tcPr>
            <w:tcW w:w="16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CW-2</w:t>
            </w:r>
          </w:p>
        </w:tc>
        <w:tc>
          <w:tcPr>
            <w:tcW w:w="3853"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27°00'N</w:t>
            </w:r>
          </w:p>
        </w:tc>
        <w:tc>
          <w:tcPr>
            <w:tcW w:w="3853"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057°12'E</w:t>
            </w:r>
          </w:p>
        </w:tc>
      </w:tr>
      <w:tr>
        <w:trPr>
          <w:cantSplit/>
        </w:trPr>
        <w:tc>
          <w:tcPr>
            <w:tcW w:w="1600" w:type="dxa"/>
            <w:tcMar>
              <w:top w:w="50" w:type="dxa"/>
              <w:left w:w="100" w:type="dxa"/>
              <w:bottom w:w="50" w:type="dxa"/>
              <w:right w:w="100" w:type="dxa"/>
            </w:tcMar>
          </w:tcPr>
          <w:p>
            <w:pPr>
              <w:pStyle w:val="TableText"/>
            </w:pPr>
            <w:r>
              <w:rPr>
                <w:rFonts w:ascii="Calibri" w:hAnsi="Calibri" w:eastAsia="Microsoft YaHei"/>
                <w:color w:val="222F36"/>
                <w:sz w:val="20"/>
              </w:rPr>
              <w:t xml:space="preserve">CW-3</w:t>
            </w:r>
          </w:p>
        </w:tc>
        <w:tc>
          <w:tcPr>
            <w:tcW w:w="3853" w:type="dxa"/>
            <w:tcMar>
              <w:top w:w="50" w:type="dxa"/>
              <w:left w:w="100" w:type="dxa"/>
              <w:bottom w:w="50" w:type="dxa"/>
              <w:right w:w="100" w:type="dxa"/>
            </w:tcMar>
          </w:tcPr>
          <w:p>
            <w:pPr>
              <w:pStyle w:val="TableText"/>
            </w:pPr>
            <w:r>
              <w:rPr>
                <w:rFonts w:ascii="Calibri" w:hAnsi="Calibri" w:eastAsia="Microsoft YaHei"/>
                <w:color w:val="222F36"/>
                <w:sz w:val="20"/>
              </w:rPr>
              <w:t xml:space="preserve">26°12'N</w:t>
            </w:r>
          </w:p>
        </w:tc>
        <w:tc>
          <w:tcPr>
            <w:tcW w:w="3853" w:type="dxa"/>
            <w:tcMar>
              <w:top w:w="50" w:type="dxa"/>
              <w:left w:w="100" w:type="dxa"/>
              <w:bottom w:w="50" w:type="dxa"/>
              <w:right w:w="100" w:type="dxa"/>
            </w:tcMar>
          </w:tcPr>
          <w:p>
            <w:pPr>
              <w:pStyle w:val="TableText"/>
            </w:pPr>
            <w:r>
              <w:rPr>
                <w:rFonts w:ascii="Calibri" w:hAnsi="Calibri" w:eastAsia="Microsoft YaHei"/>
                <w:color w:val="222F36"/>
                <w:sz w:val="20"/>
              </w:rPr>
              <w:t xml:space="preserve">057°12'E</w:t>
            </w:r>
          </w:p>
        </w:tc>
      </w:tr>
      <w:tr>
        <w:trPr>
          <w:cantSplit/>
        </w:trPr>
        <w:tc>
          <w:tcPr>
            <w:tcW w:w="16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CW-4</w:t>
            </w:r>
          </w:p>
        </w:tc>
        <w:tc>
          <w:tcPr>
            <w:tcW w:w="3853"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25°54'N</w:t>
            </w:r>
          </w:p>
        </w:tc>
        <w:tc>
          <w:tcPr>
            <w:tcW w:w="3853"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056°48'E</w:t>
            </w:r>
          </w:p>
        </w:tc>
      </w:tr>
      <w:tr>
        <w:trPr>
          <w:cantSplit/>
        </w:trPr>
        <w:tc>
          <w:tcPr>
            <w:tcW w:w="1600" w:type="dxa"/>
            <w:tcMar>
              <w:top w:w="50" w:type="dxa"/>
              <w:left w:w="100" w:type="dxa"/>
              <w:bottom w:w="50" w:type="dxa"/>
              <w:right w:w="100" w:type="dxa"/>
            </w:tcMar>
          </w:tcPr>
          <w:p>
            <w:pPr>
              <w:pStyle w:val="TableText"/>
            </w:pPr>
            <w:r>
              <w:rPr>
                <w:rFonts w:ascii="Calibri" w:hAnsi="Calibri" w:eastAsia="Microsoft YaHei"/>
                <w:color w:val="222F36"/>
                <w:sz w:val="20"/>
              </w:rPr>
              <w:t xml:space="preserve">CW-5</w:t>
            </w:r>
          </w:p>
        </w:tc>
        <w:tc>
          <w:tcPr>
            <w:tcW w:w="3853" w:type="dxa"/>
            <w:tcMar>
              <w:top w:w="50" w:type="dxa"/>
              <w:left w:w="100" w:type="dxa"/>
              <w:bottom w:w="50" w:type="dxa"/>
              <w:right w:w="100" w:type="dxa"/>
            </w:tcMar>
          </w:tcPr>
          <w:p>
            <w:pPr>
              <w:pStyle w:val="TableText"/>
            </w:pPr>
            <w:r>
              <w:rPr>
                <w:rFonts w:ascii="Calibri" w:hAnsi="Calibri" w:eastAsia="Microsoft YaHei"/>
                <w:color w:val="222F36"/>
                <w:sz w:val="20"/>
              </w:rPr>
              <w:t xml:space="preserve">25°54'N</w:t>
            </w:r>
          </w:p>
        </w:tc>
        <w:tc>
          <w:tcPr>
            <w:tcW w:w="3853" w:type="dxa"/>
            <w:tcMar>
              <w:top w:w="50" w:type="dxa"/>
              <w:left w:w="100" w:type="dxa"/>
              <w:bottom w:w="50" w:type="dxa"/>
              <w:right w:w="100" w:type="dxa"/>
            </w:tcMar>
          </w:tcPr>
          <w:p>
            <w:pPr>
              <w:pStyle w:val="TableText"/>
            </w:pPr>
            <w:r>
              <w:rPr>
                <w:rFonts w:ascii="Calibri" w:hAnsi="Calibri" w:eastAsia="Microsoft YaHei"/>
                <w:color w:val="222F36"/>
                <w:sz w:val="20"/>
              </w:rPr>
              <w:t xml:space="preserve">056°12'E</w:t>
            </w:r>
          </w:p>
        </w:tc>
      </w:tr>
      <w:tr>
        <w:trPr>
          <w:cantSplit/>
        </w:trPr>
        <w:tc>
          <w:tcPr>
            <w:tcW w:w="16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CW-6</w:t>
            </w:r>
          </w:p>
        </w:tc>
        <w:tc>
          <w:tcPr>
            <w:tcW w:w="3853"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26°30'N</w:t>
            </w:r>
          </w:p>
        </w:tc>
        <w:tc>
          <w:tcPr>
            <w:tcW w:w="3853"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056°00'E</w:t>
            </w:r>
          </w:p>
        </w:tc>
      </w:tr>
    </w:tbl>
    <w:p>
      <w:pPr>
        <w:spacing w:before="0" w:after="140"/>
      </w:pPr>
      <w:r>
        <w:rPr>
          <w:sz w:val="8"/>
        </w:rPr>
        <w:t/>
      </w:r>
    </w:p>
    <w:p>
      <w:pPr>
        <w:pStyle w:val="Heading3"/>
        <w:keepNext/>
        <w:keepLines/>
      </w:pPr>
      <w:r>
        <w:rPr>
          <w:rFonts w:ascii="Calibri" w:hAnsi="Calibri" w:eastAsia="Microsoft YaHei"/>
          <w:b/>
          <w:color w:val="222F36"/>
          <w:sz w:val="22"/>
        </w:rPr>
        <w:t xml:space="preserve">A.2 The Southern Fairway</w:t>
      </w:r>
    </w:p>
    <w:p>
      <w:pPr>
        <w:pStyle w:val="Normal"/>
      </w:pPr>
      <w:r>
        <w:rPr>
          <w:rFonts w:ascii="Calibri" w:hAnsi="Calibri" w:eastAsia="Microsoft YaHei"/>
          <w:color w:val="222F36"/>
          <w:sz w:val="21"/>
        </w:rPr>
        <w:t xml:space="preserve">The Southern Fairway lies in Omani waters. Its centerline runs through the following waypoints, with a width of two nautical miles on each side of the centerline:</w:t>
      </w:r>
    </w:p>
    <w:tbl>
      <w:tblPr>
        <w:tblW w:w="9306" w:type="dxa"/>
        <w:tblBorders>
          <w:top w:val="single" w:color="AEC4C1" w:sz="6"/>
          <w:left w:val="single" w:color="AEC4C1" w:sz="6"/>
          <w:bottom w:val="single" w:color="AEC4C1" w:sz="6"/>
          <w:right w:val="single" w:color="AEC4C1" w:sz="6"/>
          <w:insideH w:val="single" w:color="AEC4C1" w:sz="4"/>
          <w:insideV w:val="single" w:color="AEC4C1" w:sz="4"/>
        </w:tblBorders>
      </w:tblPr>
      <w:tblGrid>
        <w:gridCol w:w="1600"/>
        <w:gridCol w:w="3853"/>
        <w:gridCol w:w="3853"/>
      </w:tblGrid>
      <w:tr>
        <w:trPr>
          <w:cantSplit/>
          <w:tblHeader/>
        </w:trPr>
        <w:tc>
          <w:tcPr>
            <w:tcW w:w="16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Waypoint</w:t>
            </w:r>
          </w:p>
        </w:tc>
        <w:tc>
          <w:tcPr>
            <w:tcW w:w="3853"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Latitude</w:t>
            </w:r>
          </w:p>
        </w:tc>
        <w:tc>
          <w:tcPr>
            <w:tcW w:w="3853"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Longitude</w:t>
            </w:r>
          </w:p>
        </w:tc>
      </w:tr>
      <w:tr>
        <w:trPr>
          <w:cantSplit/>
        </w:trPr>
        <w:tc>
          <w:tcPr>
            <w:tcW w:w="1600" w:type="dxa"/>
            <w:tcMar>
              <w:top w:w="50" w:type="dxa"/>
              <w:left w:w="100" w:type="dxa"/>
              <w:bottom w:w="50" w:type="dxa"/>
              <w:right w:w="100" w:type="dxa"/>
            </w:tcMar>
          </w:tcPr>
          <w:p>
            <w:pPr>
              <w:pStyle w:val="TableText"/>
            </w:pPr>
            <w:r>
              <w:rPr>
                <w:rFonts w:ascii="Calibri" w:hAnsi="Calibri" w:eastAsia="Microsoft YaHei"/>
                <w:color w:val="222F36"/>
                <w:sz w:val="20"/>
              </w:rPr>
              <w:t xml:space="preserve">SF-1</w:t>
            </w:r>
          </w:p>
        </w:tc>
        <w:tc>
          <w:tcPr>
            <w:tcW w:w="3853" w:type="dxa"/>
            <w:tcMar>
              <w:top w:w="50" w:type="dxa"/>
              <w:left w:w="100" w:type="dxa"/>
              <w:bottom w:w="50" w:type="dxa"/>
              <w:right w:w="100" w:type="dxa"/>
            </w:tcMar>
          </w:tcPr>
          <w:p>
            <w:pPr>
              <w:pStyle w:val="TableText"/>
            </w:pPr>
            <w:r>
              <w:rPr>
                <w:rFonts w:ascii="Calibri" w:hAnsi="Calibri" w:eastAsia="Microsoft YaHei"/>
                <w:color w:val="222F36"/>
                <w:sz w:val="20"/>
              </w:rPr>
              <w:t xml:space="preserve">26°06'N</w:t>
            </w:r>
          </w:p>
        </w:tc>
        <w:tc>
          <w:tcPr>
            <w:tcW w:w="3853" w:type="dxa"/>
            <w:tcMar>
              <w:top w:w="50" w:type="dxa"/>
              <w:left w:w="100" w:type="dxa"/>
              <w:bottom w:w="50" w:type="dxa"/>
              <w:right w:w="100" w:type="dxa"/>
            </w:tcMar>
          </w:tcPr>
          <w:p>
            <w:pPr>
              <w:pStyle w:val="TableText"/>
            </w:pPr>
            <w:r>
              <w:rPr>
                <w:rFonts w:ascii="Calibri" w:hAnsi="Calibri" w:eastAsia="Microsoft YaHei"/>
                <w:color w:val="222F36"/>
                <w:sz w:val="20"/>
              </w:rPr>
              <w:t xml:space="preserve">056°14'E</w:t>
            </w:r>
          </w:p>
        </w:tc>
      </w:tr>
      <w:tr>
        <w:trPr>
          <w:cantSplit/>
        </w:trPr>
        <w:tc>
          <w:tcPr>
            <w:tcW w:w="16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SF-2</w:t>
            </w:r>
          </w:p>
        </w:tc>
        <w:tc>
          <w:tcPr>
            <w:tcW w:w="3853"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26°09'N</w:t>
            </w:r>
          </w:p>
        </w:tc>
        <w:tc>
          <w:tcPr>
            <w:tcW w:w="3853"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056°34'E</w:t>
            </w:r>
          </w:p>
        </w:tc>
      </w:tr>
      <w:tr>
        <w:trPr>
          <w:cantSplit/>
        </w:trPr>
        <w:tc>
          <w:tcPr>
            <w:tcW w:w="1600" w:type="dxa"/>
            <w:tcMar>
              <w:top w:w="50" w:type="dxa"/>
              <w:left w:w="100" w:type="dxa"/>
              <w:bottom w:w="50" w:type="dxa"/>
              <w:right w:w="100" w:type="dxa"/>
            </w:tcMar>
          </w:tcPr>
          <w:p>
            <w:pPr>
              <w:pStyle w:val="TableText"/>
            </w:pPr>
            <w:r>
              <w:rPr>
                <w:rFonts w:ascii="Calibri" w:hAnsi="Calibri" w:eastAsia="Microsoft YaHei"/>
                <w:color w:val="222F36"/>
                <w:sz w:val="20"/>
              </w:rPr>
              <w:t xml:space="preserve">SF-3</w:t>
            </w:r>
          </w:p>
        </w:tc>
        <w:tc>
          <w:tcPr>
            <w:tcW w:w="3853" w:type="dxa"/>
            <w:tcMar>
              <w:top w:w="50" w:type="dxa"/>
              <w:left w:w="100" w:type="dxa"/>
              <w:bottom w:w="50" w:type="dxa"/>
              <w:right w:w="100" w:type="dxa"/>
            </w:tcMar>
          </w:tcPr>
          <w:p>
            <w:pPr>
              <w:pStyle w:val="TableText"/>
            </w:pPr>
            <w:r>
              <w:rPr>
                <w:rFonts w:ascii="Calibri" w:hAnsi="Calibri" w:eastAsia="Microsoft YaHei"/>
                <w:color w:val="222F36"/>
                <w:sz w:val="20"/>
              </w:rPr>
              <w:t xml:space="preserve">26°12'N</w:t>
            </w:r>
          </w:p>
        </w:tc>
        <w:tc>
          <w:tcPr>
            <w:tcW w:w="3853" w:type="dxa"/>
            <w:tcMar>
              <w:top w:w="50" w:type="dxa"/>
              <w:left w:w="100" w:type="dxa"/>
              <w:bottom w:w="50" w:type="dxa"/>
              <w:right w:w="100" w:type="dxa"/>
            </w:tcMar>
          </w:tcPr>
          <w:p>
            <w:pPr>
              <w:pStyle w:val="TableText"/>
            </w:pPr>
            <w:r>
              <w:rPr>
                <w:rFonts w:ascii="Calibri" w:hAnsi="Calibri" w:eastAsia="Microsoft YaHei"/>
                <w:color w:val="222F36"/>
                <w:sz w:val="20"/>
              </w:rPr>
              <w:t xml:space="preserve">056°52'E</w:t>
            </w:r>
          </w:p>
        </w:tc>
      </w:tr>
      <w:tr>
        <w:trPr>
          <w:cantSplit/>
        </w:trPr>
        <w:tc>
          <w:tcPr>
            <w:tcW w:w="16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SF-4</w:t>
            </w:r>
          </w:p>
        </w:tc>
        <w:tc>
          <w:tcPr>
            <w:tcW w:w="3853"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26°08'N</w:t>
            </w:r>
          </w:p>
        </w:tc>
        <w:tc>
          <w:tcPr>
            <w:tcW w:w="3853"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057°05'E</w:t>
            </w:r>
          </w:p>
        </w:tc>
      </w:tr>
    </w:tbl>
    <w:p>
      <w:pPr>
        <w:spacing w:before="0" w:after="140"/>
      </w:pPr>
      <w:r>
        <w:rPr>
          <w:sz w:val="8"/>
        </w:rPr>
        <w:t/>
      </w:r>
    </w:p>
    <w:p>
      <w:pPr>
        <w:pStyle w:val="Normal"/>
      </w:pPr>
      <w:r>
        <w:rPr>
          <w:rFonts w:ascii="Calibri" w:hAnsi="Calibri" w:eastAsia="Microsoft YaHei"/>
          <w:color w:val="222F36"/>
          <w:sz w:val="21"/>
        </w:rPr>
        <w:t xml:space="preserve">The Southern Fairway carries traffic in both directions under a separation scheme the Watch publishes. It stays open to all vessels without notice, permission, or charge (Article 7.2).</w:t>
      </w:r>
    </w:p>
    <w:p>
      <w:pPr>
        <w:pStyle w:val="Heading3"/>
        <w:keepNext/>
        <w:keepLines/>
      </w:pPr>
      <w:r>
        <w:rPr>
          <w:rFonts w:ascii="Calibri" w:hAnsi="Calibri" w:eastAsia="Microsoft YaHei"/>
          <w:b/>
          <w:color w:val="222F36"/>
          <w:sz w:val="22"/>
        </w:rPr>
        <w:t xml:space="preserve">A.3 The Northern Fairway</w:t>
      </w:r>
    </w:p>
    <w:p>
      <w:pPr>
        <w:pStyle w:val="Normal"/>
      </w:pPr>
      <w:r>
        <w:rPr>
          <w:rFonts w:ascii="Calibri" w:hAnsi="Calibri" w:eastAsia="Microsoft YaHei"/>
          <w:color w:val="222F36"/>
          <w:sz w:val="21"/>
        </w:rPr>
        <w:t xml:space="preserve">The Northern Fairway lies in Iranian waters. Its centerline runs through the following waypoints, with a width of two nautical miles on each side of the centerline:</w:t>
      </w:r>
    </w:p>
    <w:tbl>
      <w:tblPr>
        <w:tblW w:w="9306" w:type="dxa"/>
        <w:tblBorders>
          <w:top w:val="single" w:color="AEC4C1" w:sz="6"/>
          <w:left w:val="single" w:color="AEC4C1" w:sz="6"/>
          <w:bottom w:val="single" w:color="AEC4C1" w:sz="6"/>
          <w:right w:val="single" w:color="AEC4C1" w:sz="6"/>
          <w:insideH w:val="single" w:color="AEC4C1" w:sz="4"/>
          <w:insideV w:val="single" w:color="AEC4C1" w:sz="4"/>
        </w:tblBorders>
      </w:tblPr>
      <w:tblGrid>
        <w:gridCol w:w="1600"/>
        <w:gridCol w:w="3853"/>
        <w:gridCol w:w="3853"/>
      </w:tblGrid>
      <w:tr>
        <w:trPr>
          <w:cantSplit/>
          <w:tblHeader/>
        </w:trPr>
        <w:tc>
          <w:tcPr>
            <w:tcW w:w="16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Waypoint</w:t>
            </w:r>
          </w:p>
        </w:tc>
        <w:tc>
          <w:tcPr>
            <w:tcW w:w="3853"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Latitude</w:t>
            </w:r>
          </w:p>
        </w:tc>
        <w:tc>
          <w:tcPr>
            <w:tcW w:w="3853"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Longitude</w:t>
            </w:r>
          </w:p>
        </w:tc>
      </w:tr>
      <w:tr>
        <w:trPr>
          <w:cantSplit/>
        </w:trPr>
        <w:tc>
          <w:tcPr>
            <w:tcW w:w="1600" w:type="dxa"/>
            <w:tcMar>
              <w:top w:w="50" w:type="dxa"/>
              <w:left w:w="100" w:type="dxa"/>
              <w:bottom w:w="50" w:type="dxa"/>
              <w:right w:w="100" w:type="dxa"/>
            </w:tcMar>
          </w:tcPr>
          <w:p>
            <w:pPr>
              <w:pStyle w:val="TableText"/>
            </w:pPr>
            <w:r>
              <w:rPr>
                <w:rFonts w:ascii="Calibri" w:hAnsi="Calibri" w:eastAsia="Microsoft YaHei"/>
                <w:color w:val="222F36"/>
                <w:sz w:val="20"/>
              </w:rPr>
              <w:t xml:space="preserve">NF-1</w:t>
            </w:r>
          </w:p>
        </w:tc>
        <w:tc>
          <w:tcPr>
            <w:tcW w:w="3853" w:type="dxa"/>
            <w:tcMar>
              <w:top w:w="50" w:type="dxa"/>
              <w:left w:w="100" w:type="dxa"/>
              <w:bottom w:w="50" w:type="dxa"/>
              <w:right w:w="100" w:type="dxa"/>
            </w:tcMar>
          </w:tcPr>
          <w:p>
            <w:pPr>
              <w:pStyle w:val="TableText"/>
            </w:pPr>
            <w:r>
              <w:rPr>
                <w:rFonts w:ascii="Calibri" w:hAnsi="Calibri" w:eastAsia="Microsoft YaHei"/>
                <w:color w:val="222F36"/>
                <w:sz w:val="20"/>
              </w:rPr>
              <w:t xml:space="preserve">26°42'N</w:t>
            </w:r>
          </w:p>
        </w:tc>
        <w:tc>
          <w:tcPr>
            <w:tcW w:w="3853" w:type="dxa"/>
            <w:tcMar>
              <w:top w:w="50" w:type="dxa"/>
              <w:left w:w="100" w:type="dxa"/>
              <w:bottom w:w="50" w:type="dxa"/>
              <w:right w:w="100" w:type="dxa"/>
            </w:tcMar>
          </w:tcPr>
          <w:p>
            <w:pPr>
              <w:pStyle w:val="TableText"/>
            </w:pPr>
            <w:r>
              <w:rPr>
                <w:rFonts w:ascii="Calibri" w:hAnsi="Calibri" w:eastAsia="Microsoft YaHei"/>
                <w:color w:val="222F36"/>
                <w:sz w:val="20"/>
              </w:rPr>
              <w:t xml:space="preserve">056°10'E</w:t>
            </w:r>
          </w:p>
        </w:tc>
      </w:tr>
      <w:tr>
        <w:trPr>
          <w:cantSplit/>
        </w:trPr>
        <w:tc>
          <w:tcPr>
            <w:tcW w:w="16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NF-2</w:t>
            </w:r>
          </w:p>
        </w:tc>
        <w:tc>
          <w:tcPr>
            <w:tcW w:w="3853"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26°38'N</w:t>
            </w:r>
          </w:p>
        </w:tc>
        <w:tc>
          <w:tcPr>
            <w:tcW w:w="3853"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056°32'E</w:t>
            </w:r>
          </w:p>
        </w:tc>
      </w:tr>
      <w:tr>
        <w:trPr>
          <w:cantSplit/>
        </w:trPr>
        <w:tc>
          <w:tcPr>
            <w:tcW w:w="1600" w:type="dxa"/>
            <w:tcMar>
              <w:top w:w="50" w:type="dxa"/>
              <w:left w:w="100" w:type="dxa"/>
              <w:bottom w:w="50" w:type="dxa"/>
              <w:right w:w="100" w:type="dxa"/>
            </w:tcMar>
          </w:tcPr>
          <w:p>
            <w:pPr>
              <w:pStyle w:val="TableText"/>
            </w:pPr>
            <w:r>
              <w:rPr>
                <w:rFonts w:ascii="Calibri" w:hAnsi="Calibri" w:eastAsia="Microsoft YaHei"/>
                <w:color w:val="222F36"/>
                <w:sz w:val="20"/>
              </w:rPr>
              <w:t xml:space="preserve">NF-3</w:t>
            </w:r>
          </w:p>
        </w:tc>
        <w:tc>
          <w:tcPr>
            <w:tcW w:w="3853" w:type="dxa"/>
            <w:tcMar>
              <w:top w:w="50" w:type="dxa"/>
              <w:left w:w="100" w:type="dxa"/>
              <w:bottom w:w="50" w:type="dxa"/>
              <w:right w:w="100" w:type="dxa"/>
            </w:tcMar>
          </w:tcPr>
          <w:p>
            <w:pPr>
              <w:pStyle w:val="TableText"/>
            </w:pPr>
            <w:r>
              <w:rPr>
                <w:rFonts w:ascii="Calibri" w:hAnsi="Calibri" w:eastAsia="Microsoft YaHei"/>
                <w:color w:val="222F36"/>
                <w:sz w:val="20"/>
              </w:rPr>
              <w:t xml:space="preserve">26°40'N</w:t>
            </w:r>
          </w:p>
        </w:tc>
        <w:tc>
          <w:tcPr>
            <w:tcW w:w="3853" w:type="dxa"/>
            <w:tcMar>
              <w:top w:w="50" w:type="dxa"/>
              <w:left w:w="100" w:type="dxa"/>
              <w:bottom w:w="50" w:type="dxa"/>
              <w:right w:w="100" w:type="dxa"/>
            </w:tcMar>
          </w:tcPr>
          <w:p>
            <w:pPr>
              <w:pStyle w:val="TableText"/>
            </w:pPr>
            <w:r>
              <w:rPr>
                <w:rFonts w:ascii="Calibri" w:hAnsi="Calibri" w:eastAsia="Microsoft YaHei"/>
                <w:color w:val="222F36"/>
                <w:sz w:val="20"/>
              </w:rPr>
              <w:t xml:space="preserve">056°54'E</w:t>
            </w:r>
          </w:p>
        </w:tc>
      </w:tr>
      <w:tr>
        <w:trPr>
          <w:cantSplit/>
        </w:trPr>
        <w:tc>
          <w:tcPr>
            <w:tcW w:w="16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NF-4</w:t>
            </w:r>
          </w:p>
        </w:tc>
        <w:tc>
          <w:tcPr>
            <w:tcW w:w="3853"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26°44'N</w:t>
            </w:r>
          </w:p>
        </w:tc>
        <w:tc>
          <w:tcPr>
            <w:tcW w:w="3853"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057°06'E</w:t>
            </w:r>
          </w:p>
        </w:tc>
      </w:tr>
    </w:tbl>
    <w:p>
      <w:pPr>
        <w:spacing w:before="0" w:after="140"/>
      </w:pPr>
      <w:r>
        <w:rPr>
          <w:sz w:val="8"/>
        </w:rPr>
        <w:t/>
      </w:r>
    </w:p>
    <w:p>
      <w:pPr>
        <w:pStyle w:val="Normal"/>
      </w:pPr>
      <w:r>
        <w:rPr>
          <w:rFonts w:ascii="Calibri" w:hAnsi="Calibri" w:eastAsia="Microsoft YaHei"/>
          <w:color w:val="222F36"/>
          <w:sz w:val="21"/>
        </w:rPr>
        <w:t xml:space="preserve">The Northern Fairway carries traffic in both directions under the notice system of Annex C. Iranian coordination keeps the picture, the advisories, and the record there, through the Watch (Article 7.3).</w:t>
      </w:r>
    </w:p>
    <w:p>
      <w:pPr>
        <w:pStyle w:val="Heading3"/>
        <w:keepNext/>
        <w:keepLines/>
      </w:pPr>
      <w:r>
        <w:rPr>
          <w:rFonts w:ascii="Calibri" w:hAnsi="Calibri" w:eastAsia="Microsoft YaHei"/>
          <w:b/>
          <w:color w:val="222F36"/>
          <w:sz w:val="22"/>
        </w:rPr>
        <w:t xml:space="preserve">A.4 The Separation Band</w:t>
      </w:r>
    </w:p>
    <w:p>
      <w:pPr>
        <w:pStyle w:val="Normal"/>
      </w:pPr>
      <w:r>
        <w:rPr>
          <w:rFonts w:ascii="Calibri" w:hAnsi="Calibri" w:eastAsia="Microsoft YaHei"/>
          <w:color w:val="222F36"/>
          <w:sz w:val="21"/>
        </w:rPr>
        <w:t xml:space="preserve">The Separation Band lies between the fairways, bounded by lines joining the following points:</w:t>
      </w:r>
    </w:p>
    <w:tbl>
      <w:tblPr>
        <w:tblW w:w="9306" w:type="dxa"/>
        <w:tblBorders>
          <w:top w:val="single" w:color="AEC4C1" w:sz="6"/>
          <w:left w:val="single" w:color="AEC4C1" w:sz="6"/>
          <w:bottom w:val="single" w:color="AEC4C1" w:sz="6"/>
          <w:right w:val="single" w:color="AEC4C1" w:sz="6"/>
          <w:insideH w:val="single" w:color="AEC4C1" w:sz="4"/>
          <w:insideV w:val="single" w:color="AEC4C1" w:sz="4"/>
        </w:tblBorders>
      </w:tblPr>
      <w:tblGrid>
        <w:gridCol w:w="1600"/>
        <w:gridCol w:w="3853"/>
        <w:gridCol w:w="3853"/>
      </w:tblGrid>
      <w:tr>
        <w:trPr>
          <w:cantSplit/>
          <w:tblHeader/>
        </w:trPr>
        <w:tc>
          <w:tcPr>
            <w:tcW w:w="16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Point</w:t>
            </w:r>
          </w:p>
        </w:tc>
        <w:tc>
          <w:tcPr>
            <w:tcW w:w="3853"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Latitude</w:t>
            </w:r>
          </w:p>
        </w:tc>
        <w:tc>
          <w:tcPr>
            <w:tcW w:w="3853"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Longitude</w:t>
            </w:r>
          </w:p>
        </w:tc>
      </w:tr>
      <w:tr>
        <w:trPr>
          <w:cantSplit/>
        </w:trPr>
        <w:tc>
          <w:tcPr>
            <w:tcW w:w="1600" w:type="dxa"/>
            <w:tcMar>
              <w:top w:w="50" w:type="dxa"/>
              <w:left w:w="100" w:type="dxa"/>
              <w:bottom w:w="50" w:type="dxa"/>
              <w:right w:w="100" w:type="dxa"/>
            </w:tcMar>
          </w:tcPr>
          <w:p>
            <w:pPr>
              <w:pStyle w:val="TableText"/>
            </w:pPr>
            <w:r>
              <w:rPr>
                <w:rFonts w:ascii="Calibri" w:hAnsi="Calibri" w:eastAsia="Microsoft YaHei"/>
                <w:color w:val="222F36"/>
                <w:sz w:val="20"/>
              </w:rPr>
              <w:t xml:space="preserve">SB-1</w:t>
            </w:r>
          </w:p>
        </w:tc>
        <w:tc>
          <w:tcPr>
            <w:tcW w:w="3853" w:type="dxa"/>
            <w:tcMar>
              <w:top w:w="50" w:type="dxa"/>
              <w:left w:w="100" w:type="dxa"/>
              <w:bottom w:w="50" w:type="dxa"/>
              <w:right w:w="100" w:type="dxa"/>
            </w:tcMar>
          </w:tcPr>
          <w:p>
            <w:pPr>
              <w:pStyle w:val="TableText"/>
            </w:pPr>
            <w:r>
              <w:rPr>
                <w:rFonts w:ascii="Calibri" w:hAnsi="Calibri" w:eastAsia="Microsoft YaHei"/>
                <w:color w:val="222F36"/>
                <w:sz w:val="20"/>
              </w:rPr>
              <w:t xml:space="preserve">26°20'N</w:t>
            </w:r>
          </w:p>
        </w:tc>
        <w:tc>
          <w:tcPr>
            <w:tcW w:w="3853" w:type="dxa"/>
            <w:tcMar>
              <w:top w:w="50" w:type="dxa"/>
              <w:left w:w="100" w:type="dxa"/>
              <w:bottom w:w="50" w:type="dxa"/>
              <w:right w:w="100" w:type="dxa"/>
            </w:tcMar>
          </w:tcPr>
          <w:p>
            <w:pPr>
              <w:pStyle w:val="TableText"/>
            </w:pPr>
            <w:r>
              <w:rPr>
                <w:rFonts w:ascii="Calibri" w:hAnsi="Calibri" w:eastAsia="Microsoft YaHei"/>
                <w:color w:val="222F36"/>
                <w:sz w:val="20"/>
              </w:rPr>
              <w:t xml:space="preserve">056°12'E</w:t>
            </w:r>
          </w:p>
        </w:tc>
      </w:tr>
      <w:tr>
        <w:trPr>
          <w:cantSplit/>
        </w:trPr>
        <w:tc>
          <w:tcPr>
            <w:tcW w:w="16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SB-2</w:t>
            </w:r>
          </w:p>
        </w:tc>
        <w:tc>
          <w:tcPr>
            <w:tcW w:w="3853"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26°30'N</w:t>
            </w:r>
          </w:p>
        </w:tc>
        <w:tc>
          <w:tcPr>
            <w:tcW w:w="3853"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056°12'E</w:t>
            </w:r>
          </w:p>
        </w:tc>
      </w:tr>
      <w:tr>
        <w:trPr>
          <w:cantSplit/>
        </w:trPr>
        <w:tc>
          <w:tcPr>
            <w:tcW w:w="1600" w:type="dxa"/>
            <w:tcMar>
              <w:top w:w="50" w:type="dxa"/>
              <w:left w:w="100" w:type="dxa"/>
              <w:bottom w:w="50" w:type="dxa"/>
              <w:right w:w="100" w:type="dxa"/>
            </w:tcMar>
          </w:tcPr>
          <w:p>
            <w:pPr>
              <w:pStyle w:val="TableText"/>
            </w:pPr>
            <w:r>
              <w:rPr>
                <w:rFonts w:ascii="Calibri" w:hAnsi="Calibri" w:eastAsia="Microsoft YaHei"/>
                <w:color w:val="222F36"/>
                <w:sz w:val="20"/>
              </w:rPr>
              <w:t xml:space="preserve">SB-3</w:t>
            </w:r>
          </w:p>
        </w:tc>
        <w:tc>
          <w:tcPr>
            <w:tcW w:w="3853" w:type="dxa"/>
            <w:tcMar>
              <w:top w:w="50" w:type="dxa"/>
              <w:left w:w="100" w:type="dxa"/>
              <w:bottom w:w="50" w:type="dxa"/>
              <w:right w:w="100" w:type="dxa"/>
            </w:tcMar>
          </w:tcPr>
          <w:p>
            <w:pPr>
              <w:pStyle w:val="TableText"/>
            </w:pPr>
            <w:r>
              <w:rPr>
                <w:rFonts w:ascii="Calibri" w:hAnsi="Calibri" w:eastAsia="Microsoft YaHei"/>
                <w:color w:val="222F36"/>
                <w:sz w:val="20"/>
              </w:rPr>
              <w:t xml:space="preserve">26°28'N</w:t>
            </w:r>
          </w:p>
        </w:tc>
        <w:tc>
          <w:tcPr>
            <w:tcW w:w="3853" w:type="dxa"/>
            <w:tcMar>
              <w:top w:w="50" w:type="dxa"/>
              <w:left w:w="100" w:type="dxa"/>
              <w:bottom w:w="50" w:type="dxa"/>
              <w:right w:w="100" w:type="dxa"/>
            </w:tcMar>
          </w:tcPr>
          <w:p>
            <w:pPr>
              <w:pStyle w:val="TableText"/>
            </w:pPr>
            <w:r>
              <w:rPr>
                <w:rFonts w:ascii="Calibri" w:hAnsi="Calibri" w:eastAsia="Microsoft YaHei"/>
                <w:color w:val="222F36"/>
                <w:sz w:val="20"/>
              </w:rPr>
              <w:t xml:space="preserve">057°08'E</w:t>
            </w:r>
          </w:p>
        </w:tc>
      </w:tr>
      <w:tr>
        <w:trPr>
          <w:cantSplit/>
        </w:trPr>
        <w:tc>
          <w:tcPr>
            <w:tcW w:w="16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SB-4</w:t>
            </w:r>
          </w:p>
        </w:tc>
        <w:tc>
          <w:tcPr>
            <w:tcW w:w="3853"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26°18'N</w:t>
            </w:r>
          </w:p>
        </w:tc>
        <w:tc>
          <w:tcPr>
            <w:tcW w:w="3853"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057°08'E</w:t>
            </w:r>
          </w:p>
        </w:tc>
      </w:tr>
    </w:tbl>
    <w:p>
      <w:pPr>
        <w:spacing w:before="0" w:after="140"/>
      </w:pPr>
      <w:r>
        <w:rPr>
          <w:sz w:val="8"/>
        </w:rPr>
        <w:t/>
      </w:r>
    </w:p>
    <w:p>
      <w:pPr>
        <w:pStyle w:val="Normal"/>
      </w:pPr>
      <w:r>
        <w:rPr>
          <w:rFonts w:ascii="Calibri" w:hAnsi="Calibri" w:eastAsia="Microsoft YaHei"/>
          <w:color w:val="222F36"/>
          <w:sz w:val="21"/>
        </w:rPr>
        <w:t xml:space="preserve">The Band keeps opposing traffic apart. The Compact excludes exercises, live firing, and loitering by state craft within the Band (Article 7.6). Merchant vessels cross the Band only to join or leave a fairway, at as near to a right angle as practicable.</w:t>
      </w:r>
    </w:p>
    <w:p>
      <w:pPr>
        <w:pStyle w:val="Heading3"/>
        <w:keepNext/>
        <w:keepLines/>
      </w:pPr>
      <w:r>
        <w:rPr>
          <w:rFonts w:ascii="Calibri" w:hAnsi="Calibri" w:eastAsia="Microsoft YaHei"/>
          <w:b/>
          <w:color w:val="222F36"/>
          <w:sz w:val="22"/>
        </w:rPr>
        <w:t xml:space="preserve">A.5 Anchorages and Boarding Stations</w:t>
      </w:r>
    </w:p>
    <w:tbl>
      <w:tblPr>
        <w:tblW w:w="9306" w:type="dxa"/>
        <w:tblBorders>
          <w:top w:val="single" w:color="AEC4C1" w:sz="6"/>
          <w:left w:val="single" w:color="AEC4C1" w:sz="6"/>
          <w:bottom w:val="single" w:color="AEC4C1" w:sz="6"/>
          <w:right w:val="single" w:color="AEC4C1" w:sz="6"/>
          <w:insideH w:val="single" w:color="AEC4C1" w:sz="4"/>
          <w:insideV w:val="single" w:color="AEC4C1" w:sz="4"/>
        </w:tblBorders>
      </w:tblPr>
      <w:tblGrid>
        <w:gridCol w:w="2400"/>
        <w:gridCol w:w="2306"/>
        <w:gridCol w:w="2300"/>
        <w:gridCol w:w="2300"/>
      </w:tblGrid>
      <w:tr>
        <w:trPr>
          <w:cantSplit/>
          <w:tblHeader/>
        </w:trPr>
        <w:tc>
          <w:tcPr>
            <w:tcW w:w="24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Name</w:t>
            </w:r>
          </w:p>
        </w:tc>
        <w:tc>
          <w:tcPr>
            <w:tcW w:w="2306"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Center</w:t>
            </w:r>
          </w:p>
        </w:tc>
        <w:tc>
          <w:tcPr>
            <w:tcW w:w="23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Radius</w:t>
            </w:r>
          </w:p>
        </w:tc>
        <w:tc>
          <w:tcPr>
            <w:tcW w:w="23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Use</w:t>
            </w:r>
          </w:p>
        </w:tc>
      </w:tr>
      <w:tr>
        <w:trPr>
          <w:cantSplit/>
        </w:trPr>
        <w:tc>
          <w:tcPr>
            <w:tcW w:w="2400" w:type="dxa"/>
            <w:tcMar>
              <w:top w:w="50" w:type="dxa"/>
              <w:left w:w="100" w:type="dxa"/>
              <w:bottom w:w="50" w:type="dxa"/>
              <w:right w:w="100" w:type="dxa"/>
            </w:tcMar>
          </w:tcPr>
          <w:p>
            <w:pPr>
              <w:pStyle w:val="TableText"/>
            </w:pPr>
            <w:r>
              <w:rPr>
                <w:rFonts w:ascii="Calibri" w:hAnsi="Calibri" w:eastAsia="Microsoft YaHei"/>
                <w:color w:val="222F36"/>
                <w:sz w:val="20"/>
              </w:rPr>
              <w:t xml:space="preserve">Anchorage East</w:t>
            </w:r>
          </w:p>
        </w:tc>
        <w:tc>
          <w:tcPr>
            <w:tcW w:w="2306" w:type="dxa"/>
            <w:tcMar>
              <w:top w:w="50" w:type="dxa"/>
              <w:left w:w="100" w:type="dxa"/>
              <w:bottom w:w="50" w:type="dxa"/>
              <w:right w:w="100" w:type="dxa"/>
            </w:tcMar>
          </w:tcPr>
          <w:p>
            <w:pPr>
              <w:pStyle w:val="TableText"/>
            </w:pPr>
            <w:r>
              <w:rPr>
                <w:rFonts w:ascii="Calibri" w:hAnsi="Calibri" w:eastAsia="Microsoft YaHei"/>
                <w:color w:val="222F36"/>
                <w:sz w:val="20"/>
              </w:rPr>
              <w:t xml:space="preserve">25°58'N 057°00'E</w:t>
            </w:r>
          </w:p>
        </w:tc>
        <w:tc>
          <w:tcPr>
            <w:tcW w:w="2300" w:type="dxa"/>
            <w:tcMar>
              <w:top w:w="50" w:type="dxa"/>
              <w:left w:w="100" w:type="dxa"/>
              <w:bottom w:w="50" w:type="dxa"/>
              <w:right w:w="100" w:type="dxa"/>
            </w:tcMar>
          </w:tcPr>
          <w:p>
            <w:pPr>
              <w:pStyle w:val="TableText"/>
            </w:pPr>
            <w:r>
              <w:rPr>
                <w:rFonts w:ascii="Calibri" w:hAnsi="Calibri" w:eastAsia="Microsoft YaHei"/>
                <w:color w:val="222F36"/>
                <w:sz w:val="20"/>
              </w:rPr>
              <w:t xml:space="preserve">3.0 nm</w:t>
            </w:r>
          </w:p>
        </w:tc>
        <w:tc>
          <w:tcPr>
            <w:tcW w:w="2300" w:type="dxa"/>
            <w:tcMar>
              <w:top w:w="50" w:type="dxa"/>
              <w:left w:w="100" w:type="dxa"/>
              <w:bottom w:w="50" w:type="dxa"/>
              <w:right w:w="100" w:type="dxa"/>
            </w:tcMar>
          </w:tcPr>
          <w:p>
            <w:pPr>
              <w:pStyle w:val="TableText"/>
            </w:pPr>
            <w:r>
              <w:rPr>
                <w:rFonts w:ascii="Calibri" w:hAnsi="Calibri" w:eastAsia="Microsoft YaHei"/>
                <w:color w:val="222F36"/>
                <w:sz w:val="20"/>
              </w:rPr>
              <w:t xml:space="preserve">Waiting, inspection where law provides, crew services</w:t>
            </w:r>
          </w:p>
        </w:tc>
      </w:tr>
      <w:tr>
        <w:trPr>
          <w:cantSplit/>
        </w:trPr>
        <w:tc>
          <w:tcPr>
            <w:tcW w:w="24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Anchorage West</w:t>
            </w:r>
          </w:p>
        </w:tc>
        <w:tc>
          <w:tcPr>
            <w:tcW w:w="23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26°52'N 056°04'E</w:t>
            </w:r>
          </w:p>
        </w:tc>
        <w:tc>
          <w:tcPr>
            <w:tcW w:w="23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3.0 nm</w:t>
            </w:r>
          </w:p>
        </w:tc>
        <w:tc>
          <w:tcPr>
            <w:tcW w:w="23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Waiting, inspection where law provides, bunkering</w:t>
            </w:r>
          </w:p>
        </w:tc>
      </w:tr>
      <w:tr>
        <w:trPr>
          <w:cantSplit/>
        </w:trPr>
        <w:tc>
          <w:tcPr>
            <w:tcW w:w="2400" w:type="dxa"/>
            <w:tcMar>
              <w:top w:w="50" w:type="dxa"/>
              <w:left w:w="100" w:type="dxa"/>
              <w:bottom w:w="50" w:type="dxa"/>
              <w:right w:w="100" w:type="dxa"/>
            </w:tcMar>
          </w:tcPr>
          <w:p>
            <w:pPr>
              <w:pStyle w:val="TableText"/>
            </w:pPr>
            <w:r>
              <w:rPr>
                <w:rFonts w:ascii="Calibri" w:hAnsi="Calibri" w:eastAsia="Microsoft YaHei"/>
                <w:color w:val="222F36"/>
                <w:sz w:val="20"/>
              </w:rPr>
              <w:t xml:space="preserve">Boarding Station South</w:t>
            </w:r>
          </w:p>
        </w:tc>
        <w:tc>
          <w:tcPr>
            <w:tcW w:w="2306" w:type="dxa"/>
            <w:tcMar>
              <w:top w:w="50" w:type="dxa"/>
              <w:left w:w="100" w:type="dxa"/>
              <w:bottom w:w="50" w:type="dxa"/>
              <w:right w:w="100" w:type="dxa"/>
            </w:tcMar>
          </w:tcPr>
          <w:p>
            <w:pPr>
              <w:pStyle w:val="TableText"/>
            </w:pPr>
            <w:r>
              <w:rPr>
                <w:rFonts w:ascii="Calibri" w:hAnsi="Calibri" w:eastAsia="Microsoft YaHei"/>
                <w:color w:val="222F36"/>
                <w:sz w:val="20"/>
              </w:rPr>
              <w:t xml:space="preserve">26°04'N 056°40'E</w:t>
            </w:r>
          </w:p>
        </w:tc>
        <w:tc>
          <w:tcPr>
            <w:tcW w:w="2300" w:type="dxa"/>
            <w:tcMar>
              <w:top w:w="50" w:type="dxa"/>
              <w:left w:w="100" w:type="dxa"/>
              <w:bottom w:w="50" w:type="dxa"/>
              <w:right w:w="100" w:type="dxa"/>
            </w:tcMar>
          </w:tcPr>
          <w:p>
            <w:pPr>
              <w:pStyle w:val="TableText"/>
            </w:pPr>
            <w:r>
              <w:rPr>
                <w:rFonts w:ascii="Calibri" w:hAnsi="Calibri" w:eastAsia="Microsoft YaHei"/>
                <w:color w:val="222F36"/>
                <w:sz w:val="20"/>
              </w:rPr>
              <w:t xml:space="preserve">1.0 nm</w:t>
            </w:r>
          </w:p>
        </w:tc>
        <w:tc>
          <w:tcPr>
            <w:tcW w:w="2300" w:type="dxa"/>
            <w:tcMar>
              <w:top w:w="50" w:type="dxa"/>
              <w:left w:w="100" w:type="dxa"/>
              <w:bottom w:w="50" w:type="dxa"/>
              <w:right w:w="100" w:type="dxa"/>
            </w:tcMar>
          </w:tcPr>
          <w:p>
            <w:pPr>
              <w:pStyle w:val="TableText"/>
            </w:pPr>
            <w:r>
              <w:rPr>
                <w:rFonts w:ascii="Calibri" w:hAnsi="Calibri" w:eastAsia="Microsoft YaHei"/>
                <w:color w:val="222F36"/>
                <w:sz w:val="20"/>
              </w:rPr>
              <w:t xml:space="preserve">Pilot embarkation for the Southern Fairway</w:t>
            </w:r>
          </w:p>
        </w:tc>
      </w:tr>
      <w:tr>
        <w:trPr>
          <w:cantSplit/>
        </w:trPr>
        <w:tc>
          <w:tcPr>
            <w:tcW w:w="24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Boarding Station North</w:t>
            </w:r>
          </w:p>
        </w:tc>
        <w:tc>
          <w:tcPr>
            <w:tcW w:w="23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26°46'N 056°30'E</w:t>
            </w:r>
          </w:p>
        </w:tc>
        <w:tc>
          <w:tcPr>
            <w:tcW w:w="23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1.0 nm</w:t>
            </w:r>
          </w:p>
        </w:tc>
        <w:tc>
          <w:tcPr>
            <w:tcW w:w="23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Pilot embarkation for the Northern Fairway</w:t>
            </w:r>
          </w:p>
        </w:tc>
      </w:tr>
    </w:tbl>
    <w:p>
      <w:pPr>
        <w:spacing w:before="0" w:after="140"/>
      </w:pPr>
      <w:r>
        <w:rPr>
          <w:sz w:val="8"/>
        </w:rPr>
        <w:t/>
      </w:r>
    </w:p>
    <w:p>
      <w:pPr>
        <w:pStyle w:val="Heading3"/>
        <w:keepNext/>
        <w:keepLines/>
      </w:pPr>
      <w:r>
        <w:rPr>
          <w:rFonts w:ascii="Calibri" w:hAnsi="Calibri" w:eastAsia="Microsoft YaHei"/>
          <w:b/>
          <w:color w:val="222F36"/>
          <w:sz w:val="22"/>
        </w:rPr>
        <w:t xml:space="preserve">A.6 Adjustments</w:t>
      </w:r>
    </w:p>
    <w:p>
      <w:pPr>
        <w:pStyle w:val="Normal"/>
      </w:pPr>
      <w:r>
        <w:rPr>
          <w:rFonts w:ascii="Calibri" w:hAnsi="Calibri" w:eastAsia="Microsoft YaHei"/>
          <w:color w:val="222F36"/>
          <w:sz w:val="21"/>
        </w:rPr>
        <w:t xml:space="preserve">A permanent adjustment of any coordinate in this annex follows Article 6.3: joint instrument, Perimeter Check, sixty days of notice. An interim adjustment for safety follows Article 7.7: Watch publication, forty-eight hours of notice, Council ratification within seven days. Every adjustment enters the Concordance and the chart catalog of the Technical Guarantor.</w:t>
      </w:r>
    </w:p>
    <w:p>
      <w:pPr>
        <w:pStyle w:val="Heading3"/>
        <w:keepNext/>
        <w:keepLines/>
      </w:pPr>
      <w:r>
        <w:rPr>
          <w:rFonts w:ascii="Calibri" w:hAnsi="Calibri" w:eastAsia="Microsoft YaHei"/>
          <w:b/>
          <w:color w:val="222F36"/>
          <w:sz w:val="22"/>
        </w:rPr>
        <w:t xml:space="preserve">A.7 Chart References</w:t>
      </w:r>
    </w:p>
    <w:p>
      <w:pPr>
        <w:pStyle w:val="Normal"/>
      </w:pPr>
      <w:r>
        <w:rPr>
          <w:rFonts w:ascii="Calibri" w:hAnsi="Calibri" w:eastAsia="Microsoft YaHei"/>
          <w:color w:val="222F36"/>
          <w:sz w:val="21"/>
        </w:rPr>
        <w:t xml:space="preserve">The Watch maintains the chart catalog: the relevant INT charts and ENC cells, the Fairway Advisory series, and the tidal and current data of the International Hydrographic Organization. The Technical Guarantor certifies the catalog each year at the Annual Refit.</w:t>
      </w:r>
    </w:p>
    <w:p>
      <w:pPr>
        <w:pStyle w:val="Heading1"/>
        <w:keepNext/>
        <w:keepLines/>
        <w:pageBreakBefore/>
      </w:pPr>
      <w:r>
        <w:rPr>
          <w:rFonts w:ascii="Calibri" w:hAnsi="Calibri" w:eastAsia="Microsoft YaHei"/>
          <w:b/>
          <w:color w:val="1F4E5F"/>
          <w:sz w:val="34"/>
        </w:rPr>
        <w:t xml:space="preserve">Annex B: Vessel Categories and Treatment</w:t>
      </w:r>
    </w:p>
    <w:p>
      <w:pPr>
        <w:pStyle w:val="Normal"/>
      </w:pPr>
      <w:r>
        <w:rPr>
          <w:rFonts w:ascii="Calibri" w:hAnsi="Calibri" w:eastAsia="Microsoft YaHei"/>
          <w:color w:val="222F36"/>
          <w:sz w:val="21"/>
        </w:rPr>
        <w:t xml:space="preserve">The Compact uses four categories and no more (Article 8.1). Category drives treatment; cargo value, ownership, and destination drive nothing.</w:t>
      </w:r>
    </w:p>
    <w:p>
      <w:pPr>
        <w:pStyle w:val="Heading3"/>
        <w:keepNext/>
        <w:keepLines/>
      </w:pPr>
      <w:r>
        <w:rPr>
          <w:rFonts w:ascii="Calibri" w:hAnsi="Calibri" w:eastAsia="Microsoft YaHei"/>
          <w:b/>
          <w:color w:val="222F36"/>
          <w:sz w:val="22"/>
        </w:rPr>
        <w:t xml:space="preserve">B.1 The Categories</w:t>
      </w:r>
    </w:p>
    <w:tbl>
      <w:tblPr>
        <w:tblW w:w="9306" w:type="dxa"/>
        <w:tblBorders>
          <w:top w:val="single" w:color="AEC4C1" w:sz="6"/>
          <w:left w:val="single" w:color="AEC4C1" w:sz="6"/>
          <w:bottom w:val="single" w:color="AEC4C1" w:sz="6"/>
          <w:right w:val="single" w:color="AEC4C1" w:sz="6"/>
          <w:insideH w:val="single" w:color="AEC4C1" w:sz="4"/>
          <w:insideV w:val="single" w:color="AEC4C1" w:sz="4"/>
        </w:tblBorders>
      </w:tblPr>
      <w:tblGrid>
        <w:gridCol w:w="1500"/>
        <w:gridCol w:w="2500"/>
        <w:gridCol w:w="2653"/>
        <w:gridCol w:w="2653"/>
      </w:tblGrid>
      <w:tr>
        <w:trPr>
          <w:cantSplit/>
          <w:tblHeader/>
        </w:trPr>
        <w:tc>
          <w:tcPr>
            <w:tcW w:w="15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Category</w:t>
            </w:r>
          </w:p>
        </w:tc>
        <w:tc>
          <w:tcPr>
            <w:tcW w:w="25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Definition</w:t>
            </w:r>
          </w:p>
        </w:tc>
        <w:tc>
          <w:tcPr>
            <w:tcW w:w="2653"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Southern Fairway</w:t>
            </w:r>
          </w:p>
        </w:tc>
        <w:tc>
          <w:tcPr>
            <w:tcW w:w="2653"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Northern Fairway</w:t>
            </w:r>
          </w:p>
        </w:tc>
      </w:tr>
      <w:tr>
        <w:trPr>
          <w:cantSplit/>
        </w:trPr>
        <w:tc>
          <w:tcPr>
            <w:tcW w:w="1500" w:type="dxa"/>
            <w:tcMar>
              <w:top w:w="50" w:type="dxa"/>
              <w:left w:w="100" w:type="dxa"/>
              <w:bottom w:w="50" w:type="dxa"/>
              <w:right w:w="100" w:type="dxa"/>
            </w:tcMar>
          </w:tcPr>
          <w:p>
            <w:pPr>
              <w:pStyle w:val="TableText"/>
            </w:pPr>
            <w:r>
              <w:rPr>
                <w:rFonts w:ascii="Calibri" w:hAnsi="Calibri" w:eastAsia="Microsoft YaHei"/>
                <w:color w:val="222F36"/>
                <w:sz w:val="20"/>
              </w:rPr>
              <w:t xml:space="preserve">One: Standard</w:t>
            </w:r>
          </w:p>
        </w:tc>
        <w:tc>
          <w:tcPr>
            <w:tcW w:w="2500" w:type="dxa"/>
            <w:tcMar>
              <w:top w:w="50" w:type="dxa"/>
              <w:left w:w="100" w:type="dxa"/>
              <w:bottom w:w="50" w:type="dxa"/>
              <w:right w:w="100" w:type="dxa"/>
            </w:tcMar>
          </w:tcPr>
          <w:p>
            <w:pPr>
              <w:pStyle w:val="TableText"/>
            </w:pPr>
            <w:r>
              <w:rPr>
                <w:rFonts w:ascii="Calibri" w:hAnsi="Calibri" w:eastAsia="Microsoft YaHei"/>
                <w:color w:val="222F36"/>
                <w:sz w:val="20"/>
              </w:rPr>
              <w:t xml:space="preserve">Cargo, container, bulk, passenger, and ro-ro vessels in commercial service</w:t>
            </w:r>
          </w:p>
        </w:tc>
        <w:tc>
          <w:tcPr>
            <w:tcW w:w="2653" w:type="dxa"/>
            <w:tcMar>
              <w:top w:w="50" w:type="dxa"/>
              <w:left w:w="100" w:type="dxa"/>
              <w:bottom w:w="50" w:type="dxa"/>
              <w:right w:w="100" w:type="dxa"/>
            </w:tcMar>
          </w:tcPr>
          <w:p>
            <w:pPr>
              <w:pStyle w:val="TableText"/>
            </w:pPr>
            <w:r>
              <w:rPr>
                <w:rFonts w:ascii="Calibri" w:hAnsi="Calibri" w:eastAsia="Microsoft YaHei"/>
                <w:color w:val="222F36"/>
                <w:sz w:val="20"/>
              </w:rPr>
              <w:t xml:space="preserve">Free transit, no notice</w:t>
            </w:r>
          </w:p>
        </w:tc>
        <w:tc>
          <w:tcPr>
            <w:tcW w:w="2653" w:type="dxa"/>
            <w:tcMar>
              <w:top w:w="50" w:type="dxa"/>
              <w:left w:w="100" w:type="dxa"/>
              <w:bottom w:w="50" w:type="dxa"/>
              <w:right w:w="100" w:type="dxa"/>
            </w:tcMar>
          </w:tcPr>
          <w:p>
            <w:pPr>
              <w:pStyle w:val="TableText"/>
            </w:pPr>
            <w:r>
              <w:rPr>
                <w:rFonts w:ascii="Calibri" w:hAnsi="Calibri" w:eastAsia="Microsoft YaHei"/>
                <w:color w:val="222F36"/>
                <w:sz w:val="20"/>
              </w:rPr>
              <w:t xml:space="preserve">Notice under Annex C; proceeds on filing</w:t>
            </w:r>
          </w:p>
        </w:tc>
      </w:tr>
      <w:tr>
        <w:trPr>
          <w:cantSplit/>
        </w:trPr>
        <w:tc>
          <w:tcPr>
            <w:tcW w:w="15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Two: Energy</w:t>
            </w:r>
          </w:p>
        </w:tc>
        <w:tc>
          <w:tcPr>
            <w:tcW w:w="25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Oil, LNG, and LPG carriers, and other bulk energy carriers</w:t>
            </w:r>
          </w:p>
        </w:tc>
        <w:tc>
          <w:tcPr>
            <w:tcW w:w="2653"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Free transit, no notice; advisory on approach</w:t>
            </w:r>
          </w:p>
        </w:tc>
        <w:tc>
          <w:tcPr>
            <w:tcW w:w="2653"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Notice under Annex C; approach advisory; escort on request</w:t>
            </w:r>
          </w:p>
        </w:tc>
      </w:tr>
      <w:tr>
        <w:trPr>
          <w:cantSplit/>
        </w:trPr>
        <w:tc>
          <w:tcPr>
            <w:tcW w:w="1500" w:type="dxa"/>
            <w:tcMar>
              <w:top w:w="50" w:type="dxa"/>
              <w:left w:w="100" w:type="dxa"/>
              <w:bottom w:w="50" w:type="dxa"/>
              <w:right w:w="100" w:type="dxa"/>
            </w:tcMar>
          </w:tcPr>
          <w:p>
            <w:pPr>
              <w:pStyle w:val="TableText"/>
            </w:pPr>
            <w:r>
              <w:rPr>
                <w:rFonts w:ascii="Calibri" w:hAnsi="Calibri" w:eastAsia="Microsoft YaHei"/>
                <w:color w:val="222F36"/>
                <w:sz w:val="20"/>
              </w:rPr>
              <w:t xml:space="preserve">Three: State craft</w:t>
            </w:r>
          </w:p>
        </w:tc>
        <w:tc>
          <w:tcPr>
            <w:tcW w:w="2500" w:type="dxa"/>
            <w:tcMar>
              <w:top w:w="50" w:type="dxa"/>
              <w:left w:w="100" w:type="dxa"/>
              <w:bottom w:w="50" w:type="dxa"/>
              <w:right w:w="100" w:type="dxa"/>
            </w:tcMar>
          </w:tcPr>
          <w:p>
            <w:pPr>
              <w:pStyle w:val="TableText"/>
            </w:pPr>
            <w:r>
              <w:rPr>
                <w:rFonts w:ascii="Calibri" w:hAnsi="Calibri" w:eastAsia="Microsoft YaHei"/>
                <w:color w:val="222F36"/>
                <w:sz w:val="20"/>
              </w:rPr>
              <w:t xml:space="preserve">Warships and government vessels operated for non-commercial service</w:t>
            </w:r>
          </w:p>
        </w:tc>
        <w:tc>
          <w:tcPr>
            <w:tcW w:w="2653" w:type="dxa"/>
            <w:tcMar>
              <w:top w:w="50" w:type="dxa"/>
              <w:left w:w="100" w:type="dxa"/>
              <w:bottom w:w="50" w:type="dxa"/>
              <w:right w:w="100" w:type="dxa"/>
            </w:tcMar>
          </w:tcPr>
          <w:p>
            <w:pPr>
              <w:pStyle w:val="TableText"/>
            </w:pPr>
            <w:r>
              <w:rPr>
                <w:rFonts w:ascii="Calibri" w:hAnsi="Calibri" w:eastAsia="Microsoft YaHei"/>
                <w:color w:val="222F36"/>
                <w:sz w:val="20"/>
              </w:rPr>
              <w:t xml:space="preserve">Courtesy notice twenty-four hours ahead; de-confliction rules of Annex J</w:t>
            </w:r>
          </w:p>
        </w:tc>
        <w:tc>
          <w:tcPr>
            <w:tcW w:w="2653" w:type="dxa"/>
            <w:tcMar>
              <w:top w:w="50" w:type="dxa"/>
              <w:left w:w="100" w:type="dxa"/>
              <w:bottom w:w="50" w:type="dxa"/>
              <w:right w:w="100" w:type="dxa"/>
            </w:tcMar>
          </w:tcPr>
          <w:p>
            <w:pPr>
              <w:pStyle w:val="TableText"/>
            </w:pPr>
            <w:r>
              <w:rPr>
                <w:rFonts w:ascii="Calibri" w:hAnsi="Calibri" w:eastAsia="Microsoft YaHei"/>
                <w:color w:val="222F36"/>
                <w:sz w:val="20"/>
              </w:rPr>
              <w:t xml:space="preserve">Courtesy notice twenty-four hours ahead; de-confliction rules of Annex J</w:t>
            </w:r>
          </w:p>
        </w:tc>
      </w:tr>
      <w:tr>
        <w:trPr>
          <w:cantSplit/>
        </w:trPr>
        <w:tc>
          <w:tcPr>
            <w:tcW w:w="15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Four: Humanitarian</w:t>
            </w:r>
          </w:p>
        </w:tc>
        <w:tc>
          <w:tcPr>
            <w:tcW w:w="25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Search and rescue units, medical evacuation, pollution response, and vessels on humanitarian tasking</w:t>
            </w:r>
          </w:p>
        </w:tc>
        <w:tc>
          <w:tcPr>
            <w:tcW w:w="2653"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Priority movement; Watch assists proactively</w:t>
            </w:r>
          </w:p>
        </w:tc>
        <w:tc>
          <w:tcPr>
            <w:tcW w:w="2653"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Priority movement; Watch assists proactively</w:t>
            </w:r>
          </w:p>
        </w:tc>
      </w:tr>
    </w:tbl>
    <w:p>
      <w:pPr>
        <w:spacing w:before="0" w:after="140"/>
      </w:pPr>
      <w:r>
        <w:rPr>
          <w:sz w:val="8"/>
        </w:rPr>
        <w:t/>
      </w:r>
    </w:p>
    <w:p>
      <w:pPr>
        <w:pStyle w:val="Heading3"/>
        <w:keepNext/>
        <w:keepLines/>
      </w:pPr>
      <w:r>
        <w:rPr>
          <w:rFonts w:ascii="Calibri" w:hAnsi="Calibri" w:eastAsia="Microsoft YaHei"/>
          <w:b/>
          <w:color w:val="222F36"/>
          <w:sz w:val="22"/>
        </w:rPr>
        <w:t xml:space="preserve">B.2 Treatment Rules</w:t>
      </w:r>
    </w:p>
    <w:p>
      <w:pPr>
        <w:pStyle w:val="Normal"/>
        <w:ind w:left="560" w:hanging="560"/>
      </w:pPr>
      <w:r>
        <w:rPr>
          <w:rFonts w:ascii="Calibri" w:hAnsi="Calibri" w:eastAsia="Microsoft YaHei"/>
          <w:b/>
          <w:color w:val="1F4E5F"/>
          <w:sz w:val="21"/>
        </w:rPr>
        <w:t xml:space="preserve">B.2.1  </w:t>
      </w:r>
      <w:r>
        <w:rPr>
          <w:rFonts w:ascii="Calibri" w:hAnsi="Calibri" w:eastAsia="Microsoft YaHei"/>
          <w:color w:val="222F36"/>
          <w:sz w:val="21"/>
        </w:rPr>
        <w:t xml:space="preserve">Escort. A vessel of any category requests an escort through the Watch, and the coastal state of the fairway provides it as a catalog service under Annex H. Escort is a service, never a condition.</w:t>
      </w:r>
    </w:p>
    <w:p>
      <w:pPr>
        <w:pStyle w:val="Normal"/>
        <w:ind w:left="560" w:hanging="560"/>
      </w:pPr>
      <w:r>
        <w:rPr>
          <w:rFonts w:ascii="Calibri" w:hAnsi="Calibri" w:eastAsia="Microsoft YaHei"/>
          <w:b/>
          <w:color w:val="1F4E5F"/>
          <w:sz w:val="21"/>
        </w:rPr>
        <w:t xml:space="preserve">B.2.2  </w:t>
      </w:r>
      <w:r>
        <w:rPr>
          <w:rFonts w:ascii="Calibri" w:hAnsi="Calibri" w:eastAsia="Microsoft YaHei"/>
          <w:color w:val="222F36"/>
          <w:sz w:val="21"/>
        </w:rPr>
        <w:t xml:space="preserve">Pilotage. Pilotage remains a matter for each coastal state at its boarding stations, as a catalog service, and never operates as a condition of transit.</w:t>
      </w:r>
    </w:p>
    <w:p>
      <w:pPr>
        <w:pStyle w:val="Normal"/>
        <w:ind w:left="560" w:hanging="560"/>
      </w:pPr>
      <w:r>
        <w:rPr>
          <w:rFonts w:ascii="Calibri" w:hAnsi="Calibri" w:eastAsia="Microsoft YaHei"/>
          <w:b/>
          <w:color w:val="1F4E5F"/>
          <w:sz w:val="21"/>
        </w:rPr>
        <w:t xml:space="preserve">B.2.3  </w:t>
      </w:r>
      <w:r>
        <w:rPr>
          <w:rFonts w:ascii="Calibri" w:hAnsi="Calibri" w:eastAsia="Microsoft YaHei"/>
          <w:color w:val="222F36"/>
          <w:sz w:val="21"/>
        </w:rPr>
        <w:t xml:space="preserve">Deep-draft vessels. The Watch issues a deep-water advisory for vessels drawing more than twenty meters, recommending the lane and the window. The advisory informs; the master decides.</w:t>
      </w:r>
    </w:p>
    <w:p>
      <w:pPr>
        <w:pStyle w:val="Normal"/>
        <w:ind w:left="560" w:hanging="560"/>
      </w:pPr>
      <w:r>
        <w:rPr>
          <w:rFonts w:ascii="Calibri" w:hAnsi="Calibri" w:eastAsia="Microsoft YaHei"/>
          <w:b/>
          <w:color w:val="1F4E5F"/>
          <w:sz w:val="21"/>
        </w:rPr>
        <w:t xml:space="preserve">B.2.4  </w:t>
      </w:r>
      <w:r>
        <w:rPr>
          <w:rFonts w:ascii="Calibri" w:hAnsi="Calibri" w:eastAsia="Microsoft YaHei"/>
          <w:color w:val="222F36"/>
          <w:sz w:val="21"/>
        </w:rPr>
        <w:t xml:space="preserve">Small craft and fishing vessels. Local small craft use the inshore zones outside the fairways. The Watch publishes the zones and the crossing rules, in Persian, Arabic, and English.</w:t>
      </w:r>
    </w:p>
    <w:p>
      <w:pPr>
        <w:pStyle w:val="Normal"/>
        <w:ind w:left="560" w:hanging="560"/>
      </w:pPr>
      <w:r>
        <w:rPr>
          <w:rFonts w:ascii="Calibri" w:hAnsi="Calibri" w:eastAsia="Microsoft YaHei"/>
          <w:b/>
          <w:color w:val="1F4E5F"/>
          <w:sz w:val="21"/>
        </w:rPr>
        <w:t xml:space="preserve">B.2.5  </w:t>
      </w:r>
      <w:r>
        <w:rPr>
          <w:rFonts w:ascii="Calibri" w:hAnsi="Calibri" w:eastAsia="Microsoft YaHei"/>
          <w:color w:val="222F36"/>
          <w:sz w:val="21"/>
        </w:rPr>
        <w:t xml:space="preserve">No category grows. The Council creates no further category, sub-category, or special class. A vessel that fits none of the four categories takes Category One treatment until the Annual Refit considers the case.</w:t>
      </w:r>
    </w:p>
    <w:p>
      <w:pPr>
        <w:pStyle w:val="Heading3"/>
        <w:keepNext/>
        <w:keepLines/>
      </w:pPr>
      <w:r>
        <w:rPr>
          <w:rFonts w:ascii="Calibri" w:hAnsi="Calibri" w:eastAsia="Microsoft YaHei"/>
          <w:b/>
          <w:color w:val="222F36"/>
          <w:sz w:val="22"/>
        </w:rPr>
        <w:t xml:space="preserve">B.3 Fairness</w:t>
      </w:r>
    </w:p>
    <w:p>
      <w:pPr>
        <w:pStyle w:val="Normal"/>
      </w:pPr>
      <w:r>
        <w:rPr>
          <w:rFonts w:ascii="Calibri" w:hAnsi="Calibri" w:eastAsia="Microsoft YaHei"/>
          <w:color w:val="222F36"/>
          <w:sz w:val="21"/>
        </w:rPr>
        <w:t xml:space="preserve">Treatment never varies by flag, ownership, insurer, cargo destination, or the state of relations between any two capitals. The Watch applies the matrix of this annex to every vessel alike, and the Concordance records the application, open for every participant to check.</w:t>
      </w:r>
    </w:p>
    <w:p>
      <w:pPr>
        <w:pStyle w:val="Heading1"/>
        <w:keepNext/>
        <w:keepLines/>
        <w:pageBreakBefore/>
      </w:pPr>
      <w:r>
        <w:rPr>
          <w:rFonts w:ascii="Calibri" w:hAnsi="Calibri" w:eastAsia="Microsoft YaHei"/>
          <w:b/>
          <w:color w:val="1F4E5F"/>
          <w:sz w:val="34"/>
        </w:rPr>
        <w:t xml:space="preserve">Annex C: The Fairway Notice System</w:t>
      </w:r>
    </w:p>
    <w:p>
      <w:pPr>
        <w:pStyle w:val="Normal"/>
      </w:pPr>
      <w:r>
        <w:rPr>
          <w:rFonts w:ascii="Calibri" w:hAnsi="Calibri" w:eastAsia="Microsoft YaHei"/>
          <w:color w:val="222F36"/>
          <w:sz w:val="21"/>
        </w:rPr>
        <w:t xml:space="preserve">The notice system runs the Northern Fairway and the courtesy practice for state craft. It informs; it never requests (Article 7.3). One form, eight fields, thirty minutes to acknowledgment.</w:t>
      </w:r>
    </w:p>
    <w:p>
      <w:pPr>
        <w:pStyle w:val="Heading3"/>
        <w:keepNext/>
        <w:keepLines/>
      </w:pPr>
      <w:r>
        <w:rPr>
          <w:rFonts w:ascii="Calibri" w:hAnsi="Calibri" w:eastAsia="Microsoft YaHei"/>
          <w:b/>
          <w:color w:val="222F36"/>
          <w:sz w:val="22"/>
        </w:rPr>
        <w:t xml:space="preserve">C.1 Who Files</w:t>
      </w:r>
    </w:p>
    <w:p>
      <w:pPr>
        <w:pStyle w:val="Normal"/>
      </w:pPr>
      <w:r>
        <w:rPr>
          <w:rFonts w:ascii="Calibri" w:hAnsi="Calibri" w:eastAsia="Microsoft YaHei"/>
          <w:color w:val="222F36"/>
          <w:sz w:val="21"/>
        </w:rPr>
        <w:t xml:space="preserve">The master, owner, or agent of a vessel of Category One or Two intending the Northern Fairway files a Fairway Notice. State craft of Category Three file a courtesy notice for either fairway. Category Four vessels file nothing; the Watch assists them proactively.</w:t>
      </w:r>
    </w:p>
    <w:p>
      <w:pPr>
        <w:pStyle w:val="Heading3"/>
        <w:keepNext/>
        <w:keepLines/>
      </w:pPr>
      <w:r>
        <w:rPr>
          <w:rFonts w:ascii="Calibri" w:hAnsi="Calibri" w:eastAsia="Microsoft YaHei"/>
          <w:b/>
          <w:color w:val="222F36"/>
          <w:sz w:val="22"/>
        </w:rPr>
        <w:t xml:space="preserve">C.2 Timing</w:t>
      </w:r>
    </w:p>
    <w:tbl>
      <w:tblPr>
        <w:tblW w:w="9306" w:type="dxa"/>
        <w:tblBorders>
          <w:top w:val="single" w:color="AEC4C1" w:sz="6"/>
          <w:left w:val="single" w:color="AEC4C1" w:sz="6"/>
          <w:bottom w:val="single" w:color="AEC4C1" w:sz="6"/>
          <w:right w:val="single" w:color="AEC4C1" w:sz="6"/>
          <w:insideH w:val="single" w:color="AEC4C1" w:sz="4"/>
          <w:insideV w:val="single" w:color="AEC4C1" w:sz="4"/>
        </w:tblBorders>
      </w:tblPr>
      <w:tblGrid>
        <w:gridCol w:w="1800"/>
        <w:gridCol w:w="3753"/>
        <w:gridCol w:w="3753"/>
      </w:tblGrid>
      <w:tr>
        <w:trPr>
          <w:cantSplit/>
          <w:tblHeader/>
        </w:trPr>
        <w:tc>
          <w:tcPr>
            <w:tcW w:w="18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Step</w:t>
            </w:r>
          </w:p>
        </w:tc>
        <w:tc>
          <w:tcPr>
            <w:tcW w:w="3753"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Deadline</w:t>
            </w:r>
          </w:p>
        </w:tc>
        <w:tc>
          <w:tcPr>
            <w:tcW w:w="3753"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Content</w:t>
            </w:r>
          </w:p>
        </w:tc>
      </w:tr>
      <w:tr>
        <w:trPr>
          <w:cantSplit/>
        </w:trPr>
        <w:tc>
          <w:tcPr>
            <w:tcW w:w="1800" w:type="dxa"/>
            <w:tcMar>
              <w:top w:w="50" w:type="dxa"/>
              <w:left w:w="100" w:type="dxa"/>
              <w:bottom w:w="50" w:type="dxa"/>
              <w:right w:w="100" w:type="dxa"/>
            </w:tcMar>
          </w:tcPr>
          <w:p>
            <w:pPr>
              <w:pStyle w:val="TableText"/>
            </w:pPr>
            <w:r>
              <w:rPr>
                <w:rFonts w:ascii="Calibri" w:hAnsi="Calibri" w:eastAsia="Microsoft YaHei"/>
                <w:color w:val="222F36"/>
                <w:sz w:val="20"/>
              </w:rPr>
              <w:t xml:space="preserve">Initial notice</w:t>
            </w:r>
          </w:p>
        </w:tc>
        <w:tc>
          <w:tcPr>
            <w:tcW w:w="3753" w:type="dxa"/>
            <w:tcMar>
              <w:top w:w="50" w:type="dxa"/>
              <w:left w:w="100" w:type="dxa"/>
              <w:bottom w:w="50" w:type="dxa"/>
              <w:right w:w="100" w:type="dxa"/>
            </w:tcMar>
          </w:tcPr>
          <w:p>
            <w:pPr>
              <w:pStyle w:val="TableText"/>
            </w:pPr>
            <w:r>
              <w:rPr>
                <w:rFonts w:ascii="Calibri" w:hAnsi="Calibri" w:eastAsia="Microsoft YaHei"/>
                <w:color w:val="222F36"/>
                <w:sz w:val="20"/>
              </w:rPr>
              <w:t xml:space="preserve">T-24 hours before entry</w:t>
            </w:r>
          </w:p>
        </w:tc>
        <w:tc>
          <w:tcPr>
            <w:tcW w:w="3753" w:type="dxa"/>
            <w:tcMar>
              <w:top w:w="50" w:type="dxa"/>
              <w:left w:w="100" w:type="dxa"/>
              <w:bottom w:w="50" w:type="dxa"/>
              <w:right w:w="100" w:type="dxa"/>
            </w:tcMar>
          </w:tcPr>
          <w:p>
            <w:pPr>
              <w:pStyle w:val="TableText"/>
            </w:pPr>
            <w:r>
              <w:rPr>
                <w:rFonts w:ascii="Calibri" w:hAnsi="Calibri" w:eastAsia="Microsoft YaHei"/>
                <w:color w:val="222F36"/>
                <w:sz w:val="20"/>
              </w:rPr>
              <w:t xml:space="preserve">All eight fields</w:t>
            </w:r>
          </w:p>
        </w:tc>
      </w:tr>
      <w:tr>
        <w:trPr>
          <w:cantSplit/>
        </w:trPr>
        <w:tc>
          <w:tcPr>
            <w:tcW w:w="18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Update</w:t>
            </w:r>
          </w:p>
        </w:tc>
        <w:tc>
          <w:tcPr>
            <w:tcW w:w="3753"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T-6 hours</w:t>
            </w:r>
          </w:p>
        </w:tc>
        <w:tc>
          <w:tcPr>
            <w:tcW w:w="3753"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Confirm or amend ETA and route points</w:t>
            </w:r>
          </w:p>
        </w:tc>
      </w:tr>
      <w:tr>
        <w:trPr>
          <w:cantSplit/>
        </w:trPr>
        <w:tc>
          <w:tcPr>
            <w:tcW w:w="1800" w:type="dxa"/>
            <w:tcMar>
              <w:top w:w="50" w:type="dxa"/>
              <w:left w:w="100" w:type="dxa"/>
              <w:bottom w:w="50" w:type="dxa"/>
              <w:right w:w="100" w:type="dxa"/>
            </w:tcMar>
          </w:tcPr>
          <w:p>
            <w:pPr>
              <w:pStyle w:val="TableText"/>
            </w:pPr>
            <w:r>
              <w:rPr>
                <w:rFonts w:ascii="Calibri" w:hAnsi="Calibri" w:eastAsia="Microsoft YaHei"/>
                <w:color w:val="222F36"/>
                <w:sz w:val="20"/>
              </w:rPr>
              <w:t xml:space="preserve">Final confirmation</w:t>
            </w:r>
          </w:p>
        </w:tc>
        <w:tc>
          <w:tcPr>
            <w:tcW w:w="3753" w:type="dxa"/>
            <w:tcMar>
              <w:top w:w="50" w:type="dxa"/>
              <w:left w:w="100" w:type="dxa"/>
              <w:bottom w:w="50" w:type="dxa"/>
              <w:right w:w="100" w:type="dxa"/>
            </w:tcMar>
          </w:tcPr>
          <w:p>
            <w:pPr>
              <w:pStyle w:val="TableText"/>
            </w:pPr>
            <w:r>
              <w:rPr>
                <w:rFonts w:ascii="Calibri" w:hAnsi="Calibri" w:eastAsia="Microsoft YaHei"/>
                <w:color w:val="222F36"/>
                <w:sz w:val="20"/>
              </w:rPr>
              <w:t xml:space="preserve">T-1 hour</w:t>
            </w:r>
          </w:p>
        </w:tc>
        <w:tc>
          <w:tcPr>
            <w:tcW w:w="3753" w:type="dxa"/>
            <w:tcMar>
              <w:top w:w="50" w:type="dxa"/>
              <w:left w:w="100" w:type="dxa"/>
              <w:bottom w:w="50" w:type="dxa"/>
              <w:right w:w="100" w:type="dxa"/>
            </w:tcMar>
          </w:tcPr>
          <w:p>
            <w:pPr>
              <w:pStyle w:val="TableText"/>
            </w:pPr>
            <w:r>
              <w:rPr>
                <w:rFonts w:ascii="Calibri" w:hAnsi="Calibri" w:eastAsia="Microsoft YaHei"/>
                <w:color w:val="222F36"/>
                <w:sz w:val="20"/>
              </w:rPr>
              <w:t xml:space="preserve">Confirm entry; note any change of status</w:t>
            </w:r>
          </w:p>
        </w:tc>
      </w:tr>
      <w:tr>
        <w:trPr>
          <w:cantSplit/>
        </w:trPr>
        <w:tc>
          <w:tcPr>
            <w:tcW w:w="18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Amendment</w:t>
            </w:r>
          </w:p>
        </w:tc>
        <w:tc>
          <w:tcPr>
            <w:tcW w:w="3753"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Any time</w:t>
            </w:r>
          </w:p>
        </w:tc>
        <w:tc>
          <w:tcPr>
            <w:tcW w:w="3753"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File changes as they occur; the latest notice governs</w:t>
            </w:r>
          </w:p>
        </w:tc>
      </w:tr>
    </w:tbl>
    <w:p>
      <w:pPr>
        <w:spacing w:before="0" w:after="140"/>
      </w:pPr>
      <w:r>
        <w:rPr>
          <w:sz w:val="8"/>
        </w:rPr>
        <w:t/>
      </w:r>
    </w:p>
    <w:p>
      <w:pPr>
        <w:pStyle w:val="Heading3"/>
        <w:keepNext/>
        <w:keepLines/>
      </w:pPr>
      <w:r>
        <w:rPr>
          <w:rFonts w:ascii="Calibri" w:hAnsi="Calibri" w:eastAsia="Microsoft YaHei"/>
          <w:b/>
          <w:color w:val="222F36"/>
          <w:sz w:val="22"/>
        </w:rPr>
        <w:t xml:space="preserve">C.3 The Eight Fields</w:t>
      </w:r>
    </w:p>
    <w:tbl>
      <w:tblPr>
        <w:tblW w:w="9306" w:type="dxa"/>
        <w:tblBorders>
          <w:top w:val="single" w:color="1F4E5F" w:sz="10"/>
          <w:left w:val="single" w:color="1F4E5F" w:sz="10"/>
          <w:bottom w:val="single" w:color="1F4E5F" w:sz="10"/>
          <w:right w:val="single" w:color="1F4E5F" w:sz="10"/>
          <w:insideH w:val="nil"/>
          <w:insideV w:val="nil"/>
        </w:tblBorders>
      </w:tblPr>
      <w:tblGrid>
        <w:gridCol w:w="9306"/>
      </w:tblGrid>
      <w:tr>
        <w:tc>
          <w:tcPr>
            <w:tcW w:w="9306" w:type="dxa"/>
            <w:shd w:val="clear" w:fill="E7EFEE"/>
            <w:tcMar>
              <w:top w:w="100" w:type="dxa"/>
              <w:left w:w="160" w:type="dxa"/>
              <w:bottom w:w="60" w:type="dxa"/>
              <w:right w:w="160" w:type="dxa"/>
            </w:tcMar>
          </w:tcPr>
          <w:p>
            <w:pPr>
              <w:pStyle w:val="TableText"/>
            </w:pPr>
            <w:r>
              <w:rPr>
                <w:rFonts w:ascii="Calibri" w:hAnsi="Calibri" w:eastAsia="Microsoft YaHei"/>
                <w:b/>
                <w:color w:val="1F4E5F"/>
                <w:sz w:val="21"/>
              </w:rPr>
              <w:t xml:space="preserve">Form F-1: Fairway Notice</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Field 1. Vessel identity: name, IMO number, MMSI.</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Field 2. Flag state.</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Field 3. Category and type (per Annex B).</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Field 4. Dimensions and draft: length overall, beam, maximum draft in meters.</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Field 5. Cargo class: energy, bulk, general, passenger, or humanitarian. No manifest, no consignee, no value.</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Field 6. Entry point and estimated time of entry (UTC).</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Field 7. Exit point and estimated time of exit (UTC).</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Field 8. Contact: VHF working channel and a twenty-four-hour email address.</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Declaration. The master confirms seaworthiness, valid certification, and intent to follow the COLREGS and the advisories of the Watch.</w:t>
            </w:r>
          </w:p>
        </w:tc>
      </w:tr>
    </w:tbl>
    <w:p>
      <w:pPr>
        <w:spacing w:before="0" w:after="120"/>
      </w:pPr>
      <w:r>
        <w:rPr>
          <w:sz w:val="8"/>
        </w:rPr>
        <w:t/>
      </w:r>
    </w:p>
    <w:p>
      <w:pPr>
        <w:pStyle w:val="Heading3"/>
        <w:keepNext/>
        <w:keepLines/>
      </w:pPr>
      <w:r>
        <w:rPr>
          <w:rFonts w:ascii="Calibri" w:hAnsi="Calibri" w:eastAsia="Microsoft YaHei"/>
          <w:b/>
          <w:color w:val="222F36"/>
          <w:sz w:val="22"/>
        </w:rPr>
        <w:t xml:space="preserve">C.4 Acknowledgment</w:t>
      </w:r>
    </w:p>
    <w:p>
      <w:pPr>
        <w:pStyle w:val="Normal"/>
        <w:ind w:left="560" w:hanging="560"/>
      </w:pPr>
      <w:r>
        <w:rPr>
          <w:rFonts w:ascii="Calibri" w:hAnsi="Calibri" w:eastAsia="Microsoft YaHei"/>
          <w:b/>
          <w:color w:val="1F4E5F"/>
          <w:sz w:val="21"/>
        </w:rPr>
        <w:t xml:space="preserve">C.4.1  </w:t>
      </w:r>
      <w:r>
        <w:rPr>
          <w:rFonts w:ascii="Calibri" w:hAnsi="Calibri" w:eastAsia="Microsoft YaHei"/>
          <w:color w:val="222F36"/>
          <w:sz w:val="21"/>
        </w:rPr>
        <w:t xml:space="preserve">The Watch acknowledges every notice within thirty minutes of receipt, by Form F-2, entering the notice into the traffic picture and the Concordance.</w:t>
      </w:r>
    </w:p>
    <w:p>
      <w:pPr>
        <w:pStyle w:val="Normal"/>
        <w:ind w:left="560" w:hanging="560"/>
      </w:pPr>
      <w:r>
        <w:rPr>
          <w:rFonts w:ascii="Calibri" w:hAnsi="Calibri" w:eastAsia="Microsoft YaHei"/>
          <w:b/>
          <w:color w:val="1F4E5F"/>
          <w:sz w:val="21"/>
        </w:rPr>
        <w:t xml:space="preserve">C.4.2  </w:t>
      </w:r>
      <w:r>
        <w:rPr>
          <w:rFonts w:ascii="Calibri" w:hAnsi="Calibri" w:eastAsia="Microsoft YaHei"/>
          <w:color w:val="222F36"/>
          <w:sz w:val="21"/>
        </w:rPr>
        <w:t xml:space="preserve">Silence equals acceptance. Where no acknowledgment arrives within two hours, the notice stands as filed, and the vessel proceeds. The Watch logs the silence and repairs the failure; the vessel never pays for it.</w:t>
      </w:r>
    </w:p>
    <w:p>
      <w:pPr>
        <w:pStyle w:val="Normal"/>
        <w:ind w:left="560" w:hanging="560"/>
      </w:pPr>
      <w:r>
        <w:rPr>
          <w:rFonts w:ascii="Calibri" w:hAnsi="Calibri" w:eastAsia="Microsoft YaHei"/>
          <w:b/>
          <w:color w:val="1F4E5F"/>
          <w:sz w:val="21"/>
        </w:rPr>
        <w:t xml:space="preserve">C.4.3  </w:t>
      </w:r>
      <w:r>
        <w:rPr>
          <w:rFonts w:ascii="Calibri" w:hAnsi="Calibri" w:eastAsia="Microsoft YaHei"/>
          <w:color w:val="222F36"/>
          <w:sz w:val="21"/>
        </w:rPr>
        <w:t xml:space="preserve">An acknowledgment never conditions, delays, or denies passage. It confirms receipt, states any live advisory, and offers services. Nothing more.</w:t>
      </w:r>
    </w:p>
    <w:tbl>
      <w:tblPr>
        <w:tblW w:w="9306" w:type="dxa"/>
        <w:tblBorders>
          <w:top w:val="single" w:color="1F4E5F" w:sz="10"/>
          <w:left w:val="single" w:color="1F4E5F" w:sz="10"/>
          <w:bottom w:val="single" w:color="1F4E5F" w:sz="10"/>
          <w:right w:val="single" w:color="1F4E5F" w:sz="10"/>
          <w:insideH w:val="nil"/>
          <w:insideV w:val="nil"/>
        </w:tblBorders>
      </w:tblPr>
      <w:tblGrid>
        <w:gridCol w:w="9306"/>
      </w:tblGrid>
      <w:tr>
        <w:tc>
          <w:tcPr>
            <w:tcW w:w="9306" w:type="dxa"/>
            <w:shd w:val="clear" w:fill="E7EFEE"/>
            <w:tcMar>
              <w:top w:w="100" w:type="dxa"/>
              <w:left w:w="160" w:type="dxa"/>
              <w:bottom w:w="60" w:type="dxa"/>
              <w:right w:w="160" w:type="dxa"/>
            </w:tcMar>
          </w:tcPr>
          <w:p>
            <w:pPr>
              <w:pStyle w:val="TableText"/>
            </w:pPr>
            <w:r>
              <w:rPr>
                <w:rFonts w:ascii="Calibri" w:hAnsi="Calibri" w:eastAsia="Microsoft YaHei"/>
                <w:b/>
                <w:color w:val="1F4E5F"/>
                <w:sz w:val="21"/>
              </w:rPr>
              <w:t xml:space="preserve">Form F-2: Acknowledgment</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Line 1. Notice reference and timestamp of receipt.</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Line 2. Vessel identity (echo of Field 1).</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Line 3. Advisories in force for the window (or “none”).</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Line 4. Services offered (escort, pilotage, deep-water advisory), each marked “on request.”</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Line 5. Watch position and signature block. Time of issue (UTC).</w:t>
            </w:r>
          </w:p>
        </w:tc>
      </w:tr>
    </w:tbl>
    <w:p>
      <w:pPr>
        <w:spacing w:before="0" w:after="120"/>
      </w:pPr>
      <w:r>
        <w:rPr>
          <w:sz w:val="8"/>
        </w:rPr>
        <w:t/>
      </w:r>
    </w:p>
    <w:p>
      <w:pPr>
        <w:pStyle w:val="Heading3"/>
        <w:keepNext/>
        <w:keepLines/>
      </w:pPr>
      <w:r>
        <w:rPr>
          <w:rFonts w:ascii="Calibri" w:hAnsi="Calibri" w:eastAsia="Microsoft YaHei"/>
          <w:b/>
          <w:color w:val="222F36"/>
          <w:sz w:val="22"/>
        </w:rPr>
        <w:t xml:space="preserve">C.5 Amendment and Cancellation</w:t>
      </w:r>
    </w:p>
    <w:p>
      <w:pPr>
        <w:pStyle w:val="Normal"/>
      </w:pPr>
      <w:r>
        <w:rPr>
          <w:rFonts w:ascii="Calibri" w:hAnsi="Calibri" w:eastAsia="Microsoft YaHei"/>
          <w:color w:val="222F36"/>
          <w:sz w:val="21"/>
        </w:rPr>
        <w:t xml:space="preserve">Form F-3 amends or cancels any notice in one message, citing the notice reference and the changed fields. A cancellation carries no explanation requirement and no consequence; the record simply closes the notice.</w:t>
      </w:r>
    </w:p>
    <w:p>
      <w:pPr>
        <w:pStyle w:val="Heading3"/>
        <w:keepNext/>
        <w:keepLines/>
      </w:pPr>
      <w:r>
        <w:rPr>
          <w:rFonts w:ascii="Calibri" w:hAnsi="Calibri" w:eastAsia="Microsoft YaHei"/>
          <w:b/>
          <w:color w:val="222F36"/>
          <w:sz w:val="22"/>
        </w:rPr>
        <w:t xml:space="preserve">C.6 Channels and Failure</w:t>
      </w:r>
    </w:p>
    <w:p>
      <w:pPr>
        <w:pStyle w:val="Normal"/>
        <w:ind w:left="560" w:hanging="560"/>
      </w:pPr>
      <w:r>
        <w:rPr>
          <w:rFonts w:ascii="Calibri" w:hAnsi="Calibri" w:eastAsia="Microsoft YaHei"/>
          <w:b/>
          <w:color w:val="1F4E5F"/>
          <w:sz w:val="21"/>
        </w:rPr>
        <w:t xml:space="preserve">C.6.1  </w:t>
      </w:r>
      <w:r>
        <w:rPr>
          <w:rFonts w:ascii="Calibri" w:hAnsi="Calibri" w:eastAsia="Microsoft YaHei"/>
          <w:color w:val="222F36"/>
          <w:sz w:val="21"/>
        </w:rPr>
        <w:t xml:space="preserve">The notice portal (web and email) is the primary channel. Small craft file by VHF through the national traffic service, which relays the notice to the Watch within fifteen minutes.</w:t>
      </w:r>
    </w:p>
    <w:p>
      <w:pPr>
        <w:pStyle w:val="Normal"/>
        <w:ind w:left="560" w:hanging="560"/>
      </w:pPr>
      <w:r>
        <w:rPr>
          <w:rFonts w:ascii="Calibri" w:hAnsi="Calibri" w:eastAsia="Microsoft YaHei"/>
          <w:b/>
          <w:color w:val="1F4E5F"/>
          <w:sz w:val="21"/>
        </w:rPr>
        <w:t xml:space="preserve">C.6.2  </w:t>
      </w:r>
      <w:r>
        <w:rPr>
          <w:rFonts w:ascii="Calibri" w:hAnsi="Calibri" w:eastAsia="Microsoft YaHei"/>
          <w:color w:val="222F36"/>
          <w:sz w:val="21"/>
        </w:rPr>
        <w:t xml:space="preserve">On portal failure, notices file by email to the published fallback address or by VHF relay, and the Watch enters them retroactively within twenty-four hours, marking the entry with the failure code. A notice never fails because a machine did.</w:t>
      </w:r>
    </w:p>
    <w:p>
      <w:pPr>
        <w:pStyle w:val="Normal"/>
        <w:ind w:left="560" w:hanging="560"/>
      </w:pPr>
      <w:r>
        <w:rPr>
          <w:rFonts w:ascii="Calibri" w:hAnsi="Calibri" w:eastAsia="Microsoft YaHei"/>
          <w:b/>
          <w:color w:val="1F4E5F"/>
          <w:sz w:val="21"/>
        </w:rPr>
        <w:t xml:space="preserve">C.6.3  </w:t>
      </w:r>
      <w:r>
        <w:rPr>
          <w:rFonts w:ascii="Calibri" w:hAnsi="Calibri" w:eastAsia="Microsoft YaHei"/>
          <w:color w:val="222F36"/>
          <w:sz w:val="21"/>
        </w:rPr>
        <w:t xml:space="preserve">All notice data enter the Concordance under Article 14.8. Commercial confidentiality attaches to every field; the prohibited uses rule guards them all.</w:t>
      </w:r>
    </w:p>
    <w:p>
      <w:pPr>
        <w:pStyle w:val="Heading1"/>
        <w:keepNext/>
        <w:keepLines/>
        <w:pageBreakBefore/>
      </w:pPr>
      <w:r>
        <w:rPr>
          <w:rFonts w:ascii="Calibri" w:hAnsi="Calibri" w:eastAsia="Microsoft YaHei"/>
          <w:b/>
          <w:color w:val="1F4E5F"/>
          <w:sz w:val="34"/>
        </w:rPr>
        <w:t xml:space="preserve">Annex D: Tide Watch Operations and Communications</w:t>
      </w:r>
    </w:p>
    <w:p>
      <w:pPr>
        <w:pStyle w:val="Normal"/>
      </w:pPr>
      <w:r>
        <w:rPr>
          <w:rFonts w:ascii="Calibri" w:hAnsi="Calibri" w:eastAsia="Microsoft YaHei"/>
          <w:color w:val="222F36"/>
          <w:sz w:val="21"/>
        </w:rPr>
        <w:t xml:space="preserve">This annex runs the watch floor. It fixes staffing, feeds, rhythm, the Tide Line, voice discipline, fallback modes, and the daily publication that keeps the water honest.</w:t>
      </w:r>
    </w:p>
    <w:p>
      <w:pPr>
        <w:pStyle w:val="Heading3"/>
        <w:keepNext/>
        <w:keepLines/>
      </w:pPr>
      <w:r>
        <w:rPr>
          <w:rFonts w:ascii="Calibri" w:hAnsi="Calibri" w:eastAsia="Microsoft YaHei"/>
          <w:b/>
          <w:color w:val="222F36"/>
          <w:sz w:val="22"/>
        </w:rPr>
        <w:t xml:space="preserve">D.1 Organization and Staffing</w:t>
      </w:r>
    </w:p>
    <w:p>
      <w:pPr>
        <w:pStyle w:val="Normal"/>
      </w:pPr>
      <w:r>
        <w:rPr>
          <w:rFonts w:ascii="Calibri" w:hAnsi="Calibri" w:eastAsia="Microsoft YaHei"/>
          <w:color w:val="222F36"/>
          <w:sz w:val="21"/>
        </w:rPr>
        <w:t xml:space="preserve">The establishment totals thirty-six posts:</w:t>
      </w:r>
    </w:p>
    <w:tbl>
      <w:tblPr>
        <w:tblW w:w="9306" w:type="dxa"/>
        <w:tblBorders>
          <w:top w:val="single" w:color="AEC4C1" w:sz="6"/>
          <w:left w:val="single" w:color="AEC4C1" w:sz="6"/>
          <w:bottom w:val="single" w:color="AEC4C1" w:sz="6"/>
          <w:right w:val="single" w:color="AEC4C1" w:sz="6"/>
          <w:insideH w:val="single" w:color="AEC4C1" w:sz="4"/>
          <w:insideV w:val="single" w:color="AEC4C1" w:sz="4"/>
        </w:tblBorders>
      </w:tblPr>
      <w:tblGrid>
        <w:gridCol w:w="4200"/>
        <w:gridCol w:w="1700"/>
        <w:gridCol w:w="3406"/>
      </w:tblGrid>
      <w:tr>
        <w:trPr>
          <w:cantSplit/>
          <w:tblHeader/>
        </w:trPr>
        <w:tc>
          <w:tcPr>
            <w:tcW w:w="42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Post</w:t>
            </w:r>
          </w:p>
        </w:tc>
        <w:tc>
          <w:tcPr>
            <w:tcW w:w="17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Number</w:t>
            </w:r>
          </w:p>
        </w:tc>
        <w:tc>
          <w:tcPr>
            <w:tcW w:w="3406"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Notes</w:t>
            </w:r>
          </w:p>
        </w:tc>
      </w:tr>
      <w:tr>
        <w:trPr>
          <w:cantSplit/>
        </w:trPr>
        <w:tc>
          <w:tcPr>
            <w:tcW w:w="4200" w:type="dxa"/>
            <w:tcMar>
              <w:top w:w="50" w:type="dxa"/>
              <w:left w:w="100" w:type="dxa"/>
              <w:bottom w:w="50" w:type="dxa"/>
              <w:right w:w="100" w:type="dxa"/>
            </w:tcMar>
          </w:tcPr>
          <w:p>
            <w:pPr>
              <w:pStyle w:val="TableText"/>
            </w:pPr>
            <w:r>
              <w:rPr>
                <w:rFonts w:ascii="Calibri" w:hAnsi="Calibri" w:eastAsia="Microsoft YaHei"/>
                <w:color w:val="222F36"/>
                <w:sz w:val="20"/>
              </w:rPr>
              <w:t xml:space="preserve">Watch Superintendent (host Party)</w:t>
            </w:r>
          </w:p>
        </w:tc>
        <w:tc>
          <w:tcPr>
            <w:tcW w:w="1700" w:type="dxa"/>
            <w:tcMar>
              <w:top w:w="50" w:type="dxa"/>
              <w:left w:w="100" w:type="dxa"/>
              <w:bottom w:w="50" w:type="dxa"/>
              <w:right w:w="100" w:type="dxa"/>
            </w:tcMar>
          </w:tcPr>
          <w:p>
            <w:pPr>
              <w:pStyle w:val="TableText"/>
            </w:pPr>
            <w:r>
              <w:rPr>
                <w:rFonts w:ascii="Calibri" w:hAnsi="Calibri" w:eastAsia="Microsoft YaHei"/>
                <w:color w:val="222F36"/>
                <w:sz w:val="20"/>
              </w:rPr>
              <w:t xml:space="preserve">1</w:t>
            </w:r>
          </w:p>
        </w:tc>
        <w:tc>
          <w:tcPr>
            <w:tcW w:w="3406" w:type="dxa"/>
            <w:tcMar>
              <w:top w:w="50" w:type="dxa"/>
              <w:left w:w="100" w:type="dxa"/>
              <w:bottom w:w="50" w:type="dxa"/>
              <w:right w:w="100" w:type="dxa"/>
            </w:tcMar>
          </w:tcPr>
          <w:p>
            <w:pPr>
              <w:pStyle w:val="TableText"/>
            </w:pPr>
            <w:r>
              <w:rPr>
                <w:rFonts w:ascii="Calibri" w:hAnsi="Calibri" w:eastAsia="Microsoft YaHei"/>
                <w:color w:val="222F36"/>
                <w:sz w:val="20"/>
              </w:rPr>
              <w:t xml:space="preserve">Civilian master mariner; runs the floor</w:t>
            </w:r>
          </w:p>
        </w:tc>
      </w:tr>
      <w:tr>
        <w:trPr>
          <w:cantSplit/>
        </w:trPr>
        <w:tc>
          <w:tcPr>
            <w:tcW w:w="42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Deputy Superintendent (other Party)</w:t>
            </w:r>
          </w:p>
        </w:tc>
        <w:tc>
          <w:tcPr>
            <w:tcW w:w="17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1</w:t>
            </w:r>
          </w:p>
        </w:tc>
        <w:tc>
          <w:tcPr>
            <w:tcW w:w="34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Civilian master mariner; assumes command in absence</w:t>
            </w:r>
          </w:p>
        </w:tc>
      </w:tr>
      <w:tr>
        <w:trPr>
          <w:cantSplit/>
        </w:trPr>
        <w:tc>
          <w:tcPr>
            <w:tcW w:w="4200" w:type="dxa"/>
            <w:tcMar>
              <w:top w:w="50" w:type="dxa"/>
              <w:left w:w="100" w:type="dxa"/>
              <w:bottom w:w="50" w:type="dxa"/>
              <w:right w:w="100" w:type="dxa"/>
            </w:tcMar>
          </w:tcPr>
          <w:p>
            <w:pPr>
              <w:pStyle w:val="TableText"/>
            </w:pPr>
            <w:r>
              <w:rPr>
                <w:rFonts w:ascii="Calibri" w:hAnsi="Calibri" w:eastAsia="Microsoft YaHei"/>
                <w:color w:val="222F36"/>
                <w:sz w:val="20"/>
              </w:rPr>
              <w:t xml:space="preserve">Senior watchkeepers</w:t>
            </w:r>
          </w:p>
        </w:tc>
        <w:tc>
          <w:tcPr>
            <w:tcW w:w="1700" w:type="dxa"/>
            <w:tcMar>
              <w:top w:w="50" w:type="dxa"/>
              <w:left w:w="100" w:type="dxa"/>
              <w:bottom w:w="50" w:type="dxa"/>
              <w:right w:w="100" w:type="dxa"/>
            </w:tcMar>
          </w:tcPr>
          <w:p>
            <w:pPr>
              <w:pStyle w:val="TableText"/>
            </w:pPr>
            <w:r>
              <w:rPr>
                <w:rFonts w:ascii="Calibri" w:hAnsi="Calibri" w:eastAsia="Microsoft YaHei"/>
                <w:color w:val="222F36"/>
                <w:sz w:val="20"/>
              </w:rPr>
              <w:t xml:space="preserve">4</w:t>
            </w:r>
          </w:p>
        </w:tc>
        <w:tc>
          <w:tcPr>
            <w:tcW w:w="3406" w:type="dxa"/>
            <w:tcMar>
              <w:top w:w="50" w:type="dxa"/>
              <w:left w:w="100" w:type="dxa"/>
              <w:bottom w:w="50" w:type="dxa"/>
              <w:right w:w="100" w:type="dxa"/>
            </w:tcMar>
          </w:tcPr>
          <w:p>
            <w:pPr>
              <w:pStyle w:val="TableText"/>
            </w:pPr>
            <w:r>
              <w:rPr>
                <w:rFonts w:ascii="Calibri" w:hAnsi="Calibri" w:eastAsia="Microsoft YaHei"/>
                <w:color w:val="222F36"/>
                <w:sz w:val="20"/>
              </w:rPr>
              <w:t xml:space="preserve">Two per Party; one per watch team, rotating lead</w:t>
            </w:r>
          </w:p>
        </w:tc>
      </w:tr>
      <w:tr>
        <w:trPr>
          <w:cantSplit/>
        </w:trPr>
        <w:tc>
          <w:tcPr>
            <w:tcW w:w="42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Watchkeepers</w:t>
            </w:r>
          </w:p>
        </w:tc>
        <w:tc>
          <w:tcPr>
            <w:tcW w:w="17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8</w:t>
            </w:r>
          </w:p>
        </w:tc>
        <w:tc>
          <w:tcPr>
            <w:tcW w:w="34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Four per Party; paired on every team</w:t>
            </w:r>
          </w:p>
        </w:tc>
      </w:tr>
      <w:tr>
        <w:trPr>
          <w:cantSplit/>
        </w:trPr>
        <w:tc>
          <w:tcPr>
            <w:tcW w:w="4200" w:type="dxa"/>
            <w:tcMar>
              <w:top w:w="50" w:type="dxa"/>
              <w:left w:w="100" w:type="dxa"/>
              <w:bottom w:w="50" w:type="dxa"/>
              <w:right w:w="100" w:type="dxa"/>
            </w:tcMar>
          </w:tcPr>
          <w:p>
            <w:pPr>
              <w:pStyle w:val="TableText"/>
            </w:pPr>
            <w:r>
              <w:rPr>
                <w:rFonts w:ascii="Calibri" w:hAnsi="Calibri" w:eastAsia="Microsoft YaHei"/>
                <w:color w:val="222F36"/>
                <w:sz w:val="20"/>
              </w:rPr>
              <w:t xml:space="preserve">Watch assistants</w:t>
            </w:r>
          </w:p>
        </w:tc>
        <w:tc>
          <w:tcPr>
            <w:tcW w:w="1700" w:type="dxa"/>
            <w:tcMar>
              <w:top w:w="50" w:type="dxa"/>
              <w:left w:w="100" w:type="dxa"/>
              <w:bottom w:w="50" w:type="dxa"/>
              <w:right w:w="100" w:type="dxa"/>
            </w:tcMar>
          </w:tcPr>
          <w:p>
            <w:pPr>
              <w:pStyle w:val="TableText"/>
            </w:pPr>
            <w:r>
              <w:rPr>
                <w:rFonts w:ascii="Calibri" w:hAnsi="Calibri" w:eastAsia="Microsoft YaHei"/>
                <w:color w:val="222F36"/>
                <w:sz w:val="20"/>
              </w:rPr>
              <w:t xml:space="preserve">4</w:t>
            </w:r>
          </w:p>
        </w:tc>
        <w:tc>
          <w:tcPr>
            <w:tcW w:w="3406" w:type="dxa"/>
            <w:tcMar>
              <w:top w:w="50" w:type="dxa"/>
              <w:left w:w="100" w:type="dxa"/>
              <w:bottom w:w="50" w:type="dxa"/>
              <w:right w:w="100" w:type="dxa"/>
            </w:tcMar>
          </w:tcPr>
          <w:p>
            <w:pPr>
              <w:pStyle w:val="TableText"/>
            </w:pPr>
            <w:r>
              <w:rPr>
                <w:rFonts w:ascii="Calibri" w:hAnsi="Calibri" w:eastAsia="Microsoft YaHei"/>
                <w:color w:val="222F36"/>
                <w:sz w:val="20"/>
              </w:rPr>
              <w:t xml:space="preserve">Two per Party; plot, log, and publish</w:t>
            </w:r>
          </w:p>
        </w:tc>
      </w:tr>
      <w:tr>
        <w:trPr>
          <w:cantSplit/>
        </w:trPr>
        <w:tc>
          <w:tcPr>
            <w:tcW w:w="42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Systems technicians</w:t>
            </w:r>
          </w:p>
        </w:tc>
        <w:tc>
          <w:tcPr>
            <w:tcW w:w="17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4</w:t>
            </w:r>
          </w:p>
        </w:tc>
        <w:tc>
          <w:tcPr>
            <w:tcW w:w="34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Feeds, sensors, and the mirror</w:t>
            </w:r>
          </w:p>
        </w:tc>
      </w:tr>
      <w:tr>
        <w:trPr>
          <w:cantSplit/>
        </w:trPr>
        <w:tc>
          <w:tcPr>
            <w:tcW w:w="4200" w:type="dxa"/>
            <w:tcMar>
              <w:top w:w="50" w:type="dxa"/>
              <w:left w:w="100" w:type="dxa"/>
              <w:bottom w:w="50" w:type="dxa"/>
              <w:right w:w="100" w:type="dxa"/>
            </w:tcMar>
          </w:tcPr>
          <w:p>
            <w:pPr>
              <w:pStyle w:val="TableText"/>
            </w:pPr>
            <w:r>
              <w:rPr>
                <w:rFonts w:ascii="Calibri" w:hAnsi="Calibri" w:eastAsia="Microsoft YaHei"/>
                <w:color w:val="222F36"/>
                <w:sz w:val="20"/>
              </w:rPr>
              <w:t xml:space="preserve">Bandar Desk liaison team</w:t>
            </w:r>
          </w:p>
        </w:tc>
        <w:tc>
          <w:tcPr>
            <w:tcW w:w="1700" w:type="dxa"/>
            <w:tcMar>
              <w:top w:w="50" w:type="dxa"/>
              <w:left w:w="100" w:type="dxa"/>
              <w:bottom w:w="50" w:type="dxa"/>
              <w:right w:w="100" w:type="dxa"/>
            </w:tcMar>
          </w:tcPr>
          <w:p>
            <w:pPr>
              <w:pStyle w:val="TableText"/>
            </w:pPr>
            <w:r>
              <w:rPr>
                <w:rFonts w:ascii="Calibri" w:hAnsi="Calibri" w:eastAsia="Microsoft YaHei"/>
                <w:color w:val="222F36"/>
                <w:sz w:val="20"/>
              </w:rPr>
              <w:t xml:space="preserve">6</w:t>
            </w:r>
          </w:p>
        </w:tc>
        <w:tc>
          <w:tcPr>
            <w:tcW w:w="3406" w:type="dxa"/>
            <w:tcMar>
              <w:top w:w="50" w:type="dxa"/>
              <w:left w:w="100" w:type="dxa"/>
              <w:bottom w:w="50" w:type="dxa"/>
              <w:right w:w="100" w:type="dxa"/>
            </w:tcMar>
          </w:tcPr>
          <w:p>
            <w:pPr>
              <w:pStyle w:val="TableText"/>
            </w:pPr>
            <w:r>
              <w:rPr>
                <w:rFonts w:ascii="Calibri" w:hAnsi="Calibri" w:eastAsia="Microsoft YaHei"/>
                <w:color w:val="222F36"/>
                <w:sz w:val="20"/>
              </w:rPr>
              <w:t xml:space="preserve">Mirror watch, national liaison, fallback duty</w:t>
            </w:r>
          </w:p>
        </w:tc>
      </w:tr>
      <w:tr>
        <w:trPr>
          <w:cantSplit/>
        </w:trPr>
        <w:tc>
          <w:tcPr>
            <w:tcW w:w="42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Training and quality officers</w:t>
            </w:r>
          </w:p>
        </w:tc>
        <w:tc>
          <w:tcPr>
            <w:tcW w:w="17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2</w:t>
            </w:r>
          </w:p>
        </w:tc>
        <w:tc>
          <w:tcPr>
            <w:tcW w:w="34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One per Party; drills and standards</w:t>
            </w:r>
          </w:p>
        </w:tc>
      </w:tr>
      <w:tr>
        <w:trPr>
          <w:cantSplit/>
        </w:trPr>
        <w:tc>
          <w:tcPr>
            <w:tcW w:w="4200" w:type="dxa"/>
            <w:tcMar>
              <w:top w:w="50" w:type="dxa"/>
              <w:left w:w="100" w:type="dxa"/>
              <w:bottom w:w="50" w:type="dxa"/>
              <w:right w:w="100" w:type="dxa"/>
            </w:tcMar>
          </w:tcPr>
          <w:p>
            <w:pPr>
              <w:pStyle w:val="TableText"/>
            </w:pPr>
            <w:r>
              <w:rPr>
                <w:rFonts w:ascii="Calibri" w:hAnsi="Calibri" w:eastAsia="Microsoft YaHei"/>
                <w:color w:val="222F36"/>
                <w:sz w:val="20"/>
              </w:rPr>
              <w:t xml:space="preserve">Administration</w:t>
            </w:r>
          </w:p>
        </w:tc>
        <w:tc>
          <w:tcPr>
            <w:tcW w:w="1700" w:type="dxa"/>
            <w:tcMar>
              <w:top w:w="50" w:type="dxa"/>
              <w:left w:w="100" w:type="dxa"/>
              <w:bottom w:w="50" w:type="dxa"/>
              <w:right w:w="100" w:type="dxa"/>
            </w:tcMar>
          </w:tcPr>
          <w:p>
            <w:pPr>
              <w:pStyle w:val="TableText"/>
            </w:pPr>
            <w:r>
              <w:rPr>
                <w:rFonts w:ascii="Calibri" w:hAnsi="Calibri" w:eastAsia="Microsoft YaHei"/>
                <w:color w:val="222F36"/>
                <w:sz w:val="20"/>
              </w:rPr>
              <w:t xml:space="preserve">2</w:t>
            </w:r>
          </w:p>
        </w:tc>
        <w:tc>
          <w:tcPr>
            <w:tcW w:w="3406" w:type="dxa"/>
            <w:tcMar>
              <w:top w:w="50" w:type="dxa"/>
              <w:left w:w="100" w:type="dxa"/>
              <w:bottom w:w="50" w:type="dxa"/>
              <w:right w:w="100" w:type="dxa"/>
            </w:tcMar>
          </w:tcPr>
          <w:p>
            <w:pPr>
              <w:pStyle w:val="TableText"/>
            </w:pPr>
            <w:r>
              <w:rPr>
                <w:rFonts w:ascii="Calibri" w:hAnsi="Calibri" w:eastAsia="Microsoft YaHei"/>
                <w:color w:val="222F36"/>
                <w:sz w:val="20"/>
              </w:rPr>
              <w:t xml:space="preserve">Rosters, records, docket support</w:t>
            </w:r>
          </w:p>
        </w:tc>
      </w:tr>
      <w:tr>
        <w:trPr>
          <w:cantSplit/>
        </w:trPr>
        <w:tc>
          <w:tcPr>
            <w:tcW w:w="42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Duty meteorologist (seconded)</w:t>
            </w:r>
          </w:p>
        </w:tc>
        <w:tc>
          <w:tcPr>
            <w:tcW w:w="17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4</w:t>
            </w:r>
          </w:p>
        </w:tc>
        <w:tc>
          <w:tcPr>
            <w:tcW w:w="34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One per watch team, from the national services</w:t>
            </w:r>
          </w:p>
        </w:tc>
      </w:tr>
    </w:tbl>
    <w:p>
      <w:pPr>
        <w:spacing w:before="0" w:after="140"/>
      </w:pPr>
      <w:r>
        <w:rPr>
          <w:sz w:val="8"/>
        </w:rPr>
        <w:t/>
      </w:r>
    </w:p>
    <w:p>
      <w:pPr>
        <w:pStyle w:val="Normal"/>
      </w:pPr>
      <w:r>
        <w:rPr>
          <w:rFonts w:ascii="Calibri" w:hAnsi="Calibri" w:eastAsia="Microsoft YaHei"/>
          <w:color w:val="222F36"/>
          <w:sz w:val="21"/>
        </w:rPr>
        <w:t xml:space="preserve">Each watch team carries one Iranian and one Omani watchkeeper of equal standing, and every transmission of consequence passes two pairs of eyes. All staff are civilians (Article 5.3). Each Party pays its own nationals; the Account pays shared costs, premises support, and training.</w:t>
      </w:r>
    </w:p>
    <w:p>
      <w:pPr>
        <w:pStyle w:val="Heading3"/>
        <w:keepNext/>
        <w:keepLines/>
      </w:pPr>
      <w:r>
        <w:rPr>
          <w:rFonts w:ascii="Calibri" w:hAnsi="Calibri" w:eastAsia="Microsoft YaHei"/>
          <w:b/>
          <w:color w:val="222F36"/>
          <w:sz w:val="22"/>
        </w:rPr>
        <w:t xml:space="preserve">D.2 Feeds and Equipment</w:t>
      </w:r>
    </w:p>
    <w:tbl>
      <w:tblPr>
        <w:tblW w:w="9306" w:type="dxa"/>
        <w:tblBorders>
          <w:top w:val="single" w:color="AEC4C1" w:sz="6"/>
          <w:left w:val="single" w:color="AEC4C1" w:sz="6"/>
          <w:bottom w:val="single" w:color="AEC4C1" w:sz="6"/>
          <w:right w:val="single" w:color="AEC4C1" w:sz="6"/>
          <w:insideH w:val="single" w:color="AEC4C1" w:sz="4"/>
          <w:insideV w:val="single" w:color="AEC4C1" w:sz="4"/>
        </w:tblBorders>
      </w:tblPr>
      <w:tblGrid>
        <w:gridCol w:w="2800"/>
        <w:gridCol w:w="3200"/>
        <w:gridCol w:w="3306"/>
      </w:tblGrid>
      <w:tr>
        <w:trPr>
          <w:cantSplit/>
          <w:tblHeader/>
        </w:trPr>
        <w:tc>
          <w:tcPr>
            <w:tcW w:w="28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Feed</w:t>
            </w:r>
          </w:p>
        </w:tc>
        <w:tc>
          <w:tcPr>
            <w:tcW w:w="32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Source</w:t>
            </w:r>
          </w:p>
        </w:tc>
        <w:tc>
          <w:tcPr>
            <w:tcW w:w="3306"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Cadence</w:t>
            </w:r>
          </w:p>
        </w:tc>
      </w:tr>
      <w:tr>
        <w:trPr>
          <w:cantSplit/>
        </w:trPr>
        <w:tc>
          <w:tcPr>
            <w:tcW w:w="2800" w:type="dxa"/>
            <w:tcMar>
              <w:top w:w="50" w:type="dxa"/>
              <w:left w:w="100" w:type="dxa"/>
              <w:bottom w:w="50" w:type="dxa"/>
              <w:right w:w="100" w:type="dxa"/>
            </w:tcMar>
          </w:tcPr>
          <w:p>
            <w:pPr>
              <w:pStyle w:val="TableText"/>
            </w:pPr>
            <w:r>
              <w:rPr>
                <w:rFonts w:ascii="Calibri" w:hAnsi="Calibri" w:eastAsia="Microsoft YaHei"/>
                <w:color w:val="222F36"/>
                <w:sz w:val="20"/>
              </w:rPr>
              <w:t xml:space="preserve">Coastal radar chain</w:t>
            </w:r>
          </w:p>
        </w:tc>
        <w:tc>
          <w:tcPr>
            <w:tcW w:w="3200" w:type="dxa"/>
            <w:tcMar>
              <w:top w:w="50" w:type="dxa"/>
              <w:left w:w="100" w:type="dxa"/>
              <w:bottom w:w="50" w:type="dxa"/>
              <w:right w:w="100" w:type="dxa"/>
            </w:tcMar>
          </w:tcPr>
          <w:p>
            <w:pPr>
              <w:pStyle w:val="TableText"/>
            </w:pPr>
            <w:r>
              <w:rPr>
                <w:rFonts w:ascii="Calibri" w:hAnsi="Calibri" w:eastAsia="Microsoft YaHei"/>
                <w:color w:val="222F36"/>
                <w:sz w:val="20"/>
              </w:rPr>
              <w:t xml:space="preserve">National networks of both Parties, fused</w:t>
            </w:r>
          </w:p>
        </w:tc>
        <w:tc>
          <w:tcPr>
            <w:tcW w:w="3306" w:type="dxa"/>
            <w:tcMar>
              <w:top w:w="50" w:type="dxa"/>
              <w:left w:w="100" w:type="dxa"/>
              <w:bottom w:w="50" w:type="dxa"/>
              <w:right w:w="100" w:type="dxa"/>
            </w:tcMar>
          </w:tcPr>
          <w:p>
            <w:pPr>
              <w:pStyle w:val="TableText"/>
            </w:pPr>
            <w:r>
              <w:rPr>
                <w:rFonts w:ascii="Calibri" w:hAnsi="Calibri" w:eastAsia="Microsoft YaHei"/>
                <w:color w:val="222F36"/>
                <w:sz w:val="20"/>
              </w:rPr>
              <w:t xml:space="preserve">Continuous</w:t>
            </w:r>
          </w:p>
        </w:tc>
      </w:tr>
      <w:tr>
        <w:trPr>
          <w:cantSplit/>
        </w:trPr>
        <w:tc>
          <w:tcPr>
            <w:tcW w:w="28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AIS</w:t>
            </w:r>
          </w:p>
        </w:tc>
        <w:tc>
          <w:tcPr>
            <w:tcW w:w="32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Shore base stations and satellite AIS</w:t>
            </w:r>
          </w:p>
        </w:tc>
        <w:tc>
          <w:tcPr>
            <w:tcW w:w="33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Continuous</w:t>
            </w:r>
          </w:p>
        </w:tc>
      </w:tr>
      <w:tr>
        <w:trPr>
          <w:cantSplit/>
        </w:trPr>
        <w:tc>
          <w:tcPr>
            <w:tcW w:w="2800" w:type="dxa"/>
            <w:tcMar>
              <w:top w:w="50" w:type="dxa"/>
              <w:left w:w="100" w:type="dxa"/>
              <w:bottom w:w="50" w:type="dxa"/>
              <w:right w:w="100" w:type="dxa"/>
            </w:tcMar>
          </w:tcPr>
          <w:p>
            <w:pPr>
              <w:pStyle w:val="TableText"/>
            </w:pPr>
            <w:r>
              <w:rPr>
                <w:rFonts w:ascii="Calibri" w:hAnsi="Calibri" w:eastAsia="Microsoft YaHei"/>
                <w:color w:val="222F36"/>
                <w:sz w:val="20"/>
              </w:rPr>
              <w:t xml:space="preserve">LRIT</w:t>
            </w:r>
          </w:p>
        </w:tc>
        <w:tc>
          <w:tcPr>
            <w:tcW w:w="3200" w:type="dxa"/>
            <w:tcMar>
              <w:top w:w="50" w:type="dxa"/>
              <w:left w:w="100" w:type="dxa"/>
              <w:bottom w:w="50" w:type="dxa"/>
              <w:right w:w="100" w:type="dxa"/>
            </w:tcMar>
          </w:tcPr>
          <w:p>
            <w:pPr>
              <w:pStyle w:val="TableText"/>
            </w:pPr>
            <w:r>
              <w:rPr>
                <w:rFonts w:ascii="Calibri" w:hAnsi="Calibri" w:eastAsia="Microsoft YaHei"/>
                <w:color w:val="222F36"/>
                <w:sz w:val="20"/>
              </w:rPr>
              <w:t xml:space="preserve">National data centers of both Parties</w:t>
            </w:r>
          </w:p>
        </w:tc>
        <w:tc>
          <w:tcPr>
            <w:tcW w:w="3306" w:type="dxa"/>
            <w:tcMar>
              <w:top w:w="50" w:type="dxa"/>
              <w:left w:w="100" w:type="dxa"/>
              <w:bottom w:w="50" w:type="dxa"/>
              <w:right w:w="100" w:type="dxa"/>
            </w:tcMar>
          </w:tcPr>
          <w:p>
            <w:pPr>
              <w:pStyle w:val="TableText"/>
            </w:pPr>
            <w:r>
              <w:rPr>
                <w:rFonts w:ascii="Calibri" w:hAnsi="Calibri" w:eastAsia="Microsoft YaHei"/>
                <w:color w:val="222F36"/>
                <w:sz w:val="20"/>
              </w:rPr>
              <w:t xml:space="preserve">Continuous</w:t>
            </w:r>
          </w:p>
        </w:tc>
      </w:tr>
      <w:tr>
        <w:trPr>
          <w:cantSplit/>
        </w:trPr>
        <w:tc>
          <w:tcPr>
            <w:tcW w:w="28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Satellite imagery</w:t>
            </w:r>
          </w:p>
        </w:tc>
        <w:tc>
          <w:tcPr>
            <w:tcW w:w="32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Commercial tasking through the Technical Guarantor</w:t>
            </w:r>
          </w:p>
        </w:tc>
        <w:tc>
          <w:tcPr>
            <w:tcW w:w="33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Two passes daily, on call for incidents</w:t>
            </w:r>
          </w:p>
        </w:tc>
      </w:tr>
      <w:tr>
        <w:trPr>
          <w:cantSplit/>
        </w:trPr>
        <w:tc>
          <w:tcPr>
            <w:tcW w:w="2800" w:type="dxa"/>
            <w:tcMar>
              <w:top w:w="50" w:type="dxa"/>
              <w:left w:w="100" w:type="dxa"/>
              <w:bottom w:w="50" w:type="dxa"/>
              <w:right w:w="100" w:type="dxa"/>
            </w:tcMar>
          </w:tcPr>
          <w:p>
            <w:pPr>
              <w:pStyle w:val="TableText"/>
            </w:pPr>
            <w:r>
              <w:rPr>
                <w:rFonts w:ascii="Calibri" w:hAnsi="Calibri" w:eastAsia="Microsoft YaHei"/>
                <w:color w:val="222F36"/>
                <w:sz w:val="20"/>
              </w:rPr>
              <w:t xml:space="preserve">Voice logs</w:t>
            </w:r>
          </w:p>
        </w:tc>
        <w:tc>
          <w:tcPr>
            <w:tcW w:w="3200" w:type="dxa"/>
            <w:tcMar>
              <w:top w:w="50" w:type="dxa"/>
              <w:left w:w="100" w:type="dxa"/>
              <w:bottom w:w="50" w:type="dxa"/>
              <w:right w:w="100" w:type="dxa"/>
            </w:tcMar>
          </w:tcPr>
          <w:p>
            <w:pPr>
              <w:pStyle w:val="TableText"/>
            </w:pPr>
            <w:r>
              <w:rPr>
                <w:rFonts w:ascii="Calibri" w:hAnsi="Calibri" w:eastAsia="Microsoft YaHei"/>
                <w:color w:val="222F36"/>
                <w:sz w:val="20"/>
              </w:rPr>
              <w:t xml:space="preserve">Watch floor and Bandar Desk recording</w:t>
            </w:r>
          </w:p>
        </w:tc>
        <w:tc>
          <w:tcPr>
            <w:tcW w:w="3306" w:type="dxa"/>
            <w:tcMar>
              <w:top w:w="50" w:type="dxa"/>
              <w:left w:w="100" w:type="dxa"/>
              <w:bottom w:w="50" w:type="dxa"/>
              <w:right w:w="100" w:type="dxa"/>
            </w:tcMar>
          </w:tcPr>
          <w:p>
            <w:pPr>
              <w:pStyle w:val="TableText"/>
            </w:pPr>
            <w:r>
              <w:rPr>
                <w:rFonts w:ascii="Calibri" w:hAnsi="Calibri" w:eastAsia="Microsoft YaHei"/>
                <w:color w:val="222F36"/>
                <w:sz w:val="20"/>
              </w:rPr>
              <w:t xml:space="preserve">Continuous, sealed into the Concordance</w:t>
            </w:r>
          </w:p>
        </w:tc>
      </w:tr>
      <w:tr>
        <w:trPr>
          <w:cantSplit/>
        </w:trPr>
        <w:tc>
          <w:tcPr>
            <w:tcW w:w="28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Notice portal</w:t>
            </w:r>
          </w:p>
        </w:tc>
        <w:tc>
          <w:tcPr>
            <w:tcW w:w="32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Annex C system</w:t>
            </w:r>
          </w:p>
        </w:tc>
        <w:tc>
          <w:tcPr>
            <w:tcW w:w="33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Continuous</w:t>
            </w:r>
          </w:p>
        </w:tc>
      </w:tr>
      <w:tr>
        <w:trPr>
          <w:cantSplit/>
        </w:trPr>
        <w:tc>
          <w:tcPr>
            <w:tcW w:w="2800" w:type="dxa"/>
            <w:tcMar>
              <w:top w:w="50" w:type="dxa"/>
              <w:left w:w="100" w:type="dxa"/>
              <w:bottom w:w="50" w:type="dxa"/>
              <w:right w:w="100" w:type="dxa"/>
            </w:tcMar>
          </w:tcPr>
          <w:p>
            <w:pPr>
              <w:pStyle w:val="TableText"/>
            </w:pPr>
            <w:r>
              <w:rPr>
                <w:rFonts w:ascii="Calibri" w:hAnsi="Calibri" w:eastAsia="Microsoft YaHei"/>
                <w:color w:val="222F36"/>
                <w:sz w:val="20"/>
              </w:rPr>
              <w:t xml:space="preserve">Meteorology and hydrology</w:t>
            </w:r>
          </w:p>
        </w:tc>
        <w:tc>
          <w:tcPr>
            <w:tcW w:w="3200" w:type="dxa"/>
            <w:tcMar>
              <w:top w:w="50" w:type="dxa"/>
              <w:left w:w="100" w:type="dxa"/>
              <w:bottom w:w="50" w:type="dxa"/>
              <w:right w:w="100" w:type="dxa"/>
            </w:tcMar>
          </w:tcPr>
          <w:p>
            <w:pPr>
              <w:pStyle w:val="TableText"/>
            </w:pPr>
            <w:r>
              <w:rPr>
                <w:rFonts w:ascii="Calibri" w:hAnsi="Calibri" w:eastAsia="Microsoft YaHei"/>
                <w:color w:val="222F36"/>
                <w:sz w:val="20"/>
              </w:rPr>
              <w:t xml:space="preserve">National services, IHO data</w:t>
            </w:r>
          </w:p>
        </w:tc>
        <w:tc>
          <w:tcPr>
            <w:tcW w:w="3306" w:type="dxa"/>
            <w:tcMar>
              <w:top w:w="50" w:type="dxa"/>
              <w:left w:w="100" w:type="dxa"/>
              <w:bottom w:w="50" w:type="dxa"/>
              <w:right w:w="100" w:type="dxa"/>
            </w:tcMar>
          </w:tcPr>
          <w:p>
            <w:pPr>
              <w:pStyle w:val="TableText"/>
            </w:pPr>
            <w:r>
              <w:rPr>
                <w:rFonts w:ascii="Calibri" w:hAnsi="Calibri" w:eastAsia="Microsoft YaHei"/>
                <w:color w:val="222F36"/>
                <w:sz w:val="20"/>
              </w:rPr>
              <w:t xml:space="preserve">Hourly</w:t>
            </w:r>
          </w:p>
        </w:tc>
      </w:tr>
    </w:tbl>
    <w:p>
      <w:pPr>
        <w:spacing w:before="0" w:after="140"/>
      </w:pPr>
      <w:r>
        <w:rPr>
          <w:sz w:val="8"/>
        </w:rPr>
        <w:t/>
      </w:r>
    </w:p>
    <w:p>
      <w:pPr>
        <w:pStyle w:val="Normal"/>
      </w:pPr>
      <w:r>
        <w:rPr>
          <w:rFonts w:ascii="Calibri" w:hAnsi="Calibri" w:eastAsia="Microsoft YaHei"/>
          <w:color w:val="222F36"/>
          <w:sz w:val="21"/>
        </w:rPr>
        <w:t xml:space="preserve">The Watch holds no weapons and directs no forces (Article 10.5). Its voice carries the authority of seamanship and of the record, and no other authority.</w:t>
      </w:r>
    </w:p>
    <w:p>
      <w:pPr>
        <w:pStyle w:val="Heading3"/>
        <w:keepNext/>
        <w:keepLines/>
      </w:pPr>
      <w:r>
        <w:rPr>
          <w:rFonts w:ascii="Calibri" w:hAnsi="Calibri" w:eastAsia="Microsoft YaHei"/>
          <w:b/>
          <w:color w:val="222F36"/>
          <w:sz w:val="22"/>
        </w:rPr>
        <w:t xml:space="preserve">D.3 The Daily Rhythm</w:t>
      </w:r>
    </w:p>
    <w:tbl>
      <w:tblPr>
        <w:tblW w:w="9306" w:type="dxa"/>
        <w:tblBorders>
          <w:top w:val="single" w:color="AEC4C1" w:sz="6"/>
          <w:left w:val="single" w:color="AEC4C1" w:sz="6"/>
          <w:bottom w:val="single" w:color="AEC4C1" w:sz="6"/>
          <w:right w:val="single" w:color="AEC4C1" w:sz="6"/>
          <w:insideH w:val="single" w:color="AEC4C1" w:sz="4"/>
          <w:insideV w:val="single" w:color="AEC4C1" w:sz="4"/>
        </w:tblBorders>
      </w:tblPr>
      <w:tblGrid>
        <w:gridCol w:w="1700"/>
        <w:gridCol w:w="7606"/>
      </w:tblGrid>
      <w:tr>
        <w:trPr>
          <w:cantSplit/>
          <w:tblHeader/>
        </w:trPr>
        <w:tc>
          <w:tcPr>
            <w:tcW w:w="17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Time (UTC)</w:t>
            </w:r>
          </w:p>
        </w:tc>
        <w:tc>
          <w:tcPr>
            <w:tcW w:w="7606"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Action</w:t>
            </w:r>
          </w:p>
        </w:tc>
      </w:tr>
      <w:tr>
        <w:trPr>
          <w:cantSplit/>
        </w:trPr>
        <w:tc>
          <w:tcPr>
            <w:tcW w:w="1700" w:type="dxa"/>
            <w:tcMar>
              <w:top w:w="50" w:type="dxa"/>
              <w:left w:w="100" w:type="dxa"/>
              <w:bottom w:w="50" w:type="dxa"/>
              <w:right w:w="100" w:type="dxa"/>
            </w:tcMar>
          </w:tcPr>
          <w:p>
            <w:pPr>
              <w:pStyle w:val="TableText"/>
            </w:pPr>
            <w:r>
              <w:rPr>
                <w:rFonts w:ascii="Calibri" w:hAnsi="Calibri" w:eastAsia="Microsoft YaHei"/>
                <w:color w:val="222F36"/>
                <w:sz w:val="20"/>
              </w:rPr>
              <w:t xml:space="preserve">0000</w:t>
            </w:r>
          </w:p>
        </w:tc>
        <w:tc>
          <w:tcPr>
            <w:tcW w:w="7606" w:type="dxa"/>
            <w:tcMar>
              <w:top w:w="50" w:type="dxa"/>
              <w:left w:w="100" w:type="dxa"/>
              <w:bottom w:w="50" w:type="dxa"/>
              <w:right w:w="100" w:type="dxa"/>
            </w:tcMar>
          </w:tcPr>
          <w:p>
            <w:pPr>
              <w:pStyle w:val="TableText"/>
            </w:pPr>
            <w:r>
              <w:rPr>
                <w:rFonts w:ascii="Calibri" w:hAnsi="Calibri" w:eastAsia="Microsoft YaHei"/>
                <w:color w:val="222F36"/>
                <w:sz w:val="20"/>
              </w:rPr>
              <w:t xml:space="preserve">Tide Line contact test on all circuits; result entered in the Concordance</w:t>
            </w:r>
          </w:p>
        </w:tc>
      </w:tr>
      <w:tr>
        <w:trPr>
          <w:cantSplit/>
        </w:trPr>
        <w:tc>
          <w:tcPr>
            <w:tcW w:w="17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0600</w:t>
            </w:r>
          </w:p>
        </w:tc>
        <w:tc>
          <w:tcPr>
            <w:tcW w:w="76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Situation synchronization between the floor and the Bandar Desk; feed status check</w:t>
            </w:r>
          </w:p>
        </w:tc>
      </w:tr>
      <w:tr>
        <w:trPr>
          <w:cantSplit/>
        </w:trPr>
        <w:tc>
          <w:tcPr>
            <w:tcW w:w="1700" w:type="dxa"/>
            <w:tcMar>
              <w:top w:w="50" w:type="dxa"/>
              <w:left w:w="100" w:type="dxa"/>
              <w:bottom w:w="50" w:type="dxa"/>
              <w:right w:w="100" w:type="dxa"/>
            </w:tcMar>
          </w:tcPr>
          <w:p>
            <w:pPr>
              <w:pStyle w:val="TableText"/>
            </w:pPr>
            <w:r>
              <w:rPr>
                <w:rFonts w:ascii="Calibri" w:hAnsi="Calibri" w:eastAsia="Microsoft YaHei"/>
                <w:color w:val="222F36"/>
                <w:sz w:val="20"/>
              </w:rPr>
              <w:t xml:space="preserve">1200</w:t>
            </w:r>
          </w:p>
        </w:tc>
        <w:tc>
          <w:tcPr>
            <w:tcW w:w="7606" w:type="dxa"/>
            <w:tcMar>
              <w:top w:w="50" w:type="dxa"/>
              <w:left w:w="100" w:type="dxa"/>
              <w:bottom w:w="50" w:type="dxa"/>
              <w:right w:w="100" w:type="dxa"/>
            </w:tcMar>
          </w:tcPr>
          <w:p>
            <w:pPr>
              <w:pStyle w:val="TableText"/>
            </w:pPr>
            <w:r>
              <w:rPr>
                <w:rFonts w:ascii="Calibri" w:hAnsi="Calibri" w:eastAsia="Microsoft YaHei"/>
                <w:color w:val="222F36"/>
                <w:sz w:val="20"/>
              </w:rPr>
              <w:t xml:space="preserve">Advisory review; stale advisories cancelled or renewed</w:t>
            </w:r>
          </w:p>
        </w:tc>
      </w:tr>
      <w:tr>
        <w:trPr>
          <w:cantSplit/>
        </w:trPr>
        <w:tc>
          <w:tcPr>
            <w:tcW w:w="17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1800</w:t>
            </w:r>
          </w:p>
        </w:tc>
        <w:tc>
          <w:tcPr>
            <w:tcW w:w="76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Tide Report published; three-state call made and recorded</w:t>
            </w:r>
          </w:p>
        </w:tc>
      </w:tr>
      <w:tr>
        <w:trPr>
          <w:cantSplit/>
        </w:trPr>
        <w:tc>
          <w:tcPr>
            <w:tcW w:w="1700" w:type="dxa"/>
            <w:tcMar>
              <w:top w:w="50" w:type="dxa"/>
              <w:left w:w="100" w:type="dxa"/>
              <w:bottom w:w="50" w:type="dxa"/>
              <w:right w:w="100" w:type="dxa"/>
            </w:tcMar>
          </w:tcPr>
          <w:p>
            <w:pPr>
              <w:pStyle w:val="TableText"/>
            </w:pPr>
            <w:r>
              <w:rPr>
                <w:rFonts w:ascii="Calibri" w:hAnsi="Calibri" w:eastAsia="Microsoft YaHei"/>
                <w:color w:val="222F36"/>
                <w:sz w:val="20"/>
              </w:rPr>
              <w:t xml:space="preserve">Weekly</w:t>
            </w:r>
          </w:p>
        </w:tc>
        <w:tc>
          <w:tcPr>
            <w:tcW w:w="7606" w:type="dxa"/>
            <w:tcMar>
              <w:top w:w="50" w:type="dxa"/>
              <w:left w:w="100" w:type="dxa"/>
              <w:bottom w:w="50" w:type="dxa"/>
              <w:right w:w="100" w:type="dxa"/>
            </w:tcMar>
          </w:tcPr>
          <w:p>
            <w:pPr>
              <w:pStyle w:val="TableText"/>
            </w:pPr>
            <w:r>
              <w:rPr>
                <w:rFonts w:ascii="Calibri" w:hAnsi="Calibri" w:eastAsia="Microsoft YaHei"/>
                <w:color w:val="222F36"/>
                <w:sz w:val="20"/>
              </w:rPr>
              <w:t xml:space="preserve">Full feed failover drill, alternating days</w:t>
            </w:r>
          </w:p>
        </w:tc>
      </w:tr>
      <w:tr>
        <w:trPr>
          <w:cantSplit/>
        </w:trPr>
        <w:tc>
          <w:tcPr>
            <w:tcW w:w="17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Monthly</w:t>
            </w:r>
          </w:p>
        </w:tc>
        <w:tc>
          <w:tcPr>
            <w:tcW w:w="76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Manual mode exercise: paper log, VHF relay, retro-entry practice</w:t>
            </w:r>
          </w:p>
        </w:tc>
      </w:tr>
    </w:tbl>
    <w:p>
      <w:pPr>
        <w:spacing w:before="0" w:after="140"/>
      </w:pPr>
      <w:r>
        <w:rPr>
          <w:sz w:val="8"/>
        </w:rPr>
        <w:t/>
      </w:r>
    </w:p>
    <w:p>
      <w:pPr>
        <w:pStyle w:val="Heading3"/>
        <w:keepNext/>
        <w:keepLines/>
      </w:pPr>
      <w:r>
        <w:rPr>
          <w:rFonts w:ascii="Calibri" w:hAnsi="Calibri" w:eastAsia="Microsoft YaHei"/>
          <w:b/>
          <w:color w:val="222F36"/>
          <w:sz w:val="22"/>
        </w:rPr>
        <w:t xml:space="preserve">D.4 The Tide Report</w:t>
      </w:r>
    </w:p>
    <w:p>
      <w:pPr>
        <w:pStyle w:val="Normal"/>
      </w:pPr>
      <w:r>
        <w:rPr>
          <w:rFonts w:ascii="Calibri" w:hAnsi="Calibri" w:eastAsia="Microsoft YaHei"/>
          <w:color w:val="222F36"/>
          <w:sz w:val="21"/>
        </w:rPr>
        <w:t xml:space="preserve">The Tide Report is the public pulse of the Compact. It states facts and assigns no blame (Article 10.4). Its template:</w:t>
      </w:r>
    </w:p>
    <w:tbl>
      <w:tblPr>
        <w:tblW w:w="9306" w:type="dxa"/>
        <w:tblBorders>
          <w:top w:val="single" w:color="1F4E5F" w:sz="10"/>
          <w:left w:val="single" w:color="1F4E5F" w:sz="10"/>
          <w:bottom w:val="single" w:color="1F4E5F" w:sz="10"/>
          <w:right w:val="single" w:color="1F4E5F" w:sz="10"/>
          <w:insideH w:val="nil"/>
          <w:insideV w:val="nil"/>
        </w:tblBorders>
      </w:tblPr>
      <w:tblGrid>
        <w:gridCol w:w="9306"/>
      </w:tblGrid>
      <w:tr>
        <w:tc>
          <w:tcPr>
            <w:tcW w:w="9306" w:type="dxa"/>
            <w:shd w:val="clear" w:fill="E7EFEE"/>
            <w:tcMar>
              <w:top w:w="100" w:type="dxa"/>
              <w:left w:w="160" w:type="dxa"/>
              <w:bottom w:w="60" w:type="dxa"/>
              <w:right w:w="160" w:type="dxa"/>
            </w:tcMar>
          </w:tcPr>
          <w:p>
            <w:pPr>
              <w:pStyle w:val="TableText"/>
            </w:pPr>
            <w:r>
              <w:rPr>
                <w:rFonts w:ascii="Calibri" w:hAnsi="Calibri" w:eastAsia="Microsoft YaHei"/>
                <w:b/>
                <w:color w:val="1F4E5F"/>
                <w:sz w:val="21"/>
              </w:rPr>
              <w:t xml:space="preserve">Tide Report: Daily Template</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Header. Date, issue number, and the state of the water: Steady, Disturbed, or Under Review.</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Traffic. Vessels transited by fairway and category; notices processed; acknowledgment latency against the expectation band.</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Advisories. Advisories in force, with numbers; advisories cancelled since the last report.</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Incidents. Incidents under review, by reference number and technical classification only.</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Feeds. Feed status, mirror status, and the result of the 0000 contact test.</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Signature. Senior watchkeeper of the publishing team. Time of issue (UTC).</w:t>
            </w:r>
          </w:p>
        </w:tc>
      </w:tr>
    </w:tbl>
    <w:p>
      <w:pPr>
        <w:spacing w:before="0" w:after="120"/>
      </w:pPr>
      <w:r>
        <w:rPr>
          <w:sz w:val="8"/>
        </w:rPr>
        <w:t/>
      </w:r>
    </w:p>
    <w:p>
      <w:pPr>
        <w:pStyle w:val="Normal"/>
      </w:pPr>
      <w:r>
        <w:rPr>
          <w:rFonts w:ascii="Calibri" w:hAnsi="Calibri" w:eastAsia="Microsoft YaHei"/>
          <w:color w:val="222F36"/>
          <w:sz w:val="21"/>
        </w:rPr>
        <w:t xml:space="preserve">The report goes to all participants at 1800 UTC daily and posts publicly. During the first thirty days of any difficulty it names no Party in any compliance characterization (Article 20.3).</w:t>
      </w:r>
    </w:p>
    <w:p>
      <w:pPr>
        <w:pStyle w:val="Heading3"/>
        <w:keepNext/>
        <w:keepLines/>
      </w:pPr>
      <w:r>
        <w:rPr>
          <w:rFonts w:ascii="Calibri" w:hAnsi="Calibri" w:eastAsia="Microsoft YaHei"/>
          <w:b/>
          <w:color w:val="222F36"/>
          <w:sz w:val="22"/>
        </w:rPr>
        <w:t xml:space="preserve">D.5 The Tide Line</w:t>
      </w:r>
    </w:p>
    <w:p>
      <w:pPr>
        <w:pStyle w:val="Normal"/>
      </w:pPr>
      <w:r>
        <w:rPr>
          <w:rFonts w:ascii="Calibri" w:hAnsi="Calibri" w:eastAsia="Microsoft YaHei"/>
          <w:color w:val="222F36"/>
          <w:sz w:val="21"/>
        </w:rPr>
        <w:t xml:space="preserve">The Tide Line is the standing hotline of the Compact: dedicated circuits joining the watch floor, the Bandar Desk, and the national operation centers of the Parties, with the Mediation Guarantor holding a listening line. It carries voice and message traffic, sealed into the Concordance.</w:t>
      </w:r>
    </w:p>
    <w:tbl>
      <w:tblPr>
        <w:tblW w:w="9306" w:type="dxa"/>
        <w:tblBorders>
          <w:top w:val="single" w:color="1F4E5F" w:sz="10"/>
          <w:left w:val="single" w:color="1F4E5F" w:sz="10"/>
          <w:bottom w:val="single" w:color="1F4E5F" w:sz="10"/>
          <w:right w:val="single" w:color="1F4E5F" w:sz="10"/>
          <w:insideH w:val="nil"/>
          <w:insideV w:val="nil"/>
        </w:tblBorders>
      </w:tblPr>
      <w:tblGrid>
        <w:gridCol w:w="9306"/>
      </w:tblGrid>
      <w:tr>
        <w:tc>
          <w:tcPr>
            <w:tcW w:w="9306" w:type="dxa"/>
            <w:shd w:val="clear" w:fill="E7EFEE"/>
            <w:tcMar>
              <w:top w:w="100" w:type="dxa"/>
              <w:left w:w="160" w:type="dxa"/>
              <w:bottom w:w="60" w:type="dxa"/>
              <w:right w:w="160" w:type="dxa"/>
            </w:tcMar>
          </w:tcPr>
          <w:p>
            <w:pPr>
              <w:pStyle w:val="TableText"/>
            </w:pPr>
            <w:r>
              <w:rPr>
                <w:rFonts w:ascii="Calibri" w:hAnsi="Calibri" w:eastAsia="Microsoft YaHei"/>
                <w:b/>
                <w:color w:val="1F4E5F"/>
                <w:sz w:val="21"/>
              </w:rPr>
              <w:t xml:space="preserve">Tide Line Message Form (Nine Fields)</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Field 1. Date-time group (UTC).</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Field 2. Originator: station and watch position.</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Field 3. Addressee: station and position.</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Field 4. Priority: ROUTINE, PRIORITY, or IMMEDIATE.</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Field 5. Subject: one line.</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Field 6. Position or area concerned.</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Field 7. Facts: what happened, observed and verified, without characterization.</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Field 8. Action taken so far.</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Field 9. Action requested, with the requested clock.</w:t>
            </w:r>
          </w:p>
        </w:tc>
      </w:tr>
    </w:tbl>
    <w:p>
      <w:pPr>
        <w:spacing w:before="0" w:after="120"/>
      </w:pPr>
      <w:r>
        <w:rPr>
          <w:sz w:val="8"/>
        </w:rPr>
        <w:t/>
      </w:r>
    </w:p>
    <w:tbl>
      <w:tblPr>
        <w:tblW w:w="9306" w:type="dxa"/>
        <w:tblBorders>
          <w:top w:val="single" w:color="AEC4C1" w:sz="6"/>
          <w:left w:val="single" w:color="AEC4C1" w:sz="6"/>
          <w:bottom w:val="single" w:color="AEC4C1" w:sz="6"/>
          <w:right w:val="single" w:color="AEC4C1" w:sz="6"/>
          <w:insideH w:val="single" w:color="AEC4C1" w:sz="4"/>
          <w:insideV w:val="single" w:color="AEC4C1" w:sz="4"/>
        </w:tblBorders>
      </w:tblPr>
      <w:tblGrid>
        <w:gridCol w:w="1800"/>
        <w:gridCol w:w="2500"/>
        <w:gridCol w:w="2503"/>
        <w:gridCol w:w="2503"/>
      </w:tblGrid>
      <w:tr>
        <w:trPr>
          <w:cantSplit/>
          <w:tblHeader/>
        </w:trPr>
        <w:tc>
          <w:tcPr>
            <w:tcW w:w="18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Priority</w:t>
            </w:r>
          </w:p>
        </w:tc>
        <w:tc>
          <w:tcPr>
            <w:tcW w:w="25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Acknowledge</w:t>
            </w:r>
          </w:p>
        </w:tc>
        <w:tc>
          <w:tcPr>
            <w:tcW w:w="2503"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Respond in substance</w:t>
            </w:r>
          </w:p>
        </w:tc>
        <w:tc>
          <w:tcPr>
            <w:tcW w:w="2503"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Escalate if silent</w:t>
            </w:r>
          </w:p>
        </w:tc>
      </w:tr>
      <w:tr>
        <w:trPr>
          <w:cantSplit/>
        </w:trPr>
        <w:tc>
          <w:tcPr>
            <w:tcW w:w="1800" w:type="dxa"/>
            <w:tcMar>
              <w:top w:w="50" w:type="dxa"/>
              <w:left w:w="100" w:type="dxa"/>
              <w:bottom w:w="50" w:type="dxa"/>
              <w:right w:w="100" w:type="dxa"/>
            </w:tcMar>
          </w:tcPr>
          <w:p>
            <w:pPr>
              <w:pStyle w:val="TableText"/>
            </w:pPr>
            <w:r>
              <w:rPr>
                <w:rFonts w:ascii="Calibri" w:hAnsi="Calibri" w:eastAsia="Microsoft YaHei"/>
                <w:color w:val="222F36"/>
                <w:sz w:val="20"/>
              </w:rPr>
              <w:t xml:space="preserve">IMMEDIATE</w:t>
            </w:r>
          </w:p>
        </w:tc>
        <w:tc>
          <w:tcPr>
            <w:tcW w:w="2500" w:type="dxa"/>
            <w:tcMar>
              <w:top w:w="50" w:type="dxa"/>
              <w:left w:w="100" w:type="dxa"/>
              <w:bottom w:w="50" w:type="dxa"/>
              <w:right w:w="100" w:type="dxa"/>
            </w:tcMar>
          </w:tcPr>
          <w:p>
            <w:pPr>
              <w:pStyle w:val="TableText"/>
            </w:pPr>
            <w:r>
              <w:rPr>
                <w:rFonts w:ascii="Calibri" w:hAnsi="Calibri" w:eastAsia="Microsoft YaHei"/>
                <w:color w:val="222F36"/>
                <w:sz w:val="20"/>
              </w:rPr>
              <w:t xml:space="preserve">5 minutes</w:t>
            </w:r>
          </w:p>
        </w:tc>
        <w:tc>
          <w:tcPr>
            <w:tcW w:w="2503" w:type="dxa"/>
            <w:tcMar>
              <w:top w:w="50" w:type="dxa"/>
              <w:left w:w="100" w:type="dxa"/>
              <w:bottom w:w="50" w:type="dxa"/>
              <w:right w:w="100" w:type="dxa"/>
            </w:tcMar>
          </w:tcPr>
          <w:p>
            <w:pPr>
              <w:pStyle w:val="TableText"/>
            </w:pPr>
            <w:r>
              <w:rPr>
                <w:rFonts w:ascii="Calibri" w:hAnsi="Calibri" w:eastAsia="Microsoft YaHei"/>
                <w:color w:val="222F36"/>
                <w:sz w:val="20"/>
              </w:rPr>
              <w:t xml:space="preserve">15 minutes</w:t>
            </w:r>
          </w:p>
        </w:tc>
        <w:tc>
          <w:tcPr>
            <w:tcW w:w="2503" w:type="dxa"/>
            <w:tcMar>
              <w:top w:w="50" w:type="dxa"/>
              <w:left w:w="100" w:type="dxa"/>
              <w:bottom w:w="50" w:type="dxa"/>
              <w:right w:w="100" w:type="dxa"/>
            </w:tcMar>
          </w:tcPr>
          <w:p>
            <w:pPr>
              <w:pStyle w:val="TableText"/>
            </w:pPr>
            <w:r>
              <w:rPr>
                <w:rFonts w:ascii="Calibri" w:hAnsi="Calibri" w:eastAsia="Microsoft YaHei"/>
                <w:color w:val="222F36"/>
                <w:sz w:val="20"/>
              </w:rPr>
              <w:t xml:space="preserve">To senior watchkeeper after 15 minutes of silence</w:t>
            </w:r>
          </w:p>
        </w:tc>
      </w:tr>
      <w:tr>
        <w:trPr>
          <w:cantSplit/>
        </w:trPr>
        <w:tc>
          <w:tcPr>
            <w:tcW w:w="18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PRIORITY</w:t>
            </w:r>
          </w:p>
        </w:tc>
        <w:tc>
          <w:tcPr>
            <w:tcW w:w="25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15 minutes</w:t>
            </w:r>
          </w:p>
        </w:tc>
        <w:tc>
          <w:tcPr>
            <w:tcW w:w="2503"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60 minutes</w:t>
            </w:r>
          </w:p>
        </w:tc>
        <w:tc>
          <w:tcPr>
            <w:tcW w:w="2503"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To co-chairs after 2 hours of silence</w:t>
            </w:r>
          </w:p>
        </w:tc>
      </w:tr>
      <w:tr>
        <w:trPr>
          <w:cantSplit/>
        </w:trPr>
        <w:tc>
          <w:tcPr>
            <w:tcW w:w="1800" w:type="dxa"/>
            <w:tcMar>
              <w:top w:w="50" w:type="dxa"/>
              <w:left w:w="100" w:type="dxa"/>
              <w:bottom w:w="50" w:type="dxa"/>
              <w:right w:w="100" w:type="dxa"/>
            </w:tcMar>
          </w:tcPr>
          <w:p>
            <w:pPr>
              <w:pStyle w:val="TableText"/>
            </w:pPr>
            <w:r>
              <w:rPr>
                <w:rFonts w:ascii="Calibri" w:hAnsi="Calibri" w:eastAsia="Microsoft YaHei"/>
                <w:color w:val="222F36"/>
                <w:sz w:val="20"/>
              </w:rPr>
              <w:t xml:space="preserve">ROUTINE</w:t>
            </w:r>
          </w:p>
        </w:tc>
        <w:tc>
          <w:tcPr>
            <w:tcW w:w="2500" w:type="dxa"/>
            <w:tcMar>
              <w:top w:w="50" w:type="dxa"/>
              <w:left w:w="100" w:type="dxa"/>
              <w:bottom w:w="50" w:type="dxa"/>
              <w:right w:w="100" w:type="dxa"/>
            </w:tcMar>
          </w:tcPr>
          <w:p>
            <w:pPr>
              <w:pStyle w:val="TableText"/>
            </w:pPr>
            <w:r>
              <w:rPr>
                <w:rFonts w:ascii="Calibri" w:hAnsi="Calibri" w:eastAsia="Microsoft YaHei"/>
                <w:color w:val="222F36"/>
                <w:sz w:val="20"/>
              </w:rPr>
              <w:t xml:space="preserve">60 minutes</w:t>
            </w:r>
          </w:p>
        </w:tc>
        <w:tc>
          <w:tcPr>
            <w:tcW w:w="2503" w:type="dxa"/>
            <w:tcMar>
              <w:top w:w="50" w:type="dxa"/>
              <w:left w:w="100" w:type="dxa"/>
              <w:bottom w:w="50" w:type="dxa"/>
              <w:right w:w="100" w:type="dxa"/>
            </w:tcMar>
          </w:tcPr>
          <w:p>
            <w:pPr>
              <w:pStyle w:val="TableText"/>
            </w:pPr>
            <w:r>
              <w:rPr>
                <w:rFonts w:ascii="Calibri" w:hAnsi="Calibri" w:eastAsia="Microsoft YaHei"/>
                <w:color w:val="222F36"/>
                <w:sz w:val="20"/>
              </w:rPr>
              <w:t xml:space="preserve">4 hours</w:t>
            </w:r>
          </w:p>
        </w:tc>
        <w:tc>
          <w:tcPr>
            <w:tcW w:w="2503" w:type="dxa"/>
            <w:tcMar>
              <w:top w:w="50" w:type="dxa"/>
              <w:left w:w="100" w:type="dxa"/>
              <w:bottom w:w="50" w:type="dxa"/>
              <w:right w:w="100" w:type="dxa"/>
            </w:tcMar>
          </w:tcPr>
          <w:p>
            <w:pPr>
              <w:pStyle w:val="TableText"/>
            </w:pPr>
            <w:r>
              <w:rPr>
                <w:rFonts w:ascii="Calibri" w:hAnsi="Calibri" w:eastAsia="Microsoft YaHei"/>
                <w:color w:val="222F36"/>
                <w:sz w:val="20"/>
              </w:rPr>
              <w:t xml:space="preserve">To daily report after 24 hours</w:t>
            </w:r>
          </w:p>
        </w:tc>
      </w:tr>
    </w:tbl>
    <w:p>
      <w:pPr>
        <w:spacing w:before="0" w:after="140"/>
      </w:pPr>
      <w:r>
        <w:rPr>
          <w:sz w:val="8"/>
        </w:rPr>
        <w:t/>
      </w:r>
    </w:p>
    <w:p>
      <w:pPr>
        <w:pStyle w:val="Normal"/>
      </w:pPr>
      <w:r>
        <w:rPr>
          <w:rFonts w:ascii="Calibri" w:hAnsi="Calibri" w:eastAsia="Microsoft YaHei"/>
          <w:color w:val="222F36"/>
          <w:sz w:val="21"/>
        </w:rPr>
        <w:t xml:space="preserve">The daily 0000 contact test verifies every circuit. A failed test triggers repair within four hours and a note in the Tide Report. The Line never carries a demand; it carries facts, actions, and requests.</w:t>
      </w:r>
    </w:p>
    <w:p>
      <w:pPr>
        <w:pStyle w:val="Heading3"/>
        <w:keepNext/>
        <w:keepLines/>
      </w:pPr>
      <w:r>
        <w:rPr>
          <w:rFonts w:ascii="Calibri" w:hAnsi="Calibri" w:eastAsia="Microsoft YaHei"/>
          <w:b/>
          <w:color w:val="222F36"/>
          <w:sz w:val="22"/>
        </w:rPr>
        <w:t xml:space="preserve">D.6 Voice Discipline</w:t>
      </w:r>
    </w:p>
    <w:p>
      <w:pPr>
        <w:pStyle w:val="Normal"/>
      </w:pPr>
      <w:r>
        <w:rPr>
          <w:rFonts w:ascii="Calibri" w:hAnsi="Calibri" w:eastAsia="Microsoft YaHei"/>
          <w:color w:val="222F36"/>
          <w:sz w:val="21"/>
        </w:rPr>
        <w:t xml:space="preserve">The Watch speaks English in standard marine communication phrases, with readback on every safety-critical exchange. Advisories follow the Fairway Advisory format: number, area, period, content, cancellation. The Watch issues advisories; masters decide (Article 8.6). Courtesy is procedure: every transmission opens and closes with station identity, and no transmission carries characterization of any flag, crew, or capital.</w:t>
      </w:r>
    </w:p>
    <w:p>
      <w:pPr>
        <w:pStyle w:val="Heading3"/>
        <w:keepNext/>
        <w:keepLines/>
      </w:pPr>
      <w:r>
        <w:rPr>
          <w:rFonts w:ascii="Calibri" w:hAnsi="Calibri" w:eastAsia="Microsoft YaHei"/>
          <w:b/>
          <w:color w:val="222F36"/>
          <w:sz w:val="22"/>
        </w:rPr>
        <w:t xml:space="preserve">D.7 Fallback Modes</w:t>
      </w:r>
    </w:p>
    <w:tbl>
      <w:tblPr>
        <w:tblW w:w="9306" w:type="dxa"/>
        <w:tblBorders>
          <w:top w:val="single" w:color="AEC4C1" w:sz="6"/>
          <w:left w:val="single" w:color="AEC4C1" w:sz="6"/>
          <w:bottom w:val="single" w:color="AEC4C1" w:sz="6"/>
          <w:right w:val="single" w:color="AEC4C1" w:sz="6"/>
          <w:insideH w:val="single" w:color="AEC4C1" w:sz="4"/>
          <w:insideV w:val="single" w:color="AEC4C1" w:sz="4"/>
        </w:tblBorders>
      </w:tblPr>
      <w:tblGrid>
        <w:gridCol w:w="1300"/>
        <w:gridCol w:w="2000"/>
        <w:gridCol w:w="6006"/>
      </w:tblGrid>
      <w:tr>
        <w:trPr>
          <w:cantSplit/>
          <w:tblHeader/>
        </w:trPr>
        <w:tc>
          <w:tcPr>
            <w:tcW w:w="13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Mode</w:t>
            </w:r>
          </w:p>
        </w:tc>
        <w:tc>
          <w:tcPr>
            <w:tcW w:w="20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Trigger</w:t>
            </w:r>
          </w:p>
        </w:tc>
        <w:tc>
          <w:tcPr>
            <w:tcW w:w="6006"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Operating rule</w:t>
            </w:r>
          </w:p>
        </w:tc>
      </w:tr>
      <w:tr>
        <w:trPr>
          <w:cantSplit/>
        </w:trPr>
        <w:tc>
          <w:tcPr>
            <w:tcW w:w="1300" w:type="dxa"/>
            <w:tcMar>
              <w:top w:w="50" w:type="dxa"/>
              <w:left w:w="100" w:type="dxa"/>
              <w:bottom w:w="50" w:type="dxa"/>
              <w:right w:w="100" w:type="dxa"/>
            </w:tcMar>
          </w:tcPr>
          <w:p>
            <w:pPr>
              <w:pStyle w:val="TableText"/>
            </w:pPr>
            <w:r>
              <w:rPr>
                <w:rFonts w:ascii="Calibri" w:hAnsi="Calibri" w:eastAsia="Microsoft YaHei"/>
                <w:color w:val="222F36"/>
                <w:sz w:val="20"/>
              </w:rPr>
              <w:t xml:space="preserve">Green</w:t>
            </w:r>
          </w:p>
        </w:tc>
        <w:tc>
          <w:tcPr>
            <w:tcW w:w="2000" w:type="dxa"/>
            <w:tcMar>
              <w:top w:w="50" w:type="dxa"/>
              <w:left w:w="100" w:type="dxa"/>
              <w:bottom w:w="50" w:type="dxa"/>
              <w:right w:w="100" w:type="dxa"/>
            </w:tcMar>
          </w:tcPr>
          <w:p>
            <w:pPr>
              <w:pStyle w:val="TableText"/>
            </w:pPr>
            <w:r>
              <w:rPr>
                <w:rFonts w:ascii="Calibri" w:hAnsi="Calibri" w:eastAsia="Microsoft YaHei"/>
                <w:color w:val="222F36"/>
                <w:sz w:val="20"/>
              </w:rPr>
              <w:t xml:space="preserve">Normal</w:t>
            </w:r>
          </w:p>
        </w:tc>
        <w:tc>
          <w:tcPr>
            <w:tcW w:w="6006" w:type="dxa"/>
            <w:tcMar>
              <w:top w:w="50" w:type="dxa"/>
              <w:left w:w="100" w:type="dxa"/>
              <w:bottom w:w="50" w:type="dxa"/>
              <w:right w:w="100" w:type="dxa"/>
            </w:tcMar>
          </w:tcPr>
          <w:p>
            <w:pPr>
              <w:pStyle w:val="TableText"/>
            </w:pPr>
            <w:r>
              <w:rPr>
                <w:rFonts w:ascii="Calibri" w:hAnsi="Calibri" w:eastAsia="Microsoft YaHei"/>
                <w:color w:val="222F36"/>
                <w:sz w:val="20"/>
              </w:rPr>
              <w:t xml:space="preserve">Muscat floor runs the watch; Bandar Desk mirrors</w:t>
            </w:r>
          </w:p>
        </w:tc>
      </w:tr>
      <w:tr>
        <w:trPr>
          <w:cantSplit/>
        </w:trPr>
        <w:tc>
          <w:tcPr>
            <w:tcW w:w="13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Amber</w:t>
            </w:r>
          </w:p>
        </w:tc>
        <w:tc>
          <w:tcPr>
            <w:tcW w:w="20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Muscat failure</w:t>
            </w:r>
          </w:p>
        </w:tc>
        <w:tc>
          <w:tcPr>
            <w:tcW w:w="60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Bandar Desk assumes the watch within one hour; Recorder announces; repair clock starts</w:t>
            </w:r>
          </w:p>
        </w:tc>
      </w:tr>
      <w:tr>
        <w:trPr>
          <w:cantSplit/>
        </w:trPr>
        <w:tc>
          <w:tcPr>
            <w:tcW w:w="1300" w:type="dxa"/>
            <w:tcMar>
              <w:top w:w="50" w:type="dxa"/>
              <w:left w:w="100" w:type="dxa"/>
              <w:bottom w:w="50" w:type="dxa"/>
              <w:right w:w="100" w:type="dxa"/>
            </w:tcMar>
          </w:tcPr>
          <w:p>
            <w:pPr>
              <w:pStyle w:val="TableText"/>
            </w:pPr>
            <w:r>
              <w:rPr>
                <w:rFonts w:ascii="Calibri" w:hAnsi="Calibri" w:eastAsia="Microsoft YaHei"/>
                <w:color w:val="222F36"/>
                <w:sz w:val="20"/>
              </w:rPr>
              <w:t xml:space="preserve">Red</w:t>
            </w:r>
          </w:p>
        </w:tc>
        <w:tc>
          <w:tcPr>
            <w:tcW w:w="2000" w:type="dxa"/>
            <w:tcMar>
              <w:top w:w="50" w:type="dxa"/>
              <w:left w:w="100" w:type="dxa"/>
              <w:bottom w:w="50" w:type="dxa"/>
              <w:right w:w="100" w:type="dxa"/>
            </w:tcMar>
          </w:tcPr>
          <w:p>
            <w:pPr>
              <w:pStyle w:val="TableText"/>
            </w:pPr>
            <w:r>
              <w:rPr>
                <w:rFonts w:ascii="Calibri" w:hAnsi="Calibri" w:eastAsia="Microsoft YaHei"/>
                <w:color w:val="222F36"/>
                <w:sz w:val="20"/>
              </w:rPr>
              <w:t xml:space="preserve">Both floors down</w:t>
            </w:r>
          </w:p>
        </w:tc>
        <w:tc>
          <w:tcPr>
            <w:tcW w:w="6006" w:type="dxa"/>
            <w:tcMar>
              <w:top w:w="50" w:type="dxa"/>
              <w:left w:w="100" w:type="dxa"/>
              <w:bottom w:w="50" w:type="dxa"/>
              <w:right w:w="100" w:type="dxa"/>
            </w:tcMar>
          </w:tcPr>
          <w:p>
            <w:pPr>
              <w:pStyle w:val="TableText"/>
            </w:pPr>
            <w:r>
              <w:rPr>
                <w:rFonts w:ascii="Calibri" w:hAnsi="Calibri" w:eastAsia="Microsoft YaHei"/>
                <w:color w:val="222F36"/>
                <w:sz w:val="20"/>
              </w:rPr>
              <w:t xml:space="preserve">National traffic services resume interim control in their waters; notices file by email and VHF relay; Recorder announces; retro-entry within 24 hours</w:t>
            </w:r>
          </w:p>
        </w:tc>
      </w:tr>
    </w:tbl>
    <w:p>
      <w:pPr>
        <w:spacing w:before="0" w:after="140"/>
      </w:pPr>
      <w:r>
        <w:rPr>
          <w:sz w:val="8"/>
        </w:rPr>
        <w:t/>
      </w:r>
    </w:p>
    <w:p>
      <w:pPr>
        <w:pStyle w:val="Normal"/>
      </w:pPr>
      <w:r>
        <w:rPr>
          <w:rFonts w:ascii="Calibri" w:hAnsi="Calibri" w:eastAsia="Microsoft YaHei"/>
          <w:color w:val="222F36"/>
          <w:sz w:val="21"/>
        </w:rPr>
        <w:t xml:space="preserve">A sealed manual kit sits on each floor: paper logs, the forms of Annex C, the message form, and the standing advisories. The monthly exercise keeps the kit honest. Mode changes enter the Concordance within one hour, and every hour of Amber or Red appears in the Tide Report.</w:t>
      </w:r>
    </w:p>
    <w:p>
      <w:pPr>
        <w:pStyle w:val="Heading3"/>
        <w:keepNext/>
        <w:keepLines/>
      </w:pPr>
      <w:r>
        <w:rPr>
          <w:rFonts w:ascii="Calibri" w:hAnsi="Calibri" w:eastAsia="Microsoft YaHei"/>
          <w:b/>
          <w:color w:val="222F36"/>
          <w:sz w:val="22"/>
        </w:rPr>
        <w:t xml:space="preserve">D.8 Personnel Standards</w:t>
      </w:r>
    </w:p>
    <w:p>
      <w:pPr>
        <w:pStyle w:val="Normal"/>
        <w:ind w:left="560" w:hanging="560"/>
      </w:pPr>
      <w:r>
        <w:rPr>
          <w:rFonts w:ascii="Calibri" w:hAnsi="Calibri" w:eastAsia="Microsoft YaHei"/>
          <w:b/>
          <w:color w:val="1F4E5F"/>
          <w:sz w:val="21"/>
        </w:rPr>
        <w:t xml:space="preserve">D.8.1  </w:t>
      </w:r>
      <w:r>
        <w:rPr>
          <w:rFonts w:ascii="Calibri" w:hAnsi="Calibri" w:eastAsia="Microsoft YaHei"/>
          <w:color w:val="222F36"/>
          <w:sz w:val="21"/>
        </w:rPr>
        <w:t xml:space="preserve">Qualifications. Every watchkeeper holds a master mariner or senior navigation officer background, current English proficiency for marine communication, and the training certificate of the Technical Guarantor’s course. New staff shadow four watches before standing one.</w:t>
      </w:r>
    </w:p>
    <w:p>
      <w:pPr>
        <w:pStyle w:val="Normal"/>
        <w:ind w:left="560" w:hanging="560"/>
      </w:pPr>
      <w:r>
        <w:rPr>
          <w:rFonts w:ascii="Calibri" w:hAnsi="Calibri" w:eastAsia="Microsoft YaHei"/>
          <w:b/>
          <w:color w:val="1F4E5F"/>
          <w:sz w:val="21"/>
        </w:rPr>
        <w:t xml:space="preserve">D.8.2  </w:t>
      </w:r>
      <w:r>
        <w:rPr>
          <w:rFonts w:ascii="Calibri" w:hAnsi="Calibri" w:eastAsia="Microsoft YaHei"/>
          <w:color w:val="222F36"/>
          <w:sz w:val="21"/>
        </w:rPr>
        <w:t xml:space="preserve">Screening. Each Party screens its own nationals by its own law, and no Party screens the nationals of the other. The Superintendent verifies certificates, not loyalties.</w:t>
      </w:r>
    </w:p>
    <w:p>
      <w:pPr>
        <w:pStyle w:val="Normal"/>
        <w:ind w:left="560" w:hanging="560"/>
      </w:pPr>
      <w:r>
        <w:rPr>
          <w:rFonts w:ascii="Calibri" w:hAnsi="Calibri" w:eastAsia="Microsoft YaHei"/>
          <w:b/>
          <w:color w:val="1F4E5F"/>
          <w:sz w:val="21"/>
        </w:rPr>
        <w:t xml:space="preserve">D.8.3  </w:t>
      </w:r>
      <w:r>
        <w:rPr>
          <w:rFonts w:ascii="Calibri" w:hAnsi="Calibri" w:eastAsia="Microsoft YaHei"/>
          <w:color w:val="222F36"/>
          <w:sz w:val="21"/>
        </w:rPr>
        <w:t xml:space="preserve">Conduct. Staff hold no secondary employment with any shipper, insurer, or security actor. The conflict register of the Desk lists staff interests, and the watermark rules of Annex E.9 bind every staff member during and after service.</w:t>
      </w:r>
    </w:p>
    <w:p>
      <w:pPr>
        <w:pStyle w:val="Normal"/>
        <w:ind w:left="560" w:hanging="560"/>
      </w:pPr>
      <w:r>
        <w:rPr>
          <w:rFonts w:ascii="Calibri" w:hAnsi="Calibri" w:eastAsia="Microsoft YaHei"/>
          <w:b/>
          <w:color w:val="1F4E5F"/>
          <w:sz w:val="21"/>
        </w:rPr>
        <w:t xml:space="preserve">D.8.4  </w:t>
      </w:r>
      <w:r>
        <w:rPr>
          <w:rFonts w:ascii="Calibri" w:hAnsi="Calibri" w:eastAsia="Microsoft YaHei"/>
          <w:color w:val="222F36"/>
          <w:sz w:val="21"/>
        </w:rPr>
        <w:t xml:space="preserve">Rotation. Watchkeepers rotate between the Muscat floor and the Bandar Desk on a three-month cycle, so that both rooms know both waters, and no habit of distance grows between them.</w:t>
      </w:r>
    </w:p>
    <w:p>
      <w:pPr>
        <w:pStyle w:val="Heading3"/>
        <w:keepNext/>
        <w:keepLines/>
      </w:pPr>
      <w:r>
        <w:rPr>
          <w:rFonts w:ascii="Calibri" w:hAnsi="Calibri" w:eastAsia="Microsoft YaHei"/>
          <w:b/>
          <w:color w:val="222F36"/>
          <w:sz w:val="22"/>
        </w:rPr>
        <w:t xml:space="preserve">D.9 National Liaison Desks</w:t>
      </w:r>
    </w:p>
    <w:p>
      <w:pPr>
        <w:pStyle w:val="Normal"/>
      </w:pPr>
      <w:r>
        <w:rPr>
          <w:rFonts w:ascii="Calibri" w:hAnsi="Calibri" w:eastAsia="Microsoft YaHei"/>
          <w:color w:val="222F36"/>
          <w:sz w:val="21"/>
        </w:rPr>
        <w:t xml:space="preserve">Each Party names a liaison desk in its national traffic and naval coordination centers (Article 5.3). The desks carry the Tide Line, receive advisories for national dissemination, and coordinate the response assets of Annexes G and J. A liaison desk informs its national chain; it never commands the Watch, and the Watch never commands it.</w:t>
      </w:r>
    </w:p>
    <w:p>
      <w:pPr>
        <w:pStyle w:val="Heading1"/>
        <w:keepNext/>
        <w:keepLines/>
        <w:pageBreakBefore/>
      </w:pPr>
      <w:r>
        <w:rPr>
          <w:rFonts w:ascii="Calibri" w:hAnsi="Calibri" w:eastAsia="Microsoft YaHei"/>
          <w:b/>
          <w:color w:val="1F4E5F"/>
          <w:sz w:val="34"/>
        </w:rPr>
        <w:t xml:space="preserve">Annex E: The Verification Manual</w:t>
      </w:r>
    </w:p>
    <w:p>
      <w:pPr>
        <w:pStyle w:val="Normal"/>
      </w:pPr>
      <w:r>
        <w:rPr>
          <w:rFonts w:ascii="Calibri" w:hAnsi="Calibri" w:eastAsia="Microsoft YaHei"/>
          <w:color w:val="222F36"/>
          <w:sz w:val="21"/>
        </w:rPr>
        <w:t xml:space="preserve">This annex operationalizes the verification methods of the Islamabad Memorandum for the daily life of the waterway: one shared record, convergence before findings, humans before consequences, standing red-team attack, evidence standards by event type, collective data ownership, and one automatic rule. It binds the Concordance Office first of all.</w:t>
      </w:r>
    </w:p>
    <w:p>
      <w:pPr>
        <w:pStyle w:val="Heading3"/>
        <w:keepNext/>
        <w:keepLines/>
      </w:pPr>
      <w:r>
        <w:rPr>
          <w:rFonts w:ascii="Calibri" w:hAnsi="Calibri" w:eastAsia="Microsoft YaHei"/>
          <w:b/>
          <w:color w:val="222F36"/>
          <w:sz w:val="22"/>
        </w:rPr>
        <w:t xml:space="preserve">E.1 The Concordance: Feeds and Custody</w:t>
      </w:r>
    </w:p>
    <w:tbl>
      <w:tblPr>
        <w:tblW w:w="9306" w:type="dxa"/>
        <w:tblBorders>
          <w:top w:val="single" w:color="AEC4C1" w:sz="6"/>
          <w:left w:val="single" w:color="AEC4C1" w:sz="6"/>
          <w:bottom w:val="single" w:color="AEC4C1" w:sz="6"/>
          <w:right w:val="single" w:color="AEC4C1" w:sz="6"/>
          <w:insideH w:val="single" w:color="AEC4C1" w:sz="4"/>
          <w:insideV w:val="single" w:color="AEC4C1" w:sz="4"/>
        </w:tblBorders>
      </w:tblPr>
      <w:tblGrid>
        <w:gridCol w:w="2400"/>
        <w:gridCol w:w="2300"/>
        <w:gridCol w:w="2300"/>
        <w:gridCol w:w="2306"/>
      </w:tblGrid>
      <w:tr>
        <w:trPr>
          <w:cantSplit/>
          <w:tblHeader/>
        </w:trPr>
        <w:tc>
          <w:tcPr>
            <w:tcW w:w="24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Feed</w:t>
            </w:r>
          </w:p>
        </w:tc>
        <w:tc>
          <w:tcPr>
            <w:tcW w:w="23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Custodian</w:t>
            </w:r>
          </w:p>
        </w:tc>
        <w:tc>
          <w:tcPr>
            <w:tcW w:w="23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Latency</w:t>
            </w:r>
          </w:p>
        </w:tc>
        <w:tc>
          <w:tcPr>
            <w:tcW w:w="2306"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Retention</w:t>
            </w:r>
          </w:p>
        </w:tc>
      </w:tr>
      <w:tr>
        <w:trPr>
          <w:cantSplit/>
        </w:trPr>
        <w:tc>
          <w:tcPr>
            <w:tcW w:w="2400" w:type="dxa"/>
            <w:tcMar>
              <w:top w:w="50" w:type="dxa"/>
              <w:left w:w="100" w:type="dxa"/>
              <w:bottom w:w="50" w:type="dxa"/>
              <w:right w:w="100" w:type="dxa"/>
            </w:tcMar>
          </w:tcPr>
          <w:p>
            <w:pPr>
              <w:pStyle w:val="TableText"/>
            </w:pPr>
            <w:r>
              <w:rPr>
                <w:rFonts w:ascii="Calibri" w:hAnsi="Calibri" w:eastAsia="Microsoft YaHei"/>
                <w:color w:val="222F36"/>
                <w:sz w:val="20"/>
              </w:rPr>
              <w:t xml:space="preserve">Notice portal entries</w:t>
            </w:r>
          </w:p>
        </w:tc>
        <w:tc>
          <w:tcPr>
            <w:tcW w:w="2300" w:type="dxa"/>
            <w:tcMar>
              <w:top w:w="50" w:type="dxa"/>
              <w:left w:w="100" w:type="dxa"/>
              <w:bottom w:w="50" w:type="dxa"/>
              <w:right w:w="100" w:type="dxa"/>
            </w:tcMar>
          </w:tcPr>
          <w:p>
            <w:pPr>
              <w:pStyle w:val="TableText"/>
            </w:pPr>
            <w:r>
              <w:rPr>
                <w:rFonts w:ascii="Calibri" w:hAnsi="Calibri" w:eastAsia="Microsoft YaHei"/>
                <w:color w:val="222F36"/>
                <w:sz w:val="20"/>
              </w:rPr>
              <w:t xml:space="preserve">The Watch</w:t>
            </w:r>
          </w:p>
        </w:tc>
        <w:tc>
          <w:tcPr>
            <w:tcW w:w="2300" w:type="dxa"/>
            <w:tcMar>
              <w:top w:w="50" w:type="dxa"/>
              <w:left w:w="100" w:type="dxa"/>
              <w:bottom w:w="50" w:type="dxa"/>
              <w:right w:w="100" w:type="dxa"/>
            </w:tcMar>
          </w:tcPr>
          <w:p>
            <w:pPr>
              <w:pStyle w:val="TableText"/>
            </w:pPr>
            <w:r>
              <w:rPr>
                <w:rFonts w:ascii="Calibri" w:hAnsi="Calibri" w:eastAsia="Microsoft YaHei"/>
                <w:color w:val="222F36"/>
                <w:sz w:val="20"/>
              </w:rPr>
              <w:t xml:space="preserve">Real time</w:t>
            </w:r>
          </w:p>
        </w:tc>
        <w:tc>
          <w:tcPr>
            <w:tcW w:w="2306" w:type="dxa"/>
            <w:tcMar>
              <w:top w:w="50" w:type="dxa"/>
              <w:left w:w="100" w:type="dxa"/>
              <w:bottom w:w="50" w:type="dxa"/>
              <w:right w:w="100" w:type="dxa"/>
            </w:tcMar>
          </w:tcPr>
          <w:p>
            <w:pPr>
              <w:pStyle w:val="TableText"/>
            </w:pPr>
            <w:r>
              <w:rPr>
                <w:rFonts w:ascii="Calibri" w:hAnsi="Calibri" w:eastAsia="Microsoft YaHei"/>
                <w:color w:val="222F36"/>
                <w:sz w:val="20"/>
              </w:rPr>
              <w:t xml:space="preserve">5 years</w:t>
            </w:r>
          </w:p>
        </w:tc>
      </w:tr>
      <w:tr>
        <w:trPr>
          <w:cantSplit/>
        </w:trPr>
        <w:tc>
          <w:tcPr>
            <w:tcW w:w="24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AIS and radar fusion</w:t>
            </w:r>
          </w:p>
        </w:tc>
        <w:tc>
          <w:tcPr>
            <w:tcW w:w="23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The Watch</w:t>
            </w:r>
          </w:p>
        </w:tc>
        <w:tc>
          <w:tcPr>
            <w:tcW w:w="23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Real time</w:t>
            </w:r>
          </w:p>
        </w:tc>
        <w:tc>
          <w:tcPr>
            <w:tcW w:w="23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5 years</w:t>
            </w:r>
          </w:p>
        </w:tc>
      </w:tr>
      <w:tr>
        <w:trPr>
          <w:cantSplit/>
        </w:trPr>
        <w:tc>
          <w:tcPr>
            <w:tcW w:w="2400" w:type="dxa"/>
            <w:tcMar>
              <w:top w:w="50" w:type="dxa"/>
              <w:left w:w="100" w:type="dxa"/>
              <w:bottom w:w="50" w:type="dxa"/>
              <w:right w:w="100" w:type="dxa"/>
            </w:tcMar>
          </w:tcPr>
          <w:p>
            <w:pPr>
              <w:pStyle w:val="TableText"/>
            </w:pPr>
            <w:r>
              <w:rPr>
                <w:rFonts w:ascii="Calibri" w:hAnsi="Calibri" w:eastAsia="Microsoft YaHei"/>
                <w:color w:val="222F36"/>
                <w:sz w:val="20"/>
              </w:rPr>
              <w:t xml:space="preserve">LRIT summaries</w:t>
            </w:r>
          </w:p>
        </w:tc>
        <w:tc>
          <w:tcPr>
            <w:tcW w:w="2300" w:type="dxa"/>
            <w:tcMar>
              <w:top w:w="50" w:type="dxa"/>
              <w:left w:w="100" w:type="dxa"/>
              <w:bottom w:w="50" w:type="dxa"/>
              <w:right w:w="100" w:type="dxa"/>
            </w:tcMar>
          </w:tcPr>
          <w:p>
            <w:pPr>
              <w:pStyle w:val="TableText"/>
            </w:pPr>
            <w:r>
              <w:rPr>
                <w:rFonts w:ascii="Calibri" w:hAnsi="Calibri" w:eastAsia="Microsoft YaHei"/>
                <w:color w:val="222F36"/>
                <w:sz w:val="20"/>
              </w:rPr>
              <w:t xml:space="preserve">National data centers</w:t>
            </w:r>
          </w:p>
        </w:tc>
        <w:tc>
          <w:tcPr>
            <w:tcW w:w="2300" w:type="dxa"/>
            <w:tcMar>
              <w:top w:w="50" w:type="dxa"/>
              <w:left w:w="100" w:type="dxa"/>
              <w:bottom w:w="50" w:type="dxa"/>
              <w:right w:w="100" w:type="dxa"/>
            </w:tcMar>
          </w:tcPr>
          <w:p>
            <w:pPr>
              <w:pStyle w:val="TableText"/>
            </w:pPr>
            <w:r>
              <w:rPr>
                <w:rFonts w:ascii="Calibri" w:hAnsi="Calibri" w:eastAsia="Microsoft YaHei"/>
                <w:color w:val="222F36"/>
                <w:sz w:val="20"/>
              </w:rPr>
              <w:t xml:space="preserve">15 minutes</w:t>
            </w:r>
          </w:p>
        </w:tc>
        <w:tc>
          <w:tcPr>
            <w:tcW w:w="2306" w:type="dxa"/>
            <w:tcMar>
              <w:top w:w="50" w:type="dxa"/>
              <w:left w:w="100" w:type="dxa"/>
              <w:bottom w:w="50" w:type="dxa"/>
              <w:right w:w="100" w:type="dxa"/>
            </w:tcMar>
          </w:tcPr>
          <w:p>
            <w:pPr>
              <w:pStyle w:val="TableText"/>
            </w:pPr>
            <w:r>
              <w:rPr>
                <w:rFonts w:ascii="Calibri" w:hAnsi="Calibri" w:eastAsia="Microsoft YaHei"/>
                <w:color w:val="222F36"/>
                <w:sz w:val="20"/>
              </w:rPr>
              <w:t xml:space="preserve">5 years</w:t>
            </w:r>
          </w:p>
        </w:tc>
      </w:tr>
      <w:tr>
        <w:trPr>
          <w:cantSplit/>
        </w:trPr>
        <w:tc>
          <w:tcPr>
            <w:tcW w:w="24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Satellite passes</w:t>
            </w:r>
          </w:p>
        </w:tc>
        <w:tc>
          <w:tcPr>
            <w:tcW w:w="23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Technical Guarantor tasking</w:t>
            </w:r>
          </w:p>
        </w:tc>
        <w:tc>
          <w:tcPr>
            <w:tcW w:w="23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On pass</w:t>
            </w:r>
          </w:p>
        </w:tc>
        <w:tc>
          <w:tcPr>
            <w:tcW w:w="23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5 years</w:t>
            </w:r>
          </w:p>
        </w:tc>
      </w:tr>
      <w:tr>
        <w:trPr>
          <w:cantSplit/>
        </w:trPr>
        <w:tc>
          <w:tcPr>
            <w:tcW w:w="2400" w:type="dxa"/>
            <w:tcMar>
              <w:top w:w="50" w:type="dxa"/>
              <w:left w:w="100" w:type="dxa"/>
              <w:bottom w:w="50" w:type="dxa"/>
              <w:right w:w="100" w:type="dxa"/>
            </w:tcMar>
          </w:tcPr>
          <w:p>
            <w:pPr>
              <w:pStyle w:val="TableText"/>
            </w:pPr>
            <w:r>
              <w:rPr>
                <w:rFonts w:ascii="Calibri" w:hAnsi="Calibri" w:eastAsia="Microsoft YaHei"/>
                <w:color w:val="222F36"/>
                <w:sz w:val="20"/>
              </w:rPr>
              <w:t xml:space="preserve">Watch voice logs</w:t>
            </w:r>
          </w:p>
        </w:tc>
        <w:tc>
          <w:tcPr>
            <w:tcW w:w="2300" w:type="dxa"/>
            <w:tcMar>
              <w:top w:w="50" w:type="dxa"/>
              <w:left w:w="100" w:type="dxa"/>
              <w:bottom w:w="50" w:type="dxa"/>
              <w:right w:w="100" w:type="dxa"/>
            </w:tcMar>
          </w:tcPr>
          <w:p>
            <w:pPr>
              <w:pStyle w:val="TableText"/>
            </w:pPr>
            <w:r>
              <w:rPr>
                <w:rFonts w:ascii="Calibri" w:hAnsi="Calibri" w:eastAsia="Microsoft YaHei"/>
                <w:color w:val="222F36"/>
                <w:sz w:val="20"/>
              </w:rPr>
              <w:t xml:space="preserve">The Office</w:t>
            </w:r>
          </w:p>
        </w:tc>
        <w:tc>
          <w:tcPr>
            <w:tcW w:w="2300" w:type="dxa"/>
            <w:tcMar>
              <w:top w:w="50" w:type="dxa"/>
              <w:left w:w="100" w:type="dxa"/>
              <w:bottom w:w="50" w:type="dxa"/>
              <w:right w:w="100" w:type="dxa"/>
            </w:tcMar>
          </w:tcPr>
          <w:p>
            <w:pPr>
              <w:pStyle w:val="TableText"/>
            </w:pPr>
            <w:r>
              <w:rPr>
                <w:rFonts w:ascii="Calibri" w:hAnsi="Calibri" w:eastAsia="Microsoft YaHei"/>
                <w:color w:val="222F36"/>
                <w:sz w:val="20"/>
              </w:rPr>
              <w:t xml:space="preserve">Real time</w:t>
            </w:r>
          </w:p>
        </w:tc>
        <w:tc>
          <w:tcPr>
            <w:tcW w:w="2306" w:type="dxa"/>
            <w:tcMar>
              <w:top w:w="50" w:type="dxa"/>
              <w:left w:w="100" w:type="dxa"/>
              <w:bottom w:w="50" w:type="dxa"/>
              <w:right w:w="100" w:type="dxa"/>
            </w:tcMar>
          </w:tcPr>
          <w:p>
            <w:pPr>
              <w:pStyle w:val="TableText"/>
            </w:pPr>
            <w:r>
              <w:rPr>
                <w:rFonts w:ascii="Calibri" w:hAnsi="Calibri" w:eastAsia="Microsoft YaHei"/>
                <w:color w:val="222F36"/>
                <w:sz w:val="20"/>
              </w:rPr>
              <w:t xml:space="preserve">5 years</w:t>
            </w:r>
          </w:p>
        </w:tc>
      </w:tr>
      <w:tr>
        <w:trPr>
          <w:cantSplit/>
        </w:trPr>
        <w:tc>
          <w:tcPr>
            <w:tcW w:w="24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Tide Line transcripts</w:t>
            </w:r>
          </w:p>
        </w:tc>
        <w:tc>
          <w:tcPr>
            <w:tcW w:w="23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The Office</w:t>
            </w:r>
          </w:p>
        </w:tc>
        <w:tc>
          <w:tcPr>
            <w:tcW w:w="23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Real time</w:t>
            </w:r>
          </w:p>
        </w:tc>
        <w:tc>
          <w:tcPr>
            <w:tcW w:w="23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5 years</w:t>
            </w:r>
          </w:p>
        </w:tc>
      </w:tr>
      <w:tr>
        <w:trPr>
          <w:cantSplit/>
        </w:trPr>
        <w:tc>
          <w:tcPr>
            <w:tcW w:w="2400" w:type="dxa"/>
            <w:tcMar>
              <w:top w:w="50" w:type="dxa"/>
              <w:left w:w="100" w:type="dxa"/>
              <w:bottom w:w="50" w:type="dxa"/>
              <w:right w:w="100" w:type="dxa"/>
            </w:tcMar>
          </w:tcPr>
          <w:p>
            <w:pPr>
              <w:pStyle w:val="TableText"/>
            </w:pPr>
            <w:r>
              <w:rPr>
                <w:rFonts w:ascii="Calibri" w:hAnsi="Calibri" w:eastAsia="Microsoft YaHei"/>
                <w:color w:val="222F36"/>
                <w:sz w:val="20"/>
              </w:rPr>
              <w:t xml:space="preserve">Incident files</w:t>
            </w:r>
          </w:p>
        </w:tc>
        <w:tc>
          <w:tcPr>
            <w:tcW w:w="2300" w:type="dxa"/>
            <w:tcMar>
              <w:top w:w="50" w:type="dxa"/>
              <w:left w:w="100" w:type="dxa"/>
              <w:bottom w:w="50" w:type="dxa"/>
              <w:right w:w="100" w:type="dxa"/>
            </w:tcMar>
          </w:tcPr>
          <w:p>
            <w:pPr>
              <w:pStyle w:val="TableText"/>
            </w:pPr>
            <w:r>
              <w:rPr>
                <w:rFonts w:ascii="Calibri" w:hAnsi="Calibri" w:eastAsia="Microsoft YaHei"/>
                <w:color w:val="222F36"/>
                <w:sz w:val="20"/>
              </w:rPr>
              <w:t xml:space="preserve">The Office</w:t>
            </w:r>
          </w:p>
        </w:tc>
        <w:tc>
          <w:tcPr>
            <w:tcW w:w="2300" w:type="dxa"/>
            <w:tcMar>
              <w:top w:w="50" w:type="dxa"/>
              <w:left w:w="100" w:type="dxa"/>
              <w:bottom w:w="50" w:type="dxa"/>
              <w:right w:w="100" w:type="dxa"/>
            </w:tcMar>
          </w:tcPr>
          <w:p>
            <w:pPr>
              <w:pStyle w:val="TableText"/>
            </w:pPr>
            <w:r>
              <w:rPr>
                <w:rFonts w:ascii="Calibri" w:hAnsi="Calibri" w:eastAsia="Microsoft YaHei"/>
                <w:color w:val="222F36"/>
                <w:sz w:val="20"/>
              </w:rPr>
              <w:t xml:space="preserve">On event</w:t>
            </w:r>
          </w:p>
        </w:tc>
        <w:tc>
          <w:tcPr>
            <w:tcW w:w="2306" w:type="dxa"/>
            <w:tcMar>
              <w:top w:w="50" w:type="dxa"/>
              <w:left w:w="100" w:type="dxa"/>
              <w:bottom w:w="50" w:type="dxa"/>
              <w:right w:w="100" w:type="dxa"/>
            </w:tcMar>
          </w:tcPr>
          <w:p>
            <w:pPr>
              <w:pStyle w:val="TableText"/>
            </w:pPr>
            <w:r>
              <w:rPr>
                <w:rFonts w:ascii="Calibri" w:hAnsi="Calibri" w:eastAsia="Microsoft YaHei"/>
                <w:color w:val="222F36"/>
                <w:sz w:val="20"/>
              </w:rPr>
              <w:t xml:space="preserve">5 years</w:t>
            </w:r>
          </w:p>
        </w:tc>
      </w:tr>
      <w:tr>
        <w:trPr>
          <w:cantSplit/>
        </w:trPr>
        <w:tc>
          <w:tcPr>
            <w:tcW w:w="24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Account ledger</w:t>
            </w:r>
          </w:p>
        </w:tc>
        <w:tc>
          <w:tcPr>
            <w:tcW w:w="23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Record Guarantor</w:t>
            </w:r>
          </w:p>
        </w:tc>
        <w:tc>
          <w:tcPr>
            <w:tcW w:w="23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Daily</w:t>
            </w:r>
          </w:p>
        </w:tc>
        <w:tc>
          <w:tcPr>
            <w:tcW w:w="23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5 years</w:t>
            </w:r>
          </w:p>
        </w:tc>
      </w:tr>
      <w:tr>
        <w:trPr>
          <w:cantSplit/>
        </w:trPr>
        <w:tc>
          <w:tcPr>
            <w:tcW w:w="2400" w:type="dxa"/>
            <w:tcMar>
              <w:top w:w="50" w:type="dxa"/>
              <w:left w:w="100" w:type="dxa"/>
              <w:bottom w:w="50" w:type="dxa"/>
              <w:right w:w="100" w:type="dxa"/>
            </w:tcMar>
          </w:tcPr>
          <w:p>
            <w:pPr>
              <w:pStyle w:val="TableText"/>
            </w:pPr>
            <w:r>
              <w:rPr>
                <w:rFonts w:ascii="Calibri" w:hAnsi="Calibri" w:eastAsia="Microsoft YaHei"/>
                <w:color w:val="222F36"/>
                <w:sz w:val="20"/>
              </w:rPr>
              <w:t xml:space="preserve">Classifications and findings</w:t>
            </w:r>
          </w:p>
        </w:tc>
        <w:tc>
          <w:tcPr>
            <w:tcW w:w="2300" w:type="dxa"/>
            <w:tcMar>
              <w:top w:w="50" w:type="dxa"/>
              <w:left w:w="100" w:type="dxa"/>
              <w:bottom w:w="50" w:type="dxa"/>
              <w:right w:w="100" w:type="dxa"/>
            </w:tcMar>
          </w:tcPr>
          <w:p>
            <w:pPr>
              <w:pStyle w:val="TableText"/>
            </w:pPr>
            <w:r>
              <w:rPr>
                <w:rFonts w:ascii="Calibri" w:hAnsi="Calibri" w:eastAsia="Microsoft YaHei"/>
                <w:color w:val="222F36"/>
                <w:sz w:val="20"/>
              </w:rPr>
              <w:t xml:space="preserve">The Recorder</w:t>
            </w:r>
          </w:p>
        </w:tc>
        <w:tc>
          <w:tcPr>
            <w:tcW w:w="2300" w:type="dxa"/>
            <w:tcMar>
              <w:top w:w="50" w:type="dxa"/>
              <w:left w:w="100" w:type="dxa"/>
              <w:bottom w:w="50" w:type="dxa"/>
              <w:right w:w="100" w:type="dxa"/>
            </w:tcMar>
          </w:tcPr>
          <w:p>
            <w:pPr>
              <w:pStyle w:val="TableText"/>
            </w:pPr>
            <w:r>
              <w:rPr>
                <w:rFonts w:ascii="Calibri" w:hAnsi="Calibri" w:eastAsia="Microsoft YaHei"/>
                <w:color w:val="222F36"/>
                <w:sz w:val="20"/>
              </w:rPr>
              <w:t xml:space="preserve">On issue</w:t>
            </w:r>
          </w:p>
        </w:tc>
        <w:tc>
          <w:tcPr>
            <w:tcW w:w="2306" w:type="dxa"/>
            <w:tcMar>
              <w:top w:w="50" w:type="dxa"/>
              <w:left w:w="100" w:type="dxa"/>
              <w:bottom w:w="50" w:type="dxa"/>
              <w:right w:w="100" w:type="dxa"/>
            </w:tcMar>
          </w:tcPr>
          <w:p>
            <w:pPr>
              <w:pStyle w:val="TableText"/>
            </w:pPr>
            <w:r>
              <w:rPr>
                <w:rFonts w:ascii="Calibri" w:hAnsi="Calibri" w:eastAsia="Microsoft YaHei"/>
                <w:color w:val="222F36"/>
                <w:sz w:val="20"/>
              </w:rPr>
              <w:t xml:space="preserve">Permanent</w:t>
            </w:r>
          </w:p>
        </w:tc>
      </w:tr>
    </w:tbl>
    <w:p>
      <w:pPr>
        <w:spacing w:before="0" w:after="140"/>
      </w:pPr>
      <w:r>
        <w:rPr>
          <w:sz w:val="8"/>
        </w:rPr>
        <w:t/>
      </w:r>
    </w:p>
    <w:p>
      <w:pPr>
        <w:pStyle w:val="Heading3"/>
        <w:keepNext/>
        <w:keepLines/>
      </w:pPr>
      <w:r>
        <w:rPr>
          <w:rFonts w:ascii="Calibri" w:hAnsi="Calibri" w:eastAsia="Microsoft YaHei"/>
          <w:b/>
          <w:color w:val="222F36"/>
          <w:sz w:val="22"/>
        </w:rPr>
        <w:t xml:space="preserve">E.2 Cryptographic Discipline</w:t>
      </w:r>
    </w:p>
    <w:p>
      <w:pPr>
        <w:pStyle w:val="Normal"/>
      </w:pPr>
      <w:r>
        <w:rPr>
          <w:rFonts w:ascii="Calibri" w:hAnsi="Calibri" w:eastAsia="Microsoft YaHei"/>
          <w:color w:val="222F36"/>
          <w:sz w:val="21"/>
        </w:rPr>
        <w:t xml:space="preserve">Every entry takes a cryptographic timestamp at ingestion. The ledger chains daily hashes, so that any alteration breaks the chain in plain view. Two keys guard the master record: the Office holds one, the Record Guarantor holds the other, and any administrative act on the archive requires both. The mirror in Muscat diverges from the master for no longer than fifteen minutes; a longer divergence alarms, and the alarm enters the record. The Technical Guarantor audits the keys quarterly.</w:t>
      </w:r>
    </w:p>
    <w:p>
      <w:pPr>
        <w:pStyle w:val="Normal"/>
      </w:pPr>
      <w:r>
        <w:rPr>
          <w:rFonts w:ascii="Calibri" w:hAnsi="Calibri" w:eastAsia="Microsoft YaHei"/>
          <w:color w:val="222F36"/>
          <w:sz w:val="21"/>
        </w:rPr>
        <w:t xml:space="preserve">Where two feeds conflict, the master record governs after reconciliation: the Office compares the conflicting feeds against custody and timestamp, reconciles within seventy-two hours, enters the reconciliation note in full, and corrects the mirror. A feed that loses three reconciliations in a quarter goes to enhanced review of its custody chain, and its readings count as degraded until the review closes.</w:t>
      </w:r>
    </w:p>
    <w:p>
      <w:pPr>
        <w:pStyle w:val="Heading3"/>
        <w:keepNext/>
        <w:keepLines/>
      </w:pPr>
      <w:r>
        <w:rPr>
          <w:rFonts w:ascii="Calibri" w:hAnsi="Calibri" w:eastAsia="Microsoft YaHei"/>
          <w:b/>
          <w:color w:val="222F36"/>
          <w:sz w:val="22"/>
        </w:rPr>
        <w:t xml:space="preserve">E.3 The Three-Signal Rule in Practice</w:t>
      </w:r>
    </w:p>
    <w:p>
      <w:pPr>
        <w:pStyle w:val="Normal"/>
        <w:ind w:left="560" w:hanging="560"/>
      </w:pPr>
      <w:r>
        <w:rPr>
          <w:rFonts w:ascii="Calibri" w:hAnsi="Calibri" w:eastAsia="Microsoft YaHei"/>
          <w:b/>
          <w:color w:val="1F4E5F"/>
          <w:sz w:val="21"/>
        </w:rPr>
        <w:t xml:space="preserve">E.3.1  </w:t>
      </w:r>
      <w:r>
        <w:rPr>
          <w:rFonts w:ascii="Calibri" w:hAnsi="Calibri" w:eastAsia="Microsoft YaHei"/>
          <w:color w:val="222F36"/>
          <w:sz w:val="21"/>
        </w:rPr>
        <w:t xml:space="preserve">Independence tests. Two signals count as independent only where they differ in source (who produced it), in sensor (what observed it), and in custody (who held it). A single feed displayed on three screens counts as one signal.</w:t>
      </w:r>
    </w:p>
    <w:p>
      <w:pPr>
        <w:pStyle w:val="Normal"/>
        <w:ind w:left="560" w:hanging="560"/>
      </w:pPr>
      <w:r>
        <w:rPr>
          <w:rFonts w:ascii="Calibri" w:hAnsi="Calibri" w:eastAsia="Microsoft YaHei"/>
          <w:b/>
          <w:color w:val="1F4E5F"/>
          <w:sz w:val="21"/>
        </w:rPr>
        <w:t xml:space="preserve">E.3.2  </w:t>
      </w:r>
      <w:r>
        <w:rPr>
          <w:rFonts w:ascii="Calibri" w:hAnsi="Calibri" w:eastAsia="Microsoft YaHei"/>
          <w:color w:val="222F36"/>
          <w:sz w:val="21"/>
        </w:rPr>
        <w:t xml:space="preserve">Worked example, single signal. A vessel reports interference with its AIS near the Northern Fairway. One signal: an inquiry opens; the Watch checks the radar fusion and the vessel’s course; no classification results.</w:t>
      </w:r>
    </w:p>
    <w:p>
      <w:pPr>
        <w:pStyle w:val="Normal"/>
        <w:ind w:left="560" w:hanging="560"/>
      </w:pPr>
      <w:r>
        <w:rPr>
          <w:rFonts w:ascii="Calibri" w:hAnsi="Calibri" w:eastAsia="Microsoft YaHei"/>
          <w:b/>
          <w:color w:val="1F4E5F"/>
          <w:sz w:val="21"/>
        </w:rPr>
        <w:t xml:space="preserve">E.3.3  </w:t>
      </w:r>
      <w:r>
        <w:rPr>
          <w:rFonts w:ascii="Calibri" w:hAnsi="Calibri" w:eastAsia="Microsoft YaHei"/>
          <w:color w:val="222F36"/>
          <w:sz w:val="21"/>
        </w:rPr>
        <w:t xml:space="preserve">Worked example, two signals. The same report, plus a radar track showing an unidentified approach. Two signals: an enhanced review opens; the Office requests a satellite pass; patrol confirmation goes on the request list; still no classification.</w:t>
      </w:r>
    </w:p>
    <w:p>
      <w:pPr>
        <w:pStyle w:val="Normal"/>
        <w:ind w:left="560" w:hanging="560"/>
      </w:pPr>
      <w:r>
        <w:rPr>
          <w:rFonts w:ascii="Calibri" w:hAnsi="Calibri" w:eastAsia="Microsoft YaHei"/>
          <w:b/>
          <w:color w:val="1F4E5F"/>
          <w:sz w:val="21"/>
        </w:rPr>
        <w:t xml:space="preserve">E.3.4  </w:t>
      </w:r>
      <w:r>
        <w:rPr>
          <w:rFonts w:ascii="Calibri" w:hAnsi="Calibri" w:eastAsia="Microsoft YaHei"/>
          <w:color w:val="222F36"/>
          <w:sz w:val="21"/>
        </w:rPr>
        <w:t xml:space="preserve">Worked example, three signals. The report, the radar track, and a satellite image consistent with both, each in different custody. Three signals: a finding stands; the Human Gate opens the classification review of Annex F.</w:t>
      </w:r>
    </w:p>
    <w:p>
      <w:pPr>
        <w:pStyle w:val="Normal"/>
        <w:ind w:left="560" w:hanging="560"/>
      </w:pPr>
      <w:r>
        <w:rPr>
          <w:rFonts w:ascii="Calibri" w:hAnsi="Calibri" w:eastAsia="Microsoft YaHei"/>
          <w:b/>
          <w:color w:val="1F4E5F"/>
          <w:sz w:val="21"/>
        </w:rPr>
        <w:t xml:space="preserve">E.3.5  </w:t>
      </w:r>
      <w:r>
        <w:rPr>
          <w:rFonts w:ascii="Calibri" w:hAnsi="Calibri" w:eastAsia="Microsoft YaHei"/>
          <w:color w:val="222F36"/>
          <w:sz w:val="21"/>
        </w:rPr>
        <w:t xml:space="preserve">Degraded readings. A reading marked degraded under Article 14.9 counts toward convergence only alongside at least two non-degraded signals.</w:t>
      </w:r>
    </w:p>
    <w:p>
      <w:pPr>
        <w:pStyle w:val="Heading3"/>
        <w:keepNext/>
        <w:keepLines/>
      </w:pPr>
      <w:r>
        <w:rPr>
          <w:rFonts w:ascii="Calibri" w:hAnsi="Calibri" w:eastAsia="Microsoft YaHei"/>
          <w:b/>
          <w:color w:val="222F36"/>
          <w:sz w:val="22"/>
        </w:rPr>
        <w:t xml:space="preserve">E.4 Evidence Standards by Event Type</w:t>
      </w:r>
    </w:p>
    <w:tbl>
      <w:tblPr>
        <w:tblW w:w="9306" w:type="dxa"/>
        <w:tblBorders>
          <w:top w:val="single" w:color="AEC4C1" w:sz="6"/>
          <w:left w:val="single" w:color="AEC4C1" w:sz="6"/>
          <w:bottom w:val="single" w:color="AEC4C1" w:sz="6"/>
          <w:right w:val="single" w:color="AEC4C1" w:sz="6"/>
          <w:insideH w:val="single" w:color="AEC4C1" w:sz="4"/>
          <w:insideV w:val="single" w:color="AEC4C1" w:sz="4"/>
        </w:tblBorders>
      </w:tblPr>
      <w:tblGrid>
        <w:gridCol w:w="2200"/>
        <w:gridCol w:w="4706"/>
        <w:gridCol w:w="2400"/>
      </w:tblGrid>
      <w:tr>
        <w:trPr>
          <w:cantSplit/>
          <w:tblHeader/>
        </w:trPr>
        <w:tc>
          <w:tcPr>
            <w:tcW w:w="22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Event type</w:t>
            </w:r>
          </w:p>
        </w:tc>
        <w:tc>
          <w:tcPr>
            <w:tcW w:w="4706"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Primary evidence</w:t>
            </w:r>
          </w:p>
        </w:tc>
        <w:tc>
          <w:tcPr>
            <w:tcW w:w="24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Corroboration</w:t>
            </w:r>
          </w:p>
        </w:tc>
      </w:tr>
      <w:tr>
        <w:trPr>
          <w:cantSplit/>
        </w:trPr>
        <w:tc>
          <w:tcPr>
            <w:tcW w:w="2200" w:type="dxa"/>
            <w:tcMar>
              <w:top w:w="50" w:type="dxa"/>
              <w:left w:w="100" w:type="dxa"/>
              <w:bottom w:w="50" w:type="dxa"/>
              <w:right w:w="100" w:type="dxa"/>
            </w:tcMar>
          </w:tcPr>
          <w:p>
            <w:pPr>
              <w:pStyle w:val="TableText"/>
            </w:pPr>
            <w:r>
              <w:rPr>
                <w:rFonts w:ascii="Calibri" w:hAnsi="Calibri" w:eastAsia="Microsoft YaHei"/>
                <w:color w:val="222F36"/>
                <w:sz w:val="20"/>
              </w:rPr>
              <w:t xml:space="preserve">Surface track anomaly</w:t>
            </w:r>
          </w:p>
        </w:tc>
        <w:tc>
          <w:tcPr>
            <w:tcW w:w="4706" w:type="dxa"/>
            <w:tcMar>
              <w:top w:w="50" w:type="dxa"/>
              <w:left w:w="100" w:type="dxa"/>
              <w:bottom w:w="50" w:type="dxa"/>
              <w:right w:w="100" w:type="dxa"/>
            </w:tcMar>
          </w:tcPr>
          <w:p>
            <w:pPr>
              <w:pStyle w:val="TableText"/>
            </w:pPr>
            <w:r>
              <w:rPr>
                <w:rFonts w:ascii="Calibri" w:hAnsi="Calibri" w:eastAsia="Microsoft YaHei"/>
                <w:color w:val="222F36"/>
                <w:sz w:val="20"/>
              </w:rPr>
              <w:t xml:space="preserve">AIS history plus satellite imagery</w:t>
            </w:r>
          </w:p>
        </w:tc>
        <w:tc>
          <w:tcPr>
            <w:tcW w:w="2400" w:type="dxa"/>
            <w:tcMar>
              <w:top w:w="50" w:type="dxa"/>
              <w:left w:w="100" w:type="dxa"/>
              <w:bottom w:w="50" w:type="dxa"/>
              <w:right w:w="100" w:type="dxa"/>
            </w:tcMar>
          </w:tcPr>
          <w:p>
            <w:pPr>
              <w:pStyle w:val="TableText"/>
            </w:pPr>
            <w:r>
              <w:rPr>
                <w:rFonts w:ascii="Calibri" w:hAnsi="Calibri" w:eastAsia="Microsoft YaHei"/>
                <w:color w:val="222F36"/>
                <w:sz w:val="20"/>
              </w:rPr>
              <w:t xml:space="preserve">Radar fusion, patrol report, port log</w:t>
            </w:r>
          </w:p>
        </w:tc>
      </w:tr>
      <w:tr>
        <w:trPr>
          <w:cantSplit/>
        </w:trPr>
        <w:tc>
          <w:tcPr>
            <w:tcW w:w="22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Watch-floor event</w:t>
            </w:r>
          </w:p>
        </w:tc>
        <w:tc>
          <w:tcPr>
            <w:tcW w:w="47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Voice log plus position log</w:t>
            </w:r>
          </w:p>
        </w:tc>
        <w:tc>
          <w:tcPr>
            <w:tcW w:w="24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Second-station recording, message form</w:t>
            </w:r>
          </w:p>
        </w:tc>
      </w:tr>
      <w:tr>
        <w:trPr>
          <w:cantSplit/>
        </w:trPr>
        <w:tc>
          <w:tcPr>
            <w:tcW w:w="2200" w:type="dxa"/>
            <w:tcMar>
              <w:top w:w="50" w:type="dxa"/>
              <w:left w:w="100" w:type="dxa"/>
              <w:bottom w:w="50" w:type="dxa"/>
              <w:right w:w="100" w:type="dxa"/>
            </w:tcMar>
          </w:tcPr>
          <w:p>
            <w:pPr>
              <w:pStyle w:val="TableText"/>
            </w:pPr>
            <w:r>
              <w:rPr>
                <w:rFonts w:ascii="Calibri" w:hAnsi="Calibri" w:eastAsia="Microsoft YaHei"/>
                <w:color w:val="222F36"/>
                <w:sz w:val="20"/>
              </w:rPr>
              <w:t xml:space="preserve">Notice or portal event</w:t>
            </w:r>
          </w:p>
        </w:tc>
        <w:tc>
          <w:tcPr>
            <w:tcW w:w="4706" w:type="dxa"/>
            <w:tcMar>
              <w:top w:w="50" w:type="dxa"/>
              <w:left w:w="100" w:type="dxa"/>
              <w:bottom w:w="50" w:type="dxa"/>
              <w:right w:w="100" w:type="dxa"/>
            </w:tcMar>
          </w:tcPr>
          <w:p>
            <w:pPr>
              <w:pStyle w:val="TableText"/>
            </w:pPr>
            <w:r>
              <w:rPr>
                <w:rFonts w:ascii="Calibri" w:hAnsi="Calibri" w:eastAsia="Microsoft YaHei"/>
                <w:color w:val="222F36"/>
                <w:sz w:val="20"/>
              </w:rPr>
              <w:t xml:space="preserve">Portal log with timestamp</w:t>
            </w:r>
          </w:p>
        </w:tc>
        <w:tc>
          <w:tcPr>
            <w:tcW w:w="2400" w:type="dxa"/>
            <w:tcMar>
              <w:top w:w="50" w:type="dxa"/>
              <w:left w:w="100" w:type="dxa"/>
              <w:bottom w:w="50" w:type="dxa"/>
              <w:right w:w="100" w:type="dxa"/>
            </w:tcMar>
          </w:tcPr>
          <w:p>
            <w:pPr>
              <w:pStyle w:val="TableText"/>
            </w:pPr>
            <w:r>
              <w:rPr>
                <w:rFonts w:ascii="Calibri" w:hAnsi="Calibri" w:eastAsia="Microsoft YaHei"/>
                <w:color w:val="222F36"/>
                <w:sz w:val="20"/>
              </w:rPr>
              <w:t xml:space="preserve">Mirror comparison, submitter confirmation</w:t>
            </w:r>
          </w:p>
        </w:tc>
      </w:tr>
      <w:tr>
        <w:trPr>
          <w:cantSplit/>
        </w:trPr>
        <w:tc>
          <w:tcPr>
            <w:tcW w:w="22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Financial event</w:t>
            </w:r>
          </w:p>
        </w:tc>
        <w:tc>
          <w:tcPr>
            <w:tcW w:w="47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Account ledger plus bank confirmation</w:t>
            </w:r>
          </w:p>
        </w:tc>
        <w:tc>
          <w:tcPr>
            <w:tcW w:w="24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Quarterly audit trail, dual-key log</w:t>
            </w:r>
          </w:p>
        </w:tc>
      </w:tr>
      <w:tr>
        <w:trPr>
          <w:cantSplit/>
        </w:trPr>
        <w:tc>
          <w:tcPr>
            <w:tcW w:w="2200" w:type="dxa"/>
            <w:tcMar>
              <w:top w:w="50" w:type="dxa"/>
              <w:left w:w="100" w:type="dxa"/>
              <w:bottom w:w="50" w:type="dxa"/>
              <w:right w:w="100" w:type="dxa"/>
            </w:tcMar>
          </w:tcPr>
          <w:p>
            <w:pPr>
              <w:pStyle w:val="TableText"/>
            </w:pPr>
            <w:r>
              <w:rPr>
                <w:rFonts w:ascii="Calibri" w:hAnsi="Calibri" w:eastAsia="Microsoft YaHei"/>
                <w:color w:val="222F36"/>
                <w:sz w:val="20"/>
              </w:rPr>
              <w:t xml:space="preserve">Cyber event</w:t>
            </w:r>
          </w:p>
        </w:tc>
        <w:tc>
          <w:tcPr>
            <w:tcW w:w="4706" w:type="dxa"/>
            <w:tcMar>
              <w:top w:w="50" w:type="dxa"/>
              <w:left w:w="100" w:type="dxa"/>
              <w:bottom w:w="50" w:type="dxa"/>
              <w:right w:w="100" w:type="dxa"/>
            </w:tcMar>
          </w:tcPr>
          <w:p>
            <w:pPr>
              <w:pStyle w:val="TableText"/>
            </w:pPr>
            <w:r>
              <w:rPr>
                <w:rFonts w:ascii="Calibri" w:hAnsi="Calibri" w:eastAsia="Microsoft YaHei"/>
                <w:color w:val="222F36"/>
                <w:sz w:val="20"/>
              </w:rPr>
              <w:t xml:space="preserve">Forensic image plus access logs</w:t>
            </w:r>
          </w:p>
        </w:tc>
        <w:tc>
          <w:tcPr>
            <w:tcW w:w="2400" w:type="dxa"/>
            <w:tcMar>
              <w:top w:w="50" w:type="dxa"/>
              <w:left w:w="100" w:type="dxa"/>
              <w:bottom w:w="50" w:type="dxa"/>
              <w:right w:w="100" w:type="dxa"/>
            </w:tcMar>
          </w:tcPr>
          <w:p>
            <w:pPr>
              <w:pStyle w:val="TableText"/>
            </w:pPr>
            <w:r>
              <w:rPr>
                <w:rFonts w:ascii="Calibri" w:hAnsi="Calibri" w:eastAsia="Microsoft YaHei"/>
                <w:color w:val="222F36"/>
                <w:sz w:val="20"/>
              </w:rPr>
              <w:t xml:space="preserve">Independent replication by the Integrity Cell</w:t>
            </w:r>
          </w:p>
        </w:tc>
      </w:tr>
      <w:tr>
        <w:trPr>
          <w:cantSplit/>
        </w:trPr>
        <w:tc>
          <w:tcPr>
            <w:tcW w:w="22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Environmental event</w:t>
            </w:r>
          </w:p>
        </w:tc>
        <w:tc>
          <w:tcPr>
            <w:tcW w:w="47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Sample chain plus imagery</w:t>
            </w:r>
          </w:p>
        </w:tc>
        <w:tc>
          <w:tcPr>
            <w:tcW w:w="24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Laboratory certificate, patrol report</w:t>
            </w:r>
          </w:p>
        </w:tc>
      </w:tr>
    </w:tbl>
    <w:p>
      <w:pPr>
        <w:spacing w:before="0" w:after="140"/>
      </w:pPr>
      <w:r>
        <w:rPr>
          <w:sz w:val="8"/>
        </w:rPr>
        <w:t/>
      </w:r>
    </w:p>
    <w:p>
      <w:pPr>
        <w:pStyle w:val="Normal"/>
      </w:pPr>
      <w:r>
        <w:rPr>
          <w:rFonts w:ascii="Calibri" w:hAnsi="Calibri" w:eastAsia="Microsoft YaHei"/>
          <w:color w:val="222F36"/>
          <w:sz w:val="21"/>
        </w:rPr>
        <w:t xml:space="preserve">Evidence arrives time-stamped at source, with custody recorded end to end. Evidence that fails the custody test enters as context, never as a signal.</w:t>
      </w:r>
    </w:p>
    <w:p>
      <w:pPr>
        <w:pStyle w:val="Heading3"/>
        <w:keepNext/>
        <w:keepLines/>
      </w:pPr>
      <w:r>
        <w:rPr>
          <w:rFonts w:ascii="Calibri" w:hAnsi="Calibri" w:eastAsia="Microsoft YaHei"/>
          <w:b/>
          <w:color w:val="222F36"/>
          <w:sz w:val="22"/>
        </w:rPr>
        <w:t xml:space="preserve">E.5 The Human Gate: Procedure</w:t>
      </w:r>
    </w:p>
    <w:p>
      <w:pPr>
        <w:pStyle w:val="Normal"/>
        <w:ind w:left="560" w:hanging="560"/>
      </w:pPr>
      <w:r>
        <w:rPr>
          <w:rFonts w:ascii="Calibri" w:hAnsi="Calibri" w:eastAsia="Microsoft YaHei"/>
          <w:b/>
          <w:color w:val="1F4E5F"/>
          <w:sz w:val="21"/>
        </w:rPr>
        <w:t xml:space="preserve">E.5.1  </w:t>
      </w:r>
      <w:r>
        <w:rPr>
          <w:rFonts w:ascii="Calibri" w:hAnsi="Calibri" w:eastAsia="Microsoft YaHei"/>
          <w:color w:val="222F36"/>
          <w:sz w:val="21"/>
        </w:rPr>
        <w:t xml:space="preserve">Every proposed classification enters a queue. A human verifier reviews it within twenty-four hours: evidence, convergence, custody, and context.</w:t>
      </w:r>
    </w:p>
    <w:p>
      <w:pPr>
        <w:pStyle w:val="Normal"/>
        <w:ind w:left="560" w:hanging="560"/>
      </w:pPr>
      <w:r>
        <w:rPr>
          <w:rFonts w:ascii="Calibri" w:hAnsi="Calibri" w:eastAsia="Microsoft YaHei"/>
          <w:b/>
          <w:color w:val="1F4E5F"/>
          <w:sz w:val="21"/>
        </w:rPr>
        <w:t xml:space="preserve">E.5.2  </w:t>
      </w:r>
      <w:r>
        <w:rPr>
          <w:rFonts w:ascii="Calibri" w:hAnsi="Calibri" w:eastAsia="Microsoft YaHei"/>
          <w:color w:val="222F36"/>
          <w:sz w:val="21"/>
        </w:rPr>
        <w:t xml:space="preserve">A Breach classification requires two people: the verifier and the Recorder, each signing separately. No single person classifies a Breach.</w:t>
      </w:r>
    </w:p>
    <w:p>
      <w:pPr>
        <w:pStyle w:val="Normal"/>
        <w:ind w:left="560" w:hanging="560"/>
      </w:pPr>
      <w:r>
        <w:rPr>
          <w:rFonts w:ascii="Calibri" w:hAnsi="Calibri" w:eastAsia="Microsoft YaHei"/>
          <w:b/>
          <w:color w:val="1F4E5F"/>
          <w:sz w:val="21"/>
        </w:rPr>
        <w:t xml:space="preserve">E.5.3  </w:t>
      </w:r>
      <w:r>
        <w:rPr>
          <w:rFonts w:ascii="Calibri" w:hAnsi="Calibri" w:eastAsia="Microsoft YaHei"/>
          <w:color w:val="222F36"/>
          <w:sz w:val="21"/>
        </w:rPr>
        <w:t xml:space="preserve">No system action fires on data alone. The one automatic rule of Article 14.10 pauses certifications only, restores them automatically, and never classifies anything.</w:t>
      </w:r>
    </w:p>
    <w:p>
      <w:pPr>
        <w:pStyle w:val="Normal"/>
        <w:ind w:left="560" w:hanging="560"/>
      </w:pPr>
      <w:r>
        <w:rPr>
          <w:rFonts w:ascii="Calibri" w:hAnsi="Calibri" w:eastAsia="Microsoft YaHei"/>
          <w:b/>
          <w:color w:val="1F4E5F"/>
          <w:sz w:val="21"/>
        </w:rPr>
        <w:t xml:space="preserve">E.5.4  </w:t>
      </w:r>
      <w:r>
        <w:rPr>
          <w:rFonts w:ascii="Calibri" w:hAnsi="Calibri" w:eastAsia="Microsoft YaHei"/>
          <w:color w:val="222F36"/>
          <w:sz w:val="21"/>
        </w:rPr>
        <w:t xml:space="preserve">The override log records every gate decision, every override, and every clock. The annual audit reviews the gate itself.</w:t>
      </w:r>
    </w:p>
    <w:p>
      <w:pPr>
        <w:pStyle w:val="Heading3"/>
        <w:keepNext/>
        <w:keepLines/>
      </w:pPr>
      <w:r>
        <w:rPr>
          <w:rFonts w:ascii="Calibri" w:hAnsi="Calibri" w:eastAsia="Microsoft YaHei"/>
          <w:b/>
          <w:color w:val="222F36"/>
          <w:sz w:val="22"/>
        </w:rPr>
        <w:t xml:space="preserve">E.6 The Integrity Cell</w:t>
      </w:r>
    </w:p>
    <w:p>
      <w:pPr>
        <w:pStyle w:val="Normal"/>
        <w:ind w:left="560" w:hanging="560"/>
      </w:pPr>
      <w:r>
        <w:rPr>
          <w:rFonts w:ascii="Calibri" w:hAnsi="Calibri" w:eastAsia="Microsoft YaHei"/>
          <w:b/>
          <w:color w:val="1F4E5F"/>
          <w:sz w:val="21"/>
        </w:rPr>
        <w:t xml:space="preserve">E.6.1  </w:t>
      </w:r>
      <w:r>
        <w:rPr>
          <w:rFonts w:ascii="Calibri" w:hAnsi="Calibri" w:eastAsia="Microsoft YaHei"/>
          <w:color w:val="222F36"/>
          <w:sz w:val="21"/>
        </w:rPr>
        <w:t xml:space="preserve">Mandate. Four specialists attack the system before any adversary does. They plant synthetic tracks, file false test notices, attempt timestamp tampering, attempt mirror corruption, and run social-engineering probes against the staff, all under standing authorization and all logged after the fact.</w:t>
      </w:r>
    </w:p>
    <w:p>
      <w:pPr>
        <w:pStyle w:val="Normal"/>
        <w:ind w:left="560" w:hanging="560"/>
      </w:pPr>
      <w:r>
        <w:rPr>
          <w:rFonts w:ascii="Calibri" w:hAnsi="Calibri" w:eastAsia="Microsoft YaHei"/>
          <w:b/>
          <w:color w:val="1F4E5F"/>
          <w:sz w:val="21"/>
        </w:rPr>
        <w:t xml:space="preserve">E.6.2  </w:t>
      </w:r>
      <w:r>
        <w:rPr>
          <w:rFonts w:ascii="Calibri" w:hAnsi="Calibri" w:eastAsia="Microsoft YaHei"/>
          <w:color w:val="222F36"/>
          <w:sz w:val="21"/>
        </w:rPr>
        <w:t xml:space="preserve">Ethics. A probe never interferes with live traffic, never endangers a vessel, and never touches the humanitarian lane. Every probe carries a pre-registered kill switch held by the Recorder.</w:t>
      </w:r>
    </w:p>
    <w:p>
      <w:pPr>
        <w:pStyle w:val="Normal"/>
        <w:ind w:left="560" w:hanging="560"/>
      </w:pPr>
      <w:r>
        <w:rPr>
          <w:rFonts w:ascii="Calibri" w:hAnsi="Calibri" w:eastAsia="Microsoft YaHei"/>
          <w:b/>
          <w:color w:val="1F4E5F"/>
          <w:sz w:val="21"/>
        </w:rPr>
        <w:t xml:space="preserve">E.6.3  </w:t>
      </w:r>
      <w:r>
        <w:rPr>
          <w:rFonts w:ascii="Calibri" w:hAnsi="Calibri" w:eastAsia="Microsoft YaHei"/>
          <w:color w:val="222F36"/>
          <w:sz w:val="21"/>
        </w:rPr>
        <w:t xml:space="preserve">Reporting. The Cell reports every seventy-two hours for the first thirty days of operation, and weekly thereafter: what it attempted, what succeeded, what failed, and what changes next. Remediations track to closure within fourteen days, and the Council sees the tracker.</w:t>
      </w:r>
    </w:p>
    <w:p>
      <w:pPr>
        <w:pStyle w:val="Normal"/>
        <w:ind w:left="560" w:hanging="560"/>
      </w:pPr>
      <w:r>
        <w:rPr>
          <w:rFonts w:ascii="Calibri" w:hAnsi="Calibri" w:eastAsia="Microsoft YaHei"/>
          <w:b/>
          <w:color w:val="1F4E5F"/>
          <w:sz w:val="21"/>
        </w:rPr>
        <w:t xml:space="preserve">E.6.4  </w:t>
      </w:r>
      <w:r>
        <w:rPr>
          <w:rFonts w:ascii="Calibri" w:hAnsi="Calibri" w:eastAsia="Microsoft YaHei"/>
          <w:color w:val="222F36"/>
          <w:sz w:val="21"/>
        </w:rPr>
        <w:t xml:space="preserve">Independence. Cell members hold no other operational duty, rotate out after two years, and answer to the Recorder alone.</w:t>
      </w:r>
    </w:p>
    <w:p>
      <w:pPr>
        <w:pStyle w:val="Heading3"/>
        <w:keepNext/>
        <w:keepLines/>
      </w:pPr>
      <w:r>
        <w:rPr>
          <w:rFonts w:ascii="Calibri" w:hAnsi="Calibri" w:eastAsia="Microsoft YaHei"/>
          <w:b/>
          <w:color w:val="222F36"/>
          <w:sz w:val="22"/>
        </w:rPr>
        <w:t xml:space="preserve">E.7 Expectation Bands and Recalibration</w:t>
      </w:r>
    </w:p>
    <w:p>
      <w:pPr>
        <w:pStyle w:val="Normal"/>
        <w:ind w:left="560" w:hanging="560"/>
      </w:pPr>
      <w:r>
        <w:rPr>
          <w:rFonts w:ascii="Calibri" w:hAnsi="Calibri" w:eastAsia="Microsoft YaHei"/>
          <w:b/>
          <w:color w:val="1F4E5F"/>
          <w:sz w:val="21"/>
        </w:rPr>
        <w:t xml:space="preserve">E.7.1  </w:t>
      </w:r>
      <w:r>
        <w:rPr>
          <w:rFonts w:ascii="Calibri" w:hAnsi="Calibri" w:eastAsia="Microsoft YaHei"/>
          <w:color w:val="222F36"/>
          <w:sz w:val="21"/>
        </w:rPr>
        <w:t xml:space="preserve">The Office publishes seasonal bands for traffic volume by category, notice lead time, acknowledgment latency, and advisory count. The bands describe what normal looks like, so that departure from normal becomes visible early and cheaply.</w:t>
      </w:r>
    </w:p>
    <w:p>
      <w:pPr>
        <w:pStyle w:val="Normal"/>
        <w:ind w:left="560" w:hanging="560"/>
      </w:pPr>
      <w:r>
        <w:rPr>
          <w:rFonts w:ascii="Calibri" w:hAnsi="Calibri" w:eastAsia="Microsoft YaHei"/>
          <w:b/>
          <w:color w:val="1F4E5F"/>
          <w:sz w:val="21"/>
        </w:rPr>
        <w:t xml:space="preserve">E.7.2  </w:t>
      </w:r>
      <w:r>
        <w:rPr>
          <w:rFonts w:ascii="Calibri" w:hAnsi="Calibri" w:eastAsia="Microsoft YaHei"/>
          <w:color w:val="222F36"/>
          <w:sz w:val="21"/>
        </w:rPr>
        <w:t xml:space="preserve">A reading outside a band opens a recalibration dialogue: a technical call within seventy-two hours, a joint note of causes, and a band review at the quarter. The dialogue opens no penalty, and a persistent departure feeds the Three-Signal Rule as one signal at most (Article 14.6).</w:t>
      </w:r>
    </w:p>
    <w:p>
      <w:pPr>
        <w:pStyle w:val="Normal"/>
        <w:ind w:left="560" w:hanging="560"/>
      </w:pPr>
      <w:r>
        <w:rPr>
          <w:rFonts w:ascii="Calibri" w:hAnsi="Calibri" w:eastAsia="Microsoft YaHei"/>
          <w:b/>
          <w:color w:val="1F4E5F"/>
          <w:sz w:val="21"/>
        </w:rPr>
        <w:t xml:space="preserve">E.7.3  </w:t>
      </w:r>
      <w:r>
        <w:rPr>
          <w:rFonts w:ascii="Calibri" w:hAnsi="Calibri" w:eastAsia="Microsoft YaHei"/>
          <w:color w:val="222F36"/>
          <w:sz w:val="21"/>
        </w:rPr>
        <w:t xml:space="preserve">The bands adjust at the Annual Refit, on the evidence of the year, and never retroactively.</w:t>
      </w:r>
    </w:p>
    <w:p>
      <w:pPr>
        <w:pStyle w:val="Heading3"/>
        <w:keepNext/>
        <w:keepLines/>
      </w:pPr>
      <w:r>
        <w:rPr>
          <w:rFonts w:ascii="Calibri" w:hAnsi="Calibri" w:eastAsia="Microsoft YaHei"/>
          <w:b/>
          <w:color w:val="222F36"/>
          <w:sz w:val="22"/>
        </w:rPr>
        <w:t xml:space="preserve">E.8 Adversarial Claim Review</w:t>
      </w:r>
    </w:p>
    <w:p>
      <w:pPr>
        <w:pStyle w:val="Normal"/>
        <w:ind w:left="560" w:hanging="560"/>
      </w:pPr>
      <w:r>
        <w:rPr>
          <w:rFonts w:ascii="Calibri" w:hAnsi="Calibri" w:eastAsia="Microsoft YaHei"/>
          <w:b/>
          <w:color w:val="1F4E5F"/>
          <w:sz w:val="21"/>
        </w:rPr>
        <w:t xml:space="preserve">E.8.1  </w:t>
      </w:r>
      <w:r>
        <w:rPr>
          <w:rFonts w:ascii="Calibri" w:hAnsi="Calibri" w:eastAsia="Microsoft YaHei"/>
          <w:color w:val="222F36"/>
          <w:sz w:val="21"/>
        </w:rPr>
        <w:t xml:space="preserve">A participant disputes a finding by filing counter-evidence within forty-eight hours of the finding. The filing names the contested signal and the claimed defect: source, sensor, custody, or interpretation.</w:t>
      </w:r>
    </w:p>
    <w:p>
      <w:pPr>
        <w:pStyle w:val="Normal"/>
        <w:ind w:left="560" w:hanging="560"/>
      </w:pPr>
      <w:r>
        <w:rPr>
          <w:rFonts w:ascii="Calibri" w:hAnsi="Calibri" w:eastAsia="Microsoft YaHei"/>
          <w:b/>
          <w:color w:val="1F4E5F"/>
          <w:sz w:val="21"/>
        </w:rPr>
        <w:t xml:space="preserve">E.8.2  </w:t>
      </w:r>
      <w:r>
        <w:rPr>
          <w:rFonts w:ascii="Calibri" w:hAnsi="Calibri" w:eastAsia="Microsoft YaHei"/>
          <w:color w:val="222F36"/>
          <w:sz w:val="21"/>
        </w:rPr>
        <w:t xml:space="preserve">A verifier who took no part in the original classification reviews the claim, and the Recorder rules within seventy-two hours. A successful claim corrects the record and deletes the classification; an unsuccessful claim stands attached to the finding, preserved in full.</w:t>
      </w:r>
    </w:p>
    <w:p>
      <w:pPr>
        <w:pStyle w:val="Normal"/>
        <w:ind w:left="560" w:hanging="560"/>
      </w:pPr>
      <w:r>
        <w:rPr>
          <w:rFonts w:ascii="Calibri" w:hAnsi="Calibri" w:eastAsia="Microsoft YaHei"/>
          <w:b/>
          <w:color w:val="1F4E5F"/>
          <w:sz w:val="21"/>
        </w:rPr>
        <w:t xml:space="preserve">E.8.3  </w:t>
      </w:r>
      <w:r>
        <w:rPr>
          <w:rFonts w:ascii="Calibri" w:hAnsi="Calibri" w:eastAsia="Microsoft YaHei"/>
          <w:color w:val="222F36"/>
          <w:sz w:val="21"/>
        </w:rPr>
        <w:t xml:space="preserve">The review runs on documents. No hearings, no advocacy, no theater.</w:t>
      </w:r>
    </w:p>
    <w:p>
      <w:pPr>
        <w:pStyle w:val="Heading3"/>
        <w:keepNext/>
        <w:keepLines/>
      </w:pPr>
      <w:r>
        <w:rPr>
          <w:rFonts w:ascii="Calibri" w:hAnsi="Calibri" w:eastAsia="Microsoft YaHei"/>
          <w:b/>
          <w:color w:val="222F36"/>
          <w:sz w:val="22"/>
        </w:rPr>
        <w:t xml:space="preserve">E.9 Data Sovereignty: Implementation</w:t>
      </w:r>
    </w:p>
    <w:p>
      <w:pPr>
        <w:pStyle w:val="Normal"/>
        <w:ind w:left="560" w:hanging="560"/>
      </w:pPr>
      <w:r>
        <w:rPr>
          <w:rFonts w:ascii="Calibri" w:hAnsi="Calibri" w:eastAsia="Microsoft YaHei"/>
          <w:b/>
          <w:color w:val="1F4E5F"/>
          <w:sz w:val="21"/>
        </w:rPr>
        <w:t xml:space="preserve">E.9.1  </w:t>
      </w:r>
      <w:r>
        <w:rPr>
          <w:rFonts w:ascii="Calibri" w:hAnsi="Calibri" w:eastAsia="Microsoft YaHei"/>
          <w:color w:val="222F36"/>
          <w:sz w:val="21"/>
        </w:rPr>
        <w:t xml:space="preserve">Access tiers. Parties and guarantors read the full record. Observers read the summary tier: the Tide Report, quarterly accounts, and published findings. The public reads the Tide Report and the annual audit summary.</w:t>
      </w:r>
    </w:p>
    <w:p>
      <w:pPr>
        <w:pStyle w:val="Normal"/>
        <w:ind w:left="560" w:hanging="560"/>
      </w:pPr>
      <w:r>
        <w:rPr>
          <w:rFonts w:ascii="Calibri" w:hAnsi="Calibri" w:eastAsia="Microsoft YaHei"/>
          <w:b/>
          <w:color w:val="1F4E5F"/>
          <w:sz w:val="21"/>
        </w:rPr>
        <w:t xml:space="preserve">E.9.2  </w:t>
      </w:r>
      <w:r>
        <w:rPr>
          <w:rFonts w:ascii="Calibri" w:hAnsi="Calibri" w:eastAsia="Microsoft YaHei"/>
          <w:color w:val="222F36"/>
          <w:sz w:val="21"/>
        </w:rPr>
        <w:t xml:space="preserve">Every session carries a user watermark, visible and forensic, and the access log records every read. Leak response: the Office reports the leak within seventy-two hours, suspends the implicated access pending review, and classifies the violation under Article 15 where the evidence supports it.</w:t>
      </w:r>
    </w:p>
    <w:p>
      <w:pPr>
        <w:pStyle w:val="Normal"/>
        <w:ind w:left="560" w:hanging="560"/>
      </w:pPr>
      <w:r>
        <w:rPr>
          <w:rFonts w:ascii="Calibri" w:hAnsi="Calibri" w:eastAsia="Microsoft YaHei"/>
          <w:b/>
          <w:color w:val="1F4E5F"/>
          <w:sz w:val="21"/>
        </w:rPr>
        <w:t xml:space="preserve">E.9.3  </w:t>
      </w:r>
      <w:r>
        <w:rPr>
          <w:rFonts w:ascii="Calibri" w:hAnsi="Calibri" w:eastAsia="Microsoft YaHei"/>
          <w:color w:val="222F36"/>
          <w:sz w:val="21"/>
        </w:rPr>
        <w:t xml:space="preserve">The prohibited uses of Article 14.8 bind every participant and every staff member, survive departure, and attach to derived products as to raw data.</w:t>
      </w:r>
    </w:p>
    <w:p>
      <w:pPr>
        <w:pStyle w:val="Heading3"/>
        <w:keepNext/>
        <w:keepLines/>
      </w:pPr>
      <w:r>
        <w:rPr>
          <w:rFonts w:ascii="Calibri" w:hAnsi="Calibri" w:eastAsia="Microsoft YaHei"/>
          <w:b/>
          <w:color w:val="222F36"/>
          <w:sz w:val="22"/>
        </w:rPr>
        <w:t xml:space="preserve">E.10 The One Automatic Rule: Mechanics</w:t>
      </w:r>
    </w:p>
    <w:p>
      <w:pPr>
        <w:pStyle w:val="Normal"/>
        <w:ind w:left="560" w:hanging="560"/>
      </w:pPr>
      <w:r>
        <w:rPr>
          <w:rFonts w:ascii="Calibri" w:hAnsi="Calibri" w:eastAsia="Microsoft YaHei"/>
          <w:b/>
          <w:color w:val="1F4E5F"/>
          <w:sz w:val="21"/>
        </w:rPr>
        <w:t xml:space="preserve">E.10.1  </w:t>
      </w:r>
      <w:r>
        <w:rPr>
          <w:rFonts w:ascii="Calibri" w:hAnsi="Calibri" w:eastAsia="Microsoft YaHei"/>
          <w:color w:val="222F36"/>
          <w:sz w:val="21"/>
        </w:rPr>
        <w:t xml:space="preserve">Detection. The mirror monitor and the feed monitor watch each other. A simultaneous darkness of the watch picture and the Concordance feeds starts a certified clock.</w:t>
      </w:r>
    </w:p>
    <w:p>
      <w:pPr>
        <w:pStyle w:val="Normal"/>
        <w:ind w:left="560" w:hanging="560"/>
      </w:pPr>
      <w:r>
        <w:rPr>
          <w:rFonts w:ascii="Calibri" w:hAnsi="Calibri" w:eastAsia="Microsoft YaHei"/>
          <w:b/>
          <w:color w:val="1F4E5F"/>
          <w:sz w:val="21"/>
        </w:rPr>
        <w:t xml:space="preserve">E.10.2  </w:t>
      </w:r>
      <w:r>
        <w:rPr>
          <w:rFonts w:ascii="Calibri" w:hAnsi="Calibri" w:eastAsia="Microsoft YaHei"/>
          <w:color w:val="222F36"/>
          <w:sz w:val="21"/>
        </w:rPr>
        <w:t xml:space="preserve">Pause. At forty-eight hours of darkness without certified cause, discretionary certifications pause: earn-back certifications, rate certifications, and geometry notations. Nothing else pauses. The fairways stay open; the Watch, in fallback if needed, keeps watch; the humanitarian lane keeps moving.</w:t>
      </w:r>
    </w:p>
    <w:p>
      <w:pPr>
        <w:pStyle w:val="Normal"/>
        <w:ind w:left="560" w:hanging="560"/>
      </w:pPr>
      <w:r>
        <w:rPr>
          <w:rFonts w:ascii="Calibri" w:hAnsi="Calibri" w:eastAsia="Microsoft YaHei"/>
          <w:b/>
          <w:color w:val="1F4E5F"/>
          <w:sz w:val="21"/>
        </w:rPr>
        <w:t xml:space="preserve">E.10.3  </w:t>
      </w:r>
      <w:r>
        <w:rPr>
          <w:rFonts w:ascii="Calibri" w:hAnsi="Calibri" w:eastAsia="Microsoft YaHei"/>
          <w:color w:val="222F36"/>
          <w:sz w:val="21"/>
        </w:rPr>
        <w:t xml:space="preserve">Resumption. On restoration, the Office verifies continuity of the record across the gap, certifies the result, and the pause lifts automatically. The five days preceding the darkness receive a lookback review, and the whole event enters the record and the Tide Report.</w:t>
      </w:r>
    </w:p>
    <w:p>
      <w:pPr>
        <w:pStyle w:val="Heading3"/>
        <w:keepNext/>
        <w:keepLines/>
      </w:pPr>
      <w:r>
        <w:rPr>
          <w:rFonts w:ascii="Calibri" w:hAnsi="Calibri" w:eastAsia="Microsoft YaHei"/>
          <w:b/>
          <w:color w:val="222F36"/>
          <w:sz w:val="22"/>
        </w:rPr>
        <w:t xml:space="preserve">E.11 The Annual Verification Audit</w:t>
      </w:r>
    </w:p>
    <w:p>
      <w:pPr>
        <w:pStyle w:val="Normal"/>
      </w:pPr>
      <w:r>
        <w:rPr>
          <w:rFonts w:ascii="Calibri" w:hAnsi="Calibri" w:eastAsia="Microsoft YaHei"/>
          <w:color w:val="222F36"/>
          <w:sz w:val="21"/>
        </w:rPr>
        <w:t xml:space="preserve">An external auditor appointed by the Record Guarantor, with an observer nominated by the International Maritime Organization, audits the verification system each year: the gate, the convergence practice, the custody chains, the Cell’s probe log, the watermark regime, and the clocks of the dispute ladder. The audit publishes in summary and files in full with the Council and the Circle.</w:t>
      </w:r>
    </w:p>
    <w:p>
      <w:pPr>
        <w:pStyle w:val="Heading3"/>
        <w:keepNext/>
        <w:keepLines/>
      </w:pPr>
      <w:r>
        <w:rPr>
          <w:rFonts w:ascii="Calibri" w:hAnsi="Calibri" w:eastAsia="Microsoft YaHei"/>
          <w:b/>
          <w:color w:val="222F36"/>
          <w:sz w:val="22"/>
        </w:rPr>
        <w:t xml:space="preserve">E.12 The Geneva Records Desk</w:t>
      </w:r>
    </w:p>
    <w:p>
      <w:pPr>
        <w:pStyle w:val="Normal"/>
        <w:ind w:left="560" w:hanging="560"/>
      </w:pPr>
      <w:r>
        <w:rPr>
          <w:rFonts w:ascii="Calibri" w:hAnsi="Calibri" w:eastAsia="Microsoft YaHei"/>
          <w:b/>
          <w:color w:val="1F4E5F"/>
          <w:sz w:val="21"/>
        </w:rPr>
        <w:t xml:space="preserve">E.12.1  </w:t>
      </w:r>
      <w:r>
        <w:rPr>
          <w:rFonts w:ascii="Calibri" w:hAnsi="Calibri" w:eastAsia="Microsoft YaHei"/>
          <w:color w:val="222F36"/>
          <w:sz w:val="21"/>
        </w:rPr>
        <w:t xml:space="preserve">The Geneva records desk issues certified extracts to participants: single entries, feed segments, and audit trails, each under dual-key certification, each watermarked to the requester, each logged. A request closes within five working days.</w:t>
      </w:r>
    </w:p>
    <w:p>
      <w:pPr>
        <w:pStyle w:val="Normal"/>
        <w:ind w:left="560" w:hanging="560"/>
      </w:pPr>
      <w:r>
        <w:rPr>
          <w:rFonts w:ascii="Calibri" w:hAnsi="Calibri" w:eastAsia="Microsoft YaHei"/>
          <w:b/>
          <w:color w:val="1F4E5F"/>
          <w:sz w:val="21"/>
        </w:rPr>
        <w:t xml:space="preserve">E.12.2  </w:t>
      </w:r>
      <w:r>
        <w:rPr>
          <w:rFonts w:ascii="Calibri" w:hAnsi="Calibri" w:eastAsia="Microsoft YaHei"/>
          <w:color w:val="222F36"/>
          <w:sz w:val="21"/>
        </w:rPr>
        <w:t xml:space="preserve">An extract serves the system: it supports review, reconciliation, and the ladder. The prohibited uses of Article 14.8 attach to every extract as to the record itself, and the desk refuses any request that resists watermarking.</w:t>
      </w:r>
    </w:p>
    <w:p>
      <w:pPr>
        <w:pStyle w:val="Heading1"/>
        <w:keepNext/>
        <w:keepLines/>
        <w:pageBreakBefore/>
      </w:pPr>
      <w:r>
        <w:rPr>
          <w:rFonts w:ascii="Calibri" w:hAnsi="Calibri" w:eastAsia="Microsoft YaHei"/>
          <w:b/>
          <w:color w:val="1F4E5F"/>
          <w:sz w:val="34"/>
        </w:rPr>
        <w:t xml:space="preserve">Annex F: The Compliance Schedule</w:t>
      </w:r>
    </w:p>
    <w:p>
      <w:pPr>
        <w:pStyle w:val="Normal"/>
      </w:pPr>
      <w:r>
        <w:rPr>
          <w:rFonts w:ascii="Calibri" w:hAnsi="Calibri" w:eastAsia="Microsoft YaHei"/>
          <w:color w:val="222F36"/>
          <w:sz w:val="21"/>
        </w:rPr>
        <w:t xml:space="preserve">This annex gives the compliance engine its thresholds, its ladder, and its restore path. The design follows one rule: consequences stay narrow, arrive slowly, and leave quickly when performance returns.</w:t>
      </w:r>
    </w:p>
    <w:p>
      <w:pPr>
        <w:pStyle w:val="Heading3"/>
        <w:keepNext/>
        <w:keepLines/>
      </w:pPr>
      <w:r>
        <w:rPr>
          <w:rFonts w:ascii="Calibri" w:hAnsi="Calibri" w:eastAsia="Microsoft YaHei"/>
          <w:b/>
          <w:color w:val="222F36"/>
          <w:sz w:val="22"/>
        </w:rPr>
        <w:t xml:space="preserve">F.1 Classification Thresholds</w:t>
      </w:r>
    </w:p>
    <w:tbl>
      <w:tblPr>
        <w:tblW w:w="9306" w:type="dxa"/>
        <w:tblBorders>
          <w:top w:val="single" w:color="AEC4C1" w:sz="6"/>
          <w:left w:val="single" w:color="AEC4C1" w:sz="6"/>
          <w:bottom w:val="single" w:color="AEC4C1" w:sz="6"/>
          <w:right w:val="single" w:color="AEC4C1" w:sz="6"/>
          <w:insideH w:val="single" w:color="AEC4C1" w:sz="4"/>
          <w:insideV w:val="single" w:color="AEC4C1" w:sz="4"/>
        </w:tblBorders>
      </w:tblPr>
      <w:tblGrid>
        <w:gridCol w:w="1300"/>
        <w:gridCol w:w="2900"/>
        <w:gridCol w:w="2653"/>
        <w:gridCol w:w="2453"/>
      </w:tblGrid>
      <w:tr>
        <w:trPr>
          <w:cantSplit/>
          <w:tblHeader/>
        </w:trPr>
        <w:tc>
          <w:tcPr>
            <w:tcW w:w="13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Class</w:t>
            </w:r>
          </w:p>
        </w:tc>
        <w:tc>
          <w:tcPr>
            <w:tcW w:w="29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Test</w:t>
            </w:r>
          </w:p>
        </w:tc>
        <w:tc>
          <w:tcPr>
            <w:tcW w:w="2653"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Maritime examples</w:t>
            </w:r>
          </w:p>
        </w:tc>
        <w:tc>
          <w:tcPr>
            <w:tcW w:w="2453"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Response</w:t>
            </w:r>
          </w:p>
        </w:tc>
      </w:tr>
      <w:tr>
        <w:trPr>
          <w:cantSplit/>
        </w:trPr>
        <w:tc>
          <w:tcPr>
            <w:tcW w:w="1300" w:type="dxa"/>
            <w:tcMar>
              <w:top w:w="50" w:type="dxa"/>
              <w:left w:w="100" w:type="dxa"/>
              <w:bottom w:w="50" w:type="dxa"/>
              <w:right w:w="100" w:type="dxa"/>
            </w:tcMar>
          </w:tcPr>
          <w:p>
            <w:pPr>
              <w:pStyle w:val="TableText"/>
            </w:pPr>
            <w:r>
              <w:rPr>
                <w:rFonts w:ascii="Calibri" w:hAnsi="Calibri" w:eastAsia="Microsoft YaHei"/>
                <w:color w:val="222F36"/>
                <w:sz w:val="20"/>
              </w:rPr>
              <w:t xml:space="preserve">Drift</w:t>
            </w:r>
          </w:p>
        </w:tc>
        <w:tc>
          <w:tcPr>
            <w:tcW w:w="2900" w:type="dxa"/>
            <w:tcMar>
              <w:top w:w="50" w:type="dxa"/>
              <w:left w:w="100" w:type="dxa"/>
              <w:bottom w:w="50" w:type="dxa"/>
              <w:right w:w="100" w:type="dxa"/>
            </w:tcMar>
          </w:tcPr>
          <w:p>
            <w:pPr>
              <w:pStyle w:val="TableText"/>
            </w:pPr>
            <w:r>
              <w:rPr>
                <w:rFonts w:ascii="Calibri" w:hAnsi="Calibri" w:eastAsia="Microsoft YaHei"/>
                <w:color w:val="222F36"/>
                <w:sz w:val="20"/>
              </w:rPr>
              <w:t xml:space="preserve">Technical, isolated, no material effect; curable within 72 hours</w:t>
            </w:r>
          </w:p>
        </w:tc>
        <w:tc>
          <w:tcPr>
            <w:tcW w:w="2653" w:type="dxa"/>
            <w:tcMar>
              <w:top w:w="50" w:type="dxa"/>
              <w:left w:w="100" w:type="dxa"/>
              <w:bottom w:w="50" w:type="dxa"/>
              <w:right w:w="100" w:type="dxa"/>
            </w:tcMar>
          </w:tcPr>
          <w:p>
            <w:pPr>
              <w:pStyle w:val="TableText"/>
            </w:pPr>
            <w:r>
              <w:rPr>
                <w:rFonts w:ascii="Calibri" w:hAnsi="Calibri" w:eastAsia="Microsoft YaHei"/>
                <w:color w:val="222F36"/>
                <w:sz w:val="20"/>
              </w:rPr>
              <w:t xml:space="preserve">A single late acknowledgment beyond thirty minutes; a single advisory error corrected within the hour; a notice field error cured on refiling; one latency excursion outside the band</w:t>
            </w:r>
          </w:p>
        </w:tc>
        <w:tc>
          <w:tcPr>
            <w:tcW w:w="2453" w:type="dxa"/>
            <w:tcMar>
              <w:top w:w="50" w:type="dxa"/>
              <w:left w:w="100" w:type="dxa"/>
              <w:bottom w:w="50" w:type="dxa"/>
              <w:right w:w="100" w:type="dxa"/>
            </w:tcMar>
          </w:tcPr>
          <w:p>
            <w:pPr>
              <w:pStyle w:val="TableText"/>
            </w:pPr>
            <w:r>
              <w:rPr>
                <w:rFonts w:ascii="Calibri" w:hAnsi="Calibri" w:eastAsia="Microsoft YaHei"/>
                <w:color w:val="222F36"/>
                <w:sz w:val="20"/>
              </w:rPr>
              <w:t xml:space="preserve">Cure and record entry; closes with no stain</w:t>
            </w:r>
          </w:p>
        </w:tc>
      </w:tr>
      <w:tr>
        <w:trPr>
          <w:cantSplit/>
        </w:trPr>
        <w:tc>
          <w:tcPr>
            <w:tcW w:w="13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Strain</w:t>
            </w:r>
          </w:p>
        </w:tc>
        <w:tc>
          <w:tcPr>
            <w:tcW w:w="29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Material: a pattern, a repetition, or a material effect on safety, openness, or the record</w:t>
            </w:r>
          </w:p>
        </w:tc>
        <w:tc>
          <w:tcPr>
            <w:tcW w:w="2653"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Acknowledgment failures touching three or more vessels in seven days; two materially wrong advisories in thirty days; latency outside the band for fourteen consecutive days; unsupported reimbursement claims twice in a quarter; repeated custody failures in evidence</w:t>
            </w:r>
          </w:p>
        </w:tc>
        <w:tc>
          <w:tcPr>
            <w:tcW w:w="2453"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Forty-eight-hour joint review, then Step S1; earn-back in seven clean days</w:t>
            </w:r>
          </w:p>
        </w:tc>
      </w:tr>
      <w:tr>
        <w:trPr>
          <w:cantSplit/>
        </w:trPr>
        <w:tc>
          <w:tcPr>
            <w:tcW w:w="1300" w:type="dxa"/>
            <w:tcMar>
              <w:top w:w="50" w:type="dxa"/>
              <w:left w:w="100" w:type="dxa"/>
              <w:bottom w:w="50" w:type="dxa"/>
              <w:right w:w="100" w:type="dxa"/>
            </w:tcMar>
          </w:tcPr>
          <w:p>
            <w:pPr>
              <w:pStyle w:val="TableText"/>
            </w:pPr>
            <w:r>
              <w:rPr>
                <w:rFonts w:ascii="Calibri" w:hAnsi="Calibri" w:eastAsia="Microsoft YaHei"/>
                <w:color w:val="222F36"/>
                <w:sz w:val="20"/>
              </w:rPr>
              <w:t xml:space="preserve">Breach</w:t>
            </w:r>
          </w:p>
        </w:tc>
        <w:tc>
          <w:tcPr>
            <w:tcW w:w="2900" w:type="dxa"/>
            <w:tcMar>
              <w:top w:w="50" w:type="dxa"/>
              <w:left w:w="100" w:type="dxa"/>
              <w:bottom w:w="50" w:type="dxa"/>
              <w:right w:w="100" w:type="dxa"/>
            </w:tcMar>
          </w:tcPr>
          <w:p>
            <w:pPr>
              <w:pStyle w:val="TableText"/>
            </w:pPr>
            <w:r>
              <w:rPr>
                <w:rFonts w:ascii="Calibri" w:hAnsi="Calibri" w:eastAsia="Microsoft YaHei"/>
                <w:color w:val="222F36"/>
                <w:sz w:val="20"/>
              </w:rPr>
              <w:t xml:space="preserve">Deliberate: intent plus materiality plus refusal to cure</w:t>
            </w:r>
          </w:p>
        </w:tc>
        <w:tc>
          <w:tcPr>
            <w:tcW w:w="2653" w:type="dxa"/>
            <w:tcMar>
              <w:top w:w="50" w:type="dxa"/>
              <w:left w:w="100" w:type="dxa"/>
              <w:bottom w:w="50" w:type="dxa"/>
              <w:right w:w="100" w:type="dxa"/>
            </w:tcMar>
          </w:tcPr>
          <w:p>
            <w:pPr>
              <w:pStyle w:val="TableText"/>
            </w:pPr>
            <w:r>
              <w:rPr>
                <w:rFonts w:ascii="Calibri" w:hAnsi="Calibri" w:eastAsia="Microsoft YaHei"/>
                <w:color w:val="222F36"/>
                <w:sz w:val="20"/>
              </w:rPr>
              <w:t xml:space="preserve">Deliberate conditioning or obstruction of passage; systematic notice interference; falsification of the record; use of Compact data or assets for a prohibited purpose</w:t>
            </w:r>
          </w:p>
        </w:tc>
        <w:tc>
          <w:tcPr>
            <w:tcW w:w="2453" w:type="dxa"/>
            <w:tcMar>
              <w:top w:w="50" w:type="dxa"/>
              <w:left w:w="100" w:type="dxa"/>
              <w:bottom w:w="50" w:type="dxa"/>
              <w:right w:w="100" w:type="dxa"/>
            </w:tcMar>
          </w:tcPr>
          <w:p>
            <w:pPr>
              <w:pStyle w:val="TableText"/>
            </w:pPr>
            <w:r>
              <w:rPr>
                <w:rFonts w:ascii="Calibri" w:hAnsi="Calibri" w:eastAsia="Microsoft YaHei"/>
                <w:color w:val="222F36"/>
                <w:sz w:val="20"/>
              </w:rPr>
              <w:t xml:space="preserve">Forty-eight-hour joint review, then Step S3; earn-back in thirty clean days with Circle confirmation</w:t>
            </w:r>
          </w:p>
        </w:tc>
      </w:tr>
    </w:tbl>
    <w:p>
      <w:pPr>
        <w:spacing w:before="0" w:after="140"/>
      </w:pPr>
      <w:r>
        <w:rPr>
          <w:sz w:val="8"/>
        </w:rPr>
        <w:t/>
      </w:r>
    </w:p>
    <w:p>
      <w:pPr>
        <w:pStyle w:val="Normal"/>
      </w:pPr>
      <w:r>
        <w:rPr>
          <w:rFonts w:ascii="Calibri" w:hAnsi="Calibri" w:eastAsia="Microsoft YaHei"/>
          <w:color w:val="222F36"/>
          <w:sz w:val="21"/>
        </w:rPr>
        <w:t xml:space="preserve">Classification always rests on a three-signal finding and always passes the Human Gate (Articles 14.2 and 14.3). A finding that crosses a Boundary Line also triggers the Protection Covenant of Article 18.4, and the covenant acts first.</w:t>
      </w:r>
    </w:p>
    <w:p>
      <w:pPr>
        <w:pStyle w:val="Heading3"/>
        <w:keepNext/>
        <w:keepLines/>
      </w:pPr>
      <w:r>
        <w:rPr>
          <w:rFonts w:ascii="Calibri" w:hAnsi="Calibri" w:eastAsia="Microsoft YaHei"/>
          <w:b/>
          <w:color w:val="222F36"/>
          <w:sz w:val="22"/>
        </w:rPr>
        <w:t xml:space="preserve">F.2 Classification Procedure</w:t>
      </w:r>
    </w:p>
    <w:p>
      <w:pPr>
        <w:pStyle w:val="Normal"/>
        <w:ind w:left="560" w:hanging="560"/>
      </w:pPr>
      <w:r>
        <w:rPr>
          <w:rFonts w:ascii="Calibri" w:hAnsi="Calibri" w:eastAsia="Microsoft YaHei"/>
          <w:b/>
          <w:color w:val="1F4E5F"/>
          <w:sz w:val="21"/>
        </w:rPr>
        <w:t xml:space="preserve">F.2.1  </w:t>
      </w:r>
      <w:r>
        <w:rPr>
          <w:rFonts w:ascii="Calibri" w:hAnsi="Calibri" w:eastAsia="Microsoft YaHei"/>
          <w:color w:val="222F36"/>
          <w:sz w:val="21"/>
        </w:rPr>
        <w:t xml:space="preserve">Finding. The Office establishes the three-signal finding and opens the classification review.</w:t>
      </w:r>
    </w:p>
    <w:p>
      <w:pPr>
        <w:pStyle w:val="Normal"/>
        <w:ind w:left="560" w:hanging="560"/>
      </w:pPr>
      <w:r>
        <w:rPr>
          <w:rFonts w:ascii="Calibri" w:hAnsi="Calibri" w:eastAsia="Microsoft YaHei"/>
          <w:b/>
          <w:color w:val="1F4E5F"/>
          <w:sz w:val="21"/>
        </w:rPr>
        <w:t xml:space="preserve">F.2.2  </w:t>
      </w:r>
      <w:r>
        <w:rPr>
          <w:rFonts w:ascii="Calibri" w:hAnsi="Calibri" w:eastAsia="Microsoft YaHei"/>
          <w:color w:val="222F36"/>
          <w:sz w:val="21"/>
        </w:rPr>
        <w:t xml:space="preserve">Notice. The Office issues a written classification notice to the affected Party: the finding, the evidence summary, the proposed class, and the proposed step. The notice enters the Concordance in full.</w:t>
      </w:r>
    </w:p>
    <w:p>
      <w:pPr>
        <w:pStyle w:val="Normal"/>
        <w:ind w:left="560" w:hanging="560"/>
      </w:pPr>
      <w:r>
        <w:rPr>
          <w:rFonts w:ascii="Calibri" w:hAnsi="Calibri" w:eastAsia="Microsoft YaHei"/>
          <w:b/>
          <w:color w:val="1F4E5F"/>
          <w:sz w:val="21"/>
        </w:rPr>
        <w:t xml:space="preserve">F.2.3  </w:t>
      </w:r>
      <w:r>
        <w:rPr>
          <w:rFonts w:ascii="Calibri" w:hAnsi="Calibri" w:eastAsia="Microsoft YaHei"/>
          <w:color w:val="222F36"/>
          <w:sz w:val="21"/>
        </w:rPr>
        <w:t xml:space="preserve">Joint review. The affected Party holds forty-eight hours of joint review with the Recorder and a guarantor observer (Article 15.2). The review examines evidence, context, and cure. Cure within the review closes a Drift and downgrades a proposed Strain where the material effect has ended.</w:t>
      </w:r>
    </w:p>
    <w:p>
      <w:pPr>
        <w:pStyle w:val="Normal"/>
        <w:ind w:left="560" w:hanging="560"/>
      </w:pPr>
      <w:r>
        <w:rPr>
          <w:rFonts w:ascii="Calibri" w:hAnsi="Calibri" w:eastAsia="Microsoft YaHei"/>
          <w:b/>
          <w:color w:val="1F4E5F"/>
          <w:sz w:val="21"/>
        </w:rPr>
        <w:t xml:space="preserve">F.2.4  </w:t>
      </w:r>
      <w:r>
        <w:rPr>
          <w:rFonts w:ascii="Calibri" w:hAnsi="Calibri" w:eastAsia="Microsoft YaHei"/>
          <w:color w:val="222F36"/>
          <w:sz w:val="21"/>
        </w:rPr>
        <w:t xml:space="preserve">Effect. The classification takes effect at the end of the joint review, and the step activates on the stated clock. The adversarial claim review of Article 14.7 remains open in parallel; a successful claim unwinds the classification and the step together.</w:t>
      </w:r>
    </w:p>
    <w:p>
      <w:pPr>
        <w:pStyle w:val="Heading3"/>
        <w:keepNext/>
        <w:keepLines/>
      </w:pPr>
      <w:r>
        <w:rPr>
          <w:rFonts w:ascii="Calibri" w:hAnsi="Calibri" w:eastAsia="Microsoft YaHei"/>
          <w:b/>
          <w:color w:val="222F36"/>
          <w:sz w:val="22"/>
        </w:rPr>
        <w:t xml:space="preserve">F.3 The Modules</w:t>
      </w:r>
    </w:p>
    <w:p>
      <w:pPr>
        <w:pStyle w:val="Normal"/>
      </w:pPr>
      <w:r>
        <w:rPr>
          <w:rFonts w:ascii="Calibri" w:hAnsi="Calibri" w:eastAsia="Microsoft YaHei"/>
          <w:color w:val="222F36"/>
          <w:sz w:val="21"/>
        </w:rPr>
        <w:t xml:space="preserve">Consequences attach to modules, never to the whole system. The core module never suspends.</w:t>
      </w:r>
    </w:p>
    <w:tbl>
      <w:tblPr>
        <w:tblW w:w="9306" w:type="dxa"/>
        <w:tblBorders>
          <w:top w:val="single" w:color="AEC4C1" w:sz="6"/>
          <w:left w:val="single" w:color="AEC4C1" w:sz="6"/>
          <w:bottom w:val="single" w:color="AEC4C1" w:sz="6"/>
          <w:right w:val="single" w:color="AEC4C1" w:sz="6"/>
          <w:insideH w:val="single" w:color="AEC4C1" w:sz="4"/>
          <w:insideV w:val="single" w:color="AEC4C1" w:sz="4"/>
        </w:tblBorders>
      </w:tblPr>
      <w:tblGrid>
        <w:gridCol w:w="1500"/>
        <w:gridCol w:w="4300"/>
        <w:gridCol w:w="3506"/>
      </w:tblGrid>
      <w:tr>
        <w:trPr>
          <w:cantSplit/>
          <w:tblHeader/>
        </w:trPr>
        <w:tc>
          <w:tcPr>
            <w:tcW w:w="15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Module</w:t>
            </w:r>
          </w:p>
        </w:tc>
        <w:tc>
          <w:tcPr>
            <w:tcW w:w="43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Contents</w:t>
            </w:r>
          </w:p>
        </w:tc>
        <w:tc>
          <w:tcPr>
            <w:tcW w:w="3506"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Status</w:t>
            </w:r>
          </w:p>
        </w:tc>
      </w:tr>
      <w:tr>
        <w:trPr>
          <w:cantSplit/>
        </w:trPr>
        <w:tc>
          <w:tcPr>
            <w:tcW w:w="1500" w:type="dxa"/>
            <w:tcMar>
              <w:top w:w="50" w:type="dxa"/>
              <w:left w:w="100" w:type="dxa"/>
              <w:bottom w:w="50" w:type="dxa"/>
              <w:right w:w="100" w:type="dxa"/>
            </w:tcMar>
          </w:tcPr>
          <w:p>
            <w:pPr>
              <w:pStyle w:val="TableText"/>
            </w:pPr>
            <w:r>
              <w:rPr>
                <w:rFonts w:ascii="Calibri" w:hAnsi="Calibri" w:eastAsia="Microsoft YaHei"/>
                <w:color w:val="222F36"/>
                <w:sz w:val="20"/>
              </w:rPr>
              <w:t xml:space="preserve">M1 Core</w:t>
            </w:r>
          </w:p>
        </w:tc>
        <w:tc>
          <w:tcPr>
            <w:tcW w:w="4300" w:type="dxa"/>
            <w:tcMar>
              <w:top w:w="50" w:type="dxa"/>
              <w:left w:w="100" w:type="dxa"/>
              <w:bottom w:w="50" w:type="dxa"/>
              <w:right w:w="100" w:type="dxa"/>
            </w:tcMar>
          </w:tcPr>
          <w:p>
            <w:pPr>
              <w:pStyle w:val="TableText"/>
            </w:pPr>
            <w:r>
              <w:rPr>
                <w:rFonts w:ascii="Calibri" w:hAnsi="Calibri" w:eastAsia="Microsoft YaHei"/>
                <w:color w:val="222F36"/>
                <w:sz w:val="20"/>
              </w:rPr>
              <w:t xml:space="preserve">Both fairways, the Watch, the Tide Line, the record, the humanitarian lane</w:t>
            </w:r>
          </w:p>
        </w:tc>
        <w:tc>
          <w:tcPr>
            <w:tcW w:w="3506" w:type="dxa"/>
            <w:tcMar>
              <w:top w:w="50" w:type="dxa"/>
              <w:left w:w="100" w:type="dxa"/>
              <w:bottom w:w="50" w:type="dxa"/>
              <w:right w:w="100" w:type="dxa"/>
            </w:tcMar>
          </w:tcPr>
          <w:p>
            <w:pPr>
              <w:pStyle w:val="TableText"/>
            </w:pPr>
            <w:r>
              <w:rPr>
                <w:rFonts w:ascii="Calibri" w:hAnsi="Calibri" w:eastAsia="Microsoft YaHei"/>
                <w:color w:val="222F36"/>
                <w:sz w:val="20"/>
              </w:rPr>
              <w:t xml:space="preserve">Never suspends (Article 15.3)</w:t>
            </w:r>
          </w:p>
        </w:tc>
      </w:tr>
      <w:tr>
        <w:trPr>
          <w:cantSplit/>
        </w:trPr>
        <w:tc>
          <w:tcPr>
            <w:tcW w:w="15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M2 Services</w:t>
            </w:r>
          </w:p>
        </w:tc>
        <w:tc>
          <w:tcPr>
            <w:tcW w:w="43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Escort, pilotage support, catalog reimbursements</w:t>
            </w:r>
          </w:p>
        </w:tc>
        <w:tc>
          <w:tcPr>
            <w:tcW w:w="35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Step-back eligible</w:t>
            </w:r>
          </w:p>
        </w:tc>
      </w:tr>
      <w:tr>
        <w:trPr>
          <w:cantSplit/>
        </w:trPr>
        <w:tc>
          <w:tcPr>
            <w:tcW w:w="1500" w:type="dxa"/>
            <w:tcMar>
              <w:top w:w="50" w:type="dxa"/>
              <w:left w:w="100" w:type="dxa"/>
              <w:bottom w:w="50" w:type="dxa"/>
              <w:right w:w="100" w:type="dxa"/>
            </w:tcMar>
          </w:tcPr>
          <w:p>
            <w:pPr>
              <w:pStyle w:val="TableText"/>
            </w:pPr>
            <w:r>
              <w:rPr>
                <w:rFonts w:ascii="Calibri" w:hAnsi="Calibri" w:eastAsia="Microsoft YaHei"/>
                <w:color w:val="222F36"/>
                <w:sz w:val="20"/>
              </w:rPr>
              <w:t xml:space="preserve">M3 Verification cooperation</w:t>
            </w:r>
          </w:p>
        </w:tc>
        <w:tc>
          <w:tcPr>
            <w:tcW w:w="4300" w:type="dxa"/>
            <w:tcMar>
              <w:top w:w="50" w:type="dxa"/>
              <w:left w:w="100" w:type="dxa"/>
              <w:bottom w:w="50" w:type="dxa"/>
              <w:right w:w="100" w:type="dxa"/>
            </w:tcMar>
          </w:tcPr>
          <w:p>
            <w:pPr>
              <w:pStyle w:val="TableText"/>
            </w:pPr>
            <w:r>
              <w:rPr>
                <w:rFonts w:ascii="Calibri" w:hAnsi="Calibri" w:eastAsia="Microsoft YaHei"/>
                <w:color w:val="222F36"/>
                <w:sz w:val="20"/>
              </w:rPr>
              <w:t xml:space="preserve">Data products, extracts, certified copies, enhanced feeds</w:t>
            </w:r>
          </w:p>
        </w:tc>
        <w:tc>
          <w:tcPr>
            <w:tcW w:w="3506" w:type="dxa"/>
            <w:tcMar>
              <w:top w:w="50" w:type="dxa"/>
              <w:left w:w="100" w:type="dxa"/>
              <w:bottom w:w="50" w:type="dxa"/>
              <w:right w:w="100" w:type="dxa"/>
            </w:tcMar>
          </w:tcPr>
          <w:p>
            <w:pPr>
              <w:pStyle w:val="TableText"/>
            </w:pPr>
            <w:r>
              <w:rPr>
                <w:rFonts w:ascii="Calibri" w:hAnsi="Calibri" w:eastAsia="Microsoft YaHei"/>
                <w:color w:val="222F36"/>
                <w:sz w:val="20"/>
              </w:rPr>
              <w:t xml:space="preserve">Step-back eligible</w:t>
            </w:r>
          </w:p>
        </w:tc>
      </w:tr>
      <w:tr>
        <w:trPr>
          <w:cantSplit/>
        </w:trPr>
        <w:tc>
          <w:tcPr>
            <w:tcW w:w="15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M4 Survey</w:t>
            </w:r>
          </w:p>
        </w:tc>
        <w:tc>
          <w:tcPr>
            <w:tcW w:w="43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Survey coordination, certification services, chart products</w:t>
            </w:r>
          </w:p>
        </w:tc>
        <w:tc>
          <w:tcPr>
            <w:tcW w:w="35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Step-back eligible</w:t>
            </w:r>
          </w:p>
        </w:tc>
      </w:tr>
      <w:tr>
        <w:trPr>
          <w:cantSplit/>
        </w:trPr>
        <w:tc>
          <w:tcPr>
            <w:tcW w:w="1500" w:type="dxa"/>
            <w:tcMar>
              <w:top w:w="50" w:type="dxa"/>
              <w:left w:w="100" w:type="dxa"/>
              <w:bottom w:w="50" w:type="dxa"/>
              <w:right w:w="100" w:type="dxa"/>
            </w:tcMar>
          </w:tcPr>
          <w:p>
            <w:pPr>
              <w:pStyle w:val="TableText"/>
            </w:pPr>
            <w:r>
              <w:rPr>
                <w:rFonts w:ascii="Calibri" w:hAnsi="Calibri" w:eastAsia="Microsoft YaHei"/>
                <w:color w:val="222F36"/>
                <w:sz w:val="20"/>
              </w:rPr>
              <w:t xml:space="preserve">M5 Training</w:t>
            </w:r>
          </w:p>
        </w:tc>
        <w:tc>
          <w:tcPr>
            <w:tcW w:w="4300" w:type="dxa"/>
            <w:tcMar>
              <w:top w:w="50" w:type="dxa"/>
              <w:left w:w="100" w:type="dxa"/>
              <w:bottom w:w="50" w:type="dxa"/>
              <w:right w:w="100" w:type="dxa"/>
            </w:tcMar>
          </w:tcPr>
          <w:p>
            <w:pPr>
              <w:pStyle w:val="TableText"/>
            </w:pPr>
            <w:r>
              <w:rPr>
                <w:rFonts w:ascii="Calibri" w:hAnsi="Calibri" w:eastAsia="Microsoft YaHei"/>
                <w:color w:val="222F36"/>
                <w:sz w:val="20"/>
              </w:rPr>
              <w:t xml:space="preserve">Training seats, drills, capacity programs</w:t>
            </w:r>
          </w:p>
        </w:tc>
        <w:tc>
          <w:tcPr>
            <w:tcW w:w="3506" w:type="dxa"/>
            <w:tcMar>
              <w:top w:w="50" w:type="dxa"/>
              <w:left w:w="100" w:type="dxa"/>
              <w:bottom w:w="50" w:type="dxa"/>
              <w:right w:w="100" w:type="dxa"/>
            </w:tcMar>
          </w:tcPr>
          <w:p>
            <w:pPr>
              <w:pStyle w:val="TableText"/>
            </w:pPr>
            <w:r>
              <w:rPr>
                <w:rFonts w:ascii="Calibri" w:hAnsi="Calibri" w:eastAsia="Microsoft YaHei"/>
                <w:color w:val="222F36"/>
                <w:sz w:val="20"/>
              </w:rPr>
              <w:t xml:space="preserve">Step-back eligible</w:t>
            </w:r>
          </w:p>
        </w:tc>
      </w:tr>
      <w:tr>
        <w:trPr>
          <w:cantSplit/>
        </w:trPr>
        <w:tc>
          <w:tcPr>
            <w:tcW w:w="15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M6 Convenience</w:t>
            </w:r>
          </w:p>
        </w:tc>
        <w:tc>
          <w:tcPr>
            <w:tcW w:w="43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Fast-track handling, priority briefings, non-core publications</w:t>
            </w:r>
          </w:p>
        </w:tc>
        <w:tc>
          <w:tcPr>
            <w:tcW w:w="35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Step-back eligible</w:t>
            </w:r>
          </w:p>
        </w:tc>
      </w:tr>
    </w:tbl>
    <w:p>
      <w:pPr>
        <w:spacing w:before="0" w:after="140"/>
      </w:pPr>
      <w:r>
        <w:rPr>
          <w:sz w:val="8"/>
        </w:rPr>
        <w:t/>
      </w:r>
    </w:p>
    <w:p>
      <w:pPr>
        <w:pStyle w:val="Heading3"/>
        <w:keepNext/>
        <w:keepLines/>
      </w:pPr>
      <w:r>
        <w:rPr>
          <w:rFonts w:ascii="Calibri" w:hAnsi="Calibri" w:eastAsia="Microsoft YaHei"/>
          <w:b/>
          <w:color w:val="222F36"/>
          <w:sz w:val="22"/>
        </w:rPr>
        <w:t xml:space="preserve">F.4 The Step-Back Ladder</w:t>
      </w:r>
    </w:p>
    <w:tbl>
      <w:tblPr>
        <w:tblW w:w="9306" w:type="dxa"/>
        <w:tblBorders>
          <w:top w:val="single" w:color="AEC4C1" w:sz="6"/>
          <w:left w:val="single" w:color="AEC4C1" w:sz="6"/>
          <w:bottom w:val="single" w:color="AEC4C1" w:sz="6"/>
          <w:right w:val="single" w:color="AEC4C1" w:sz="6"/>
          <w:insideH w:val="single" w:color="AEC4C1" w:sz="4"/>
          <w:insideV w:val="single" w:color="AEC4C1" w:sz="4"/>
        </w:tblBorders>
      </w:tblPr>
      <w:tblGrid>
        <w:gridCol w:w="1100"/>
        <w:gridCol w:w="1800"/>
        <w:gridCol w:w="3906"/>
        <w:gridCol w:w="2500"/>
      </w:tblGrid>
      <w:tr>
        <w:trPr>
          <w:cantSplit/>
          <w:tblHeader/>
        </w:trPr>
        <w:tc>
          <w:tcPr>
            <w:tcW w:w="11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Step</w:t>
            </w:r>
          </w:p>
        </w:tc>
        <w:tc>
          <w:tcPr>
            <w:tcW w:w="18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Trigger</w:t>
            </w:r>
          </w:p>
        </w:tc>
        <w:tc>
          <w:tcPr>
            <w:tcW w:w="3906"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Content</w:t>
            </w:r>
          </w:p>
        </w:tc>
        <w:tc>
          <w:tcPr>
            <w:tcW w:w="25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Duration logic</w:t>
            </w:r>
          </w:p>
        </w:tc>
      </w:tr>
      <w:tr>
        <w:trPr>
          <w:cantSplit/>
        </w:trPr>
        <w:tc>
          <w:tcPr>
            <w:tcW w:w="1100" w:type="dxa"/>
            <w:tcMar>
              <w:top w:w="50" w:type="dxa"/>
              <w:left w:w="100" w:type="dxa"/>
              <w:bottom w:w="50" w:type="dxa"/>
              <w:right w:w="100" w:type="dxa"/>
            </w:tcMar>
          </w:tcPr>
          <w:p>
            <w:pPr>
              <w:pStyle w:val="TableText"/>
            </w:pPr>
            <w:r>
              <w:rPr>
                <w:rFonts w:ascii="Calibri" w:hAnsi="Calibri" w:eastAsia="Microsoft YaHei"/>
                <w:color w:val="222F36"/>
                <w:sz w:val="20"/>
              </w:rPr>
              <w:t xml:space="preserve">S1</w:t>
            </w:r>
          </w:p>
        </w:tc>
        <w:tc>
          <w:tcPr>
            <w:tcW w:w="1800" w:type="dxa"/>
            <w:tcMar>
              <w:top w:w="50" w:type="dxa"/>
              <w:left w:w="100" w:type="dxa"/>
              <w:bottom w:w="50" w:type="dxa"/>
              <w:right w:w="100" w:type="dxa"/>
            </w:tcMar>
          </w:tcPr>
          <w:p>
            <w:pPr>
              <w:pStyle w:val="TableText"/>
            </w:pPr>
            <w:r>
              <w:rPr>
                <w:rFonts w:ascii="Calibri" w:hAnsi="Calibri" w:eastAsia="Microsoft YaHei"/>
                <w:color w:val="222F36"/>
                <w:sz w:val="20"/>
              </w:rPr>
              <w:t xml:space="preserve">Strain</w:t>
            </w:r>
          </w:p>
        </w:tc>
        <w:tc>
          <w:tcPr>
            <w:tcW w:w="3906" w:type="dxa"/>
            <w:tcMar>
              <w:top w:w="50" w:type="dxa"/>
              <w:left w:w="100" w:type="dxa"/>
              <w:bottom w:w="50" w:type="dxa"/>
              <w:right w:w="100" w:type="dxa"/>
            </w:tcMar>
          </w:tcPr>
          <w:p>
            <w:pPr>
              <w:pStyle w:val="TableText"/>
            </w:pPr>
            <w:r>
              <w:rPr>
                <w:rFonts w:ascii="Calibri" w:hAnsi="Calibri" w:eastAsia="Microsoft YaHei"/>
                <w:color w:val="222F36"/>
                <w:sz w:val="20"/>
              </w:rPr>
              <w:t xml:space="preserve">Pause of discretionary certifications and convenience services in the affected module, between ten and twenty-five percent of module benefits</w:t>
            </w:r>
          </w:p>
        </w:tc>
        <w:tc>
          <w:tcPr>
            <w:tcW w:w="2500" w:type="dxa"/>
            <w:tcMar>
              <w:top w:w="50" w:type="dxa"/>
              <w:left w:w="100" w:type="dxa"/>
              <w:bottom w:w="50" w:type="dxa"/>
              <w:right w:w="100" w:type="dxa"/>
            </w:tcMar>
          </w:tcPr>
          <w:p>
            <w:pPr>
              <w:pStyle w:val="TableText"/>
            </w:pPr>
            <w:r>
              <w:rPr>
                <w:rFonts w:ascii="Calibri" w:hAnsi="Calibri" w:eastAsia="Microsoft YaHei"/>
                <w:color w:val="222F36"/>
                <w:sz w:val="20"/>
              </w:rPr>
              <w:t xml:space="preserve">Lifts on earn-back; reviews every seven days</w:t>
            </w:r>
          </w:p>
        </w:tc>
      </w:tr>
      <w:tr>
        <w:trPr>
          <w:cantSplit/>
        </w:trPr>
        <w:tc>
          <w:tcPr>
            <w:tcW w:w="11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S2</w:t>
            </w:r>
          </w:p>
        </w:tc>
        <w:tc>
          <w:tcPr>
            <w:tcW w:w="18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Strain repeated within ninety days, or Strain uncured after fourteen days</w:t>
            </w:r>
          </w:p>
        </w:tc>
        <w:tc>
          <w:tcPr>
            <w:tcW w:w="39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Enhanced review extends; courtesy notice windows lengthen to forty-eight hours for the affected Party’s state craft; claims move from monthly to quarterly</w:t>
            </w:r>
          </w:p>
        </w:tc>
        <w:tc>
          <w:tcPr>
            <w:tcW w:w="25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Lifts on earn-back plus a clean quarter</w:t>
            </w:r>
          </w:p>
        </w:tc>
      </w:tr>
      <w:tr>
        <w:trPr>
          <w:cantSplit/>
        </w:trPr>
        <w:tc>
          <w:tcPr>
            <w:tcW w:w="1100" w:type="dxa"/>
            <w:tcMar>
              <w:top w:w="50" w:type="dxa"/>
              <w:left w:w="100" w:type="dxa"/>
              <w:bottom w:w="50" w:type="dxa"/>
              <w:right w:w="100" w:type="dxa"/>
            </w:tcMar>
          </w:tcPr>
          <w:p>
            <w:pPr>
              <w:pStyle w:val="TableText"/>
            </w:pPr>
            <w:r>
              <w:rPr>
                <w:rFonts w:ascii="Calibri" w:hAnsi="Calibri" w:eastAsia="Microsoft YaHei"/>
                <w:color w:val="222F36"/>
                <w:sz w:val="20"/>
              </w:rPr>
              <w:t xml:space="preserve">S3</w:t>
            </w:r>
          </w:p>
        </w:tc>
        <w:tc>
          <w:tcPr>
            <w:tcW w:w="1800" w:type="dxa"/>
            <w:tcMar>
              <w:top w:w="50" w:type="dxa"/>
              <w:left w:w="100" w:type="dxa"/>
              <w:bottom w:w="50" w:type="dxa"/>
              <w:right w:w="100" w:type="dxa"/>
            </w:tcMar>
          </w:tcPr>
          <w:p>
            <w:pPr>
              <w:pStyle w:val="TableText"/>
            </w:pPr>
            <w:r>
              <w:rPr>
                <w:rFonts w:ascii="Calibri" w:hAnsi="Calibri" w:eastAsia="Microsoft YaHei"/>
                <w:color w:val="222F36"/>
                <w:sz w:val="20"/>
              </w:rPr>
              <w:t xml:space="preserve">Breach</w:t>
            </w:r>
          </w:p>
        </w:tc>
        <w:tc>
          <w:tcPr>
            <w:tcW w:w="3906" w:type="dxa"/>
            <w:tcMar>
              <w:top w:w="50" w:type="dxa"/>
              <w:left w:w="100" w:type="dxa"/>
              <w:bottom w:w="50" w:type="dxa"/>
              <w:right w:w="100" w:type="dxa"/>
            </w:tcMar>
          </w:tcPr>
          <w:p>
            <w:pPr>
              <w:pStyle w:val="TableText"/>
            </w:pPr>
            <w:r>
              <w:rPr>
                <w:rFonts w:ascii="Calibri" w:hAnsi="Calibri" w:eastAsia="Microsoft YaHei"/>
                <w:color w:val="222F36"/>
                <w:sz w:val="20"/>
              </w:rPr>
              <w:t xml:space="preserve">Suspension of the affected module’s non-humanitarian benefits, including reimbursements tied to that module</w:t>
            </w:r>
          </w:p>
        </w:tc>
        <w:tc>
          <w:tcPr>
            <w:tcW w:w="2500" w:type="dxa"/>
            <w:tcMar>
              <w:top w:w="50" w:type="dxa"/>
              <w:left w:w="100" w:type="dxa"/>
              <w:bottom w:w="50" w:type="dxa"/>
              <w:right w:w="100" w:type="dxa"/>
            </w:tcMar>
          </w:tcPr>
          <w:p>
            <w:pPr>
              <w:pStyle w:val="TableText"/>
            </w:pPr>
            <w:r>
              <w:rPr>
                <w:rFonts w:ascii="Calibri" w:hAnsi="Calibri" w:eastAsia="Microsoft YaHei"/>
                <w:color w:val="222F36"/>
                <w:sz w:val="20"/>
              </w:rPr>
              <w:t xml:space="preserve">Lifts on thirty clean days, Recorder certification, and Circle confirmation</w:t>
            </w:r>
          </w:p>
        </w:tc>
      </w:tr>
    </w:tbl>
    <w:p>
      <w:pPr>
        <w:spacing w:before="0" w:after="140"/>
      </w:pPr>
      <w:r>
        <w:rPr>
          <w:sz w:val="8"/>
        </w:rPr>
        <w:t/>
      </w:r>
    </w:p>
    <w:p>
      <w:pPr>
        <w:pStyle w:val="Normal"/>
      </w:pPr>
      <w:r>
        <w:rPr>
          <w:rFonts w:ascii="Calibri" w:hAnsi="Calibri" w:eastAsia="Microsoft YaHei"/>
          <w:color w:val="222F36"/>
          <w:sz w:val="21"/>
        </w:rPr>
        <w:t xml:space="preserve">Every step stays inside its module. No step touches M1, the humanitarian firewall, or the record. No step spills across modules, and no step revives after it lifts (Article 15.6).</w:t>
      </w:r>
    </w:p>
    <w:p>
      <w:pPr>
        <w:pStyle w:val="Heading3"/>
        <w:keepNext/>
        <w:keepLines/>
      </w:pPr>
      <w:r>
        <w:rPr>
          <w:rFonts w:ascii="Calibri" w:hAnsi="Calibri" w:eastAsia="Microsoft YaHei"/>
          <w:b/>
          <w:color w:val="222F36"/>
          <w:sz w:val="22"/>
        </w:rPr>
        <w:t xml:space="preserve">F.5 The Earn-Back Track and the Banked Ledger</w:t>
      </w:r>
    </w:p>
    <w:p>
      <w:pPr>
        <w:pStyle w:val="Normal"/>
        <w:ind w:left="560" w:hanging="560"/>
      </w:pPr>
      <w:r>
        <w:rPr>
          <w:rFonts w:ascii="Calibri" w:hAnsi="Calibri" w:eastAsia="Microsoft YaHei"/>
          <w:b/>
          <w:color w:val="1F4E5F"/>
          <w:sz w:val="21"/>
        </w:rPr>
        <w:t xml:space="preserve">F.5.1  </w:t>
      </w:r>
      <w:r>
        <w:rPr>
          <w:rFonts w:ascii="Calibri" w:hAnsi="Calibri" w:eastAsia="Microsoft YaHei"/>
          <w:color w:val="222F36"/>
          <w:sz w:val="21"/>
        </w:rPr>
        <w:t xml:space="preserve">Clocks. Drift closes on cure. Strain lifts after seven consecutive clean days plus certification by the Recorder. Breach lifts after thirty consecutive clean days, certification by the Recorder, and confirmation by the Circle member for the domain (Article 15.4).</w:t>
      </w:r>
    </w:p>
    <w:p>
      <w:pPr>
        <w:pStyle w:val="Normal"/>
        <w:ind w:left="560" w:hanging="560"/>
      </w:pPr>
      <w:r>
        <w:rPr>
          <w:rFonts w:ascii="Calibri" w:hAnsi="Calibri" w:eastAsia="Microsoft YaHei"/>
          <w:b/>
          <w:color w:val="1F4E5F"/>
          <w:sz w:val="21"/>
        </w:rPr>
        <w:t xml:space="preserve">F.5.2  </w:t>
      </w:r>
      <w:r>
        <w:rPr>
          <w:rFonts w:ascii="Calibri" w:hAnsi="Calibri" w:eastAsia="Microsoft YaHei"/>
          <w:color w:val="222F36"/>
          <w:sz w:val="21"/>
        </w:rPr>
        <w:t xml:space="preserve">Clean days. A clean day is a day with no new finding in the affected module. The clock pauses during certified force majeure and resumes on recovery.</w:t>
      </w:r>
    </w:p>
    <w:p>
      <w:pPr>
        <w:pStyle w:val="Normal"/>
        <w:ind w:left="560" w:hanging="560"/>
      </w:pPr>
      <w:r>
        <w:rPr>
          <w:rFonts w:ascii="Calibri" w:hAnsi="Calibri" w:eastAsia="Microsoft YaHei"/>
          <w:b/>
          <w:color w:val="1F4E5F"/>
          <w:sz w:val="21"/>
        </w:rPr>
        <w:t xml:space="preserve">F.5.3  </w:t>
      </w:r>
      <w:r>
        <w:rPr>
          <w:rFonts w:ascii="Calibri" w:hAnsi="Calibri" w:eastAsia="Microsoft YaHei"/>
          <w:color w:val="222F36"/>
          <w:sz w:val="21"/>
        </w:rPr>
        <w:t xml:space="preserve">Over-compliance credit. Performance at one hundred twenty percent of the applicable standard shortens residual enhanced monitoring by up to twenty-five percent. The Office measures the credit against the published bands and records it.</w:t>
      </w:r>
    </w:p>
    <w:p>
      <w:pPr>
        <w:pStyle w:val="Normal"/>
        <w:ind w:left="560" w:hanging="560"/>
      </w:pPr>
      <w:r>
        <w:rPr>
          <w:rFonts w:ascii="Calibri" w:hAnsi="Calibri" w:eastAsia="Microsoft YaHei"/>
          <w:b/>
          <w:color w:val="1F4E5F"/>
          <w:sz w:val="21"/>
        </w:rPr>
        <w:t xml:space="preserve">F.5.4  </w:t>
      </w:r>
      <w:r>
        <w:rPr>
          <w:rFonts w:ascii="Calibri" w:hAnsi="Calibri" w:eastAsia="Microsoft YaHei"/>
          <w:color w:val="222F36"/>
          <w:sz w:val="21"/>
        </w:rPr>
        <w:t xml:space="preserve">The Banked Ledger. Every completed earn-back enters a permanent ledger. Entries never expire, never reopen on the same facts, and stand as the public proof that the system restores as reliably as it constrains.</w:t>
      </w:r>
    </w:p>
    <w:p>
      <w:pPr>
        <w:pStyle w:val="Normal"/>
        <w:ind w:left="560" w:hanging="560"/>
      </w:pPr>
      <w:r>
        <w:rPr>
          <w:rFonts w:ascii="Calibri" w:hAnsi="Calibri" w:eastAsia="Microsoft YaHei"/>
          <w:b/>
          <w:color w:val="1F4E5F"/>
          <w:sz w:val="21"/>
        </w:rPr>
        <w:t xml:space="preserve">F.5.5  </w:t>
      </w:r>
      <w:r>
        <w:rPr>
          <w:rFonts w:ascii="Calibri" w:hAnsi="Calibri" w:eastAsia="Microsoft YaHei"/>
          <w:color w:val="222F36"/>
          <w:sz w:val="21"/>
        </w:rPr>
        <w:t xml:space="preserve">The Good-Faith Reset follows Article 15.8: written acknowledgment, seven days of enhanced cooperation, closure without penalty, once per ninety days per Party.</w:t>
      </w:r>
    </w:p>
    <w:p>
      <w:pPr>
        <w:pStyle w:val="Heading3"/>
        <w:keepNext/>
        <w:keepLines/>
      </w:pPr>
      <w:r>
        <w:rPr>
          <w:rFonts w:ascii="Calibri" w:hAnsi="Calibri" w:eastAsia="Microsoft YaHei"/>
          <w:b/>
          <w:color w:val="222F36"/>
          <w:sz w:val="22"/>
        </w:rPr>
        <w:t xml:space="preserve">F.6 The Humanitarian Firewall: Schedule</w:t>
      </w:r>
    </w:p>
    <w:p>
      <w:pPr>
        <w:pStyle w:val="Normal"/>
      </w:pPr>
      <w:r>
        <w:rPr>
          <w:rFonts w:ascii="Calibri" w:hAnsi="Calibri" w:eastAsia="Microsoft YaHei"/>
          <w:color w:val="222F36"/>
          <w:sz w:val="21"/>
        </w:rPr>
        <w:t xml:space="preserve">The following move under all circumstances, including during any step-back, pause, or dispute (Article 15.5):</w:t>
      </w:r>
    </w:p>
    <w:p>
      <w:pPr>
        <w:pStyle w:val="Normal"/>
        <w:ind w:left="560" w:hanging="320"/>
      </w:pPr>
      <w:r>
        <w:rPr>
          <w:rFonts w:ascii="Calibri" w:hAnsi="Calibri" w:eastAsia="Microsoft YaHei"/>
          <w:color w:val="5E7478"/>
          <w:sz w:val="21"/>
        </w:rPr>
        <w:t xml:space="preserve">•  </w:t>
      </w:r>
      <w:r>
        <w:rPr>
          <w:rFonts w:ascii="Calibri" w:hAnsi="Calibri" w:eastAsia="Microsoft YaHei"/>
          <w:color w:val="222F36"/>
          <w:sz w:val="21"/>
        </w:rPr>
        <w:t xml:space="preserve">Food, medicine, and medical supplies, as cargo and as stores;</w:t>
      </w:r>
    </w:p>
    <w:p>
      <w:pPr>
        <w:pStyle w:val="Normal"/>
        <w:ind w:left="560" w:hanging="320"/>
      </w:pPr>
      <w:r>
        <w:rPr>
          <w:rFonts w:ascii="Calibri" w:hAnsi="Calibri" w:eastAsia="Microsoft YaHei"/>
          <w:color w:val="5E7478"/>
          <w:sz w:val="21"/>
        </w:rPr>
        <w:t xml:space="preserve">•  </w:t>
      </w:r>
      <w:r>
        <w:rPr>
          <w:rFonts w:ascii="Calibri" w:hAnsi="Calibri" w:eastAsia="Microsoft YaHei"/>
          <w:color w:val="222F36"/>
          <w:sz w:val="21"/>
        </w:rPr>
        <w:t xml:space="preserve">Medical evacuation and hospital ship movement;</w:t>
      </w:r>
    </w:p>
    <w:p>
      <w:pPr>
        <w:pStyle w:val="Normal"/>
        <w:ind w:left="560" w:hanging="320"/>
      </w:pPr>
      <w:r>
        <w:rPr>
          <w:rFonts w:ascii="Calibri" w:hAnsi="Calibri" w:eastAsia="Microsoft YaHei"/>
          <w:color w:val="5E7478"/>
          <w:sz w:val="21"/>
        </w:rPr>
        <w:t xml:space="preserve">•  </w:t>
      </w:r>
      <w:r>
        <w:rPr>
          <w:rFonts w:ascii="Calibri" w:hAnsi="Calibri" w:eastAsia="Microsoft YaHei"/>
          <w:color w:val="222F36"/>
          <w:sz w:val="21"/>
        </w:rPr>
        <w:t xml:space="preserve">Crew repatriation and crew welfare movement;</w:t>
      </w:r>
    </w:p>
    <w:p>
      <w:pPr>
        <w:pStyle w:val="Normal"/>
        <w:ind w:left="560" w:hanging="320"/>
      </w:pPr>
      <w:r>
        <w:rPr>
          <w:rFonts w:ascii="Calibri" w:hAnsi="Calibri" w:eastAsia="Microsoft YaHei"/>
          <w:color w:val="5E7478"/>
          <w:sz w:val="21"/>
        </w:rPr>
        <w:t xml:space="preserve">•  </w:t>
      </w:r>
      <w:r>
        <w:rPr>
          <w:rFonts w:ascii="Calibri" w:hAnsi="Calibri" w:eastAsia="Microsoft YaHei"/>
          <w:color w:val="222F36"/>
          <w:sz w:val="21"/>
        </w:rPr>
        <w:t xml:space="preserve">Search and rescue units and operations;</w:t>
      </w:r>
    </w:p>
    <w:p>
      <w:pPr>
        <w:pStyle w:val="Normal"/>
        <w:ind w:left="560" w:hanging="320"/>
      </w:pPr>
      <w:r>
        <w:rPr>
          <w:rFonts w:ascii="Calibri" w:hAnsi="Calibri" w:eastAsia="Microsoft YaHei"/>
          <w:color w:val="5E7478"/>
          <w:sz w:val="21"/>
        </w:rPr>
        <w:t xml:space="preserve">•  </w:t>
      </w:r>
      <w:r>
        <w:rPr>
          <w:rFonts w:ascii="Calibri" w:hAnsi="Calibri" w:eastAsia="Microsoft YaHei"/>
          <w:color w:val="222F36"/>
          <w:sz w:val="21"/>
        </w:rPr>
        <w:t xml:space="preserve">Pollution response vessels, aircraft, and materials;</w:t>
      </w:r>
    </w:p>
    <w:p>
      <w:pPr>
        <w:pStyle w:val="Normal"/>
        <w:ind w:left="560" w:hanging="320"/>
      </w:pPr>
      <w:r>
        <w:rPr>
          <w:rFonts w:ascii="Calibri" w:hAnsi="Calibri" w:eastAsia="Microsoft YaHei"/>
          <w:color w:val="5E7478"/>
          <w:sz w:val="21"/>
        </w:rPr>
        <w:t xml:space="preserve">•  </w:t>
      </w:r>
      <w:r>
        <w:rPr>
          <w:rFonts w:ascii="Calibri" w:hAnsi="Calibri" w:eastAsia="Microsoft YaHei"/>
          <w:color w:val="222F36"/>
          <w:sz w:val="21"/>
        </w:rPr>
        <w:t xml:space="preserve">Category Four notices, which take priority handling at every clock.</w:t>
      </w:r>
    </w:p>
    <w:p>
      <w:pPr>
        <w:pStyle w:val="Normal"/>
      </w:pPr>
      <w:r>
        <w:rPr>
          <w:rFonts w:ascii="Calibri" w:hAnsi="Calibri" w:eastAsia="Microsoft YaHei"/>
          <w:color w:val="222F36"/>
          <w:sz w:val="21"/>
        </w:rPr>
        <w:t xml:space="preserve">The firewall runs one way. No classification, step, pause, or dispute narrows it, and every attempt to narrow it triggers the Protection Covenant.</w:t>
      </w:r>
    </w:p>
    <w:p>
      <w:pPr>
        <w:pStyle w:val="Heading3"/>
        <w:keepNext/>
        <w:keepLines/>
      </w:pPr>
      <w:r>
        <w:rPr>
          <w:rFonts w:ascii="Calibri" w:hAnsi="Calibri" w:eastAsia="Microsoft YaHei"/>
          <w:b/>
          <w:color w:val="222F36"/>
          <w:sz w:val="22"/>
        </w:rPr>
        <w:t xml:space="preserve">F.7 Worked Examples</w:t>
      </w:r>
    </w:p>
    <w:p>
      <w:pPr>
        <w:pStyle w:val="Normal"/>
        <w:ind w:left="560" w:hanging="560"/>
      </w:pPr>
      <w:r>
        <w:rPr>
          <w:rFonts w:ascii="Calibri" w:hAnsi="Calibri" w:eastAsia="Microsoft YaHei"/>
          <w:b/>
          <w:color w:val="1F4E5F"/>
          <w:sz w:val="21"/>
        </w:rPr>
        <w:t xml:space="preserve">F.7.1  </w:t>
      </w:r>
      <w:r>
        <w:rPr>
          <w:rFonts w:ascii="Calibri" w:hAnsi="Calibri" w:eastAsia="Microsoft YaHei"/>
          <w:color w:val="222F36"/>
          <w:sz w:val="21"/>
        </w:rPr>
        <w:t xml:space="preserve">Drift. The Watch acknowledges a notice in forty-one minutes. One vessel, one event, no material effect. The Watch logs the Drift, reviews the shift handover, and the entry closes. The vessel never learns anything happened, because nothing did that touched her.</w:t>
      </w:r>
    </w:p>
    <w:p>
      <w:pPr>
        <w:pStyle w:val="Normal"/>
        <w:ind w:left="560" w:hanging="560"/>
      </w:pPr>
      <w:r>
        <w:rPr>
          <w:rFonts w:ascii="Calibri" w:hAnsi="Calibri" w:eastAsia="Microsoft YaHei"/>
          <w:b/>
          <w:color w:val="1F4E5F"/>
          <w:sz w:val="21"/>
        </w:rPr>
        <w:t xml:space="preserve">F.7.2  </w:t>
      </w:r>
      <w:r>
        <w:rPr>
          <w:rFonts w:ascii="Calibri" w:hAnsi="Calibri" w:eastAsia="Microsoft YaHei"/>
          <w:color w:val="222F36"/>
          <w:sz w:val="21"/>
        </w:rPr>
        <w:t xml:space="preserve">Strain and restore. Acknowledgment failures touch four vessels in six days. Three signals establish the finding; the Human Gate classifies Strain; the forty-eight-hour joint review runs; Step S1 pauses fast-track handling in Module M6 for the responsible side. Seven clean days follow; the Recorder certifies; the step lifts; the Banked Ledger records the restore. Total elapsed: thirteen days, no vessel delayed, no capital humiliated.</w:t>
      </w:r>
    </w:p>
    <w:p>
      <w:pPr>
        <w:pStyle w:val="Normal"/>
        <w:ind w:left="560" w:hanging="560"/>
      </w:pPr>
      <w:r>
        <w:rPr>
          <w:rFonts w:ascii="Calibri" w:hAnsi="Calibri" w:eastAsia="Microsoft YaHei"/>
          <w:b/>
          <w:color w:val="1F4E5F"/>
          <w:sz w:val="21"/>
        </w:rPr>
        <w:t xml:space="preserve">F.7.3  </w:t>
      </w:r>
      <w:r>
        <w:rPr>
          <w:rFonts w:ascii="Calibri" w:hAnsi="Calibri" w:eastAsia="Microsoft YaHei"/>
          <w:color w:val="222F36"/>
          <w:sz w:val="21"/>
        </w:rPr>
        <w:t xml:space="preserve">Breach. A falsified record entry surfaces under an Integrity Cell probe, confirmed by three signals and refused cure in the joint review. The Human Gate, two signatures, classifies Breach. Step S3 suspends the affected module’s benefits. Thirty clean days, certification, Circle confirmation, restore. The falsifier faces national process; the record corrects; the ledger banks the restore; the water never noticed.</w:t>
      </w:r>
    </w:p>
    <w:p>
      <w:pPr>
        <w:pStyle w:val="Heading3"/>
        <w:keepNext/>
        <w:keepLines/>
      </w:pPr>
      <w:r>
        <w:rPr>
          <w:rFonts w:ascii="Calibri" w:hAnsi="Calibri" w:eastAsia="Microsoft YaHei"/>
          <w:b/>
          <w:color w:val="222F36"/>
          <w:sz w:val="22"/>
        </w:rPr>
        <w:t xml:space="preserve">F.8 Repeat-Drift Aggregation</w:t>
      </w:r>
    </w:p>
    <w:p>
      <w:pPr>
        <w:pStyle w:val="Normal"/>
      </w:pPr>
      <w:r>
        <w:rPr>
          <w:rFonts w:ascii="Calibri" w:hAnsi="Calibri" w:eastAsia="Microsoft YaHei"/>
          <w:color w:val="222F36"/>
          <w:sz w:val="21"/>
        </w:rPr>
        <w:t xml:space="preserve">Three Drift entries of the same type within thirty days open a pattern review: the Office examines whether the pattern amounts to Strain, applying the ordinary tests of materiality. Aggregation never escalates automatically; the pattern feeds the Three-Signal Rule like any other evidence, and the Human Gate decides. The rule exists so that small leaks receive attention before they become habits, and so that no one games the seventy-two-hour cure into a lifestyle.</w:t>
      </w:r>
    </w:p>
    <w:p>
      <w:pPr>
        <w:pStyle w:val="Heading1"/>
        <w:keepNext/>
        <w:keepLines/>
        <w:pageBreakBefore/>
      </w:pPr>
      <w:r>
        <w:rPr>
          <w:rFonts w:ascii="Calibri" w:hAnsi="Calibri" w:eastAsia="Microsoft YaHei"/>
          <w:b/>
          <w:color w:val="1F4E5F"/>
          <w:sz w:val="34"/>
        </w:rPr>
        <w:t xml:space="preserve">Annex G: Mishap, Incident, and Spoiler Protocols</w:t>
      </w:r>
    </w:p>
    <w:p>
      <w:pPr>
        <w:pStyle w:val="Normal"/>
      </w:pPr>
      <w:r>
        <w:rPr>
          <w:rFonts w:ascii="Calibri" w:hAnsi="Calibri" w:eastAsia="Microsoft YaHei"/>
          <w:color w:val="222F36"/>
          <w:sz w:val="21"/>
        </w:rPr>
        <w:t xml:space="preserve">This annex handles the bad day: collision, contact, harassment claim, ordnance sighting, cyber event, and the deliberate provocation staged to look like one. Its first rule: the system classifies causes before anyone names culprits.</w:t>
      </w:r>
    </w:p>
    <w:p>
      <w:pPr>
        <w:pStyle w:val="Heading3"/>
        <w:keepNext/>
        <w:keepLines/>
      </w:pPr>
      <w:r>
        <w:rPr>
          <w:rFonts w:ascii="Calibri" w:hAnsi="Calibri" w:eastAsia="Microsoft YaHei"/>
          <w:b/>
          <w:color w:val="222F36"/>
          <w:sz w:val="22"/>
        </w:rPr>
        <w:t xml:space="preserve">G.1 Stand Down and Report</w:t>
      </w:r>
    </w:p>
    <w:p>
      <w:pPr>
        <w:pStyle w:val="Normal"/>
        <w:ind w:left="560" w:hanging="560"/>
      </w:pPr>
      <w:r>
        <w:rPr>
          <w:rFonts w:ascii="Calibri" w:hAnsi="Calibri" w:eastAsia="Microsoft YaHei"/>
          <w:b/>
          <w:color w:val="1F4E5F"/>
          <w:sz w:val="21"/>
        </w:rPr>
        <w:t xml:space="preserve">G.1.1  </w:t>
      </w:r>
      <w:r>
        <w:rPr>
          <w:rFonts w:ascii="Calibri" w:hAnsi="Calibri" w:eastAsia="Microsoft YaHei"/>
          <w:color w:val="222F36"/>
          <w:sz w:val="21"/>
        </w:rPr>
        <w:t xml:space="preserve">On any incident in the Compact Waters, the units involved stand down from the immediate interaction and increase distance. The nearest unit reports by the fastest channel within fifteen minutes; the national operation center relays the report on the Tide Line at IMMEDIATE priority.</w:t>
      </w:r>
    </w:p>
    <w:p>
      <w:pPr>
        <w:pStyle w:val="Normal"/>
        <w:ind w:left="560" w:hanging="560"/>
      </w:pPr>
      <w:r>
        <w:rPr>
          <w:rFonts w:ascii="Calibri" w:hAnsi="Calibri" w:eastAsia="Microsoft YaHei"/>
          <w:b/>
          <w:color w:val="1F4E5F"/>
          <w:sz w:val="21"/>
        </w:rPr>
        <w:t xml:space="preserve">G.1.2  </w:t>
      </w:r>
      <w:r>
        <w:rPr>
          <w:rFonts w:ascii="Calibri" w:hAnsi="Calibri" w:eastAsia="Microsoft YaHei"/>
          <w:color w:val="222F36"/>
          <w:sz w:val="21"/>
        </w:rPr>
        <w:t xml:space="preserve">A position log follows within thirty minutes: units, courses, speeds, and the immediate environment. Available telemetry follows within two hours. The Watch issues any safety advisory at once; safety never waits for classification.</w:t>
      </w:r>
    </w:p>
    <w:p>
      <w:pPr>
        <w:pStyle w:val="Heading3"/>
        <w:keepNext/>
        <w:keepLines/>
      </w:pPr>
      <w:r>
        <w:rPr>
          <w:rFonts w:ascii="Calibri" w:hAnsi="Calibri" w:eastAsia="Microsoft YaHei"/>
          <w:b/>
          <w:color w:val="222F36"/>
          <w:sz w:val="22"/>
        </w:rPr>
        <w:t xml:space="preserve">G.2 Neutral Technical Classification</w:t>
      </w:r>
    </w:p>
    <w:p>
      <w:pPr>
        <w:pStyle w:val="Normal"/>
      </w:pPr>
      <w:r>
        <w:rPr>
          <w:rFonts w:ascii="Calibri" w:hAnsi="Calibri" w:eastAsia="Microsoft YaHei"/>
          <w:color w:val="222F36"/>
          <w:sz w:val="21"/>
        </w:rPr>
        <w:t xml:space="preserve">Within four hours, the Office issues a preliminary technical classification: mechanical, navigational, or environmental. Within forty-eight hours, the Recorder certifies the full technical account: sequence, causes, contributing factors. The account addresses causes, not culprits, and it enters the Concordance in full. Political characterization, where any capital insists on one, follows the technical account and never precedes it (Article 16.2).</w:t>
      </w:r>
    </w:p>
    <w:p>
      <w:pPr>
        <w:pStyle w:val="Heading3"/>
        <w:keepNext/>
        <w:keepLines/>
      </w:pPr>
      <w:r>
        <w:rPr>
          <w:rFonts w:ascii="Calibri" w:hAnsi="Calibri" w:eastAsia="Microsoft YaHei"/>
          <w:b/>
          <w:color w:val="222F36"/>
          <w:sz w:val="22"/>
        </w:rPr>
        <w:t xml:space="preserve">G.3 The Rogue Actor Pathway</w:t>
      </w:r>
    </w:p>
    <w:p>
      <w:pPr>
        <w:pStyle w:val="Normal"/>
        <w:ind w:left="560" w:hanging="560"/>
      </w:pPr>
      <w:r>
        <w:rPr>
          <w:rFonts w:ascii="Calibri" w:hAnsi="Calibri" w:eastAsia="Microsoft YaHei"/>
          <w:b/>
          <w:color w:val="1F4E5F"/>
          <w:sz w:val="21"/>
        </w:rPr>
        <w:t xml:space="preserve">G.3.1  </w:t>
      </w:r>
      <w:r>
        <w:rPr>
          <w:rFonts w:ascii="Calibri" w:hAnsi="Calibri" w:eastAsia="Microsoft YaHei"/>
          <w:color w:val="222F36"/>
          <w:sz w:val="21"/>
        </w:rPr>
        <w:t xml:space="preserve">Trigger. Evidence suggests third-party action or a false flag: an attack without claimant, a track that spoofs identity, a staged provocation, a cyber event with planted attribution.</w:t>
      </w:r>
    </w:p>
    <w:p>
      <w:pPr>
        <w:pStyle w:val="Normal"/>
        <w:ind w:left="560" w:hanging="560"/>
      </w:pPr>
      <w:r>
        <w:rPr>
          <w:rFonts w:ascii="Calibri" w:hAnsi="Calibri" w:eastAsia="Microsoft YaHei"/>
          <w:b/>
          <w:color w:val="1F4E5F"/>
          <w:sz w:val="21"/>
        </w:rPr>
        <w:t xml:space="preserve">G.3.2  </w:t>
      </w:r>
      <w:r>
        <w:rPr>
          <w:rFonts w:ascii="Calibri" w:hAnsi="Calibri" w:eastAsia="Microsoft YaHei"/>
          <w:color w:val="222F36"/>
          <w:sz w:val="21"/>
        </w:rPr>
        <w:t xml:space="preserve">Forensic file. The Office opens a forensic file at once. The Parties provide relevant intelligence within twenty-four hours. The Integrity Cell runs independent replication where the event touches the system itself.</w:t>
      </w:r>
    </w:p>
    <w:p>
      <w:pPr>
        <w:pStyle w:val="Normal"/>
        <w:ind w:left="560" w:hanging="560"/>
      </w:pPr>
      <w:r>
        <w:rPr>
          <w:rFonts w:ascii="Calibri" w:hAnsi="Calibri" w:eastAsia="Microsoft YaHei"/>
          <w:b/>
          <w:color w:val="1F4E5F"/>
          <w:sz w:val="21"/>
        </w:rPr>
        <w:t xml:space="preserve">G.3.3  </w:t>
      </w:r>
      <w:r>
        <w:rPr>
          <w:rFonts w:ascii="Calibri" w:hAnsi="Calibri" w:eastAsia="Microsoft YaHei"/>
          <w:color w:val="222F36"/>
          <w:sz w:val="21"/>
        </w:rPr>
        <w:t xml:space="preserve">Attribution deferral. Attribution stays deferred for forty-eight hours. During deferral: protective postures stay defensive; military units hold or withdraw to the standoff distances of Annex J; no new deployment enters the Compact Waters; no participant makes public attribution; the Tide Line carries traffic at PRIORITY or better only.</w:t>
      </w:r>
    </w:p>
    <w:p>
      <w:pPr>
        <w:pStyle w:val="Normal"/>
        <w:ind w:left="560" w:hanging="560"/>
      </w:pPr>
      <w:r>
        <w:rPr>
          <w:rFonts w:ascii="Calibri" w:hAnsi="Calibri" w:eastAsia="Microsoft YaHei"/>
          <w:b/>
          <w:color w:val="1F4E5F"/>
          <w:sz w:val="21"/>
        </w:rPr>
        <w:t xml:space="preserve">G.3.4  </w:t>
      </w:r>
      <w:r>
        <w:rPr>
          <w:rFonts w:ascii="Calibri" w:hAnsi="Calibri" w:eastAsia="Microsoft YaHei"/>
          <w:color w:val="222F36"/>
          <w:sz w:val="21"/>
        </w:rPr>
        <w:t xml:space="preserve">Certification. The Recorder certifies the technical account within forty-eight hours. Attribution proceeds afterward only on three-signal findings, and a contested attribution grounds no classification under Article 15.9.</w:t>
      </w:r>
    </w:p>
    <w:p>
      <w:pPr>
        <w:pStyle w:val="Normal"/>
        <w:ind w:left="560" w:hanging="560"/>
      </w:pPr>
      <w:r>
        <w:rPr>
          <w:rFonts w:ascii="Calibri" w:hAnsi="Calibri" w:eastAsia="Microsoft YaHei"/>
          <w:b/>
          <w:color w:val="1F4E5F"/>
          <w:sz w:val="21"/>
        </w:rPr>
        <w:t xml:space="preserve">G.3.5  </w:t>
      </w:r>
      <w:r>
        <w:rPr>
          <w:rFonts w:ascii="Calibri" w:hAnsi="Calibri" w:eastAsia="Microsoft YaHei"/>
          <w:color w:val="222F36"/>
          <w:sz w:val="21"/>
        </w:rPr>
        <w:t xml:space="preserve">Design intent. The pathway exists because the first forty-eight hours decide whether an incident becomes a crisis. The pathway buys those hours with procedure, at the price of patience, and it pays that price gladly.</w:t>
      </w:r>
    </w:p>
    <w:p>
      <w:pPr>
        <w:pStyle w:val="Heading3"/>
        <w:keepNext/>
        <w:keepLines/>
      </w:pPr>
      <w:r>
        <w:rPr>
          <w:rFonts w:ascii="Calibri" w:hAnsi="Calibri" w:eastAsia="Microsoft YaHei"/>
          <w:b/>
          <w:color w:val="222F36"/>
          <w:sz w:val="22"/>
        </w:rPr>
        <w:t xml:space="preserve">G.4 Third-Party Actors</w:t>
      </w:r>
    </w:p>
    <w:p>
      <w:pPr>
        <w:pStyle w:val="Normal"/>
      </w:pPr>
      <w:r>
        <w:rPr>
          <w:rFonts w:ascii="Calibri" w:hAnsi="Calibri" w:eastAsia="Microsoft YaHei"/>
          <w:color w:val="222F36"/>
          <w:sz w:val="21"/>
        </w:rPr>
        <w:t xml:space="preserve">Where non-state actors operate in or near the Compact Waters, the Watch keeps the shared picture, the coastal state of the waters concerned leads the response in its waters, and coordination runs through the Tide Line. Cross-fairway pursuit coordination occurs on the Line before units cross, save in immediate self-defense, which the unit reports within fifteen minutes. Every third-party event enters the rogue actor pathway by default, because third parties are where false flags grow.</w:t>
      </w:r>
    </w:p>
    <w:p>
      <w:pPr>
        <w:pStyle w:val="Heading3"/>
        <w:keepNext/>
        <w:keepLines/>
      </w:pPr>
      <w:r>
        <w:rPr>
          <w:rFonts w:ascii="Calibri" w:hAnsi="Calibri" w:eastAsia="Microsoft YaHei"/>
          <w:b/>
          <w:color w:val="222F36"/>
          <w:sz w:val="22"/>
        </w:rPr>
        <w:t xml:space="preserve">G.5 Cyber Events</w:t>
      </w:r>
    </w:p>
    <w:p>
      <w:pPr>
        <w:pStyle w:val="Normal"/>
      </w:pPr>
      <w:r>
        <w:rPr>
          <w:rFonts w:ascii="Calibri" w:hAnsi="Calibri" w:eastAsia="Microsoft YaHei"/>
          <w:color w:val="222F36"/>
          <w:sz w:val="21"/>
        </w:rPr>
        <w:t xml:space="preserve">On a suspected cyber event touching any Compact system: the affected component isolates; the Office takes a forensic image; the Parties receive notice within twelve hours; the Integrity Cell attempts independent replication; remediation proceeds jointly; the event enters the Concordance with custody intact. A cyber event grounds no finding until replication, and the mirror protects the record throughout (Article 19.6).</w:t>
      </w:r>
    </w:p>
    <w:p>
      <w:pPr>
        <w:pStyle w:val="Heading3"/>
        <w:keepNext/>
        <w:keepLines/>
      </w:pPr>
      <w:r>
        <w:rPr>
          <w:rFonts w:ascii="Calibri" w:hAnsi="Calibri" w:eastAsia="Microsoft YaHei"/>
          <w:b/>
          <w:color w:val="222F36"/>
          <w:sz w:val="22"/>
        </w:rPr>
        <w:t xml:space="preserve">G.6 Post-Incident Review</w:t>
      </w:r>
    </w:p>
    <w:p>
      <w:pPr>
        <w:pStyle w:val="Normal"/>
      </w:pPr>
      <w:r>
        <w:rPr>
          <w:rFonts w:ascii="Calibri" w:hAnsi="Calibri" w:eastAsia="Microsoft YaHei"/>
          <w:color w:val="222F36"/>
          <w:sz w:val="21"/>
        </w:rPr>
        <w:t xml:space="preserve">Within seven days of any incident, the Watch, the Office, and the coastal state liaison review the event: response times, advisory quality, feed performance, and lessons. The review closes with a one-page note to the Council, and its lessons feed the Annual Refit. The note states facts and improvements; it assigns no blame.</w:t>
      </w:r>
    </w:p>
    <w:p>
      <w:pPr>
        <w:pStyle w:val="Heading3"/>
        <w:keepNext/>
        <w:keepLines/>
      </w:pPr>
      <w:r>
        <w:rPr>
          <w:rFonts w:ascii="Calibri" w:hAnsi="Calibri" w:eastAsia="Microsoft YaHei"/>
          <w:b/>
          <w:color w:val="222F36"/>
          <w:sz w:val="22"/>
        </w:rPr>
        <w:t xml:space="preserve">G.7 Search and Rescue Interface</w:t>
      </w:r>
    </w:p>
    <w:p>
      <w:pPr>
        <w:pStyle w:val="Normal"/>
      </w:pPr>
      <w:r>
        <w:rPr>
          <w:rFonts w:ascii="Calibri" w:hAnsi="Calibri" w:eastAsia="Microsoft YaHei"/>
          <w:color w:val="222F36"/>
          <w:sz w:val="21"/>
        </w:rPr>
        <w:t xml:space="preserve">National rescue authorities lead search and rescue. The Watch coordinates the picture, the advisories, and the handover between rescue regions, and Category Four priority applies to every rescue unit. The humanitarian firewall covers the whole interface (Annex F.6).</w:t>
      </w:r>
    </w:p>
    <w:p>
      <w:pPr>
        <w:pStyle w:val="Heading3"/>
        <w:keepNext/>
        <w:keepLines/>
      </w:pPr>
      <w:r>
        <w:rPr>
          <w:rFonts w:ascii="Calibri" w:hAnsi="Calibri" w:eastAsia="Microsoft YaHei"/>
          <w:b/>
          <w:color w:val="222F36"/>
          <w:sz w:val="22"/>
        </w:rPr>
        <w:t xml:space="preserve">G.8 Ordnance Sighting Protocol</w:t>
      </w:r>
    </w:p>
    <w:p>
      <w:pPr>
        <w:pStyle w:val="Normal"/>
      </w:pPr>
      <w:r>
        <w:rPr>
          <w:rFonts w:ascii="Calibri" w:hAnsi="Calibri" w:eastAsia="Microsoft YaHei"/>
          <w:color w:val="222F36"/>
          <w:sz w:val="21"/>
        </w:rPr>
        <w:t xml:space="preserve">On any report of a mine or suspect ordnance: the reporter goes to IMMEDIATE on the nearest channel; the Watch issues a Fairway Advisory within thirty minutes and opens an interim safety adjustment under Article 7.7; the coastal state of the waters concerned tasks explosive ordnance disposal on the fastest clock; the Technical Guarantor observes clearance; and the closure lifts only on certified clearance. Every sighting enters the rogue actor pathway by default until the technical account says otherwise, because ordnance is the classic instrument of the false flag.</w:t>
      </w:r>
    </w:p>
    <w:p>
      <w:pPr>
        <w:pStyle w:val="Heading1"/>
        <w:keepNext/>
        <w:keepLines/>
        <w:pageBreakBefore/>
      </w:pPr>
      <w:r>
        <w:rPr>
          <w:rFonts w:ascii="Calibri" w:hAnsi="Calibri" w:eastAsia="Microsoft YaHei"/>
          <w:b/>
          <w:color w:val="1F4E5F"/>
          <w:sz w:val="34"/>
        </w:rPr>
        <w:t xml:space="preserve">Annex H: Fairway Services Account Charter</w:t>
      </w:r>
    </w:p>
    <w:p>
      <w:pPr>
        <w:pStyle w:val="Normal"/>
      </w:pPr>
      <w:r>
        <w:rPr>
          <w:rFonts w:ascii="Calibri" w:hAnsi="Calibri" w:eastAsia="Microsoft YaHei"/>
          <w:color w:val="222F36"/>
          <w:sz w:val="21"/>
        </w:rPr>
        <w:t xml:space="preserve">This annex keeps the money small, visible, and boring. The Account pays for services. It never touches passage, it never funds force, and it never grows a bureaucracy.</w:t>
      </w:r>
    </w:p>
    <w:p>
      <w:pPr>
        <w:pStyle w:val="Heading3"/>
        <w:keepNext/>
        <w:keepLines/>
      </w:pPr>
      <w:r>
        <w:rPr>
          <w:rFonts w:ascii="Calibri" w:hAnsi="Calibri" w:eastAsia="Microsoft YaHei"/>
          <w:b/>
          <w:color w:val="222F36"/>
          <w:sz w:val="22"/>
        </w:rPr>
        <w:t xml:space="preserve">H.1 Administration</w:t>
      </w:r>
    </w:p>
    <w:p>
      <w:pPr>
        <w:pStyle w:val="Normal"/>
      </w:pPr>
      <w:r>
        <w:rPr>
          <w:rFonts w:ascii="Calibri" w:hAnsi="Calibri" w:eastAsia="Microsoft YaHei"/>
          <w:color w:val="222F36"/>
          <w:sz w:val="21"/>
        </w:rPr>
        <w:t xml:space="preserve">The Record Guarantor administers the Account as Account Agent, under the instructions of the Council, from a Swiss banking seat. Payments move on the instruction of the Secretariat Desk and the verification of the Account Agent: two hands on every payment, always. The Account Agent acts on the charter, not on discretion, and it answers to the annual audit.</w:t>
      </w:r>
    </w:p>
    <w:p>
      <w:pPr>
        <w:pStyle w:val="Heading3"/>
        <w:keepNext/>
        <w:keepLines/>
      </w:pPr>
      <w:r>
        <w:rPr>
          <w:rFonts w:ascii="Calibri" w:hAnsi="Calibri" w:eastAsia="Microsoft YaHei"/>
          <w:b/>
          <w:color w:val="222F36"/>
          <w:sz w:val="22"/>
        </w:rPr>
        <w:t xml:space="preserve">H.2 Resources</w:t>
      </w:r>
    </w:p>
    <w:tbl>
      <w:tblPr>
        <w:tblW w:w="9306" w:type="dxa"/>
        <w:tblBorders>
          <w:top w:val="single" w:color="AEC4C1" w:sz="6"/>
          <w:left w:val="single" w:color="AEC4C1" w:sz="6"/>
          <w:bottom w:val="single" w:color="AEC4C1" w:sz="6"/>
          <w:right w:val="single" w:color="AEC4C1" w:sz="6"/>
          <w:insideH w:val="single" w:color="AEC4C1" w:sz="4"/>
          <w:insideV w:val="single" w:color="AEC4C1" w:sz="4"/>
        </w:tblBorders>
      </w:tblPr>
      <w:tblGrid>
        <w:gridCol w:w="3400"/>
        <w:gridCol w:w="5906"/>
      </w:tblGrid>
      <w:tr>
        <w:trPr>
          <w:cantSplit/>
          <w:tblHeader/>
        </w:trPr>
        <w:tc>
          <w:tcPr>
            <w:tcW w:w="34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Source</w:t>
            </w:r>
          </w:p>
        </w:tc>
        <w:tc>
          <w:tcPr>
            <w:tcW w:w="5906"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Terms</w:t>
            </w:r>
          </w:p>
        </w:tc>
      </w:tr>
      <w:tr>
        <w:trPr>
          <w:cantSplit/>
        </w:trPr>
        <w:tc>
          <w:tcPr>
            <w:tcW w:w="3400" w:type="dxa"/>
            <w:tcMar>
              <w:top w:w="50" w:type="dxa"/>
              <w:left w:w="100" w:type="dxa"/>
              <w:bottom w:w="50" w:type="dxa"/>
              <w:right w:w="100" w:type="dxa"/>
            </w:tcMar>
          </w:tcPr>
          <w:p>
            <w:pPr>
              <w:pStyle w:val="TableText"/>
            </w:pPr>
            <w:r>
              <w:rPr>
                <w:rFonts w:ascii="Calibri" w:hAnsi="Calibri" w:eastAsia="Microsoft YaHei"/>
                <w:color w:val="222F36"/>
                <w:sz w:val="20"/>
              </w:rPr>
              <w:t xml:space="preserve">Founding advances</w:t>
            </w:r>
          </w:p>
        </w:tc>
        <w:tc>
          <w:tcPr>
            <w:tcW w:w="5906" w:type="dxa"/>
            <w:tcMar>
              <w:top w:w="50" w:type="dxa"/>
              <w:left w:w="100" w:type="dxa"/>
              <w:bottom w:w="50" w:type="dxa"/>
              <w:right w:w="100" w:type="dxa"/>
            </w:tcMar>
          </w:tcPr>
          <w:p>
            <w:pPr>
              <w:pStyle w:val="TableText"/>
            </w:pPr>
            <w:r>
              <w:rPr>
                <w:rFonts w:ascii="Calibri" w:hAnsi="Calibri" w:eastAsia="Microsoft YaHei"/>
                <w:color w:val="222F36"/>
                <w:sz w:val="20"/>
              </w:rPr>
              <w:t xml:space="preserve">Six million dollars from each Party, paid within thirty days of signature. Advances are contributions, not loans; no repayment obligation attaches</w:t>
            </w:r>
          </w:p>
        </w:tc>
      </w:tr>
      <w:tr>
        <w:trPr>
          <w:cantSplit/>
        </w:trPr>
        <w:tc>
          <w:tcPr>
            <w:tcW w:w="34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User-state contributions</w:t>
            </w:r>
          </w:p>
        </w:tc>
        <w:tc>
          <w:tcPr>
            <w:tcW w:w="59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Voluntary, under the published formula: a guideline floor of two hundred fifty thousand dollars and a guideline ceiling of two and a half million dollars a year, scaled by transit share. The Secretariat Desk publishes contributors and amounts quarterly</w:t>
            </w:r>
          </w:p>
        </w:tc>
      </w:tr>
      <w:tr>
        <w:trPr>
          <w:cantSplit/>
        </w:trPr>
        <w:tc>
          <w:tcPr>
            <w:tcW w:w="3400" w:type="dxa"/>
            <w:tcMar>
              <w:top w:w="50" w:type="dxa"/>
              <w:left w:w="100" w:type="dxa"/>
              <w:bottom w:w="50" w:type="dxa"/>
              <w:right w:w="100" w:type="dxa"/>
            </w:tcMar>
          </w:tcPr>
          <w:p>
            <w:pPr>
              <w:pStyle w:val="TableText"/>
            </w:pPr>
            <w:r>
              <w:rPr>
                <w:rFonts w:ascii="Calibri" w:hAnsi="Calibri" w:eastAsia="Microsoft YaHei"/>
                <w:color w:val="222F36"/>
                <w:sz w:val="20"/>
              </w:rPr>
              <w:t xml:space="preserve">Guarantor in-kind support</w:t>
            </w:r>
          </w:p>
        </w:tc>
        <w:tc>
          <w:tcPr>
            <w:tcW w:w="5906" w:type="dxa"/>
            <w:tcMar>
              <w:top w:w="50" w:type="dxa"/>
              <w:left w:w="100" w:type="dxa"/>
              <w:bottom w:w="50" w:type="dxa"/>
              <w:right w:w="100" w:type="dxa"/>
            </w:tcMar>
          </w:tcPr>
          <w:p>
            <w:pPr>
              <w:pStyle w:val="TableText"/>
            </w:pPr>
            <w:r>
              <w:rPr>
                <w:rFonts w:ascii="Calibri" w:hAnsi="Calibri" w:eastAsia="Microsoft YaHei"/>
                <w:color w:val="222F36"/>
                <w:sz w:val="20"/>
              </w:rPr>
              <w:t xml:space="preserve">Premises and hosting (Oman), record hosting and administration (Switzerland), good offices (Qatar), tasking and training support (Singapore)</w:t>
            </w:r>
          </w:p>
        </w:tc>
      </w:tr>
      <w:tr>
        <w:trPr>
          <w:cantSplit/>
        </w:trPr>
        <w:tc>
          <w:tcPr>
            <w:tcW w:w="34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Nothing else</w:t>
            </w:r>
          </w:p>
        </w:tc>
        <w:tc>
          <w:tcPr>
            <w:tcW w:w="59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The Account levies no charge on cargo, tonnage, hulls, or passage, and accepts no earmarked private money</w:t>
            </w:r>
          </w:p>
        </w:tc>
      </w:tr>
    </w:tbl>
    <w:p>
      <w:pPr>
        <w:spacing w:before="0" w:after="140"/>
      </w:pPr>
      <w:r>
        <w:rPr>
          <w:sz w:val="8"/>
        </w:rPr>
        <w:t/>
      </w:r>
    </w:p>
    <w:p>
      <w:pPr>
        <w:pStyle w:val="Heading3"/>
        <w:keepNext/>
        <w:keepLines/>
      </w:pPr>
      <w:r>
        <w:rPr>
          <w:rFonts w:ascii="Calibri" w:hAnsi="Calibri" w:eastAsia="Microsoft YaHei"/>
          <w:b/>
          <w:color w:val="222F36"/>
          <w:sz w:val="22"/>
        </w:rPr>
        <w:t xml:space="preserve">H.3 The Steady-State Budget</w:t>
      </w:r>
    </w:p>
    <w:tbl>
      <w:tblPr>
        <w:tblW w:w="9306" w:type="dxa"/>
        <w:tblBorders>
          <w:top w:val="single" w:color="AEC4C1" w:sz="6"/>
          <w:left w:val="single" w:color="AEC4C1" w:sz="6"/>
          <w:bottom w:val="single" w:color="AEC4C1" w:sz="6"/>
          <w:right w:val="single" w:color="AEC4C1" w:sz="6"/>
          <w:insideH w:val="single" w:color="AEC4C1" w:sz="4"/>
          <w:insideV w:val="single" w:color="AEC4C1" w:sz="4"/>
        </w:tblBorders>
      </w:tblPr>
      <w:tblGrid>
        <w:gridCol w:w="5000"/>
        <w:gridCol w:w="1900"/>
        <w:gridCol w:w="2406"/>
      </w:tblGrid>
      <w:tr>
        <w:trPr>
          <w:cantSplit/>
          <w:tblHeader/>
        </w:trPr>
        <w:tc>
          <w:tcPr>
            <w:tcW w:w="50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Line</w:t>
            </w:r>
          </w:p>
        </w:tc>
        <w:tc>
          <w:tcPr>
            <w:tcW w:w="19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Million USD</w:t>
            </w:r>
          </w:p>
        </w:tc>
        <w:tc>
          <w:tcPr>
            <w:tcW w:w="2406"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Share</w:t>
            </w:r>
          </w:p>
        </w:tc>
      </w:tr>
      <w:tr>
        <w:trPr>
          <w:cantSplit/>
        </w:trPr>
        <w:tc>
          <w:tcPr>
            <w:tcW w:w="5000" w:type="dxa"/>
            <w:tcMar>
              <w:top w:w="50" w:type="dxa"/>
              <w:left w:w="100" w:type="dxa"/>
              <w:bottom w:w="50" w:type="dxa"/>
              <w:right w:w="100" w:type="dxa"/>
            </w:tcMar>
          </w:tcPr>
          <w:p>
            <w:pPr>
              <w:pStyle w:val="TableText"/>
            </w:pPr>
            <w:r>
              <w:rPr>
                <w:rFonts w:ascii="Calibri" w:hAnsi="Calibri" w:eastAsia="Microsoft YaHei"/>
                <w:color w:val="222F36"/>
                <w:sz w:val="20"/>
              </w:rPr>
              <w:t xml:space="preserve">Tide Watch operations</w:t>
            </w:r>
          </w:p>
        </w:tc>
        <w:tc>
          <w:tcPr>
            <w:tcW w:w="1900" w:type="dxa"/>
            <w:tcMar>
              <w:top w:w="50" w:type="dxa"/>
              <w:left w:w="100" w:type="dxa"/>
              <w:bottom w:w="50" w:type="dxa"/>
              <w:right w:w="100" w:type="dxa"/>
            </w:tcMar>
          </w:tcPr>
          <w:p>
            <w:pPr>
              <w:pStyle w:val="TableText"/>
            </w:pPr>
            <w:r>
              <w:rPr>
                <w:rFonts w:ascii="Calibri" w:hAnsi="Calibri" w:eastAsia="Microsoft YaHei"/>
                <w:color w:val="222F36"/>
                <w:sz w:val="20"/>
              </w:rPr>
              <w:t xml:space="preserve">7.0</w:t>
            </w:r>
          </w:p>
        </w:tc>
        <w:tc>
          <w:tcPr>
            <w:tcW w:w="2406" w:type="dxa"/>
            <w:tcMar>
              <w:top w:w="50" w:type="dxa"/>
              <w:left w:w="100" w:type="dxa"/>
              <w:bottom w:w="50" w:type="dxa"/>
              <w:right w:w="100" w:type="dxa"/>
            </w:tcMar>
          </w:tcPr>
          <w:p>
            <w:pPr>
              <w:pStyle w:val="TableText"/>
            </w:pPr>
            <w:r>
              <w:rPr>
                <w:rFonts w:ascii="Calibri" w:hAnsi="Calibri" w:eastAsia="Microsoft YaHei"/>
                <w:color w:val="222F36"/>
                <w:sz w:val="20"/>
              </w:rPr>
              <w:t xml:space="preserve">39%</w:t>
            </w:r>
          </w:p>
        </w:tc>
      </w:tr>
      <w:tr>
        <w:trPr>
          <w:cantSplit/>
        </w:trPr>
        <w:tc>
          <w:tcPr>
            <w:tcW w:w="50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Concordance Office</w:t>
            </w:r>
          </w:p>
        </w:tc>
        <w:tc>
          <w:tcPr>
            <w:tcW w:w="19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4.2</w:t>
            </w:r>
          </w:p>
        </w:tc>
        <w:tc>
          <w:tcPr>
            <w:tcW w:w="24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23%</w:t>
            </w:r>
          </w:p>
        </w:tc>
      </w:tr>
      <w:tr>
        <w:trPr>
          <w:cantSplit/>
        </w:trPr>
        <w:tc>
          <w:tcPr>
            <w:tcW w:w="5000" w:type="dxa"/>
            <w:tcMar>
              <w:top w:w="50" w:type="dxa"/>
              <w:left w:w="100" w:type="dxa"/>
              <w:bottom w:w="50" w:type="dxa"/>
              <w:right w:w="100" w:type="dxa"/>
            </w:tcMar>
          </w:tcPr>
          <w:p>
            <w:pPr>
              <w:pStyle w:val="TableText"/>
            </w:pPr>
            <w:r>
              <w:rPr>
                <w:rFonts w:ascii="Calibri" w:hAnsi="Calibri" w:eastAsia="Microsoft YaHei"/>
                <w:color w:val="222F36"/>
                <w:sz w:val="20"/>
              </w:rPr>
              <w:t xml:space="preserve">Survey and aids to navigation</w:t>
            </w:r>
          </w:p>
        </w:tc>
        <w:tc>
          <w:tcPr>
            <w:tcW w:w="1900" w:type="dxa"/>
            <w:tcMar>
              <w:top w:w="50" w:type="dxa"/>
              <w:left w:w="100" w:type="dxa"/>
              <w:bottom w:w="50" w:type="dxa"/>
              <w:right w:w="100" w:type="dxa"/>
            </w:tcMar>
          </w:tcPr>
          <w:p>
            <w:pPr>
              <w:pStyle w:val="TableText"/>
            </w:pPr>
            <w:r>
              <w:rPr>
                <w:rFonts w:ascii="Calibri" w:hAnsi="Calibri" w:eastAsia="Microsoft YaHei"/>
                <w:color w:val="222F36"/>
                <w:sz w:val="20"/>
              </w:rPr>
              <w:t xml:space="preserve">3.0</w:t>
            </w:r>
          </w:p>
        </w:tc>
        <w:tc>
          <w:tcPr>
            <w:tcW w:w="2406" w:type="dxa"/>
            <w:tcMar>
              <w:top w:w="50" w:type="dxa"/>
              <w:left w:w="100" w:type="dxa"/>
              <w:bottom w:w="50" w:type="dxa"/>
              <w:right w:w="100" w:type="dxa"/>
            </w:tcMar>
          </w:tcPr>
          <w:p>
            <w:pPr>
              <w:pStyle w:val="TableText"/>
            </w:pPr>
            <w:r>
              <w:rPr>
                <w:rFonts w:ascii="Calibri" w:hAnsi="Calibri" w:eastAsia="Microsoft YaHei"/>
                <w:color w:val="222F36"/>
                <w:sz w:val="20"/>
              </w:rPr>
              <w:t xml:space="preserve">17%</w:t>
            </w:r>
          </w:p>
        </w:tc>
      </w:tr>
      <w:tr>
        <w:trPr>
          <w:cantSplit/>
        </w:trPr>
        <w:tc>
          <w:tcPr>
            <w:tcW w:w="50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Secretariat Desk</w:t>
            </w:r>
          </w:p>
        </w:tc>
        <w:tc>
          <w:tcPr>
            <w:tcW w:w="19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1.0</w:t>
            </w:r>
          </w:p>
        </w:tc>
        <w:tc>
          <w:tcPr>
            <w:tcW w:w="24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6%</w:t>
            </w:r>
          </w:p>
        </w:tc>
      </w:tr>
      <w:tr>
        <w:trPr>
          <w:cantSplit/>
        </w:trPr>
        <w:tc>
          <w:tcPr>
            <w:tcW w:w="5000" w:type="dxa"/>
            <w:tcMar>
              <w:top w:w="50" w:type="dxa"/>
              <w:left w:w="100" w:type="dxa"/>
              <w:bottom w:w="50" w:type="dxa"/>
              <w:right w:w="100" w:type="dxa"/>
            </w:tcMar>
          </w:tcPr>
          <w:p>
            <w:pPr>
              <w:pStyle w:val="TableText"/>
            </w:pPr>
            <w:r>
              <w:rPr>
                <w:rFonts w:ascii="Calibri" w:hAnsi="Calibri" w:eastAsia="Microsoft YaHei"/>
                <w:color w:val="222F36"/>
                <w:sz w:val="20"/>
              </w:rPr>
              <w:t xml:space="preserve">Training and capacity</w:t>
            </w:r>
          </w:p>
        </w:tc>
        <w:tc>
          <w:tcPr>
            <w:tcW w:w="1900" w:type="dxa"/>
            <w:tcMar>
              <w:top w:w="50" w:type="dxa"/>
              <w:left w:w="100" w:type="dxa"/>
              <w:bottom w:w="50" w:type="dxa"/>
              <w:right w:w="100" w:type="dxa"/>
            </w:tcMar>
          </w:tcPr>
          <w:p>
            <w:pPr>
              <w:pStyle w:val="TableText"/>
            </w:pPr>
            <w:r>
              <w:rPr>
                <w:rFonts w:ascii="Calibri" w:hAnsi="Calibri" w:eastAsia="Microsoft YaHei"/>
                <w:color w:val="222F36"/>
                <w:sz w:val="20"/>
              </w:rPr>
              <w:t xml:space="preserve">0.8</w:t>
            </w:r>
          </w:p>
        </w:tc>
        <w:tc>
          <w:tcPr>
            <w:tcW w:w="2406" w:type="dxa"/>
            <w:tcMar>
              <w:top w:w="50" w:type="dxa"/>
              <w:left w:w="100" w:type="dxa"/>
              <w:bottom w:w="50" w:type="dxa"/>
              <w:right w:w="100" w:type="dxa"/>
            </w:tcMar>
          </w:tcPr>
          <w:p>
            <w:pPr>
              <w:pStyle w:val="TableText"/>
            </w:pPr>
            <w:r>
              <w:rPr>
                <w:rFonts w:ascii="Calibri" w:hAnsi="Calibri" w:eastAsia="Microsoft YaHei"/>
                <w:color w:val="222F36"/>
                <w:sz w:val="20"/>
              </w:rPr>
              <w:t xml:space="preserve">4%</w:t>
            </w:r>
          </w:p>
        </w:tc>
      </w:tr>
      <w:tr>
        <w:trPr>
          <w:cantSplit/>
        </w:trPr>
        <w:tc>
          <w:tcPr>
            <w:tcW w:w="50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Audit, insurance, and administration</w:t>
            </w:r>
          </w:p>
        </w:tc>
        <w:tc>
          <w:tcPr>
            <w:tcW w:w="19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0.5</w:t>
            </w:r>
          </w:p>
        </w:tc>
        <w:tc>
          <w:tcPr>
            <w:tcW w:w="24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3%</w:t>
            </w:r>
          </w:p>
        </w:tc>
      </w:tr>
      <w:tr>
        <w:trPr>
          <w:cantSplit/>
        </w:trPr>
        <w:tc>
          <w:tcPr>
            <w:tcW w:w="5000" w:type="dxa"/>
            <w:tcMar>
              <w:top w:w="50" w:type="dxa"/>
              <w:left w:w="100" w:type="dxa"/>
              <w:bottom w:w="50" w:type="dxa"/>
              <w:right w:w="100" w:type="dxa"/>
            </w:tcMar>
          </w:tcPr>
          <w:p>
            <w:pPr>
              <w:pStyle w:val="TableText"/>
            </w:pPr>
            <w:r>
              <w:rPr>
                <w:rFonts w:ascii="Calibri" w:hAnsi="Calibri" w:eastAsia="Microsoft YaHei"/>
                <w:color w:val="222F36"/>
                <w:sz w:val="20"/>
              </w:rPr>
              <w:t xml:space="preserve">Contingency</w:t>
            </w:r>
          </w:p>
        </w:tc>
        <w:tc>
          <w:tcPr>
            <w:tcW w:w="1900" w:type="dxa"/>
            <w:tcMar>
              <w:top w:w="50" w:type="dxa"/>
              <w:left w:w="100" w:type="dxa"/>
              <w:bottom w:w="50" w:type="dxa"/>
              <w:right w:w="100" w:type="dxa"/>
            </w:tcMar>
          </w:tcPr>
          <w:p>
            <w:pPr>
              <w:pStyle w:val="TableText"/>
            </w:pPr>
            <w:r>
              <w:rPr>
                <w:rFonts w:ascii="Calibri" w:hAnsi="Calibri" w:eastAsia="Microsoft YaHei"/>
                <w:color w:val="222F36"/>
                <w:sz w:val="20"/>
              </w:rPr>
              <w:t xml:space="preserve">1.5</w:t>
            </w:r>
          </w:p>
        </w:tc>
        <w:tc>
          <w:tcPr>
            <w:tcW w:w="2406" w:type="dxa"/>
            <w:tcMar>
              <w:top w:w="50" w:type="dxa"/>
              <w:left w:w="100" w:type="dxa"/>
              <w:bottom w:w="50" w:type="dxa"/>
              <w:right w:w="100" w:type="dxa"/>
            </w:tcMar>
          </w:tcPr>
          <w:p>
            <w:pPr>
              <w:pStyle w:val="TableText"/>
            </w:pPr>
            <w:r>
              <w:rPr>
                <w:rFonts w:ascii="Calibri" w:hAnsi="Calibri" w:eastAsia="Microsoft YaHei"/>
                <w:color w:val="222F36"/>
                <w:sz w:val="20"/>
              </w:rPr>
              <w:t xml:space="preserve">8%</w:t>
            </w:r>
          </w:p>
        </w:tc>
      </w:tr>
      <w:tr>
        <w:trPr>
          <w:cantSplit/>
        </w:trPr>
        <w:tc>
          <w:tcPr>
            <w:tcW w:w="50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Ceiling</w:t>
            </w:r>
          </w:p>
        </w:tc>
        <w:tc>
          <w:tcPr>
            <w:tcW w:w="19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18.0</w:t>
            </w:r>
          </w:p>
        </w:tc>
        <w:tc>
          <w:tcPr>
            <w:tcW w:w="24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100%</w:t>
            </w:r>
          </w:p>
        </w:tc>
      </w:tr>
    </w:tbl>
    <w:p>
      <w:pPr>
        <w:spacing w:before="0" w:after="140"/>
      </w:pPr>
      <w:r>
        <w:rPr>
          <w:sz w:val="8"/>
        </w:rPr>
        <w:t/>
      </w:r>
    </w:p>
    <w:p>
      <w:pPr>
        <w:pStyle w:val="Normal"/>
      </w:pPr>
      <w:r>
        <w:rPr>
          <w:rFonts w:ascii="Calibri" w:hAnsi="Calibri" w:eastAsia="Microsoft YaHei"/>
          <w:color w:val="222F36"/>
          <w:sz w:val="21"/>
        </w:rPr>
        <w:t xml:space="preserve">Overhead stays at or below fifteen percent of the total (Article 13.5). The Council revises the ceiling only by joint instrument after an Annual Refit, and never retroactively. A budget gap continues the prior budget for six months (Article 19.2).</w:t>
      </w:r>
    </w:p>
    <w:p>
      <w:pPr>
        <w:pStyle w:val="Heading3"/>
        <w:keepNext/>
        <w:keepLines/>
      </w:pPr>
      <w:r>
        <w:rPr>
          <w:rFonts w:ascii="Calibri" w:hAnsi="Calibri" w:eastAsia="Microsoft YaHei"/>
          <w:b/>
          <w:color w:val="222F36"/>
          <w:sz w:val="22"/>
        </w:rPr>
        <w:t xml:space="preserve">H.4 The Rate Catalog</w:t>
      </w:r>
    </w:p>
    <w:p>
      <w:pPr>
        <w:pStyle w:val="Normal"/>
      </w:pPr>
      <w:r>
        <w:rPr>
          <w:rFonts w:ascii="Calibri" w:hAnsi="Calibri" w:eastAsia="Microsoft YaHei"/>
          <w:color w:val="222F36"/>
          <w:sz w:val="21"/>
        </w:rPr>
        <w:t xml:space="preserve">The catalog lists services, not passage. Rates equal audited cost with zero margin, and the Annual Refit revises them on evidence. The opening catalog:</w:t>
      </w:r>
    </w:p>
    <w:tbl>
      <w:tblPr>
        <w:tblW w:w="9306" w:type="dxa"/>
        <w:tblBorders>
          <w:top w:val="single" w:color="AEC4C1" w:sz="6"/>
          <w:left w:val="single" w:color="AEC4C1" w:sz="6"/>
          <w:bottom w:val="single" w:color="AEC4C1" w:sz="6"/>
          <w:right w:val="single" w:color="AEC4C1" w:sz="6"/>
          <w:insideH w:val="single" w:color="AEC4C1" w:sz="4"/>
          <w:insideV w:val="single" w:color="AEC4C1" w:sz="4"/>
        </w:tblBorders>
      </w:tblPr>
      <w:tblGrid>
        <w:gridCol w:w="4600"/>
        <w:gridCol w:w="2400"/>
        <w:gridCol w:w="2306"/>
      </w:tblGrid>
      <w:tr>
        <w:trPr>
          <w:cantSplit/>
          <w:tblHeader/>
        </w:trPr>
        <w:tc>
          <w:tcPr>
            <w:tcW w:w="46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Service</w:t>
            </w:r>
          </w:p>
        </w:tc>
        <w:tc>
          <w:tcPr>
            <w:tcW w:w="24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Rate basis</w:t>
            </w:r>
          </w:p>
        </w:tc>
        <w:tc>
          <w:tcPr>
            <w:tcW w:w="2306"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Opening rate</w:t>
            </w:r>
          </w:p>
        </w:tc>
      </w:tr>
      <w:tr>
        <w:trPr>
          <w:cantSplit/>
        </w:trPr>
        <w:tc>
          <w:tcPr>
            <w:tcW w:w="4600" w:type="dxa"/>
            <w:tcMar>
              <w:top w:w="50" w:type="dxa"/>
              <w:left w:w="100" w:type="dxa"/>
              <w:bottom w:w="50" w:type="dxa"/>
              <w:right w:w="100" w:type="dxa"/>
            </w:tcMar>
          </w:tcPr>
          <w:p>
            <w:pPr>
              <w:pStyle w:val="TableText"/>
            </w:pPr>
            <w:r>
              <w:rPr>
                <w:rFonts w:ascii="Calibri" w:hAnsi="Calibri" w:eastAsia="Microsoft YaHei"/>
                <w:color w:val="222F36"/>
                <w:sz w:val="20"/>
              </w:rPr>
              <w:t xml:space="preserve">Route survey, per survey day</w:t>
            </w:r>
          </w:p>
        </w:tc>
        <w:tc>
          <w:tcPr>
            <w:tcW w:w="2400" w:type="dxa"/>
            <w:tcMar>
              <w:top w:w="50" w:type="dxa"/>
              <w:left w:w="100" w:type="dxa"/>
              <w:bottom w:w="50" w:type="dxa"/>
              <w:right w:w="100" w:type="dxa"/>
            </w:tcMar>
          </w:tcPr>
          <w:p>
            <w:pPr>
              <w:pStyle w:val="TableText"/>
            </w:pPr>
            <w:r>
              <w:rPr>
                <w:rFonts w:ascii="Calibri" w:hAnsi="Calibri" w:eastAsia="Microsoft YaHei"/>
                <w:color w:val="222F36"/>
                <w:sz w:val="20"/>
              </w:rPr>
              <w:t xml:space="preserve">Vessel, crew, equipment</w:t>
            </w:r>
          </w:p>
        </w:tc>
        <w:tc>
          <w:tcPr>
            <w:tcW w:w="2306" w:type="dxa"/>
            <w:tcMar>
              <w:top w:w="50" w:type="dxa"/>
              <w:left w:w="100" w:type="dxa"/>
              <w:bottom w:w="50" w:type="dxa"/>
              <w:right w:w="100" w:type="dxa"/>
            </w:tcMar>
          </w:tcPr>
          <w:p>
            <w:pPr>
              <w:pStyle w:val="TableText"/>
            </w:pPr>
            <w:r>
              <w:rPr>
                <w:rFonts w:ascii="Calibri" w:hAnsi="Calibri" w:eastAsia="Microsoft YaHei"/>
                <w:color w:val="222F36"/>
                <w:sz w:val="20"/>
              </w:rPr>
              <w:t xml:space="preserve">38,000 USD</w:t>
            </w:r>
          </w:p>
        </w:tc>
      </w:tr>
      <w:tr>
        <w:trPr>
          <w:cantSplit/>
        </w:trPr>
        <w:tc>
          <w:tcPr>
            <w:tcW w:w="46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Aid to navigation maintenance, per aid-year</w:t>
            </w:r>
          </w:p>
        </w:tc>
        <w:tc>
          <w:tcPr>
            <w:tcW w:w="24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Parts and labor</w:t>
            </w:r>
          </w:p>
        </w:tc>
        <w:tc>
          <w:tcPr>
            <w:tcW w:w="23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14,500 USD</w:t>
            </w:r>
          </w:p>
        </w:tc>
      </w:tr>
      <w:tr>
        <w:trPr>
          <w:cantSplit/>
        </w:trPr>
        <w:tc>
          <w:tcPr>
            <w:tcW w:w="4600" w:type="dxa"/>
            <w:tcMar>
              <w:top w:w="50" w:type="dxa"/>
              <w:left w:w="100" w:type="dxa"/>
              <w:bottom w:w="50" w:type="dxa"/>
              <w:right w:w="100" w:type="dxa"/>
            </w:tcMar>
          </w:tcPr>
          <w:p>
            <w:pPr>
              <w:pStyle w:val="TableText"/>
            </w:pPr>
            <w:r>
              <w:rPr>
                <w:rFonts w:ascii="Calibri" w:hAnsi="Calibri" w:eastAsia="Microsoft YaHei"/>
                <w:color w:val="222F36"/>
                <w:sz w:val="20"/>
              </w:rPr>
              <w:t xml:space="preserve">Escort, per escort day</w:t>
            </w:r>
          </w:p>
        </w:tc>
        <w:tc>
          <w:tcPr>
            <w:tcW w:w="2400" w:type="dxa"/>
            <w:tcMar>
              <w:top w:w="50" w:type="dxa"/>
              <w:left w:w="100" w:type="dxa"/>
              <w:bottom w:w="50" w:type="dxa"/>
              <w:right w:w="100" w:type="dxa"/>
            </w:tcMar>
          </w:tcPr>
          <w:p>
            <w:pPr>
              <w:pStyle w:val="TableText"/>
            </w:pPr>
            <w:r>
              <w:rPr>
                <w:rFonts w:ascii="Calibri" w:hAnsi="Calibri" w:eastAsia="Microsoft YaHei"/>
                <w:color w:val="222F36"/>
                <w:sz w:val="20"/>
              </w:rPr>
              <w:t xml:space="preserve">Vessel and crew at cost</w:t>
            </w:r>
          </w:p>
        </w:tc>
        <w:tc>
          <w:tcPr>
            <w:tcW w:w="2306" w:type="dxa"/>
            <w:tcMar>
              <w:top w:w="50" w:type="dxa"/>
              <w:left w:w="100" w:type="dxa"/>
              <w:bottom w:w="50" w:type="dxa"/>
              <w:right w:w="100" w:type="dxa"/>
            </w:tcMar>
          </w:tcPr>
          <w:p>
            <w:pPr>
              <w:pStyle w:val="TableText"/>
            </w:pPr>
            <w:r>
              <w:rPr>
                <w:rFonts w:ascii="Calibri" w:hAnsi="Calibri" w:eastAsia="Microsoft YaHei"/>
                <w:color w:val="222F36"/>
                <w:sz w:val="20"/>
              </w:rPr>
              <w:t xml:space="preserve">21,000 USD</w:t>
            </w:r>
          </w:p>
        </w:tc>
      </w:tr>
      <w:tr>
        <w:trPr>
          <w:cantSplit/>
        </w:trPr>
        <w:tc>
          <w:tcPr>
            <w:tcW w:w="46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Pilotage support, per movement</w:t>
            </w:r>
          </w:p>
        </w:tc>
        <w:tc>
          <w:tcPr>
            <w:tcW w:w="24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Pilot boat and support</w:t>
            </w:r>
          </w:p>
        </w:tc>
        <w:tc>
          <w:tcPr>
            <w:tcW w:w="23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4,200 USD</w:t>
            </w:r>
          </w:p>
        </w:tc>
      </w:tr>
      <w:tr>
        <w:trPr>
          <w:cantSplit/>
        </w:trPr>
        <w:tc>
          <w:tcPr>
            <w:tcW w:w="4600" w:type="dxa"/>
            <w:tcMar>
              <w:top w:w="50" w:type="dxa"/>
              <w:left w:w="100" w:type="dxa"/>
              <w:bottom w:w="50" w:type="dxa"/>
              <w:right w:w="100" w:type="dxa"/>
            </w:tcMar>
          </w:tcPr>
          <w:p>
            <w:pPr>
              <w:pStyle w:val="TableText"/>
            </w:pPr>
            <w:r>
              <w:rPr>
                <w:rFonts w:ascii="Calibri" w:hAnsi="Calibri" w:eastAsia="Microsoft YaHei"/>
                <w:color w:val="222F36"/>
                <w:sz w:val="20"/>
              </w:rPr>
              <w:t xml:space="preserve">Training seat, per course</w:t>
            </w:r>
          </w:p>
        </w:tc>
        <w:tc>
          <w:tcPr>
            <w:tcW w:w="2400" w:type="dxa"/>
            <w:tcMar>
              <w:top w:w="50" w:type="dxa"/>
              <w:left w:w="100" w:type="dxa"/>
              <w:bottom w:w="50" w:type="dxa"/>
              <w:right w:w="100" w:type="dxa"/>
            </w:tcMar>
          </w:tcPr>
          <w:p>
            <w:pPr>
              <w:pStyle w:val="TableText"/>
            </w:pPr>
            <w:r>
              <w:rPr>
                <w:rFonts w:ascii="Calibri" w:hAnsi="Calibri" w:eastAsia="Microsoft YaHei"/>
                <w:color w:val="222F36"/>
                <w:sz w:val="20"/>
              </w:rPr>
              <w:t xml:space="preserve">Instructor and materials</w:t>
            </w:r>
          </w:p>
        </w:tc>
        <w:tc>
          <w:tcPr>
            <w:tcW w:w="2306" w:type="dxa"/>
            <w:tcMar>
              <w:top w:w="50" w:type="dxa"/>
              <w:left w:w="100" w:type="dxa"/>
              <w:bottom w:w="50" w:type="dxa"/>
              <w:right w:w="100" w:type="dxa"/>
            </w:tcMar>
          </w:tcPr>
          <w:p>
            <w:pPr>
              <w:pStyle w:val="TableText"/>
            </w:pPr>
            <w:r>
              <w:rPr>
                <w:rFonts w:ascii="Calibri" w:hAnsi="Calibri" w:eastAsia="Microsoft YaHei"/>
                <w:color w:val="222F36"/>
                <w:sz w:val="20"/>
              </w:rPr>
              <w:t xml:space="preserve">6,800 USD</w:t>
            </w:r>
          </w:p>
        </w:tc>
      </w:tr>
    </w:tbl>
    <w:p>
      <w:pPr>
        <w:spacing w:before="0" w:after="140"/>
      </w:pPr>
      <w:r>
        <w:rPr>
          <w:sz w:val="8"/>
        </w:rPr>
        <w:t/>
      </w:r>
    </w:p>
    <w:p>
      <w:pPr>
        <w:pStyle w:val="Heading3"/>
        <w:keepNext/>
        <w:keepLines/>
      </w:pPr>
      <w:r>
        <w:rPr>
          <w:rFonts w:ascii="Calibri" w:hAnsi="Calibri" w:eastAsia="Microsoft YaHei"/>
          <w:b/>
          <w:color w:val="222F36"/>
          <w:sz w:val="22"/>
        </w:rPr>
        <w:t xml:space="preserve">H.5 Claims, Audit, and Disputes</w:t>
      </w:r>
    </w:p>
    <w:p>
      <w:pPr>
        <w:pStyle w:val="Normal"/>
        <w:ind w:left="560" w:hanging="560"/>
      </w:pPr>
      <w:r>
        <w:rPr>
          <w:rFonts w:ascii="Calibri" w:hAnsi="Calibri" w:eastAsia="Microsoft YaHei"/>
          <w:b/>
          <w:color w:val="1F4E5F"/>
          <w:sz w:val="21"/>
        </w:rPr>
        <w:t xml:space="preserve">H.5.1  </w:t>
      </w:r>
      <w:r>
        <w:rPr>
          <w:rFonts w:ascii="Calibri" w:hAnsi="Calibri" w:eastAsia="Microsoft YaHei"/>
          <w:color w:val="222F36"/>
          <w:sz w:val="21"/>
        </w:rPr>
        <w:t xml:space="preserve">The coastal states claim reimbursement monthly against the catalog, with supporting records. The Account Agent pays verified claims within thirty days.</w:t>
      </w:r>
    </w:p>
    <w:p>
      <w:pPr>
        <w:pStyle w:val="Normal"/>
        <w:ind w:left="560" w:hanging="560"/>
      </w:pPr>
      <w:r>
        <w:rPr>
          <w:rFonts w:ascii="Calibri" w:hAnsi="Calibri" w:eastAsia="Microsoft YaHei"/>
          <w:b/>
          <w:color w:val="1F4E5F"/>
          <w:sz w:val="21"/>
        </w:rPr>
        <w:t xml:space="preserve">H.5.2  </w:t>
      </w:r>
      <w:r>
        <w:rPr>
          <w:rFonts w:ascii="Calibri" w:hAnsi="Calibri" w:eastAsia="Microsoft YaHei"/>
          <w:color w:val="222F36"/>
          <w:sz w:val="21"/>
        </w:rPr>
        <w:t xml:space="preserve">The Account publishes quarterly statements: receipts, payments, claims, balances, and contribution status. Every participant sees every line (Article 13.6).</w:t>
      </w:r>
    </w:p>
    <w:p>
      <w:pPr>
        <w:pStyle w:val="Normal"/>
        <w:ind w:left="560" w:hanging="560"/>
      </w:pPr>
      <w:r>
        <w:rPr>
          <w:rFonts w:ascii="Calibri" w:hAnsi="Calibri" w:eastAsia="Microsoft YaHei"/>
          <w:b/>
          <w:color w:val="1F4E5F"/>
          <w:sz w:val="21"/>
        </w:rPr>
        <w:t xml:space="preserve">H.5.3  </w:t>
      </w:r>
      <w:r>
        <w:rPr>
          <w:rFonts w:ascii="Calibri" w:hAnsi="Calibri" w:eastAsia="Microsoft YaHei"/>
          <w:color w:val="222F36"/>
          <w:sz w:val="21"/>
        </w:rPr>
        <w:t xml:space="preserve">An external auditor appointed by the Record Guarantor audits annually. Findings track to closure at the next quarter, and the audit files with the Council and the Circle.</w:t>
      </w:r>
    </w:p>
    <w:p>
      <w:pPr>
        <w:pStyle w:val="Normal"/>
        <w:ind w:left="560" w:hanging="560"/>
      </w:pPr>
      <w:r>
        <w:rPr>
          <w:rFonts w:ascii="Calibri" w:hAnsi="Calibri" w:eastAsia="Microsoft YaHei"/>
          <w:b/>
          <w:color w:val="1F4E5F"/>
          <w:sz w:val="21"/>
        </w:rPr>
        <w:t xml:space="preserve">H.5.4  </w:t>
      </w:r>
      <w:r>
        <w:rPr>
          <w:rFonts w:ascii="Calibri" w:hAnsi="Calibri" w:eastAsia="Microsoft YaHei"/>
          <w:color w:val="222F36"/>
          <w:sz w:val="21"/>
        </w:rPr>
        <w:t xml:space="preserve">A financial dispute follows the ladder of Article 17, with the Record Guarantor as the domain arbitrator for record and finance (Article 11.6).</w:t>
      </w:r>
    </w:p>
    <w:p>
      <w:pPr>
        <w:pStyle w:val="Heading3"/>
        <w:keepNext/>
        <w:keepLines/>
      </w:pPr>
      <w:r>
        <w:rPr>
          <w:rFonts w:ascii="Calibri" w:hAnsi="Calibri" w:eastAsia="Microsoft YaHei"/>
          <w:b/>
          <w:color w:val="222F36"/>
          <w:sz w:val="22"/>
        </w:rPr>
        <w:t xml:space="preserve">H.6 Firewall and Procurement</w:t>
      </w:r>
    </w:p>
    <w:p>
      <w:pPr>
        <w:pStyle w:val="Normal"/>
        <w:ind w:left="560" w:hanging="560"/>
      </w:pPr>
      <w:r>
        <w:rPr>
          <w:rFonts w:ascii="Calibri" w:hAnsi="Calibri" w:eastAsia="Microsoft YaHei"/>
          <w:b/>
          <w:color w:val="1F4E5F"/>
          <w:sz w:val="21"/>
        </w:rPr>
        <w:t xml:space="preserve">H.6.1  </w:t>
      </w:r>
      <w:r>
        <w:rPr>
          <w:rFonts w:ascii="Calibri" w:hAnsi="Calibri" w:eastAsia="Microsoft YaHei"/>
          <w:color w:val="222F36"/>
          <w:sz w:val="21"/>
        </w:rPr>
        <w:t xml:space="preserve">Account data serve the Account and nothing else (Article 13.7). No suspension of payments occurs outside the step-back ladder of Annex F, and no step touches the humanitarian firewall.</w:t>
      </w:r>
    </w:p>
    <w:p>
      <w:pPr>
        <w:pStyle w:val="Normal"/>
        <w:ind w:left="560" w:hanging="560"/>
      </w:pPr>
      <w:r>
        <w:rPr>
          <w:rFonts w:ascii="Calibri" w:hAnsi="Calibri" w:eastAsia="Microsoft YaHei"/>
          <w:b/>
          <w:color w:val="1F4E5F"/>
          <w:sz w:val="21"/>
        </w:rPr>
        <w:t xml:space="preserve">H.6.2  </w:t>
      </w:r>
      <w:r>
        <w:rPr>
          <w:rFonts w:ascii="Calibri" w:hAnsi="Calibri" w:eastAsia="Microsoft YaHei"/>
          <w:color w:val="222F36"/>
          <w:sz w:val="21"/>
        </w:rPr>
        <w:t xml:space="preserve">Procurement above fifty thousand dollars takes three quotes. Procurement above two hundred fifty thousand dollars takes a Circle observer. Staff and their families hold no interest in any supplier, and the conflict register publishes quarterly.</w:t>
      </w:r>
    </w:p>
    <w:p>
      <w:pPr>
        <w:pStyle w:val="Heading1"/>
        <w:keepNext/>
        <w:keepLines/>
        <w:pageBreakBefore/>
      </w:pPr>
      <w:r>
        <w:rPr>
          <w:rFonts w:ascii="Calibri" w:hAnsi="Calibri" w:eastAsia="Microsoft YaHei"/>
          <w:b/>
          <w:color w:val="1F4E5F"/>
          <w:sz w:val="34"/>
        </w:rPr>
        <w:t xml:space="preserve">Annex I: Hazard Survey and Reopening Sequence</w:t>
      </w:r>
    </w:p>
    <w:p>
      <w:pPr>
        <w:pStyle w:val="Normal"/>
      </w:pPr>
      <w:r>
        <w:rPr>
          <w:rFonts w:ascii="Calibri" w:hAnsi="Calibri" w:eastAsia="Microsoft YaHei"/>
          <w:color w:val="222F36"/>
          <w:sz w:val="21"/>
        </w:rPr>
        <w:t xml:space="preserve">This annex takes the water from declared safe to certified safe, and the insurance market from caution to normal. The sequence runs once at the start, and thereafter as a standing rhythm.</w:t>
      </w:r>
    </w:p>
    <w:p>
      <w:pPr>
        <w:pStyle w:val="Heading3"/>
        <w:keepNext/>
        <w:keepLines/>
      </w:pPr>
      <w:r>
        <w:rPr>
          <w:rFonts w:ascii="Calibri" w:hAnsi="Calibri" w:eastAsia="Microsoft YaHei"/>
          <w:b/>
          <w:color w:val="222F36"/>
          <w:sz w:val="22"/>
        </w:rPr>
        <w:t xml:space="preserve">I.1 Hazard Declarations</w:t>
      </w:r>
    </w:p>
    <w:p>
      <w:pPr>
        <w:pStyle w:val="Normal"/>
      </w:pPr>
      <w:r>
        <w:rPr>
          <w:rFonts w:ascii="Calibri" w:hAnsi="Calibri" w:eastAsia="Microsoft YaHei"/>
          <w:color w:val="222F36"/>
          <w:sz w:val="21"/>
        </w:rPr>
        <w:t xml:space="preserve">Within seventy-two hours of entry into operation, each Party deposits a declaration on mines, ordnance, wrecks, and other hazards in its waters, to the completeness of its knowledge. The Watch consolidates the declarations into the hazard picture, and the Concordance seals them. A later discovery updates the picture within twenty-four hours; a late-reported known hazard faces the classification engine like any other deviation.</w:t>
      </w:r>
    </w:p>
    <w:p>
      <w:pPr>
        <w:pStyle w:val="Heading3"/>
        <w:keepNext/>
        <w:keepLines/>
      </w:pPr>
      <w:r>
        <w:rPr>
          <w:rFonts w:ascii="Calibri" w:hAnsi="Calibri" w:eastAsia="Microsoft YaHei"/>
          <w:b/>
          <w:color w:val="222F36"/>
          <w:sz w:val="22"/>
        </w:rPr>
        <w:t xml:space="preserve">I.2 The Joint Survey</w:t>
      </w:r>
    </w:p>
    <w:p>
      <w:pPr>
        <w:pStyle w:val="Normal"/>
        <w:ind w:left="560" w:hanging="560"/>
      </w:pPr>
      <w:r>
        <w:rPr>
          <w:rFonts w:ascii="Calibri" w:hAnsi="Calibri" w:eastAsia="Microsoft YaHei"/>
          <w:b/>
          <w:color w:val="1F4E5F"/>
          <w:sz w:val="21"/>
        </w:rPr>
        <w:t xml:space="preserve">I.2.1  </w:t>
      </w:r>
      <w:r>
        <w:rPr>
          <w:rFonts w:ascii="Calibri" w:hAnsi="Calibri" w:eastAsia="Microsoft YaHei"/>
          <w:color w:val="222F36"/>
          <w:sz w:val="21"/>
        </w:rPr>
        <w:t xml:space="preserve">Within seven days of entry into operation, each coastal state begins the route survey of its fairway: side-scan coverage of the lanes, the anchorages, and the boarding stations, with explosive ordnance disposal coordination on call. The Technical Guarantor observes, certifies standards, and tasks satellite support.</w:t>
      </w:r>
    </w:p>
    <w:p>
      <w:pPr>
        <w:pStyle w:val="Normal"/>
        <w:ind w:left="560" w:hanging="560"/>
      </w:pPr>
      <w:r>
        <w:rPr>
          <w:rFonts w:ascii="Calibri" w:hAnsi="Calibri" w:eastAsia="Microsoft YaHei"/>
          <w:b/>
          <w:color w:val="1F4E5F"/>
          <w:sz w:val="21"/>
        </w:rPr>
        <w:t xml:space="preserve">I.2.2  </w:t>
      </w:r>
      <w:r>
        <w:rPr>
          <w:rFonts w:ascii="Calibri" w:hAnsi="Calibri" w:eastAsia="Microsoft YaHei"/>
          <w:color w:val="222F36"/>
          <w:sz w:val="21"/>
        </w:rPr>
        <w:t xml:space="preserve">The survey completes within twenty-one days. Hazards found receive marks by Fairway Advisory at once and clearance tasking on the fastest available clock.</w:t>
      </w:r>
    </w:p>
    <w:p>
      <w:pPr>
        <w:pStyle w:val="Normal"/>
        <w:ind w:left="560" w:hanging="560"/>
      </w:pPr>
      <w:r>
        <w:rPr>
          <w:rFonts w:ascii="Calibri" w:hAnsi="Calibri" w:eastAsia="Microsoft YaHei"/>
          <w:b/>
          <w:color w:val="1F4E5F"/>
          <w:sz w:val="21"/>
        </w:rPr>
        <w:t xml:space="preserve">I.2.3  </w:t>
      </w:r>
      <w:r>
        <w:rPr>
          <w:rFonts w:ascii="Calibri" w:hAnsi="Calibri" w:eastAsia="Microsoft YaHei"/>
          <w:color w:val="222F36"/>
          <w:sz w:val="21"/>
        </w:rPr>
        <w:t xml:space="preserve">The survey never closes the water. The fairways remain open throughout (Article 7.8); advisories route traffic around work and hazards.</w:t>
      </w:r>
    </w:p>
    <w:p>
      <w:pPr>
        <w:pStyle w:val="Heading3"/>
        <w:keepNext/>
        <w:keepLines/>
      </w:pPr>
      <w:r>
        <w:rPr>
          <w:rFonts w:ascii="Calibri" w:hAnsi="Calibri" w:eastAsia="Microsoft YaHei"/>
          <w:b/>
          <w:color w:val="222F36"/>
          <w:sz w:val="22"/>
        </w:rPr>
        <w:t xml:space="preserve">I.3 Certification and Staged Normalization</w:t>
      </w:r>
    </w:p>
    <w:tbl>
      <w:tblPr>
        <w:tblW w:w="9306" w:type="dxa"/>
        <w:tblBorders>
          <w:top w:val="single" w:color="AEC4C1" w:sz="6"/>
          <w:left w:val="single" w:color="AEC4C1" w:sz="6"/>
          <w:bottom w:val="single" w:color="AEC4C1" w:sz="6"/>
          <w:right w:val="single" w:color="AEC4C1" w:sz="6"/>
          <w:insideH w:val="single" w:color="AEC4C1" w:sz="4"/>
          <w:insideV w:val="single" w:color="AEC4C1" w:sz="4"/>
        </w:tblBorders>
      </w:tblPr>
      <w:tblGrid>
        <w:gridCol w:w="1500"/>
        <w:gridCol w:w="4600"/>
        <w:gridCol w:w="3206"/>
      </w:tblGrid>
      <w:tr>
        <w:trPr>
          <w:cantSplit/>
          <w:tblHeader/>
        </w:trPr>
        <w:tc>
          <w:tcPr>
            <w:tcW w:w="15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Stage</w:t>
            </w:r>
          </w:p>
        </w:tc>
        <w:tc>
          <w:tcPr>
            <w:tcW w:w="46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Content</w:t>
            </w:r>
          </w:p>
        </w:tc>
        <w:tc>
          <w:tcPr>
            <w:tcW w:w="3206"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Certification</w:t>
            </w:r>
          </w:p>
        </w:tc>
      </w:tr>
      <w:tr>
        <w:trPr>
          <w:cantSplit/>
        </w:trPr>
        <w:tc>
          <w:tcPr>
            <w:tcW w:w="1500" w:type="dxa"/>
            <w:tcMar>
              <w:top w:w="50" w:type="dxa"/>
              <w:left w:w="100" w:type="dxa"/>
              <w:bottom w:w="50" w:type="dxa"/>
              <w:right w:w="100" w:type="dxa"/>
            </w:tcMar>
          </w:tcPr>
          <w:p>
            <w:pPr>
              <w:pStyle w:val="TableText"/>
            </w:pPr>
            <w:r>
              <w:rPr>
                <w:rFonts w:ascii="Calibri" w:hAnsi="Calibri" w:eastAsia="Microsoft YaHei"/>
                <w:color w:val="222F36"/>
                <w:sz w:val="20"/>
              </w:rPr>
              <w:t xml:space="preserve">Stage One</w:t>
            </w:r>
          </w:p>
        </w:tc>
        <w:tc>
          <w:tcPr>
            <w:tcW w:w="4600" w:type="dxa"/>
            <w:tcMar>
              <w:top w:w="50" w:type="dxa"/>
              <w:left w:w="100" w:type="dxa"/>
              <w:bottom w:w="50" w:type="dxa"/>
              <w:right w:w="100" w:type="dxa"/>
            </w:tcMar>
          </w:tcPr>
          <w:p>
            <w:pPr>
              <w:pStyle w:val="TableText"/>
            </w:pPr>
            <w:r>
              <w:rPr>
                <w:rFonts w:ascii="Calibri" w:hAnsi="Calibri" w:eastAsia="Microsoft YaHei"/>
                <w:color w:val="222F36"/>
                <w:sz w:val="20"/>
              </w:rPr>
              <w:t xml:space="preserve">Fairway lanes surveyed, hazards marked or cleared</w:t>
            </w:r>
          </w:p>
        </w:tc>
        <w:tc>
          <w:tcPr>
            <w:tcW w:w="3206" w:type="dxa"/>
            <w:tcMar>
              <w:top w:w="50" w:type="dxa"/>
              <w:left w:w="100" w:type="dxa"/>
              <w:bottom w:w="50" w:type="dxa"/>
              <w:right w:w="100" w:type="dxa"/>
            </w:tcMar>
          </w:tcPr>
          <w:p>
            <w:pPr>
              <w:pStyle w:val="TableText"/>
            </w:pPr>
            <w:r>
              <w:rPr>
                <w:rFonts w:ascii="Calibri" w:hAnsi="Calibri" w:eastAsia="Microsoft YaHei"/>
                <w:color w:val="222F36"/>
                <w:sz w:val="20"/>
              </w:rPr>
              <w:t xml:space="preserve">Technical Guarantor, per fairway</w:t>
            </w:r>
          </w:p>
        </w:tc>
      </w:tr>
      <w:tr>
        <w:trPr>
          <w:cantSplit/>
        </w:trPr>
        <w:tc>
          <w:tcPr>
            <w:tcW w:w="15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Stage Two</w:t>
            </w:r>
          </w:p>
        </w:tc>
        <w:tc>
          <w:tcPr>
            <w:tcW w:w="46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Anchorages and boarding stations surveyed</w:t>
            </w:r>
          </w:p>
        </w:tc>
        <w:tc>
          <w:tcPr>
            <w:tcW w:w="32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Technical Guarantor</w:t>
            </w:r>
          </w:p>
        </w:tc>
      </w:tr>
      <w:tr>
        <w:trPr>
          <w:cantSplit/>
        </w:trPr>
        <w:tc>
          <w:tcPr>
            <w:tcW w:w="1500" w:type="dxa"/>
            <w:tcMar>
              <w:top w:w="50" w:type="dxa"/>
              <w:left w:w="100" w:type="dxa"/>
              <w:bottom w:w="50" w:type="dxa"/>
              <w:right w:w="100" w:type="dxa"/>
            </w:tcMar>
          </w:tcPr>
          <w:p>
            <w:pPr>
              <w:pStyle w:val="TableText"/>
            </w:pPr>
            <w:r>
              <w:rPr>
                <w:rFonts w:ascii="Calibri" w:hAnsi="Calibri" w:eastAsia="Microsoft YaHei"/>
                <w:color w:val="222F36"/>
                <w:sz w:val="20"/>
              </w:rPr>
              <w:t xml:space="preserve">Stage Three</w:t>
            </w:r>
          </w:p>
        </w:tc>
        <w:tc>
          <w:tcPr>
            <w:tcW w:w="4600" w:type="dxa"/>
            <w:tcMar>
              <w:top w:w="50" w:type="dxa"/>
              <w:left w:w="100" w:type="dxa"/>
              <w:bottom w:w="50" w:type="dxa"/>
              <w:right w:w="100" w:type="dxa"/>
            </w:tcMar>
          </w:tcPr>
          <w:p>
            <w:pPr>
              <w:pStyle w:val="TableText"/>
            </w:pPr>
            <w:r>
              <w:rPr>
                <w:rFonts w:ascii="Calibri" w:hAnsi="Calibri" w:eastAsia="Microsoft YaHei"/>
                <w:color w:val="222F36"/>
                <w:sz w:val="20"/>
              </w:rPr>
              <w:t xml:space="preserve">Full catalog: charts, advisories, tidal data current</w:t>
            </w:r>
          </w:p>
        </w:tc>
        <w:tc>
          <w:tcPr>
            <w:tcW w:w="3206" w:type="dxa"/>
            <w:tcMar>
              <w:top w:w="50" w:type="dxa"/>
              <w:left w:w="100" w:type="dxa"/>
              <w:bottom w:w="50" w:type="dxa"/>
              <w:right w:w="100" w:type="dxa"/>
            </w:tcMar>
          </w:tcPr>
          <w:p>
            <w:pPr>
              <w:pStyle w:val="TableText"/>
            </w:pPr>
            <w:r>
              <w:rPr>
                <w:rFonts w:ascii="Calibri" w:hAnsi="Calibri" w:eastAsia="Microsoft YaHei"/>
                <w:color w:val="222F36"/>
                <w:sz w:val="20"/>
              </w:rPr>
              <w:t xml:space="preserve">Technical Guarantor at the Annual Refit</w:t>
            </w:r>
          </w:p>
        </w:tc>
      </w:tr>
    </w:tbl>
    <w:p>
      <w:pPr>
        <w:spacing w:before="0" w:after="140"/>
      </w:pPr>
      <w:r>
        <w:rPr>
          <w:sz w:val="8"/>
        </w:rPr>
        <w:t/>
      </w:r>
    </w:p>
    <w:p>
      <w:pPr>
        <w:pStyle w:val="Normal"/>
      </w:pPr>
      <w:r>
        <w:rPr>
          <w:rFonts w:ascii="Calibri" w:hAnsi="Calibri" w:eastAsia="Microsoft YaHei"/>
          <w:color w:val="222F36"/>
          <w:sz w:val="21"/>
        </w:rPr>
        <w:t xml:space="preserve">Each certificate enters the Concordance, the chart catalog, and the Tide Report. Certification is a fact, published once, that every insurer reads for itself.</w:t>
      </w:r>
    </w:p>
    <w:p>
      <w:pPr>
        <w:pStyle w:val="Heading3"/>
        <w:keepNext/>
        <w:keepLines/>
      </w:pPr>
      <w:r>
        <w:rPr>
          <w:rFonts w:ascii="Calibri" w:hAnsi="Calibri" w:eastAsia="Microsoft YaHei"/>
          <w:b/>
          <w:color w:val="222F36"/>
          <w:sz w:val="22"/>
        </w:rPr>
        <w:t xml:space="preserve">I.4 Insurance Normalization</w:t>
      </w:r>
    </w:p>
    <w:p>
      <w:pPr>
        <w:pStyle w:val="Normal"/>
        <w:ind w:left="560" w:hanging="560"/>
      </w:pPr>
      <w:r>
        <w:rPr>
          <w:rFonts w:ascii="Calibri" w:hAnsi="Calibri" w:eastAsia="Microsoft YaHei"/>
          <w:b/>
          <w:color w:val="1F4E5F"/>
          <w:sz w:val="21"/>
        </w:rPr>
        <w:t xml:space="preserve">I.4.1  </w:t>
      </w:r>
      <w:r>
        <w:rPr>
          <w:rFonts w:ascii="Calibri" w:hAnsi="Calibri" w:eastAsia="Microsoft YaHei"/>
          <w:color w:val="222F36"/>
          <w:sz w:val="21"/>
        </w:rPr>
        <w:t xml:space="preserve">The Parties, through the Secretariat Desk, engage the classification societies, the protection and indemnity clubs, and the war-risk underwriters, and provide the survey certificates, the Tide Report archive, and the verification record as evidence of condition.</w:t>
      </w:r>
    </w:p>
    <w:p>
      <w:pPr>
        <w:pStyle w:val="Normal"/>
        <w:ind w:left="560" w:hanging="560"/>
      </w:pPr>
      <w:r>
        <w:rPr>
          <w:rFonts w:ascii="Calibri" w:hAnsi="Calibri" w:eastAsia="Microsoft YaHei"/>
          <w:b/>
          <w:color w:val="1F4E5F"/>
          <w:sz w:val="21"/>
        </w:rPr>
        <w:t xml:space="preserve">I.4.2  </w:t>
      </w:r>
      <w:r>
        <w:rPr>
          <w:rFonts w:ascii="Calibri" w:hAnsi="Calibri" w:eastAsia="Microsoft YaHei"/>
          <w:color w:val="222F36"/>
          <w:sz w:val="21"/>
        </w:rPr>
        <w:t xml:space="preserve">The target: war-risk premiums for the Strait return to pre-crisis levels within sixty days of Stage One certification. The Desk reports premium movement quarterly, and the report states facts without advocacy.</w:t>
      </w:r>
    </w:p>
    <w:p>
      <w:pPr>
        <w:pStyle w:val="Normal"/>
        <w:ind w:left="560" w:hanging="560"/>
      </w:pPr>
      <w:r>
        <w:rPr>
          <w:rFonts w:ascii="Calibri" w:hAnsi="Calibri" w:eastAsia="Microsoft YaHei"/>
          <w:b/>
          <w:color w:val="1F4E5F"/>
          <w:sz w:val="21"/>
        </w:rPr>
        <w:t xml:space="preserve">I.4.3  </w:t>
      </w:r>
      <w:r>
        <w:rPr>
          <w:rFonts w:ascii="Calibri" w:hAnsi="Calibri" w:eastAsia="Microsoft YaHei"/>
          <w:color w:val="222F36"/>
          <w:sz w:val="21"/>
        </w:rPr>
        <w:t xml:space="preserve">Where premiums lag the evidence, the Guarantor Circle hosts a technical briefing for the market: the record speaks, the market decides, and no participant pressures an underwriter.</w:t>
      </w:r>
    </w:p>
    <w:p>
      <w:pPr>
        <w:pStyle w:val="Heading3"/>
        <w:keepNext/>
        <w:keepLines/>
      </w:pPr>
      <w:r>
        <w:rPr>
          <w:rFonts w:ascii="Calibri" w:hAnsi="Calibri" w:eastAsia="Microsoft YaHei"/>
          <w:b/>
          <w:color w:val="222F36"/>
          <w:sz w:val="22"/>
        </w:rPr>
        <w:t xml:space="preserve">I.5 Wrecks, Salvage, and Standing Rhythm</w:t>
      </w:r>
    </w:p>
    <w:p>
      <w:pPr>
        <w:pStyle w:val="Normal"/>
      </w:pPr>
      <w:r>
        <w:rPr>
          <w:rFonts w:ascii="Calibri" w:hAnsi="Calibri" w:eastAsia="Microsoft YaHei"/>
          <w:color w:val="222F36"/>
          <w:sz w:val="21"/>
        </w:rPr>
        <w:t xml:space="preserve">Wreck marking and removal follow the law of the coastal state, coordinated through the Watch, with costs resting first on owner and insurer; the Account advances urgent marking costs, recoverable at cost. The standing rhythm: an annual route survey, a survey after any incident suggesting ordnance, and a full catalog review at each Annual Refit.</w:t>
      </w:r>
    </w:p>
    <w:p>
      <w:pPr>
        <w:pStyle w:val="Heading1"/>
        <w:keepNext/>
        <w:keepLines/>
        <w:pageBreakBefore/>
      </w:pPr>
      <w:r>
        <w:rPr>
          <w:rFonts w:ascii="Calibri" w:hAnsi="Calibri" w:eastAsia="Microsoft YaHei"/>
          <w:b/>
          <w:color w:val="1F4E5F"/>
          <w:sz w:val="34"/>
        </w:rPr>
        <w:t xml:space="preserve">Annex J: De-confliction, Environmental, and Crew Safeguards</w:t>
      </w:r>
    </w:p>
    <w:p>
      <w:pPr>
        <w:pStyle w:val="Normal"/>
      </w:pPr>
      <w:r>
        <w:rPr>
          <w:rFonts w:ascii="Calibri" w:hAnsi="Calibri" w:eastAsia="Microsoft YaHei"/>
          <w:color w:val="222F36"/>
          <w:sz w:val="21"/>
        </w:rPr>
        <w:t xml:space="preserve">This annex keeps steel apart, water clean, and crews safe. It binds state craft to courtesy and distance, binds commerce to cleanliness, and binds every participant to the seafarer.</w:t>
      </w:r>
    </w:p>
    <w:p>
      <w:pPr>
        <w:pStyle w:val="Heading3"/>
        <w:keepNext/>
        <w:keepLines/>
      </w:pPr>
      <w:r>
        <w:rPr>
          <w:rFonts w:ascii="Calibri" w:hAnsi="Calibri" w:eastAsia="Microsoft YaHei"/>
          <w:b/>
          <w:color w:val="222F36"/>
          <w:sz w:val="22"/>
        </w:rPr>
        <w:t xml:space="preserve">J.1 State Craft Conduct</w:t>
      </w:r>
    </w:p>
    <w:p>
      <w:pPr>
        <w:pStyle w:val="Normal"/>
        <w:ind w:left="560" w:hanging="560"/>
      </w:pPr>
      <w:r>
        <w:rPr>
          <w:rFonts w:ascii="Calibri" w:hAnsi="Calibri" w:eastAsia="Microsoft YaHei"/>
          <w:b/>
          <w:color w:val="1F4E5F"/>
          <w:sz w:val="21"/>
        </w:rPr>
        <w:t xml:space="preserve">J.1.1  </w:t>
      </w:r>
      <w:r>
        <w:rPr>
          <w:rFonts w:ascii="Calibri" w:hAnsi="Calibri" w:eastAsia="Microsoft YaHei"/>
          <w:color w:val="222F36"/>
          <w:sz w:val="21"/>
        </w:rPr>
        <w:t xml:space="preserve">Courtesy notice. State craft of Category Three file a courtesy notice twenty-four hours ahead for either fairway (Annex B). The notice informs; it never requests.</w:t>
      </w:r>
    </w:p>
    <w:p>
      <w:pPr>
        <w:pStyle w:val="Normal"/>
        <w:ind w:left="560" w:hanging="560"/>
      </w:pPr>
      <w:r>
        <w:rPr>
          <w:rFonts w:ascii="Calibri" w:hAnsi="Calibri" w:eastAsia="Microsoft YaHei"/>
          <w:b/>
          <w:color w:val="1F4E5F"/>
          <w:sz w:val="21"/>
        </w:rPr>
        <w:t xml:space="preserve">J.1.2  </w:t>
      </w:r>
      <w:r>
        <w:rPr>
          <w:rFonts w:ascii="Calibri" w:hAnsi="Calibri" w:eastAsia="Microsoft YaHei"/>
          <w:color w:val="222F36"/>
          <w:sz w:val="21"/>
        </w:rPr>
        <w:t xml:space="preserve">Distance. State craft keep at least three nautical miles from merchant vessels in the fairways, except in coordinated escort, rescue, or assistance. In the Separation Band, state craft transit without loitering (Article 7.6).</w:t>
      </w:r>
    </w:p>
    <w:p>
      <w:pPr>
        <w:pStyle w:val="Normal"/>
        <w:ind w:left="560" w:hanging="560"/>
      </w:pPr>
      <w:r>
        <w:rPr>
          <w:rFonts w:ascii="Calibri" w:hAnsi="Calibri" w:eastAsia="Microsoft YaHei"/>
          <w:b/>
          <w:color w:val="1F4E5F"/>
          <w:sz w:val="21"/>
        </w:rPr>
        <w:t xml:space="preserve">J.1.3  </w:t>
      </w:r>
      <w:r>
        <w:rPr>
          <w:rFonts w:ascii="Calibri" w:hAnsi="Calibri" w:eastAsia="Microsoft YaHei"/>
          <w:color w:val="222F36"/>
          <w:sz w:val="21"/>
        </w:rPr>
        <w:t xml:space="preserve">Numbers. Each Party publishes its routine presence level in the Compact Waters, and the Watch publishes the combined level monthly. A surge beyond one hundred fifty percent of the published level triggers an enhanced review under the Three-Signal Rule, described factually in the Tide Report.</w:t>
      </w:r>
    </w:p>
    <w:p>
      <w:pPr>
        <w:pStyle w:val="Normal"/>
        <w:ind w:left="560" w:hanging="560"/>
      </w:pPr>
      <w:r>
        <w:rPr>
          <w:rFonts w:ascii="Calibri" w:hAnsi="Calibri" w:eastAsia="Microsoft YaHei"/>
          <w:b/>
          <w:color w:val="1F4E5F"/>
          <w:sz w:val="21"/>
        </w:rPr>
        <w:t xml:space="preserve">J.1.4  </w:t>
      </w:r>
      <w:r>
        <w:rPr>
          <w:rFonts w:ascii="Calibri" w:hAnsi="Calibri" w:eastAsia="Microsoft YaHei"/>
          <w:color w:val="222F36"/>
          <w:sz w:val="21"/>
        </w:rPr>
        <w:t xml:space="preserve">Exercises. Live firing never occurs in the Compact Waters. Exercises of any kind occur outside the fairways and the Band, with fourteen days of notice through the Watch and a Fairway Advisory to all traffic.</w:t>
      </w:r>
    </w:p>
    <w:p>
      <w:pPr>
        <w:pStyle w:val="Normal"/>
        <w:ind w:left="560" w:hanging="560"/>
      </w:pPr>
      <w:r>
        <w:rPr>
          <w:rFonts w:ascii="Calibri" w:hAnsi="Calibri" w:eastAsia="Microsoft YaHei"/>
          <w:b/>
          <w:color w:val="1F4E5F"/>
          <w:sz w:val="21"/>
        </w:rPr>
        <w:t xml:space="preserve">J.1.5  </w:t>
      </w:r>
      <w:r>
        <w:rPr>
          <w:rFonts w:ascii="Calibri" w:hAnsi="Calibri" w:eastAsia="Microsoft YaHei"/>
          <w:color w:val="222F36"/>
          <w:sz w:val="21"/>
        </w:rPr>
        <w:t xml:space="preserve">Air activity. Aircraft keep at least three nautical miles and one thousand feet from merchant vessels in the fairways, except in rescue. Unmanned systems coordinate through the Tide Line and carry working identification.</w:t>
      </w:r>
    </w:p>
    <w:p>
      <w:pPr>
        <w:pStyle w:val="Heading3"/>
        <w:keepNext/>
        <w:keepLines/>
      </w:pPr>
      <w:r>
        <w:rPr>
          <w:rFonts w:ascii="Calibri" w:hAnsi="Calibri" w:eastAsia="Microsoft YaHei"/>
          <w:b/>
          <w:color w:val="222F36"/>
          <w:sz w:val="22"/>
        </w:rPr>
        <w:t xml:space="preserve">J.2 Adherent Navies</w:t>
      </w:r>
    </w:p>
    <w:p>
      <w:pPr>
        <w:pStyle w:val="Normal"/>
      </w:pPr>
      <w:r>
        <w:rPr>
          <w:rFonts w:ascii="Calibri" w:hAnsi="Calibri" w:eastAsia="Microsoft YaHei"/>
          <w:color w:val="222F36"/>
          <w:sz w:val="21"/>
        </w:rPr>
        <w:t xml:space="preserve">Forces of an adhering state follow this annex in full under the Adherence Instrument of Annex K, and their courtesy notices file through the same system. Adherence binds conduct; it confers no role (Article 12.5). The Tide Line protocol of Annex D extends to the operations centers of adherent navies on request, with the same clocks and the same courtesy.</w:t>
      </w:r>
    </w:p>
    <w:p>
      <w:pPr>
        <w:pStyle w:val="Heading3"/>
        <w:keepNext/>
        <w:keepLines/>
      </w:pPr>
      <w:r>
        <w:rPr>
          <w:rFonts w:ascii="Calibri" w:hAnsi="Calibri" w:eastAsia="Microsoft YaHei"/>
          <w:b/>
          <w:color w:val="222F36"/>
          <w:sz w:val="22"/>
        </w:rPr>
        <w:t xml:space="preserve">J.3 Environmental Safeguards</w:t>
      </w:r>
    </w:p>
    <w:p>
      <w:pPr>
        <w:pStyle w:val="Normal"/>
        <w:ind w:left="560" w:hanging="560"/>
      </w:pPr>
      <w:r>
        <w:rPr>
          <w:rFonts w:ascii="Calibri" w:hAnsi="Calibri" w:eastAsia="Microsoft YaHei"/>
          <w:b/>
          <w:color w:val="1F4E5F"/>
          <w:sz w:val="21"/>
        </w:rPr>
        <w:t xml:space="preserve">J.3.1  </w:t>
      </w:r>
      <w:r>
        <w:rPr>
          <w:rFonts w:ascii="Calibri" w:hAnsi="Calibri" w:eastAsia="Microsoft YaHei"/>
          <w:color w:val="222F36"/>
          <w:sz w:val="21"/>
        </w:rPr>
        <w:t xml:space="preserve">Discharge. MARPOL governs every discharge. The Watch records reported violations, and the coastal state of the waters concerned enforces as law provides. Repeated violations by one operator enter the recalibration dialogue and, on findings, the classification engine.</w:t>
      </w:r>
    </w:p>
    <w:p>
      <w:pPr>
        <w:pStyle w:val="Normal"/>
        <w:ind w:left="560" w:hanging="560"/>
      </w:pPr>
      <w:r>
        <w:rPr>
          <w:rFonts w:ascii="Calibri" w:hAnsi="Calibri" w:eastAsia="Microsoft YaHei"/>
          <w:b/>
          <w:color w:val="1F4E5F"/>
          <w:sz w:val="21"/>
        </w:rPr>
        <w:t xml:space="preserve">J.3.2  </w:t>
      </w:r>
      <w:r>
        <w:rPr>
          <w:rFonts w:ascii="Calibri" w:hAnsi="Calibri" w:eastAsia="Microsoft YaHei"/>
          <w:color w:val="222F36"/>
          <w:sz w:val="21"/>
        </w:rPr>
        <w:t xml:space="preserve">Ballast and bunkering. Ballast exchange follows the published zones outside the fairways. Bunkering occurs at the anchorages, under the catalog, with spill containment standing by.</w:t>
      </w:r>
    </w:p>
    <w:p>
      <w:pPr>
        <w:pStyle w:val="Normal"/>
        <w:ind w:left="560" w:hanging="560"/>
      </w:pPr>
      <w:r>
        <w:rPr>
          <w:rFonts w:ascii="Calibri" w:hAnsi="Calibri" w:eastAsia="Microsoft YaHei"/>
          <w:b/>
          <w:color w:val="1F4E5F"/>
          <w:sz w:val="21"/>
        </w:rPr>
        <w:t xml:space="preserve">J.3.3  </w:t>
      </w:r>
      <w:r>
        <w:rPr>
          <w:rFonts w:ascii="Calibri" w:hAnsi="Calibri" w:eastAsia="Microsoft YaHei"/>
          <w:color w:val="222F36"/>
          <w:sz w:val="21"/>
        </w:rPr>
        <w:t xml:space="preserve">Spill response. Each coastal state designates on-call response assets; the joint response plan places the first asset on scene within two hours of a Tier One report; the Watch coordinates the picture and the advisories. Pollution response is Category Four: the firewall covers it completely.</w:t>
      </w:r>
    </w:p>
    <w:p>
      <w:pPr>
        <w:pStyle w:val="Normal"/>
        <w:ind w:left="560" w:hanging="560"/>
      </w:pPr>
      <w:r>
        <w:rPr>
          <w:rFonts w:ascii="Calibri" w:hAnsi="Calibri" w:eastAsia="Microsoft YaHei"/>
          <w:b/>
          <w:color w:val="1F4E5F"/>
          <w:sz w:val="21"/>
        </w:rPr>
        <w:t xml:space="preserve">J.3.4  </w:t>
      </w:r>
      <w:r>
        <w:rPr>
          <w:rFonts w:ascii="Calibri" w:hAnsi="Calibri" w:eastAsia="Microsoft YaHei"/>
          <w:color w:val="222F36"/>
          <w:sz w:val="21"/>
        </w:rPr>
        <w:t xml:space="preserve">Sensitive areas. The Watch publishes the environmentally sensitive areas along both coasts and the routing measures that protect them, in consultation with the Technical Guarantor.</w:t>
      </w:r>
    </w:p>
    <w:p>
      <w:pPr>
        <w:pStyle w:val="Heading3"/>
        <w:keepNext/>
        <w:keepLines/>
      </w:pPr>
      <w:r>
        <w:rPr>
          <w:rFonts w:ascii="Calibri" w:hAnsi="Calibri" w:eastAsia="Microsoft YaHei"/>
          <w:b/>
          <w:color w:val="222F36"/>
          <w:sz w:val="22"/>
        </w:rPr>
        <w:t xml:space="preserve">J.4 Crew Safeguards</w:t>
      </w:r>
    </w:p>
    <w:p>
      <w:pPr>
        <w:pStyle w:val="Normal"/>
        <w:ind w:left="560" w:hanging="560"/>
      </w:pPr>
      <w:r>
        <w:rPr>
          <w:rFonts w:ascii="Calibri" w:hAnsi="Calibri" w:eastAsia="Microsoft YaHei"/>
          <w:b/>
          <w:color w:val="1F4E5F"/>
          <w:sz w:val="21"/>
        </w:rPr>
        <w:t xml:space="preserve">J.4.1  </w:t>
      </w:r>
      <w:r>
        <w:rPr>
          <w:rFonts w:ascii="Calibri" w:hAnsi="Calibri" w:eastAsia="Microsoft YaHei"/>
          <w:color w:val="222F36"/>
          <w:sz w:val="21"/>
        </w:rPr>
        <w:t xml:space="preserve">No crew as leverage. No Party detains a crew, and no participant pressures one, as leverage in any dispute. Crew welfare questions route through the quiet channel of the Mediation Guarantor, and the firewall covers repatriation.</w:t>
      </w:r>
    </w:p>
    <w:p>
      <w:pPr>
        <w:pStyle w:val="Normal"/>
        <w:ind w:left="560" w:hanging="560"/>
      </w:pPr>
      <w:r>
        <w:rPr>
          <w:rFonts w:ascii="Calibri" w:hAnsi="Calibri" w:eastAsia="Microsoft YaHei"/>
          <w:b/>
          <w:color w:val="1F4E5F"/>
          <w:sz w:val="21"/>
        </w:rPr>
        <w:t xml:space="preserve">J.4.2  </w:t>
      </w:r>
      <w:r>
        <w:rPr>
          <w:rFonts w:ascii="Calibri" w:hAnsi="Calibri" w:eastAsia="Microsoft YaHei"/>
          <w:color w:val="222F36"/>
          <w:sz w:val="21"/>
        </w:rPr>
        <w:t xml:space="preserve">Welfare services. The anchorages support shore leave, medical care, and communication home, as catalog services. The Watch publishes the services and the contacts.</w:t>
      </w:r>
    </w:p>
    <w:p>
      <w:pPr>
        <w:pStyle w:val="Normal"/>
        <w:ind w:left="560" w:hanging="560"/>
      </w:pPr>
      <w:r>
        <w:rPr>
          <w:rFonts w:ascii="Calibri" w:hAnsi="Calibri" w:eastAsia="Microsoft YaHei"/>
          <w:b/>
          <w:color w:val="1F4E5F"/>
          <w:sz w:val="21"/>
        </w:rPr>
        <w:t xml:space="preserve">J.4.3  </w:t>
      </w:r>
      <w:r>
        <w:rPr>
          <w:rFonts w:ascii="Calibri" w:hAnsi="Calibri" w:eastAsia="Microsoft YaHei"/>
          <w:color w:val="222F36"/>
          <w:sz w:val="21"/>
        </w:rPr>
        <w:t xml:space="preserve">Medical evacuation. Medical evacuation moves at Category Four priority by the fastest asset available, regardless of flag, and the receiving state receives thanks in the record, not obligations.</w:t>
      </w:r>
    </w:p>
    <w:p>
      <w:pPr>
        <w:pStyle w:val="Heading3"/>
        <w:keepNext/>
        <w:keepLines/>
      </w:pPr>
      <w:r>
        <w:rPr>
          <w:rFonts w:ascii="Calibri" w:hAnsi="Calibri" w:eastAsia="Microsoft YaHei"/>
          <w:b/>
          <w:color w:val="222F36"/>
          <w:sz w:val="22"/>
        </w:rPr>
        <w:t xml:space="preserve">J.5 Search and Rescue</w:t>
      </w:r>
    </w:p>
    <w:p>
      <w:pPr>
        <w:pStyle w:val="Normal"/>
      </w:pPr>
      <w:r>
        <w:rPr>
          <w:rFonts w:ascii="Calibri" w:hAnsi="Calibri" w:eastAsia="Microsoft YaHei"/>
          <w:color w:val="222F36"/>
          <w:sz w:val="21"/>
        </w:rPr>
        <w:t xml:space="preserve">National rescue authorities lead (Annex G.7). The annual joint rescue exercise, observed by the Technical Guarantor, practices the handover between regions and the Category Four clocks. The exercise report enters the Concordance and the Tide Report.</w:t>
      </w:r>
    </w:p>
    <w:p>
      <w:pPr>
        <w:pStyle w:val="Heading3"/>
        <w:keepNext/>
        <w:keepLines/>
      </w:pPr>
      <w:r>
        <w:rPr>
          <w:rFonts w:ascii="Calibri" w:hAnsi="Calibri" w:eastAsia="Microsoft YaHei"/>
          <w:b/>
          <w:color w:val="222F36"/>
          <w:sz w:val="22"/>
        </w:rPr>
        <w:t xml:space="preserve">J.6 Fisheries and Local Traffic</w:t>
      </w:r>
    </w:p>
    <w:p>
      <w:pPr>
        <w:pStyle w:val="Normal"/>
      </w:pPr>
      <w:r>
        <w:rPr>
          <w:rFonts w:ascii="Calibri" w:hAnsi="Calibri" w:eastAsia="Microsoft YaHei"/>
          <w:color w:val="222F36"/>
          <w:sz w:val="21"/>
        </w:rPr>
        <w:t xml:space="preserve">The Watch publishes the seasonal fishing grounds, the gear-conflict reporting channel, and the inshore zones for local craft (Annex B.2.4), in Persian, Arabic, and English. Local mariners receive the same courtesy as any flag: their safety advisories carry the same weight as any tanker’s.</w:t>
      </w:r>
    </w:p>
    <w:p>
      <w:pPr>
        <w:pStyle w:val="Heading3"/>
        <w:keepNext/>
        <w:keepLines/>
      </w:pPr>
      <w:r>
        <w:rPr>
          <w:rFonts w:ascii="Calibri" w:hAnsi="Calibri" w:eastAsia="Microsoft YaHei"/>
          <w:b/>
          <w:color w:val="222F36"/>
          <w:sz w:val="22"/>
        </w:rPr>
        <w:t xml:space="preserve">J.7 Crime at Sea</w:t>
      </w:r>
    </w:p>
    <w:p>
      <w:pPr>
        <w:pStyle w:val="Normal"/>
      </w:pPr>
      <w:r>
        <w:rPr>
          <w:rFonts w:ascii="Calibri" w:hAnsi="Calibri" w:eastAsia="Microsoft YaHei"/>
          <w:color w:val="222F36"/>
          <w:sz w:val="21"/>
        </w:rPr>
        <w:t xml:space="preserve">Reports of piracy, armed robbery, or smuggling in the Compact Waters go to the Watch at PRIORITY, and the Watch alerts the coastal state of the waters concerned and every vessel in the vicinity by advisory. Enforcement follows the law of the coastal state; BL-4 governs vessels in transit; and no enforcement action inside a fairway interrupts the passage of uninvolved traffic. Smuggling allegations never serve as a pretext for a permission regime: the Watch records, the coastal state acts as law provides, and the classification engine reviews any pattern.</w:t>
      </w:r>
    </w:p>
    <w:p>
      <w:pPr>
        <w:pStyle w:val="Heading1"/>
        <w:keepNext/>
        <w:keepLines/>
        <w:pageBreakBefore/>
      </w:pPr>
      <w:r>
        <w:rPr>
          <w:rFonts w:ascii="Calibri" w:hAnsi="Calibri" w:eastAsia="Microsoft YaHei"/>
          <w:b/>
          <w:color w:val="1F4E5F"/>
          <w:sz w:val="34"/>
        </w:rPr>
        <w:t xml:space="preserve">Annex K: Participation Instruments</w:t>
      </w:r>
    </w:p>
    <w:p>
      <w:pPr>
        <w:pStyle w:val="Normal"/>
      </w:pPr>
      <w:r>
        <w:rPr>
          <w:rFonts w:ascii="Calibri" w:hAnsi="Calibri" w:eastAsia="Microsoft YaHei"/>
          <w:color w:val="222F36"/>
          <w:sz w:val="21"/>
        </w:rPr>
        <w:t xml:space="preserve">This annex carries the paper of participation: the observer notification, the Adherence Instrument, the accession instrument, and the technical seat arrangements. Each fits on a page, per the simplicity mandate.</w:t>
      </w:r>
    </w:p>
    <w:p>
      <w:pPr>
        <w:pStyle w:val="Heading3"/>
        <w:keepNext/>
        <w:keepLines/>
      </w:pPr>
      <w:r>
        <w:rPr>
          <w:rFonts w:ascii="Calibri" w:hAnsi="Calibri" w:eastAsia="Microsoft YaHei"/>
          <w:b/>
          <w:color w:val="222F36"/>
          <w:sz w:val="22"/>
        </w:rPr>
        <w:t xml:space="preserve">K.1 Observer Terms</w:t>
      </w:r>
    </w:p>
    <w:p>
      <w:pPr>
        <w:pStyle w:val="Normal"/>
        <w:ind w:left="560" w:hanging="560"/>
      </w:pPr>
      <w:r>
        <w:rPr>
          <w:rFonts w:ascii="Calibri" w:hAnsi="Calibri" w:eastAsia="Microsoft YaHei"/>
          <w:b/>
          <w:color w:val="1F4E5F"/>
          <w:sz w:val="21"/>
        </w:rPr>
        <w:t xml:space="preserve">K.1.1  </w:t>
      </w:r>
      <w:r>
        <w:rPr>
          <w:rFonts w:ascii="Calibri" w:hAnsi="Calibri" w:eastAsia="Microsoft YaHei"/>
          <w:color w:val="222F36"/>
          <w:sz w:val="21"/>
        </w:rPr>
        <w:t xml:space="preserve">A state or organization named in Article 12.3 takes observer status by written notification to the depositary. The notification accepts the terms of this annex, and status begins on receipt.</w:t>
      </w:r>
    </w:p>
    <w:p>
      <w:pPr>
        <w:pStyle w:val="Normal"/>
        <w:ind w:left="560" w:hanging="560"/>
      </w:pPr>
      <w:r>
        <w:rPr>
          <w:rFonts w:ascii="Calibri" w:hAnsi="Calibri" w:eastAsia="Microsoft YaHei"/>
          <w:b/>
          <w:color w:val="1F4E5F"/>
          <w:sz w:val="21"/>
        </w:rPr>
        <w:t xml:space="preserve">K.1.2  </w:t>
      </w:r>
      <w:r>
        <w:rPr>
          <w:rFonts w:ascii="Calibri" w:hAnsi="Calibri" w:eastAsia="Microsoft YaHei"/>
          <w:color w:val="222F36"/>
          <w:sz w:val="21"/>
        </w:rPr>
        <w:t xml:space="preserve">Rights. The Tide Report daily; the quarterly accounts and annual audit; attendance at the annual Observer Conference; technical comments in writing; briefings on request (Article 12.4).</w:t>
      </w:r>
    </w:p>
    <w:p>
      <w:pPr>
        <w:pStyle w:val="Normal"/>
        <w:ind w:left="560" w:hanging="560"/>
      </w:pPr>
      <w:r>
        <w:rPr>
          <w:rFonts w:ascii="Calibri" w:hAnsi="Calibri" w:eastAsia="Microsoft YaHei"/>
          <w:b/>
          <w:color w:val="1F4E5F"/>
          <w:sz w:val="21"/>
        </w:rPr>
        <w:t xml:space="preserve">K.1.3  </w:t>
      </w:r>
      <w:r>
        <w:rPr>
          <w:rFonts w:ascii="Calibri" w:hAnsi="Calibri" w:eastAsia="Microsoft YaHei"/>
          <w:color w:val="222F36"/>
          <w:sz w:val="21"/>
        </w:rPr>
        <w:t xml:space="preserve">Limits. No vote, no veto, no operational role, and no access beyond the summary data tier (Annex E.9.1). Forums stay to Compact business (Article 12.8).</w:t>
      </w:r>
    </w:p>
    <w:p>
      <w:pPr>
        <w:pStyle w:val="Normal"/>
        <w:ind w:left="560" w:hanging="560"/>
      </w:pPr>
      <w:r>
        <w:rPr>
          <w:rFonts w:ascii="Calibri" w:hAnsi="Calibri" w:eastAsia="Microsoft YaHei"/>
          <w:b/>
          <w:color w:val="1F4E5F"/>
          <w:sz w:val="21"/>
        </w:rPr>
        <w:t xml:space="preserve">K.1.4  </w:t>
      </w:r>
      <w:r>
        <w:rPr>
          <w:rFonts w:ascii="Calibri" w:hAnsi="Calibri" w:eastAsia="Microsoft YaHei"/>
          <w:color w:val="222F36"/>
          <w:sz w:val="21"/>
        </w:rPr>
        <w:t xml:space="preserve">Exit. An observer withdraws by notice to the depositary, effective on receipt, with no formality and no penalty.</w:t>
      </w:r>
    </w:p>
    <w:p>
      <w:pPr>
        <w:pStyle w:val="Heading3"/>
        <w:keepNext/>
        <w:keepLines/>
      </w:pPr>
      <w:r>
        <w:rPr>
          <w:rFonts w:ascii="Calibri" w:hAnsi="Calibri" w:eastAsia="Microsoft YaHei"/>
          <w:b/>
          <w:color w:val="222F36"/>
          <w:sz w:val="22"/>
        </w:rPr>
        <w:t xml:space="preserve">K.2 The External Navy Adherence Instrument: Model Text</w:t>
      </w:r>
    </w:p>
    <w:tbl>
      <w:tblPr>
        <w:tblW w:w="9306" w:type="dxa"/>
        <w:tblBorders>
          <w:top w:val="single" w:color="1F4E5F" w:sz="10"/>
          <w:left w:val="single" w:color="1F4E5F" w:sz="10"/>
          <w:bottom w:val="single" w:color="1F4E5F" w:sz="10"/>
          <w:right w:val="single" w:color="1F4E5F" w:sz="10"/>
          <w:insideH w:val="nil"/>
          <w:insideV w:val="nil"/>
        </w:tblBorders>
      </w:tblPr>
      <w:tblGrid>
        <w:gridCol w:w="9306"/>
      </w:tblGrid>
      <w:tr>
        <w:tc>
          <w:tcPr>
            <w:tcW w:w="9306" w:type="dxa"/>
            <w:shd w:val="clear" w:fill="E7EFEE"/>
            <w:tcMar>
              <w:top w:w="100" w:type="dxa"/>
              <w:left w:w="160" w:type="dxa"/>
              <w:bottom w:w="60" w:type="dxa"/>
              <w:right w:w="160" w:type="dxa"/>
            </w:tcMar>
          </w:tcPr>
          <w:p>
            <w:pPr>
              <w:pStyle w:val="TableText"/>
            </w:pPr>
            <w:r>
              <w:rPr>
                <w:rFonts w:ascii="Calibri" w:hAnsi="Calibri" w:eastAsia="Microsoft YaHei"/>
                <w:b/>
                <w:color w:val="1F4E5F"/>
                <w:sz w:val="21"/>
              </w:rPr>
              <w:t xml:space="preserve">Adherence Instrument (Model)</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The Government of [adhering state], regarding the Tolou-e Jadid Compact of 27 July 2026,</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One. Commits its naval, coast guard, and state air forces, when operating in or near the Compact Waters, to the de-confliction rules of Annex J, including courtesy notices, distance rules, and exercise notification;</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Two. Commits those forces to the Tide Line protocol of Annex D, including the incident reporting clocks of Annex G: stand down and report within fifteen minutes, position log within thirty minutes, telemetry within two hours;</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Three. Accepts the data rules of Article 14.8 for every product it receives, and the prohibited uses listed there;</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Four. States that this instrument creates duties of conduct and no governance rights, and that it remains in effect until withdrawn on ninety days of notice to the depositary;</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Five. Deposits this instrument with the Swiss Confederation as depositary.</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Signed at [place] on [date].</w:t>
            </w:r>
          </w:p>
        </w:tc>
      </w:tr>
    </w:tbl>
    <w:p>
      <w:pPr>
        <w:spacing w:before="0" w:after="120"/>
      </w:pPr>
      <w:r>
        <w:rPr>
          <w:sz w:val="8"/>
        </w:rPr>
        <w:t/>
      </w:r>
    </w:p>
    <w:p>
      <w:pPr>
        <w:pStyle w:val="Normal"/>
      </w:pPr>
      <w:r>
        <w:rPr>
          <w:rFonts w:ascii="Calibri" w:hAnsi="Calibri" w:eastAsia="Microsoft YaHei"/>
          <w:color w:val="222F36"/>
          <w:sz w:val="21"/>
        </w:rPr>
        <w:t xml:space="preserve">The Parties invite the United States of America to adhere at signature (Article 12.5). Adherence strengthens the de-confliction ring around the waterway without placing any external power inside its governance, a balance the Parties consider essential to the Compact’s political viability.</w:t>
      </w:r>
    </w:p>
    <w:p>
      <w:pPr>
        <w:pStyle w:val="Heading3"/>
        <w:keepNext/>
        <w:keepLines/>
      </w:pPr>
      <w:r>
        <w:rPr>
          <w:rFonts w:ascii="Calibri" w:hAnsi="Calibri" w:eastAsia="Microsoft YaHei"/>
          <w:b/>
          <w:color w:val="222F36"/>
          <w:sz w:val="22"/>
        </w:rPr>
        <w:t xml:space="preserve">K.3 Accession Instrument: Model Text</w:t>
      </w:r>
    </w:p>
    <w:tbl>
      <w:tblPr>
        <w:tblW w:w="9306" w:type="dxa"/>
        <w:tblBorders>
          <w:top w:val="single" w:color="1F4E5F" w:sz="10"/>
          <w:left w:val="single" w:color="1F4E5F" w:sz="10"/>
          <w:bottom w:val="single" w:color="1F4E5F" w:sz="10"/>
          <w:right w:val="single" w:color="1F4E5F" w:sz="10"/>
          <w:insideH w:val="nil"/>
          <w:insideV w:val="nil"/>
        </w:tblBorders>
      </w:tblPr>
      <w:tblGrid>
        <w:gridCol w:w="9306"/>
      </w:tblGrid>
      <w:tr>
        <w:tc>
          <w:tcPr>
            <w:tcW w:w="9306" w:type="dxa"/>
            <w:shd w:val="clear" w:fill="E7EFEE"/>
            <w:tcMar>
              <w:top w:w="100" w:type="dxa"/>
              <w:left w:w="160" w:type="dxa"/>
              <w:bottom w:w="60" w:type="dxa"/>
              <w:right w:w="160" w:type="dxa"/>
            </w:tcMar>
          </w:tcPr>
          <w:p>
            <w:pPr>
              <w:pStyle w:val="TableText"/>
            </w:pPr>
            <w:r>
              <w:rPr>
                <w:rFonts w:ascii="Calibri" w:hAnsi="Calibri" w:eastAsia="Microsoft YaHei"/>
                <w:b/>
                <w:color w:val="1F4E5F"/>
                <w:sz w:val="21"/>
              </w:rPr>
              <w:t xml:space="preserve">Instrument of Accession (Model)</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The Government of [acceding state], a Gulf littoral state, accedes to the Tolou-e Jadid Compact as a Party, on the joint instrument of the existing Parties dated [date], and accepts every right and duty of a Party in full, including the Boundary Lines and the Protection Covenant.</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Deposited with the Swiss Confederation on [date].</w:t>
            </w:r>
          </w:p>
        </w:tc>
      </w:tr>
    </w:tbl>
    <w:p>
      <w:pPr>
        <w:spacing w:before="0" w:after="120"/>
      </w:pPr>
      <w:r>
        <w:rPr>
          <w:sz w:val="8"/>
        </w:rPr>
        <w:t/>
      </w:r>
    </w:p>
    <w:p>
      <w:pPr>
        <w:pStyle w:val="Heading3"/>
        <w:keepNext/>
        <w:keepLines/>
      </w:pPr>
      <w:r>
        <w:rPr>
          <w:rFonts w:ascii="Calibri" w:hAnsi="Calibri" w:eastAsia="Microsoft YaHei"/>
          <w:b/>
          <w:color w:val="222F36"/>
          <w:sz w:val="22"/>
        </w:rPr>
        <w:t xml:space="preserve">K.4 Technical Seats</w:t>
      </w:r>
    </w:p>
    <w:p>
      <w:pPr>
        <w:pStyle w:val="Normal"/>
      </w:pPr>
      <w:r>
        <w:rPr>
          <w:rFonts w:ascii="Calibri" w:hAnsi="Calibri" w:eastAsia="Microsoft YaHei"/>
          <w:color w:val="222F36"/>
          <w:sz w:val="21"/>
        </w:rPr>
        <w:t xml:space="preserve">The International Maritime Organization and the International Hydrographic Organization hold technical seats. The Secretary-General of the International Maritime Organization nominates the list from which the Circle appoints the Recorder, and each organization observes the audits and the Annual Refit within its competence. The seats carry advice and standards, never votes.</w:t>
      </w:r>
    </w:p>
    <w:p>
      <w:pPr>
        <w:pStyle w:val="Heading3"/>
        <w:keepNext/>
        <w:keepLines/>
      </w:pPr>
      <w:r>
        <w:rPr>
          <w:rFonts w:ascii="Calibri" w:hAnsi="Calibri" w:eastAsia="Microsoft YaHei"/>
          <w:b/>
          <w:color w:val="222F36"/>
          <w:sz w:val="22"/>
        </w:rPr>
        <w:t xml:space="preserve">K.5 The Observer Conference</w:t>
      </w:r>
    </w:p>
    <w:p>
      <w:pPr>
        <w:pStyle w:val="Normal"/>
      </w:pPr>
      <w:r>
        <w:rPr>
          <w:rFonts w:ascii="Calibri" w:hAnsi="Calibri" w:eastAsia="Microsoft YaHei"/>
          <w:color w:val="222F36"/>
          <w:sz w:val="21"/>
        </w:rPr>
        <w:t xml:space="preserve">The Conference meets once a year, in Muscat or by video, for one day. The agenda carries three items and no more: the state of the water, the accounts and the audit, and technical comments received. The co-chairs chair together, and the meeting closes with a factual one-page communique drafted by the Secretariat Desk.</w:t>
      </w:r>
    </w:p>
    <w:p>
      <w:pPr>
        <w:pStyle w:val="Heading1"/>
        <w:keepNext/>
        <w:keepLines/>
        <w:pageBreakBefore/>
      </w:pPr>
      <w:r>
        <w:rPr>
          <w:rFonts w:ascii="Calibri" w:hAnsi="Calibri" w:eastAsia="Microsoft YaHei"/>
          <w:b/>
          <w:color w:val="1F4E5F"/>
          <w:sz w:val="34"/>
        </w:rPr>
        <w:t xml:space="preserve">Annex L: Implementation Timeline and Standing Rhythms</w:t>
      </w:r>
    </w:p>
    <w:p>
      <w:pPr>
        <w:pStyle w:val="Normal"/>
      </w:pPr>
      <w:r>
        <w:rPr>
          <w:rFonts w:ascii="Calibri" w:hAnsi="Calibri" w:eastAsia="Microsoft YaHei"/>
          <w:color w:val="222F36"/>
          <w:sz w:val="21"/>
        </w:rPr>
        <w:t xml:space="preserve">The Compact implements in three movements: First Light, the Morning Watch, and Full Daylight. Every step names its trigger, its actor, and its close, per the Three-Question Test.</w:t>
      </w:r>
    </w:p>
    <w:p>
      <w:pPr>
        <w:pStyle w:val="Heading3"/>
        <w:keepNext/>
        <w:keepLines/>
      </w:pPr>
      <w:r>
        <w:rPr>
          <w:rFonts w:ascii="Calibri" w:hAnsi="Calibri" w:eastAsia="Microsoft YaHei"/>
          <w:b/>
          <w:color w:val="222F36"/>
          <w:sz w:val="22"/>
        </w:rPr>
        <w:t xml:space="preserve">L.1 First Light (Days 0-7)</w:t>
      </w:r>
    </w:p>
    <w:tbl>
      <w:tblPr>
        <w:tblW w:w="9306" w:type="dxa"/>
        <w:tblBorders>
          <w:top w:val="single" w:color="AEC4C1" w:sz="6"/>
          <w:left w:val="single" w:color="AEC4C1" w:sz="6"/>
          <w:bottom w:val="single" w:color="AEC4C1" w:sz="6"/>
          <w:right w:val="single" w:color="AEC4C1" w:sz="6"/>
          <w:insideH w:val="single" w:color="AEC4C1" w:sz="4"/>
          <w:insideV w:val="single" w:color="AEC4C1" w:sz="4"/>
        </w:tblBorders>
      </w:tblPr>
      <w:tblGrid>
        <w:gridCol w:w="1100"/>
        <w:gridCol w:w="4200"/>
        <w:gridCol w:w="4006"/>
      </w:tblGrid>
      <w:tr>
        <w:trPr>
          <w:cantSplit/>
          <w:tblHeader/>
        </w:trPr>
        <w:tc>
          <w:tcPr>
            <w:tcW w:w="11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Day</w:t>
            </w:r>
          </w:p>
        </w:tc>
        <w:tc>
          <w:tcPr>
            <w:tcW w:w="42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Action</w:t>
            </w:r>
          </w:p>
        </w:tc>
        <w:tc>
          <w:tcPr>
            <w:tcW w:w="4006"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Actor</w:t>
            </w:r>
          </w:p>
        </w:tc>
      </w:tr>
      <w:tr>
        <w:trPr>
          <w:cantSplit/>
        </w:trPr>
        <w:tc>
          <w:tcPr>
            <w:tcW w:w="1100" w:type="dxa"/>
            <w:tcMar>
              <w:top w:w="50" w:type="dxa"/>
              <w:left w:w="100" w:type="dxa"/>
              <w:bottom w:w="50" w:type="dxa"/>
              <w:right w:w="100" w:type="dxa"/>
            </w:tcMar>
          </w:tcPr>
          <w:p>
            <w:pPr>
              <w:pStyle w:val="TableText"/>
            </w:pPr>
            <w:r>
              <w:rPr>
                <w:rFonts w:ascii="Calibri" w:hAnsi="Calibri" w:eastAsia="Microsoft YaHei"/>
                <w:color w:val="222F36"/>
                <w:sz w:val="20"/>
              </w:rPr>
              <w:t xml:space="preserve">0</w:t>
            </w:r>
          </w:p>
        </w:tc>
        <w:tc>
          <w:tcPr>
            <w:tcW w:w="4200" w:type="dxa"/>
            <w:tcMar>
              <w:top w:w="50" w:type="dxa"/>
              <w:left w:w="100" w:type="dxa"/>
              <w:bottom w:w="50" w:type="dxa"/>
              <w:right w:w="100" w:type="dxa"/>
            </w:tcMar>
          </w:tcPr>
          <w:p>
            <w:pPr>
              <w:pStyle w:val="TableText"/>
            </w:pPr>
            <w:r>
              <w:rPr>
                <w:rFonts w:ascii="Calibri" w:hAnsi="Calibri" w:eastAsia="Microsoft YaHei"/>
                <w:color w:val="222F36"/>
                <w:sz w:val="20"/>
              </w:rPr>
              <w:t xml:space="preserve">Signature; entry into operation; quiet channel opens</w:t>
            </w:r>
          </w:p>
        </w:tc>
        <w:tc>
          <w:tcPr>
            <w:tcW w:w="4006" w:type="dxa"/>
            <w:tcMar>
              <w:top w:w="50" w:type="dxa"/>
              <w:left w:w="100" w:type="dxa"/>
              <w:bottom w:w="50" w:type="dxa"/>
              <w:right w:w="100" w:type="dxa"/>
            </w:tcMar>
          </w:tcPr>
          <w:p>
            <w:pPr>
              <w:pStyle w:val="TableText"/>
            </w:pPr>
            <w:r>
              <w:rPr>
                <w:rFonts w:ascii="Calibri" w:hAnsi="Calibri" w:eastAsia="Microsoft YaHei"/>
                <w:color w:val="222F36"/>
                <w:sz w:val="20"/>
              </w:rPr>
              <w:t xml:space="preserve">Parties, guarantors</w:t>
            </w:r>
          </w:p>
        </w:tc>
      </w:tr>
      <w:tr>
        <w:trPr>
          <w:cantSplit/>
        </w:trPr>
        <w:tc>
          <w:tcPr>
            <w:tcW w:w="11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1</w:t>
            </w:r>
          </w:p>
        </w:tc>
        <w:tc>
          <w:tcPr>
            <w:tcW w:w="42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Tide Watch opens on the Muscat floor with seconded national staff; Tide Line goes live; Bandar Desk activates; notice intake begins on the interim portal</w:t>
            </w:r>
          </w:p>
        </w:tc>
        <w:tc>
          <w:tcPr>
            <w:tcW w:w="40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Watch, both Parties</w:t>
            </w:r>
          </w:p>
        </w:tc>
      </w:tr>
      <w:tr>
        <w:trPr>
          <w:cantSplit/>
        </w:trPr>
        <w:tc>
          <w:tcPr>
            <w:tcW w:w="1100" w:type="dxa"/>
            <w:tcMar>
              <w:top w:w="50" w:type="dxa"/>
              <w:left w:w="100" w:type="dxa"/>
              <w:bottom w:w="50" w:type="dxa"/>
              <w:right w:w="100" w:type="dxa"/>
            </w:tcMar>
          </w:tcPr>
          <w:p>
            <w:pPr>
              <w:pStyle w:val="TableText"/>
            </w:pPr>
            <w:r>
              <w:rPr>
                <w:rFonts w:ascii="Calibri" w:hAnsi="Calibri" w:eastAsia="Microsoft YaHei"/>
                <w:color w:val="222F36"/>
                <w:sz w:val="20"/>
              </w:rPr>
              <w:t xml:space="preserve">2</w:t>
            </w:r>
          </w:p>
        </w:tc>
        <w:tc>
          <w:tcPr>
            <w:tcW w:w="4200" w:type="dxa"/>
            <w:tcMar>
              <w:top w:w="50" w:type="dxa"/>
              <w:left w:w="100" w:type="dxa"/>
              <w:bottom w:w="50" w:type="dxa"/>
              <w:right w:w="100" w:type="dxa"/>
            </w:tcMar>
          </w:tcPr>
          <w:p>
            <w:pPr>
              <w:pStyle w:val="TableText"/>
            </w:pPr>
            <w:r>
              <w:rPr>
                <w:rFonts w:ascii="Calibri" w:hAnsi="Calibri" w:eastAsia="Microsoft YaHei"/>
                <w:color w:val="222F36"/>
                <w:sz w:val="20"/>
              </w:rPr>
              <w:t xml:space="preserve">Founding advances instructed to the Account</w:t>
            </w:r>
          </w:p>
        </w:tc>
        <w:tc>
          <w:tcPr>
            <w:tcW w:w="4006" w:type="dxa"/>
            <w:tcMar>
              <w:top w:w="50" w:type="dxa"/>
              <w:left w:w="100" w:type="dxa"/>
              <w:bottom w:w="50" w:type="dxa"/>
              <w:right w:w="100" w:type="dxa"/>
            </w:tcMar>
          </w:tcPr>
          <w:p>
            <w:pPr>
              <w:pStyle w:val="TableText"/>
            </w:pPr>
            <w:r>
              <w:rPr>
                <w:rFonts w:ascii="Calibri" w:hAnsi="Calibri" w:eastAsia="Microsoft YaHei"/>
                <w:color w:val="222F36"/>
                <w:sz w:val="20"/>
              </w:rPr>
              <w:t xml:space="preserve">Parties, Account Agent</w:t>
            </w:r>
          </w:p>
        </w:tc>
      </w:tr>
      <w:tr>
        <w:trPr>
          <w:cantSplit/>
        </w:trPr>
        <w:tc>
          <w:tcPr>
            <w:tcW w:w="11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3</w:t>
            </w:r>
          </w:p>
        </w:tc>
        <w:tc>
          <w:tcPr>
            <w:tcW w:w="42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Hazard declarations deposited (seventy-two hours)</w:t>
            </w:r>
          </w:p>
        </w:tc>
        <w:tc>
          <w:tcPr>
            <w:tcW w:w="40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Parties</w:t>
            </w:r>
          </w:p>
        </w:tc>
      </w:tr>
      <w:tr>
        <w:trPr>
          <w:cantSplit/>
        </w:trPr>
        <w:tc>
          <w:tcPr>
            <w:tcW w:w="1100" w:type="dxa"/>
            <w:tcMar>
              <w:top w:w="50" w:type="dxa"/>
              <w:left w:w="100" w:type="dxa"/>
              <w:bottom w:w="50" w:type="dxa"/>
              <w:right w:w="100" w:type="dxa"/>
            </w:tcMar>
          </w:tcPr>
          <w:p>
            <w:pPr>
              <w:pStyle w:val="TableText"/>
            </w:pPr>
            <w:r>
              <w:rPr>
                <w:rFonts w:ascii="Calibri" w:hAnsi="Calibri" w:eastAsia="Microsoft YaHei"/>
                <w:color w:val="222F36"/>
                <w:sz w:val="20"/>
              </w:rPr>
              <w:t xml:space="preserve">5</w:t>
            </w:r>
          </w:p>
        </w:tc>
        <w:tc>
          <w:tcPr>
            <w:tcW w:w="4200" w:type="dxa"/>
            <w:tcMar>
              <w:top w:w="50" w:type="dxa"/>
              <w:left w:w="100" w:type="dxa"/>
              <w:bottom w:w="50" w:type="dxa"/>
              <w:right w:w="100" w:type="dxa"/>
            </w:tcMar>
          </w:tcPr>
          <w:p>
            <w:pPr>
              <w:pStyle w:val="TableText"/>
            </w:pPr>
            <w:r>
              <w:rPr>
                <w:rFonts w:ascii="Calibri" w:hAnsi="Calibri" w:eastAsia="Microsoft YaHei"/>
                <w:color w:val="222F36"/>
                <w:sz w:val="20"/>
              </w:rPr>
              <w:t xml:space="preserve">Council holds its first meeting; confirms the interim notices practice</w:t>
            </w:r>
          </w:p>
        </w:tc>
        <w:tc>
          <w:tcPr>
            <w:tcW w:w="4006" w:type="dxa"/>
            <w:tcMar>
              <w:top w:w="50" w:type="dxa"/>
              <w:left w:w="100" w:type="dxa"/>
              <w:bottom w:w="50" w:type="dxa"/>
              <w:right w:w="100" w:type="dxa"/>
            </w:tcMar>
          </w:tcPr>
          <w:p>
            <w:pPr>
              <w:pStyle w:val="TableText"/>
            </w:pPr>
            <w:r>
              <w:rPr>
                <w:rFonts w:ascii="Calibri" w:hAnsi="Calibri" w:eastAsia="Microsoft YaHei"/>
                <w:color w:val="222F36"/>
                <w:sz w:val="20"/>
              </w:rPr>
              <w:t xml:space="preserve">Council</w:t>
            </w:r>
          </w:p>
        </w:tc>
      </w:tr>
      <w:tr>
        <w:trPr>
          <w:cantSplit/>
        </w:trPr>
        <w:tc>
          <w:tcPr>
            <w:tcW w:w="11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7</w:t>
            </w:r>
          </w:p>
        </w:tc>
        <w:tc>
          <w:tcPr>
            <w:tcW w:w="42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Recorder appointed from the pre-agreed list; Concordance Office opens; joint survey begins</w:t>
            </w:r>
          </w:p>
        </w:tc>
        <w:tc>
          <w:tcPr>
            <w:tcW w:w="40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Circle, Office, coastal states</w:t>
            </w:r>
          </w:p>
        </w:tc>
      </w:tr>
    </w:tbl>
    <w:p>
      <w:pPr>
        <w:spacing w:before="0" w:after="140"/>
      </w:pPr>
      <w:r>
        <w:rPr>
          <w:sz w:val="8"/>
        </w:rPr>
        <w:t/>
      </w:r>
    </w:p>
    <w:p>
      <w:pPr>
        <w:pStyle w:val="Heading3"/>
        <w:keepNext/>
        <w:keepLines/>
      </w:pPr>
      <w:r>
        <w:rPr>
          <w:rFonts w:ascii="Calibri" w:hAnsi="Calibri" w:eastAsia="Microsoft YaHei"/>
          <w:b/>
          <w:color w:val="222F36"/>
          <w:sz w:val="22"/>
        </w:rPr>
        <w:t xml:space="preserve">L.2 The Morning Watch (Days 8-45)</w:t>
      </w:r>
    </w:p>
    <w:tbl>
      <w:tblPr>
        <w:tblW w:w="9306" w:type="dxa"/>
        <w:tblBorders>
          <w:top w:val="single" w:color="AEC4C1" w:sz="6"/>
          <w:left w:val="single" w:color="AEC4C1" w:sz="6"/>
          <w:bottom w:val="single" w:color="AEC4C1" w:sz="6"/>
          <w:right w:val="single" w:color="AEC4C1" w:sz="6"/>
          <w:insideH w:val="single" w:color="AEC4C1" w:sz="4"/>
          <w:insideV w:val="single" w:color="AEC4C1" w:sz="4"/>
        </w:tblBorders>
      </w:tblPr>
      <w:tblGrid>
        <w:gridCol w:w="1300"/>
        <w:gridCol w:w="4000"/>
        <w:gridCol w:w="4006"/>
      </w:tblGrid>
      <w:tr>
        <w:trPr>
          <w:cantSplit/>
          <w:tblHeader/>
        </w:trPr>
        <w:tc>
          <w:tcPr>
            <w:tcW w:w="13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Day</w:t>
            </w:r>
          </w:p>
        </w:tc>
        <w:tc>
          <w:tcPr>
            <w:tcW w:w="40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Action</w:t>
            </w:r>
          </w:p>
        </w:tc>
        <w:tc>
          <w:tcPr>
            <w:tcW w:w="4006"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Actor</w:t>
            </w:r>
          </w:p>
        </w:tc>
      </w:tr>
      <w:tr>
        <w:trPr>
          <w:cantSplit/>
        </w:trPr>
        <w:tc>
          <w:tcPr>
            <w:tcW w:w="1300" w:type="dxa"/>
            <w:tcMar>
              <w:top w:w="50" w:type="dxa"/>
              <w:left w:w="100" w:type="dxa"/>
              <w:bottom w:w="50" w:type="dxa"/>
              <w:right w:w="100" w:type="dxa"/>
            </w:tcMar>
          </w:tcPr>
          <w:p>
            <w:pPr>
              <w:pStyle w:val="TableText"/>
            </w:pPr>
            <w:r>
              <w:rPr>
                <w:rFonts w:ascii="Calibri" w:hAnsi="Calibri" w:eastAsia="Microsoft YaHei"/>
                <w:color w:val="222F36"/>
                <w:sz w:val="20"/>
              </w:rPr>
              <w:t xml:space="preserve">14</w:t>
            </w:r>
          </w:p>
        </w:tc>
        <w:tc>
          <w:tcPr>
            <w:tcW w:w="4000" w:type="dxa"/>
            <w:tcMar>
              <w:top w:w="50" w:type="dxa"/>
              <w:left w:w="100" w:type="dxa"/>
              <w:bottom w:w="50" w:type="dxa"/>
              <w:right w:w="100" w:type="dxa"/>
            </w:tcMar>
          </w:tcPr>
          <w:p>
            <w:pPr>
              <w:pStyle w:val="TableText"/>
            </w:pPr>
            <w:r>
              <w:rPr>
                <w:rFonts w:ascii="Calibri" w:hAnsi="Calibri" w:eastAsia="Microsoft YaHei"/>
                <w:color w:val="222F36"/>
                <w:sz w:val="20"/>
              </w:rPr>
              <w:t xml:space="preserve">Notice portal fully live; Integrity Cell begins probes; expectation bands published in draft</w:t>
            </w:r>
          </w:p>
        </w:tc>
        <w:tc>
          <w:tcPr>
            <w:tcW w:w="4006" w:type="dxa"/>
            <w:tcMar>
              <w:top w:w="50" w:type="dxa"/>
              <w:left w:w="100" w:type="dxa"/>
              <w:bottom w:w="50" w:type="dxa"/>
              <w:right w:w="100" w:type="dxa"/>
            </w:tcMar>
          </w:tcPr>
          <w:p>
            <w:pPr>
              <w:pStyle w:val="TableText"/>
            </w:pPr>
            <w:r>
              <w:rPr>
                <w:rFonts w:ascii="Calibri" w:hAnsi="Calibri" w:eastAsia="Microsoft YaHei"/>
                <w:color w:val="222F36"/>
                <w:sz w:val="20"/>
              </w:rPr>
              <w:t xml:space="preserve">Office</w:t>
            </w:r>
          </w:p>
        </w:tc>
      </w:tr>
      <w:tr>
        <w:trPr>
          <w:cantSplit/>
        </w:trPr>
        <w:tc>
          <w:tcPr>
            <w:tcW w:w="13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21</w:t>
            </w:r>
          </w:p>
        </w:tc>
        <w:tc>
          <w:tcPr>
            <w:tcW w:w="40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Route survey completes; Stage One certification per fairway</w:t>
            </w:r>
          </w:p>
        </w:tc>
        <w:tc>
          <w:tcPr>
            <w:tcW w:w="40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Technical Guarantor</w:t>
            </w:r>
          </w:p>
        </w:tc>
      </w:tr>
      <w:tr>
        <w:trPr>
          <w:cantSplit/>
        </w:trPr>
        <w:tc>
          <w:tcPr>
            <w:tcW w:w="1300" w:type="dxa"/>
            <w:tcMar>
              <w:top w:w="50" w:type="dxa"/>
              <w:left w:w="100" w:type="dxa"/>
              <w:bottom w:w="50" w:type="dxa"/>
              <w:right w:w="100" w:type="dxa"/>
            </w:tcMar>
          </w:tcPr>
          <w:p>
            <w:pPr>
              <w:pStyle w:val="TableText"/>
            </w:pPr>
            <w:r>
              <w:rPr>
                <w:rFonts w:ascii="Calibri" w:hAnsi="Calibri" w:eastAsia="Microsoft YaHei"/>
                <w:color w:val="222F36"/>
                <w:sz w:val="20"/>
              </w:rPr>
              <w:t xml:space="preserve">28</w:t>
            </w:r>
          </w:p>
        </w:tc>
        <w:tc>
          <w:tcPr>
            <w:tcW w:w="4000" w:type="dxa"/>
            <w:tcMar>
              <w:top w:w="50" w:type="dxa"/>
              <w:left w:w="100" w:type="dxa"/>
              <w:bottom w:w="50" w:type="dxa"/>
              <w:right w:w="100" w:type="dxa"/>
            </w:tcMar>
          </w:tcPr>
          <w:p>
            <w:pPr>
              <w:pStyle w:val="TableText"/>
            </w:pPr>
            <w:r>
              <w:rPr>
                <w:rFonts w:ascii="Calibri" w:hAnsi="Calibri" w:eastAsia="Microsoft YaHei"/>
                <w:color w:val="222F36"/>
                <w:sz w:val="20"/>
              </w:rPr>
              <w:t xml:space="preserve">First monthly Council review; first quarterly contribution window opens</w:t>
            </w:r>
          </w:p>
        </w:tc>
        <w:tc>
          <w:tcPr>
            <w:tcW w:w="4006" w:type="dxa"/>
            <w:tcMar>
              <w:top w:w="50" w:type="dxa"/>
              <w:left w:w="100" w:type="dxa"/>
              <w:bottom w:w="50" w:type="dxa"/>
              <w:right w:w="100" w:type="dxa"/>
            </w:tcMar>
          </w:tcPr>
          <w:p>
            <w:pPr>
              <w:pStyle w:val="TableText"/>
            </w:pPr>
            <w:r>
              <w:rPr>
                <w:rFonts w:ascii="Calibri" w:hAnsi="Calibri" w:eastAsia="Microsoft YaHei"/>
                <w:color w:val="222F36"/>
                <w:sz w:val="20"/>
              </w:rPr>
              <w:t xml:space="preserve">Council, Desk</w:t>
            </w:r>
          </w:p>
        </w:tc>
      </w:tr>
      <w:tr>
        <w:trPr>
          <w:cantSplit/>
        </w:trPr>
        <w:tc>
          <w:tcPr>
            <w:tcW w:w="13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30</w:t>
            </w:r>
          </w:p>
        </w:tc>
        <w:tc>
          <w:tcPr>
            <w:tcW w:w="40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Review of silence-window practice; first Integrity Cell monthly summary</w:t>
            </w:r>
          </w:p>
        </w:tc>
        <w:tc>
          <w:tcPr>
            <w:tcW w:w="40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Office, Council</w:t>
            </w:r>
          </w:p>
        </w:tc>
      </w:tr>
      <w:tr>
        <w:trPr>
          <w:cantSplit/>
        </w:trPr>
        <w:tc>
          <w:tcPr>
            <w:tcW w:w="1300" w:type="dxa"/>
            <w:tcMar>
              <w:top w:w="50" w:type="dxa"/>
              <w:left w:w="100" w:type="dxa"/>
              <w:bottom w:w="50" w:type="dxa"/>
              <w:right w:w="100" w:type="dxa"/>
            </w:tcMar>
          </w:tcPr>
          <w:p>
            <w:pPr>
              <w:pStyle w:val="TableText"/>
            </w:pPr>
            <w:r>
              <w:rPr>
                <w:rFonts w:ascii="Calibri" w:hAnsi="Calibri" w:eastAsia="Microsoft YaHei"/>
                <w:color w:val="222F36"/>
                <w:sz w:val="20"/>
              </w:rPr>
              <w:t xml:space="preserve">45</w:t>
            </w:r>
          </w:p>
        </w:tc>
        <w:tc>
          <w:tcPr>
            <w:tcW w:w="4000" w:type="dxa"/>
            <w:tcMar>
              <w:top w:w="50" w:type="dxa"/>
              <w:left w:w="100" w:type="dxa"/>
              <w:bottom w:w="50" w:type="dxa"/>
              <w:right w:w="100" w:type="dxa"/>
            </w:tcMar>
          </w:tcPr>
          <w:p>
            <w:pPr>
              <w:pStyle w:val="TableText"/>
            </w:pPr>
            <w:r>
              <w:rPr>
                <w:rFonts w:ascii="Calibri" w:hAnsi="Calibri" w:eastAsia="Microsoft YaHei"/>
                <w:color w:val="222F36"/>
                <w:sz w:val="20"/>
              </w:rPr>
              <w:t xml:space="preserve">Full Daylight declared in the Tide Report; insurance market briefing; manual mode exercise complete</w:t>
            </w:r>
          </w:p>
        </w:tc>
        <w:tc>
          <w:tcPr>
            <w:tcW w:w="4006" w:type="dxa"/>
            <w:tcMar>
              <w:top w:w="50" w:type="dxa"/>
              <w:left w:w="100" w:type="dxa"/>
              <w:bottom w:w="50" w:type="dxa"/>
              <w:right w:w="100" w:type="dxa"/>
            </w:tcMar>
          </w:tcPr>
          <w:p>
            <w:pPr>
              <w:pStyle w:val="TableText"/>
            </w:pPr>
            <w:r>
              <w:rPr>
                <w:rFonts w:ascii="Calibri" w:hAnsi="Calibri" w:eastAsia="Microsoft YaHei"/>
                <w:color w:val="222F36"/>
                <w:sz w:val="20"/>
              </w:rPr>
              <w:t xml:space="preserve">Recorder, Desk, Circle</w:t>
            </w:r>
          </w:p>
        </w:tc>
      </w:tr>
    </w:tbl>
    <w:p>
      <w:pPr>
        <w:spacing w:before="0" w:after="140"/>
      </w:pPr>
      <w:r>
        <w:rPr>
          <w:sz w:val="8"/>
        </w:rPr>
        <w:t/>
      </w:r>
    </w:p>
    <w:p>
      <w:pPr>
        <w:pStyle w:val="Heading3"/>
        <w:keepNext/>
        <w:keepLines/>
      </w:pPr>
      <w:r>
        <w:rPr>
          <w:rFonts w:ascii="Calibri" w:hAnsi="Calibri" w:eastAsia="Microsoft YaHei"/>
          <w:b/>
          <w:color w:val="222F36"/>
          <w:sz w:val="22"/>
        </w:rPr>
        <w:t xml:space="preserve">L.3 Standing Rhythms</w:t>
      </w:r>
    </w:p>
    <w:tbl>
      <w:tblPr>
        <w:tblW w:w="9306" w:type="dxa"/>
        <w:tblBorders>
          <w:top w:val="single" w:color="AEC4C1" w:sz="6"/>
          <w:left w:val="single" w:color="AEC4C1" w:sz="6"/>
          <w:bottom w:val="single" w:color="AEC4C1" w:sz="6"/>
          <w:right w:val="single" w:color="AEC4C1" w:sz="6"/>
          <w:insideH w:val="single" w:color="AEC4C1" w:sz="4"/>
          <w:insideV w:val="single" w:color="AEC4C1" w:sz="4"/>
        </w:tblBorders>
      </w:tblPr>
      <w:tblGrid>
        <w:gridCol w:w="1700"/>
        <w:gridCol w:w="7606"/>
      </w:tblGrid>
      <w:tr>
        <w:trPr>
          <w:cantSplit/>
          <w:tblHeader/>
        </w:trPr>
        <w:tc>
          <w:tcPr>
            <w:tcW w:w="17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Cadence</w:t>
            </w:r>
          </w:p>
        </w:tc>
        <w:tc>
          <w:tcPr>
            <w:tcW w:w="7606"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Rhythm</w:t>
            </w:r>
          </w:p>
        </w:tc>
      </w:tr>
      <w:tr>
        <w:trPr>
          <w:cantSplit/>
        </w:trPr>
        <w:tc>
          <w:tcPr>
            <w:tcW w:w="1700" w:type="dxa"/>
            <w:tcMar>
              <w:top w:w="50" w:type="dxa"/>
              <w:left w:w="100" w:type="dxa"/>
              <w:bottom w:w="50" w:type="dxa"/>
              <w:right w:w="100" w:type="dxa"/>
            </w:tcMar>
          </w:tcPr>
          <w:p>
            <w:pPr>
              <w:pStyle w:val="TableText"/>
            </w:pPr>
            <w:r>
              <w:rPr>
                <w:rFonts w:ascii="Calibri" w:hAnsi="Calibri" w:eastAsia="Microsoft YaHei"/>
                <w:color w:val="222F36"/>
                <w:sz w:val="20"/>
              </w:rPr>
              <w:t xml:space="preserve">Daily</w:t>
            </w:r>
          </w:p>
        </w:tc>
        <w:tc>
          <w:tcPr>
            <w:tcW w:w="7606" w:type="dxa"/>
            <w:tcMar>
              <w:top w:w="50" w:type="dxa"/>
              <w:left w:w="100" w:type="dxa"/>
              <w:bottom w:w="50" w:type="dxa"/>
              <w:right w:w="100" w:type="dxa"/>
            </w:tcMar>
          </w:tcPr>
          <w:p>
            <w:pPr>
              <w:pStyle w:val="TableText"/>
            </w:pPr>
            <w:r>
              <w:rPr>
                <w:rFonts w:ascii="Calibri" w:hAnsi="Calibri" w:eastAsia="Microsoft YaHei"/>
                <w:color w:val="222F36"/>
                <w:sz w:val="20"/>
              </w:rPr>
              <w:t xml:space="preserve">Tide Line contact test at 0000 UTC; situation synchronization at 0600 UTC; Tide Report at 1800 UTC</w:t>
            </w:r>
          </w:p>
        </w:tc>
      </w:tr>
      <w:tr>
        <w:trPr>
          <w:cantSplit/>
        </w:trPr>
        <w:tc>
          <w:tcPr>
            <w:tcW w:w="17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Weekly</w:t>
            </w:r>
          </w:p>
        </w:tc>
        <w:tc>
          <w:tcPr>
            <w:tcW w:w="76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Feed failover drill; Integrity Cell report; advisory review</w:t>
            </w:r>
          </w:p>
        </w:tc>
      </w:tr>
      <w:tr>
        <w:trPr>
          <w:cantSplit/>
        </w:trPr>
        <w:tc>
          <w:tcPr>
            <w:tcW w:w="1700" w:type="dxa"/>
            <w:tcMar>
              <w:top w:w="50" w:type="dxa"/>
              <w:left w:w="100" w:type="dxa"/>
              <w:bottom w:w="50" w:type="dxa"/>
              <w:right w:w="100" w:type="dxa"/>
            </w:tcMar>
          </w:tcPr>
          <w:p>
            <w:pPr>
              <w:pStyle w:val="TableText"/>
            </w:pPr>
            <w:r>
              <w:rPr>
                <w:rFonts w:ascii="Calibri" w:hAnsi="Calibri" w:eastAsia="Microsoft YaHei"/>
                <w:color w:val="222F36"/>
                <w:sz w:val="20"/>
              </w:rPr>
              <w:t xml:space="preserve">Monthly</w:t>
            </w:r>
          </w:p>
        </w:tc>
        <w:tc>
          <w:tcPr>
            <w:tcW w:w="7606" w:type="dxa"/>
            <w:tcMar>
              <w:top w:w="50" w:type="dxa"/>
              <w:left w:w="100" w:type="dxa"/>
              <w:bottom w:w="50" w:type="dxa"/>
              <w:right w:w="100" w:type="dxa"/>
            </w:tcMar>
          </w:tcPr>
          <w:p>
            <w:pPr>
              <w:pStyle w:val="TableText"/>
            </w:pPr>
            <w:r>
              <w:rPr>
                <w:rFonts w:ascii="Calibri" w:hAnsi="Calibri" w:eastAsia="Microsoft YaHei"/>
                <w:color w:val="222F36"/>
                <w:sz w:val="20"/>
              </w:rPr>
              <w:t xml:space="preserve">Council video session; manual mode exercise; contribution ledger update</w:t>
            </w:r>
          </w:p>
        </w:tc>
      </w:tr>
      <w:tr>
        <w:trPr>
          <w:cantSplit/>
        </w:trPr>
        <w:tc>
          <w:tcPr>
            <w:tcW w:w="17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Quarterly</w:t>
            </w:r>
          </w:p>
        </w:tc>
        <w:tc>
          <w:tcPr>
            <w:tcW w:w="76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Public accounts; claims audit; observer briefing; premium movement report; expectation band review</w:t>
            </w:r>
          </w:p>
        </w:tc>
      </w:tr>
      <w:tr>
        <w:trPr>
          <w:cantSplit/>
        </w:trPr>
        <w:tc>
          <w:tcPr>
            <w:tcW w:w="1700" w:type="dxa"/>
            <w:tcMar>
              <w:top w:w="50" w:type="dxa"/>
              <w:left w:w="100" w:type="dxa"/>
              <w:bottom w:w="50" w:type="dxa"/>
              <w:right w:w="100" w:type="dxa"/>
            </w:tcMar>
          </w:tcPr>
          <w:p>
            <w:pPr>
              <w:pStyle w:val="TableText"/>
            </w:pPr>
            <w:r>
              <w:rPr>
                <w:rFonts w:ascii="Calibri" w:hAnsi="Calibri" w:eastAsia="Microsoft YaHei"/>
                <w:color w:val="222F36"/>
                <w:sz w:val="20"/>
              </w:rPr>
              <w:t xml:space="preserve">Annually</w:t>
            </w:r>
          </w:p>
        </w:tc>
        <w:tc>
          <w:tcPr>
            <w:tcW w:w="7606" w:type="dxa"/>
            <w:tcMar>
              <w:top w:w="50" w:type="dxa"/>
              <w:left w:w="100" w:type="dxa"/>
              <w:bottom w:w="50" w:type="dxa"/>
              <w:right w:w="100" w:type="dxa"/>
            </w:tcMar>
          </w:tcPr>
          <w:p>
            <w:pPr>
              <w:pStyle w:val="TableText"/>
            </w:pPr>
            <w:r>
              <w:rPr>
                <w:rFonts w:ascii="Calibri" w:hAnsi="Calibri" w:eastAsia="Microsoft YaHei"/>
                <w:color w:val="222F36"/>
                <w:sz w:val="20"/>
              </w:rPr>
              <w:t xml:space="preserve">The Annual Refit; external financial audit; verification audit; joint rescue exercise; Observer Conference; Declaration of Intent renewed</w:t>
            </w:r>
          </w:p>
        </w:tc>
      </w:tr>
    </w:tbl>
    <w:p>
      <w:pPr>
        <w:spacing w:before="0" w:after="140"/>
      </w:pPr>
      <w:r>
        <w:rPr>
          <w:sz w:val="8"/>
        </w:rPr>
        <w:t/>
      </w:r>
    </w:p>
    <w:p>
      <w:pPr>
        <w:pStyle w:val="Heading1"/>
        <w:keepNext/>
        <w:keepLines/>
        <w:pageBreakBefore/>
      </w:pPr>
      <w:r>
        <w:rPr>
          <w:rFonts w:ascii="Calibri" w:hAnsi="Calibri" w:eastAsia="Microsoft YaHei"/>
          <w:b/>
          <w:color w:val="1F4E5F"/>
          <w:sz w:val="34"/>
        </w:rPr>
        <w:t xml:space="preserve">Annex M: The Boundary Lines Charter</w:t>
      </w:r>
    </w:p>
    <w:p>
      <w:pPr>
        <w:pStyle w:val="Normal"/>
      </w:pPr>
      <w:r>
        <w:rPr>
          <w:rFonts w:ascii="Calibri" w:hAnsi="Calibri" w:eastAsia="Microsoft YaHei"/>
          <w:color w:val="222F36"/>
          <w:sz w:val="21"/>
        </w:rPr>
        <w:t xml:space="preserve">The Boundary Lines state the conditions on which the consent of the Parties rests. They bind the Parties, the institutions, and every participant. They stand above every other rule of the Compact, and the Protection Covenant defends them as one piece.</w:t>
      </w:r>
    </w:p>
    <w:p>
      <w:pPr>
        <w:pStyle w:val="Heading3"/>
        <w:keepNext/>
        <w:keepLines/>
      </w:pPr>
      <w:r>
        <w:rPr>
          <w:rFonts w:ascii="Calibri" w:hAnsi="Calibri" w:eastAsia="Microsoft YaHei"/>
          <w:b/>
          <w:color w:val="222F36"/>
          <w:sz w:val="22"/>
        </w:rPr>
        <w:t xml:space="preserve">M.1 The Lines</w:t>
      </w:r>
    </w:p>
    <w:p>
      <w:pPr>
        <w:pStyle w:val="Normal"/>
        <w:ind w:left="560" w:hanging="560"/>
      </w:pPr>
      <w:r>
        <w:rPr>
          <w:rFonts w:ascii="Calibri" w:hAnsi="Calibri" w:eastAsia="Microsoft YaHei"/>
          <w:b/>
          <w:color w:val="1F4E5F"/>
          <w:sz w:val="21"/>
        </w:rPr>
        <w:t xml:space="preserve">BL-1  </w:t>
      </w:r>
      <w:r>
        <w:rPr>
          <w:rFonts w:ascii="Calibri" w:hAnsi="Calibri" w:eastAsia="Microsoft YaHei"/>
          <w:b/>
          <w:color w:val="222F36"/>
          <w:sz w:val="21"/>
        </w:rPr>
        <w:t xml:space="preserve">Zero tolls.</w:t>
      </w:r>
      <w:r>
        <w:rPr>
          <w:rFonts w:ascii="Calibri" w:hAnsi="Calibri" w:eastAsia="Microsoft YaHei"/>
          <w:color w:val="222F36"/>
          <w:sz w:val="21"/>
        </w:rPr>
        <w:t xml:space="preserve"> No charge applies to transit passage through the Strait, in either fairway, at any time, for any flag, under any name, whether as toll, fee, due, surcharge, contribution, or service precondition. Services have prices; passage has none, and no service conditions passage.</w:t>
      </w:r>
    </w:p>
    <w:p>
      <w:pPr>
        <w:pStyle w:val="Normal"/>
        <w:ind w:left="560" w:hanging="560"/>
      </w:pPr>
      <w:r>
        <w:rPr>
          <w:rFonts w:ascii="Calibri" w:hAnsi="Calibri" w:eastAsia="Microsoft YaHei"/>
          <w:b/>
          <w:color w:val="1F4E5F"/>
          <w:sz w:val="21"/>
        </w:rPr>
        <w:t xml:space="preserve">BL-2  </w:t>
      </w:r>
      <w:r>
        <w:rPr>
          <w:rFonts w:ascii="Calibri" w:hAnsi="Calibri" w:eastAsia="Microsoft YaHei"/>
          <w:b/>
          <w:color w:val="222F36"/>
          <w:sz w:val="21"/>
        </w:rPr>
        <w:t xml:space="preserve">The Southern Fairway stays open.</w:t>
      </w:r>
      <w:r>
        <w:rPr>
          <w:rFonts w:ascii="Calibri" w:hAnsi="Calibri" w:eastAsia="Microsoft YaHei"/>
          <w:color w:val="222F36"/>
          <w:sz w:val="21"/>
        </w:rPr>
        <w:t xml:space="preserve"> The Southern Fairway remains open to all vessels unconditionally: no notice, no permission, no charge, no suspension, in calm and in crisis alike.</w:t>
      </w:r>
    </w:p>
    <w:p>
      <w:pPr>
        <w:pStyle w:val="Normal"/>
        <w:ind w:left="560" w:hanging="560"/>
      </w:pPr>
      <w:r>
        <w:rPr>
          <w:rFonts w:ascii="Calibri" w:hAnsi="Calibri" w:eastAsia="Microsoft YaHei"/>
          <w:b/>
          <w:color w:val="1F4E5F"/>
          <w:sz w:val="21"/>
        </w:rPr>
        <w:t xml:space="preserve">BL-3  </w:t>
      </w:r>
      <w:r>
        <w:rPr>
          <w:rFonts w:ascii="Calibri" w:hAnsi="Calibri" w:eastAsia="Microsoft YaHei"/>
          <w:b/>
          <w:color w:val="222F36"/>
          <w:sz w:val="21"/>
        </w:rPr>
        <w:t xml:space="preserve">The Northern Fairway runs on notice, not permission.</w:t>
      </w:r>
      <w:r>
        <w:rPr>
          <w:rFonts w:ascii="Calibri" w:hAnsi="Calibri" w:eastAsia="Microsoft YaHei"/>
          <w:color w:val="222F36"/>
          <w:sz w:val="21"/>
        </w:rPr>
        <w:t xml:space="preserve"> The Northern Fairway operates under Iranian coordination expressed through the Watch. The notice informs and never requests; the Watch records and coordinates and never conditions, delays, or denies passage. No practice, however gradual, grows a permission regime.</w:t>
      </w:r>
    </w:p>
    <w:p>
      <w:pPr>
        <w:pStyle w:val="Normal"/>
        <w:ind w:left="560" w:hanging="560"/>
      </w:pPr>
      <w:r>
        <w:rPr>
          <w:rFonts w:ascii="Calibri" w:hAnsi="Calibri" w:eastAsia="Microsoft YaHei"/>
          <w:b/>
          <w:color w:val="1F4E5F"/>
          <w:sz w:val="21"/>
        </w:rPr>
        <w:t xml:space="preserve">BL-4  </w:t>
      </w:r>
      <w:r>
        <w:rPr>
          <w:rFonts w:ascii="Calibri" w:hAnsi="Calibri" w:eastAsia="Microsoft YaHei"/>
          <w:b/>
          <w:color w:val="222F36"/>
          <w:sz w:val="21"/>
        </w:rPr>
        <w:t xml:space="preserve">No boarding in the fairways.</w:t>
      </w:r>
      <w:r>
        <w:rPr>
          <w:rFonts w:ascii="Calibri" w:hAnsi="Calibri" w:eastAsia="Microsoft YaHei"/>
          <w:color w:val="222F36"/>
          <w:sz w:val="21"/>
        </w:rPr>
        <w:t xml:space="preserve"> No boarding, diversion, detention, or inspection of a vessel in transit occurs within the fairways. Where international law provides for inspection, it occurs at the anchorages or at port, outside the lanes, under the law of the coastal state.</w:t>
      </w:r>
    </w:p>
    <w:p>
      <w:pPr>
        <w:pStyle w:val="Normal"/>
        <w:ind w:left="560" w:hanging="560"/>
      </w:pPr>
      <w:r>
        <w:rPr>
          <w:rFonts w:ascii="Calibri" w:hAnsi="Calibri" w:eastAsia="Microsoft YaHei"/>
          <w:b/>
          <w:color w:val="1F4E5F"/>
          <w:sz w:val="21"/>
        </w:rPr>
        <w:t xml:space="preserve">BL-5  </w:t>
      </w:r>
      <w:r>
        <w:rPr>
          <w:rFonts w:ascii="Calibri" w:hAnsi="Calibri" w:eastAsia="Microsoft YaHei"/>
          <w:b/>
          <w:color w:val="222F36"/>
          <w:sz w:val="21"/>
        </w:rPr>
        <w:t xml:space="preserve">Civilian bodies.</w:t>
      </w:r>
      <w:r>
        <w:rPr>
          <w:rFonts w:ascii="Calibri" w:hAnsi="Calibri" w:eastAsia="Microsoft YaHei"/>
          <w:color w:val="222F36"/>
          <w:sz w:val="21"/>
        </w:rPr>
        <w:t xml:space="preserve"> Every institution of the Compact is civilian. No serving military officer sits on the watch floor or in the Concordance Office, and no Compact body answers to any command authority.</w:t>
      </w:r>
    </w:p>
    <w:p>
      <w:pPr>
        <w:pStyle w:val="Normal"/>
        <w:ind w:left="560" w:hanging="560"/>
      </w:pPr>
      <w:r>
        <w:rPr>
          <w:rFonts w:ascii="Calibri" w:hAnsi="Calibri" w:eastAsia="Microsoft YaHei"/>
          <w:b/>
          <w:color w:val="1F4E5F"/>
          <w:sz w:val="21"/>
        </w:rPr>
        <w:t xml:space="preserve">BL-6  </w:t>
      </w:r>
      <w:r>
        <w:rPr>
          <w:rFonts w:ascii="Calibri" w:hAnsi="Calibri" w:eastAsia="Microsoft YaHei"/>
          <w:b/>
          <w:color w:val="222F36"/>
          <w:sz w:val="21"/>
        </w:rPr>
        <w:t xml:space="preserve">Sovereignty untouched.</w:t>
      </w:r>
      <w:r>
        <w:rPr>
          <w:rFonts w:ascii="Calibri" w:hAnsi="Calibri" w:eastAsia="Microsoft YaHei"/>
          <w:color w:val="222F36"/>
          <w:sz w:val="21"/>
        </w:rPr>
        <w:t xml:space="preserve"> The Compact administers traffic and services, never territory, and it carries no mandate over the internal affairs of any state. Domestic law outside the scope of the Compact stands exactly where it stood.</w:t>
      </w:r>
    </w:p>
    <w:p>
      <w:pPr>
        <w:pStyle w:val="Normal"/>
        <w:ind w:left="560" w:hanging="560"/>
      </w:pPr>
      <w:r>
        <w:rPr>
          <w:rFonts w:ascii="Calibri" w:hAnsi="Calibri" w:eastAsia="Microsoft YaHei"/>
          <w:b/>
          <w:color w:val="1F4E5F"/>
          <w:sz w:val="21"/>
        </w:rPr>
        <w:t xml:space="preserve">BL-7  </w:t>
      </w:r>
      <w:r>
        <w:rPr>
          <w:rFonts w:ascii="Calibri" w:hAnsi="Calibri" w:eastAsia="Microsoft YaHei"/>
          <w:b/>
          <w:color w:val="222F36"/>
          <w:sz w:val="21"/>
        </w:rPr>
        <w:t xml:space="preserve">No charges to shippers.</w:t>
      </w:r>
      <w:r>
        <w:rPr>
          <w:rFonts w:ascii="Calibri" w:hAnsi="Calibri" w:eastAsia="Microsoft YaHei"/>
          <w:color w:val="222F36"/>
          <w:sz w:val="21"/>
        </w:rPr>
        <w:t xml:space="preserve"> No shipper, owner, insurer, or flag pays anything to the Compact or its institutions for passage or for the record. The Account lives on founding advances and voluntary contributions, and contribution purchases no authority.</w:t>
      </w:r>
    </w:p>
    <w:p>
      <w:pPr>
        <w:pStyle w:val="Normal"/>
        <w:ind w:left="560" w:hanging="560"/>
      </w:pPr>
      <w:r>
        <w:rPr>
          <w:rFonts w:ascii="Calibri" w:hAnsi="Calibri" w:eastAsia="Microsoft YaHei"/>
          <w:b/>
          <w:color w:val="1F4E5F"/>
          <w:sz w:val="21"/>
        </w:rPr>
        <w:t xml:space="preserve">BL-8  </w:t>
      </w:r>
      <w:r>
        <w:rPr>
          <w:rFonts w:ascii="Calibri" w:hAnsi="Calibri" w:eastAsia="Microsoft YaHei"/>
          <w:b/>
          <w:color w:val="222F36"/>
          <w:sz w:val="21"/>
        </w:rPr>
        <w:t xml:space="preserve">Verification by convergence and invitation.</w:t>
      </w:r>
      <w:r>
        <w:rPr>
          <w:rFonts w:ascii="Calibri" w:hAnsi="Calibri" w:eastAsia="Microsoft YaHei"/>
          <w:color w:val="222F36"/>
          <w:sz w:val="21"/>
        </w:rPr>
        <w:t xml:space="preserve"> Verification proceeds by data, by the Three-Signal Rule, and by invited visit. The Compact creates no uninvited access to the territory, facilities, or systems of either Party, and no foreign presence verifies on a Party’s soil without that Party’s invitation.</w:t>
      </w:r>
    </w:p>
    <w:p>
      <w:pPr>
        <w:pStyle w:val="Normal"/>
        <w:ind w:left="560" w:hanging="560"/>
      </w:pPr>
      <w:r>
        <w:rPr>
          <w:rFonts w:ascii="Calibri" w:hAnsi="Calibri" w:eastAsia="Microsoft YaHei"/>
          <w:b/>
          <w:color w:val="1F4E5F"/>
          <w:sz w:val="21"/>
        </w:rPr>
        <w:t xml:space="preserve">BL-9  </w:t>
      </w:r>
      <w:r>
        <w:rPr>
          <w:rFonts w:ascii="Calibri" w:hAnsi="Calibri" w:eastAsia="Microsoft YaHei"/>
          <w:b/>
          <w:color w:val="222F36"/>
          <w:sz w:val="21"/>
        </w:rPr>
        <w:t xml:space="preserve">No kinetic or intelligence use.</w:t>
      </w:r>
      <w:r>
        <w:rPr>
          <w:rFonts w:ascii="Calibri" w:hAnsi="Calibri" w:eastAsia="Microsoft YaHei"/>
          <w:color w:val="222F36"/>
          <w:sz w:val="21"/>
        </w:rPr>
        <w:t xml:space="preserve"> Compact assets, data, premises, and channels never serve kinetic operations, intelligence preparation, targeting, or sanctions evidence. The watermark and the classification engine defend this line together.</w:t>
      </w:r>
    </w:p>
    <w:p>
      <w:pPr>
        <w:pStyle w:val="Normal"/>
        <w:ind w:left="560" w:hanging="560"/>
      </w:pPr>
      <w:r>
        <w:rPr>
          <w:rFonts w:ascii="Calibri" w:hAnsi="Calibri" w:eastAsia="Microsoft YaHei"/>
          <w:b/>
          <w:color w:val="1F4E5F"/>
          <w:sz w:val="21"/>
        </w:rPr>
        <w:t xml:space="preserve">BL-10  </w:t>
      </w:r>
      <w:r>
        <w:rPr>
          <w:rFonts w:ascii="Calibri" w:hAnsi="Calibri" w:eastAsia="Microsoft YaHei"/>
          <w:b/>
          <w:color w:val="222F36"/>
          <w:sz w:val="21"/>
        </w:rPr>
        <w:t xml:space="preserve">The humanitarian firewall is absolute.</w:t>
      </w:r>
      <w:r>
        <w:rPr>
          <w:rFonts w:ascii="Calibri" w:hAnsi="Calibri" w:eastAsia="Microsoft YaHei"/>
          <w:color w:val="222F36"/>
          <w:sz w:val="21"/>
        </w:rPr>
        <w:t xml:space="preserve"> The firewall of Article 15.5 and Annex F.6 admits no exception, no suspension, and no narrowing. It runs one way, and nothing reverses it.</w:t>
      </w:r>
    </w:p>
    <w:p>
      <w:pPr>
        <w:pStyle w:val="Normal"/>
        <w:ind w:left="560" w:hanging="560"/>
      </w:pPr>
      <w:r>
        <w:rPr>
          <w:rFonts w:ascii="Calibri" w:hAnsi="Calibri" w:eastAsia="Microsoft YaHei"/>
          <w:b/>
          <w:color w:val="1F4E5F"/>
          <w:sz w:val="21"/>
        </w:rPr>
        <w:t xml:space="preserve">BL-11  </w:t>
      </w:r>
      <w:r>
        <w:rPr>
          <w:rFonts w:ascii="Calibri" w:hAnsi="Calibri" w:eastAsia="Microsoft YaHei"/>
          <w:b/>
          <w:color w:val="222F36"/>
          <w:sz w:val="21"/>
        </w:rPr>
        <w:t xml:space="preserve">No fade.</w:t>
      </w:r>
      <w:r>
        <w:rPr>
          <w:rFonts w:ascii="Calibri" w:hAnsi="Calibri" w:eastAsia="Microsoft YaHei"/>
          <w:color w:val="222F36"/>
          <w:sz w:val="21"/>
        </w:rPr>
        <w:t xml:space="preserve"> The Compact carries no sunset, no review cliff, and no silent expiry. Banked performance keeps its value permanently, and dormancy never terminates anything (Article 19.3).</w:t>
      </w:r>
    </w:p>
    <w:p>
      <w:pPr>
        <w:pStyle w:val="Normal"/>
        <w:ind w:left="560" w:hanging="560"/>
      </w:pPr>
      <w:r>
        <w:rPr>
          <w:rFonts w:ascii="Calibri" w:hAnsi="Calibri" w:eastAsia="Microsoft YaHei"/>
          <w:b/>
          <w:color w:val="1F4E5F"/>
          <w:sz w:val="21"/>
        </w:rPr>
        <w:t xml:space="preserve">BL-12  </w:t>
      </w:r>
      <w:r>
        <w:rPr>
          <w:rFonts w:ascii="Calibri" w:hAnsi="Calibri" w:eastAsia="Microsoft YaHei"/>
          <w:b/>
          <w:color w:val="222F36"/>
          <w:sz w:val="21"/>
        </w:rPr>
        <w:t xml:space="preserve">The sealed bulkhead.</w:t>
      </w:r>
      <w:r>
        <w:rPr>
          <w:rFonts w:ascii="Calibri" w:hAnsi="Calibri" w:eastAsia="Microsoft YaHei"/>
          <w:color w:val="222F36"/>
          <w:sz w:val="21"/>
        </w:rPr>
        <w:t xml:space="preserve"> The Compact stands alone. No linkage runs to or from any other file, in deed or in speech, per Article 3.4 and Article 20.6.</w:t>
      </w:r>
    </w:p>
    <w:p>
      <w:pPr>
        <w:pStyle w:val="Heading3"/>
        <w:keepNext/>
        <w:keepLines/>
      </w:pPr>
      <w:r>
        <w:rPr>
          <w:rFonts w:ascii="Calibri" w:hAnsi="Calibri" w:eastAsia="Microsoft YaHei"/>
          <w:b/>
          <w:color w:val="222F36"/>
          <w:sz w:val="22"/>
        </w:rPr>
        <w:t xml:space="preserve">M.2 The Perimeter Check: Procedure</w:t>
      </w:r>
    </w:p>
    <w:p>
      <w:pPr>
        <w:pStyle w:val="Normal"/>
        <w:ind w:left="560" w:hanging="560"/>
      </w:pPr>
      <w:r>
        <w:rPr>
          <w:rFonts w:ascii="Calibri" w:hAnsi="Calibri" w:eastAsia="Microsoft YaHei"/>
          <w:b/>
          <w:color w:val="1F4E5F"/>
          <w:sz w:val="21"/>
        </w:rPr>
        <w:t xml:space="preserve">M.2.1  </w:t>
      </w:r>
      <w:r>
        <w:rPr>
          <w:rFonts w:ascii="Calibri" w:hAnsi="Calibri" w:eastAsia="Microsoft YaHei"/>
          <w:color w:val="222F36"/>
          <w:sz w:val="21"/>
        </w:rPr>
        <w:t xml:space="preserve">The Council transmits every draft joint instrument, rate change, geometry change, and new procedure to the Recorder before adoption.</w:t>
      </w:r>
    </w:p>
    <w:p>
      <w:pPr>
        <w:pStyle w:val="Normal"/>
        <w:ind w:left="560" w:hanging="560"/>
      </w:pPr>
      <w:r>
        <w:rPr>
          <w:rFonts w:ascii="Calibri" w:hAnsi="Calibri" w:eastAsia="Microsoft YaHei"/>
          <w:b/>
          <w:color w:val="1F4E5F"/>
          <w:sz w:val="21"/>
        </w:rPr>
        <w:t xml:space="preserve">M.2.2  </w:t>
      </w:r>
      <w:r>
        <w:rPr>
          <w:rFonts w:ascii="Calibri" w:hAnsi="Calibri" w:eastAsia="Microsoft YaHei"/>
          <w:color w:val="222F36"/>
          <w:sz w:val="21"/>
        </w:rPr>
        <w:t xml:space="preserve">The Recorder certifies in writing, within seventy-two hours, that the draft crosses no Boundary Line, or states the line it crosses and the reasoning. The certificate enters the Concordance and the public docket.</w:t>
      </w:r>
    </w:p>
    <w:p>
      <w:pPr>
        <w:pStyle w:val="Normal"/>
        <w:ind w:left="560" w:hanging="560"/>
      </w:pPr>
      <w:r>
        <w:rPr>
          <w:rFonts w:ascii="Calibri" w:hAnsi="Calibri" w:eastAsia="Microsoft YaHei"/>
          <w:b/>
          <w:color w:val="1F4E5F"/>
          <w:sz w:val="21"/>
        </w:rPr>
        <w:t xml:space="preserve">M.2.3  </w:t>
      </w:r>
      <w:r>
        <w:rPr>
          <w:rFonts w:ascii="Calibri" w:hAnsi="Calibri" w:eastAsia="Microsoft YaHei"/>
          <w:color w:val="222F36"/>
          <w:sz w:val="21"/>
        </w:rPr>
        <w:t xml:space="preserve">A negative certificate stops the measure. The measure proceeds only where the Parties amend the Charter under M.3, an act that faces the Lines openly rather than working around them.</w:t>
      </w:r>
    </w:p>
    <w:p>
      <w:pPr>
        <w:pStyle w:val="Normal"/>
        <w:ind w:left="560" w:hanging="560"/>
      </w:pPr>
      <w:r>
        <w:rPr>
          <w:rFonts w:ascii="Calibri" w:hAnsi="Calibri" w:eastAsia="Microsoft YaHei"/>
          <w:b/>
          <w:color w:val="1F4E5F"/>
          <w:sz w:val="21"/>
        </w:rPr>
        <w:t xml:space="preserve">M.2.4  </w:t>
      </w:r>
      <w:r>
        <w:rPr>
          <w:rFonts w:ascii="Calibri" w:hAnsi="Calibri" w:eastAsia="Microsoft YaHei"/>
          <w:color w:val="222F36"/>
          <w:sz w:val="21"/>
        </w:rPr>
        <w:t xml:space="preserve">A participant disputes a certificate through the adversarial claim review of Article 14.7, with the full Circle in the seat of the Recorder for this purpose.</w:t>
      </w:r>
    </w:p>
    <w:p>
      <w:pPr>
        <w:pStyle w:val="Heading3"/>
        <w:keepNext/>
        <w:keepLines/>
      </w:pPr>
      <w:r>
        <w:rPr>
          <w:rFonts w:ascii="Calibri" w:hAnsi="Calibri" w:eastAsia="Microsoft YaHei"/>
          <w:b/>
          <w:color w:val="222F36"/>
          <w:sz w:val="22"/>
        </w:rPr>
        <w:t xml:space="preserve">M.3 Entrenchment</w:t>
      </w:r>
    </w:p>
    <w:p>
      <w:pPr>
        <w:pStyle w:val="Normal"/>
      </w:pPr>
      <w:r>
        <w:rPr>
          <w:rFonts w:ascii="Calibri" w:hAnsi="Calibri" w:eastAsia="Microsoft YaHei"/>
          <w:color w:val="222F36"/>
          <w:sz w:val="21"/>
        </w:rPr>
        <w:t xml:space="preserve">An amendment to a Boundary Line requires a joint written instrument of the Parties and the unanimous written assent of the Guarantor Circle, deposited with the depositary. No other act touches the Lines, and no practice, however long continued, erodes them.</w:t>
      </w:r>
    </w:p>
    <w:p>
      <w:pPr>
        <w:pStyle w:val="Heading3"/>
        <w:keepNext/>
        <w:keepLines/>
      </w:pPr>
      <w:r>
        <w:rPr>
          <w:rFonts w:ascii="Calibri" w:hAnsi="Calibri" w:eastAsia="Microsoft YaHei"/>
          <w:b/>
          <w:color w:val="222F36"/>
          <w:sz w:val="22"/>
        </w:rPr>
        <w:t xml:space="preserve">M.4 The Protection Covenant: Mechanics</w:t>
      </w:r>
    </w:p>
    <w:p>
      <w:pPr>
        <w:pStyle w:val="Normal"/>
        <w:ind w:left="560" w:hanging="560"/>
      </w:pPr>
      <w:r>
        <w:rPr>
          <w:rFonts w:ascii="Calibri" w:hAnsi="Calibri" w:eastAsia="Microsoft YaHei"/>
          <w:b/>
          <w:color w:val="1F4E5F"/>
          <w:sz w:val="21"/>
        </w:rPr>
        <w:t xml:space="preserve">M.4.1  </w:t>
      </w:r>
      <w:r>
        <w:rPr>
          <w:rFonts w:ascii="Calibri" w:hAnsi="Calibri" w:eastAsia="Microsoft YaHei"/>
          <w:color w:val="222F36"/>
          <w:sz w:val="21"/>
        </w:rPr>
        <w:t xml:space="preserve">The Lines form a single covenant. An attempt to strike, suspend, or hollow out any line voids the attempt and leaves the Charter intact: the offending measure fails, never the Compact.</w:t>
      </w:r>
    </w:p>
    <w:p>
      <w:pPr>
        <w:pStyle w:val="Normal"/>
        <w:ind w:left="560" w:hanging="560"/>
      </w:pPr>
      <w:r>
        <w:rPr>
          <w:rFonts w:ascii="Calibri" w:hAnsi="Calibri" w:eastAsia="Microsoft YaHei"/>
          <w:b/>
          <w:color w:val="1F4E5F"/>
          <w:sz w:val="21"/>
        </w:rPr>
        <w:t xml:space="preserve">M.4.2  </w:t>
      </w:r>
      <w:r>
        <w:rPr>
          <w:rFonts w:ascii="Calibri" w:hAnsi="Calibri" w:eastAsia="Microsoft YaHei"/>
          <w:color w:val="222F36"/>
          <w:sz w:val="21"/>
        </w:rPr>
        <w:t xml:space="preserve">Any participant invokes the covenant by written notice to the full Circle. The Circle rules within seventy-two hours, unanimously where the objection stands against a co-arbitration decision (Article 11.7), and otherwise by any two members.</w:t>
      </w:r>
    </w:p>
    <w:p>
      <w:pPr>
        <w:pStyle w:val="Normal"/>
        <w:ind w:left="560" w:hanging="560"/>
      </w:pPr>
      <w:r>
        <w:rPr>
          <w:rFonts w:ascii="Calibri" w:hAnsi="Calibri" w:eastAsia="Microsoft YaHei"/>
          <w:b/>
          <w:color w:val="1F4E5F"/>
          <w:sz w:val="21"/>
        </w:rPr>
        <w:t xml:space="preserve">M.4.3  </w:t>
      </w:r>
      <w:r>
        <w:rPr>
          <w:rFonts w:ascii="Calibri" w:hAnsi="Calibri" w:eastAsia="Microsoft YaHei"/>
          <w:color w:val="222F36"/>
          <w:sz w:val="21"/>
        </w:rPr>
        <w:t xml:space="preserve">A covenant ruling is final on the mechanics: the measure stops, the Charter stands, and the record notes both. The ruling amends nothing and prejudices no boundary position.</w:t>
      </w:r>
    </w:p>
    <w:p>
      <w:pPr>
        <w:pStyle w:val="Normal"/>
        <w:ind w:left="560" w:hanging="560"/>
      </w:pPr>
      <w:r>
        <w:rPr>
          <w:rFonts w:ascii="Calibri" w:hAnsi="Calibri" w:eastAsia="Microsoft YaHei"/>
          <w:b/>
          <w:color w:val="1F4E5F"/>
          <w:sz w:val="21"/>
        </w:rPr>
        <w:t xml:space="preserve">M.4.4  </w:t>
      </w:r>
      <w:r>
        <w:rPr>
          <w:rFonts w:ascii="Calibri" w:hAnsi="Calibri" w:eastAsia="Microsoft YaHei"/>
          <w:color w:val="222F36"/>
          <w:sz w:val="21"/>
        </w:rPr>
        <w:t xml:space="preserve">The covenant exists so that the worst day of the Compact still ends with the Compact intact. It is the last wall, and it has never needed to be high, because every other wall does its work.</w:t>
      </w:r>
    </w:p>
    <w:p>
      <w:pPr>
        <w:pStyle w:val="Heading1"/>
        <w:keepNext/>
        <w:keepLines/>
        <w:pageBreakBefore/>
      </w:pPr>
      <w:r>
        <w:rPr>
          <w:rFonts w:ascii="Calibri" w:hAnsi="Calibri" w:eastAsia="Microsoft YaHei"/>
          <w:b/>
          <w:color w:val="1F4E5F"/>
          <w:sz w:val="34"/>
        </w:rPr>
        <w:t xml:space="preserve">Annex N: The Narrative Protocol and Model Statements</w:t>
      </w:r>
    </w:p>
    <w:p>
      <w:pPr>
        <w:pStyle w:val="Normal"/>
      </w:pPr>
      <w:r>
        <w:rPr>
          <w:rFonts w:ascii="Calibri" w:hAnsi="Calibri" w:eastAsia="Microsoft YaHei"/>
          <w:color w:val="222F36"/>
          <w:sz w:val="21"/>
        </w:rPr>
        <w:t xml:space="preserve">This annex protects the peace that the water makes possible. Its rules are simple: say the same facts, in your own words, without humiliating anyone, and fix the problem before you describe it.</w:t>
      </w:r>
    </w:p>
    <w:p>
      <w:pPr>
        <w:pStyle w:val="Heading3"/>
        <w:keepNext/>
        <w:keepLines/>
      </w:pPr>
      <w:r>
        <w:rPr>
          <w:rFonts w:ascii="Calibri" w:hAnsi="Calibri" w:eastAsia="Microsoft YaHei"/>
          <w:b/>
          <w:color w:val="222F36"/>
          <w:sz w:val="22"/>
        </w:rPr>
        <w:t xml:space="preserve">N.1 Nomenclature</w:t>
      </w:r>
    </w:p>
    <w:tbl>
      <w:tblPr>
        <w:tblW w:w="9306" w:type="dxa"/>
        <w:tblBorders>
          <w:top w:val="single" w:color="AEC4C1" w:sz="6"/>
          <w:left w:val="single" w:color="AEC4C1" w:sz="6"/>
          <w:bottom w:val="single" w:color="AEC4C1" w:sz="6"/>
          <w:right w:val="single" w:color="AEC4C1" w:sz="6"/>
          <w:insideH w:val="single" w:color="AEC4C1" w:sz="4"/>
          <w:insideV w:val="single" w:color="AEC4C1" w:sz="4"/>
        </w:tblBorders>
      </w:tblPr>
      <w:tblGrid>
        <w:gridCol w:w="2500"/>
        <w:gridCol w:w="6806"/>
      </w:tblGrid>
      <w:tr>
        <w:trPr>
          <w:cantSplit/>
          <w:tblHeader/>
        </w:trPr>
        <w:tc>
          <w:tcPr>
            <w:tcW w:w="25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Context</w:t>
            </w:r>
          </w:p>
        </w:tc>
        <w:tc>
          <w:tcPr>
            <w:tcW w:w="6806"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Usage</w:t>
            </w:r>
          </w:p>
        </w:tc>
      </w:tr>
      <w:tr>
        <w:trPr>
          <w:cantSplit/>
        </w:trPr>
        <w:tc>
          <w:tcPr>
            <w:tcW w:w="2500" w:type="dxa"/>
            <w:tcMar>
              <w:top w:w="50" w:type="dxa"/>
              <w:left w:w="100" w:type="dxa"/>
              <w:bottom w:w="50" w:type="dxa"/>
              <w:right w:w="100" w:type="dxa"/>
            </w:tcMar>
          </w:tcPr>
          <w:p>
            <w:pPr>
              <w:pStyle w:val="TableText"/>
            </w:pPr>
            <w:r>
              <w:rPr>
                <w:rFonts w:ascii="Calibri" w:hAnsi="Calibri" w:eastAsia="Microsoft YaHei"/>
                <w:color w:val="222F36"/>
                <w:sz w:val="20"/>
              </w:rPr>
              <w:t xml:space="preserve">Operative text of the Compact</w:t>
            </w:r>
          </w:p>
        </w:tc>
        <w:tc>
          <w:tcPr>
            <w:tcW w:w="6806" w:type="dxa"/>
            <w:tcMar>
              <w:top w:w="50" w:type="dxa"/>
              <w:left w:w="100" w:type="dxa"/>
              <w:bottom w:w="50" w:type="dxa"/>
              <w:right w:w="100" w:type="dxa"/>
            </w:tcMar>
          </w:tcPr>
          <w:p>
            <w:pPr>
              <w:pStyle w:val="TableText"/>
            </w:pPr>
            <w:r>
              <w:rPr>
                <w:rFonts w:ascii="Calibri" w:hAnsi="Calibri" w:eastAsia="Microsoft YaHei"/>
                <w:color w:val="222F36"/>
                <w:sz w:val="20"/>
              </w:rPr>
              <w:t xml:space="preserve">“The Strait” and the coordinates of Annex A</w:t>
            </w:r>
          </w:p>
        </w:tc>
      </w:tr>
      <w:tr>
        <w:trPr>
          <w:cantSplit/>
        </w:trPr>
        <w:tc>
          <w:tcPr>
            <w:tcW w:w="25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Iranian public communications</w:t>
            </w:r>
          </w:p>
        </w:tc>
        <w:tc>
          <w:tcPr>
            <w:tcW w:w="68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The designation of Iran’s choice, uncorrected by any participant</w:t>
            </w:r>
          </w:p>
        </w:tc>
      </w:tr>
      <w:tr>
        <w:trPr>
          <w:cantSplit/>
        </w:trPr>
        <w:tc>
          <w:tcPr>
            <w:tcW w:w="2500" w:type="dxa"/>
            <w:tcMar>
              <w:top w:w="50" w:type="dxa"/>
              <w:left w:w="100" w:type="dxa"/>
              <w:bottom w:w="50" w:type="dxa"/>
              <w:right w:w="100" w:type="dxa"/>
            </w:tcMar>
          </w:tcPr>
          <w:p>
            <w:pPr>
              <w:pStyle w:val="TableText"/>
            </w:pPr>
            <w:r>
              <w:rPr>
                <w:rFonts w:ascii="Calibri" w:hAnsi="Calibri" w:eastAsia="Microsoft YaHei"/>
                <w:color w:val="222F36"/>
                <w:sz w:val="20"/>
              </w:rPr>
              <w:t xml:space="preserve">Omani public communications</w:t>
            </w:r>
          </w:p>
        </w:tc>
        <w:tc>
          <w:tcPr>
            <w:tcW w:w="6806" w:type="dxa"/>
            <w:tcMar>
              <w:top w:w="50" w:type="dxa"/>
              <w:left w:w="100" w:type="dxa"/>
              <w:bottom w:w="50" w:type="dxa"/>
              <w:right w:w="100" w:type="dxa"/>
            </w:tcMar>
          </w:tcPr>
          <w:p>
            <w:pPr>
              <w:pStyle w:val="TableText"/>
            </w:pPr>
            <w:r>
              <w:rPr>
                <w:rFonts w:ascii="Calibri" w:hAnsi="Calibri" w:eastAsia="Microsoft YaHei"/>
                <w:color w:val="222F36"/>
                <w:sz w:val="20"/>
              </w:rPr>
              <w:t xml:space="preserve">The designation of Oman’s choice, uncorrected by any participant</w:t>
            </w:r>
          </w:p>
        </w:tc>
      </w:tr>
      <w:tr>
        <w:trPr>
          <w:cantSplit/>
        </w:trPr>
        <w:tc>
          <w:tcPr>
            <w:tcW w:w="25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Charts, advisories, and notices</w:t>
            </w:r>
          </w:p>
        </w:tc>
        <w:tc>
          <w:tcPr>
            <w:tcW w:w="68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Coordinates and waypoint references, never contested names</w:t>
            </w:r>
          </w:p>
        </w:tc>
      </w:tr>
    </w:tbl>
    <w:p>
      <w:pPr>
        <w:spacing w:before="0" w:after="140"/>
      </w:pPr>
      <w:r>
        <w:rPr>
          <w:sz w:val="8"/>
        </w:rPr>
        <w:t/>
      </w:r>
    </w:p>
    <w:p>
      <w:pPr>
        <w:pStyle w:val="Heading3"/>
        <w:keepNext/>
        <w:keepLines/>
      </w:pPr>
      <w:r>
        <w:rPr>
          <w:rFonts w:ascii="Calibri" w:hAnsi="Calibri" w:eastAsia="Microsoft YaHei"/>
          <w:b/>
          <w:color w:val="222F36"/>
          <w:sz w:val="22"/>
        </w:rPr>
        <w:t xml:space="preserve">N.2 The Quiet Channel</w:t>
      </w:r>
    </w:p>
    <w:p>
      <w:pPr>
        <w:pStyle w:val="Normal"/>
        <w:ind w:left="560" w:hanging="560"/>
      </w:pPr>
      <w:r>
        <w:rPr>
          <w:rFonts w:ascii="Calibri" w:hAnsi="Calibri" w:eastAsia="Microsoft YaHei"/>
          <w:b/>
          <w:color w:val="1F4E5F"/>
          <w:sz w:val="21"/>
        </w:rPr>
        <w:t xml:space="preserve">N.2.1  </w:t>
      </w:r>
      <w:r>
        <w:rPr>
          <w:rFonts w:ascii="Calibri" w:hAnsi="Calibri" w:eastAsia="Microsoft YaHei"/>
          <w:color w:val="222F36"/>
          <w:sz w:val="21"/>
        </w:rPr>
        <w:t xml:space="preserve">The Mediation Guarantor holds the quiet channel: named contact points in each capital, a response clock of twenty-four hours, and a standing room in Doha, in person or by secure video.</w:t>
      </w:r>
    </w:p>
    <w:p>
      <w:pPr>
        <w:pStyle w:val="Normal"/>
        <w:ind w:left="560" w:hanging="560"/>
      </w:pPr>
      <w:r>
        <w:rPr>
          <w:rFonts w:ascii="Calibri" w:hAnsi="Calibri" w:eastAsia="Microsoft YaHei"/>
          <w:b/>
          <w:color w:val="1F4E5F"/>
          <w:sz w:val="21"/>
        </w:rPr>
        <w:t xml:space="preserve">N.2.2  </w:t>
      </w:r>
      <w:r>
        <w:rPr>
          <w:rFonts w:ascii="Calibri" w:hAnsi="Calibri" w:eastAsia="Microsoft YaHei"/>
          <w:color w:val="222F36"/>
          <w:sz w:val="21"/>
        </w:rPr>
        <w:t xml:space="preserve">Nothing in the quiet channel enters any record unless both Parties agree. The channel exists for repair, not for evidence.</w:t>
      </w:r>
    </w:p>
    <w:p>
      <w:pPr>
        <w:pStyle w:val="Normal"/>
        <w:ind w:left="560" w:hanging="560"/>
      </w:pPr>
      <w:r>
        <w:rPr>
          <w:rFonts w:ascii="Calibri" w:hAnsi="Calibri" w:eastAsia="Microsoft YaHei"/>
          <w:b/>
          <w:color w:val="1F4E5F"/>
          <w:sz w:val="21"/>
        </w:rPr>
        <w:t xml:space="preserve">N.2.3  </w:t>
      </w:r>
      <w:r>
        <w:rPr>
          <w:rFonts w:ascii="Calibri" w:hAnsi="Calibri" w:eastAsia="Microsoft YaHei"/>
          <w:color w:val="222F36"/>
          <w:sz w:val="21"/>
        </w:rPr>
        <w:t xml:space="preserve">A difficulty enters the channel on the request of either Party, at any hour, and the Mediation Guarantor convenes within forty-eight hours when asked.</w:t>
      </w:r>
    </w:p>
    <w:p>
      <w:pPr>
        <w:pStyle w:val="Heading3"/>
        <w:keepNext/>
        <w:keepLines/>
      </w:pPr>
      <w:r>
        <w:rPr>
          <w:rFonts w:ascii="Calibri" w:hAnsi="Calibri" w:eastAsia="Microsoft YaHei"/>
          <w:b/>
          <w:color w:val="222F36"/>
          <w:sz w:val="22"/>
        </w:rPr>
        <w:t xml:space="preserve">N.3 The Silence Window</w:t>
      </w:r>
    </w:p>
    <w:p>
      <w:pPr>
        <w:pStyle w:val="Normal"/>
        <w:ind w:left="560" w:hanging="560"/>
      </w:pPr>
      <w:r>
        <w:rPr>
          <w:rFonts w:ascii="Calibri" w:hAnsi="Calibri" w:eastAsia="Microsoft YaHei"/>
          <w:b/>
          <w:color w:val="1F4E5F"/>
          <w:sz w:val="21"/>
        </w:rPr>
        <w:t xml:space="preserve">N.3.1  </w:t>
      </w:r>
      <w:r>
        <w:rPr>
          <w:rFonts w:ascii="Calibri" w:hAnsi="Calibri" w:eastAsia="Microsoft YaHei"/>
          <w:color w:val="222F36"/>
          <w:sz w:val="21"/>
        </w:rPr>
        <w:t xml:space="preserve">The window opens when the Tide Report first calls a difficulty: a Disturbed or Under Review state that touches a participant’s conduct. It runs for thirty days.</w:t>
      </w:r>
    </w:p>
    <w:p>
      <w:pPr>
        <w:pStyle w:val="Normal"/>
        <w:ind w:left="560" w:hanging="560"/>
      </w:pPr>
      <w:r>
        <w:rPr>
          <w:rFonts w:ascii="Calibri" w:hAnsi="Calibri" w:eastAsia="Microsoft YaHei"/>
          <w:b/>
          <w:color w:val="1F4E5F"/>
          <w:sz w:val="21"/>
        </w:rPr>
        <w:t xml:space="preserve">N.3.2  </w:t>
      </w:r>
      <w:r>
        <w:rPr>
          <w:rFonts w:ascii="Calibri" w:hAnsi="Calibri" w:eastAsia="Microsoft YaHei"/>
          <w:color w:val="222F36"/>
          <w:sz w:val="21"/>
        </w:rPr>
        <w:t xml:space="preserve">Inside the window: the Parties remediate through the quiet channel; the Tide Report states facts without naming a Party in any compliance characterization; public statements describe the system and its continued operation, not the quarrel (Article 20.3).</w:t>
      </w:r>
    </w:p>
    <w:p>
      <w:pPr>
        <w:pStyle w:val="Normal"/>
        <w:ind w:left="560" w:hanging="560"/>
      </w:pPr>
      <w:r>
        <w:rPr>
          <w:rFonts w:ascii="Calibri" w:hAnsi="Calibri" w:eastAsia="Microsoft YaHei"/>
          <w:b/>
          <w:color w:val="1F4E5F"/>
          <w:sz w:val="21"/>
        </w:rPr>
        <w:t xml:space="preserve">N.3.3  </w:t>
      </w:r>
      <w:r>
        <w:rPr>
          <w:rFonts w:ascii="Calibri" w:hAnsi="Calibri" w:eastAsia="Microsoft YaHei"/>
          <w:color w:val="222F36"/>
          <w:sz w:val="21"/>
        </w:rPr>
        <w:t xml:space="preserve">A breach of the window counts as a narrative deviation: it classifies as Drift on first occurrence and feeds the expectation bands thereafter. The record keeps the window honest.</w:t>
      </w:r>
    </w:p>
    <w:p>
      <w:pPr>
        <w:pStyle w:val="Heading3"/>
        <w:keepNext/>
        <w:keepLines/>
      </w:pPr>
      <w:r>
        <w:rPr>
          <w:rFonts w:ascii="Calibri" w:hAnsi="Calibri" w:eastAsia="Microsoft YaHei"/>
          <w:b/>
          <w:color w:val="222F36"/>
          <w:sz w:val="22"/>
        </w:rPr>
        <w:t xml:space="preserve">N.4 Synchronized Announcements</w:t>
      </w:r>
    </w:p>
    <w:p>
      <w:pPr>
        <w:pStyle w:val="Normal"/>
        <w:ind w:left="560" w:hanging="560"/>
      </w:pPr>
      <w:r>
        <w:rPr>
          <w:rFonts w:ascii="Calibri" w:hAnsi="Calibri" w:eastAsia="Microsoft YaHei"/>
          <w:b/>
          <w:color w:val="1F4E5F"/>
          <w:sz w:val="21"/>
        </w:rPr>
        <w:t xml:space="preserve">N.4.1  </w:t>
      </w:r>
      <w:r>
        <w:rPr>
          <w:rFonts w:ascii="Calibri" w:hAnsi="Calibri" w:eastAsia="Microsoft YaHei"/>
          <w:color w:val="222F36"/>
          <w:sz w:val="21"/>
        </w:rPr>
        <w:t xml:space="preserve">Triggers: entry into operation; each survey certification; Full Daylight; quarterly accounts; the Annual Refit; the annual rescue exercise; and any event the co-chairs choose jointly.</w:t>
      </w:r>
    </w:p>
    <w:p>
      <w:pPr>
        <w:pStyle w:val="Normal"/>
        <w:ind w:left="560" w:hanging="560"/>
      </w:pPr>
      <w:r>
        <w:rPr>
          <w:rFonts w:ascii="Calibri" w:hAnsi="Calibri" w:eastAsia="Microsoft YaHei"/>
          <w:b/>
          <w:color w:val="1F4E5F"/>
          <w:sz w:val="21"/>
        </w:rPr>
        <w:t xml:space="preserve">N.4.2  </w:t>
      </w:r>
      <w:r>
        <w:rPr>
          <w:rFonts w:ascii="Calibri" w:hAnsi="Calibri" w:eastAsia="Microsoft YaHei"/>
          <w:color w:val="222F36"/>
          <w:sz w:val="21"/>
        </w:rPr>
        <w:t xml:space="preserve">Process: the Secretariat Desk drafts from the models of this annex; the co-chairs clear within twenty-four hours; each capital releases in its own words on the same day; the releases state the same facts and contradict nothing.</w:t>
      </w:r>
    </w:p>
    <w:p>
      <w:pPr>
        <w:pStyle w:val="Normal"/>
        <w:ind w:left="560" w:hanging="560"/>
      </w:pPr>
      <w:r>
        <w:rPr>
          <w:rFonts w:ascii="Calibri" w:hAnsi="Calibri" w:eastAsia="Microsoft YaHei"/>
          <w:b/>
          <w:color w:val="1F4E5F"/>
          <w:sz w:val="21"/>
        </w:rPr>
        <w:t xml:space="preserve">N.4.3  </w:t>
      </w:r>
      <w:r>
        <w:rPr>
          <w:rFonts w:ascii="Calibri" w:hAnsi="Calibri" w:eastAsia="Microsoft YaHei"/>
          <w:color w:val="222F36"/>
          <w:sz w:val="21"/>
        </w:rPr>
        <w:t xml:space="preserve">Where one side stays silent, the other releases anyway, factually, and the silence enters no commentary. Synchronization is a courtesy, never a veto.</w:t>
      </w:r>
    </w:p>
    <w:p>
      <w:pPr>
        <w:pStyle w:val="Heading3"/>
        <w:keepNext/>
        <w:keepLines/>
      </w:pPr>
      <w:r>
        <w:rPr>
          <w:rFonts w:ascii="Calibri" w:hAnsi="Calibri" w:eastAsia="Microsoft YaHei"/>
          <w:b/>
          <w:color w:val="222F36"/>
          <w:sz w:val="22"/>
        </w:rPr>
        <w:t xml:space="preserve">N.5 Model Statements</w:t>
      </w:r>
    </w:p>
    <w:tbl>
      <w:tblPr>
        <w:tblW w:w="9306" w:type="dxa"/>
        <w:tblBorders>
          <w:top w:val="single" w:color="1F4E5F" w:sz="10"/>
          <w:left w:val="single" w:color="1F4E5F" w:sz="10"/>
          <w:bottom w:val="single" w:color="1F4E5F" w:sz="10"/>
          <w:right w:val="single" w:color="1F4E5F" w:sz="10"/>
          <w:insideH w:val="nil"/>
          <w:insideV w:val="nil"/>
        </w:tblBorders>
      </w:tblPr>
      <w:tblGrid>
        <w:gridCol w:w="9306"/>
      </w:tblGrid>
      <w:tr>
        <w:tc>
          <w:tcPr>
            <w:tcW w:w="9306" w:type="dxa"/>
            <w:shd w:val="clear" w:fill="E7EFEE"/>
            <w:tcMar>
              <w:top w:w="100" w:type="dxa"/>
              <w:left w:w="160" w:type="dxa"/>
              <w:bottom w:w="60" w:type="dxa"/>
              <w:right w:w="160" w:type="dxa"/>
            </w:tcMar>
          </w:tcPr>
          <w:p>
            <w:pPr>
              <w:pStyle w:val="TableText"/>
            </w:pPr>
            <w:r>
              <w:rPr>
                <w:rFonts w:ascii="Calibri" w:hAnsi="Calibri" w:eastAsia="Microsoft YaHei"/>
                <w:b/>
                <w:color w:val="1F4E5F"/>
                <w:sz w:val="21"/>
              </w:rPr>
              <w:t xml:space="preserve">Model Statement One: The Islamic Republic of Iran</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The Islamic Republic of Iran today joins the Sultanate of Oman in bringing the Tolou-e Jadid Compact into operation. Iran secures the northern waters of its own coast as a sovereign service to all nations, and performs that service without tolls, without permission regimes, and without pause. The Strait is open, and the word of Iran stands behind it.</w:t>
            </w:r>
          </w:p>
        </w:tc>
      </w:tr>
    </w:tbl>
    <w:p>
      <w:pPr>
        <w:spacing w:before="0" w:after="120"/>
      </w:pPr>
      <w:r>
        <w:rPr>
          <w:sz w:val="8"/>
        </w:rPr>
        <w:t/>
      </w:r>
    </w:p>
    <w:tbl>
      <w:tblPr>
        <w:tblW w:w="9306" w:type="dxa"/>
        <w:tblBorders>
          <w:top w:val="single" w:color="1F4E5F" w:sz="10"/>
          <w:left w:val="single" w:color="1F4E5F" w:sz="10"/>
          <w:bottom w:val="single" w:color="1F4E5F" w:sz="10"/>
          <w:right w:val="single" w:color="1F4E5F" w:sz="10"/>
          <w:insideH w:val="nil"/>
          <w:insideV w:val="nil"/>
        </w:tblBorders>
      </w:tblPr>
      <w:tblGrid>
        <w:gridCol w:w="9306"/>
      </w:tblGrid>
      <w:tr>
        <w:tc>
          <w:tcPr>
            <w:tcW w:w="9306" w:type="dxa"/>
            <w:shd w:val="clear" w:fill="E7EFEE"/>
            <w:tcMar>
              <w:top w:w="100" w:type="dxa"/>
              <w:left w:w="160" w:type="dxa"/>
              <w:bottom w:w="60" w:type="dxa"/>
              <w:right w:w="160" w:type="dxa"/>
            </w:tcMar>
          </w:tcPr>
          <w:p>
            <w:pPr>
              <w:pStyle w:val="TableText"/>
            </w:pPr>
            <w:r>
              <w:rPr>
                <w:rFonts w:ascii="Calibri" w:hAnsi="Calibri" w:eastAsia="Microsoft YaHei"/>
                <w:b/>
                <w:color w:val="1F4E5F"/>
                <w:sz w:val="21"/>
              </w:rPr>
              <w:t xml:space="preserve">Model Statement Two: The Sultanate of Oman</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The Sultanate of Oman today joins the Islamic Republic of Iran in bringing the Tolou-e Jadid Compact into operation. Oman guarantees open water beside its own shore, kept safe by seamanship and by record rather than by force. The Strait is open, and the word of Oman stands behind it.</w:t>
            </w:r>
          </w:p>
        </w:tc>
      </w:tr>
    </w:tbl>
    <w:p>
      <w:pPr>
        <w:spacing w:before="0" w:after="120"/>
      </w:pPr>
      <w:r>
        <w:rPr>
          <w:sz w:val="8"/>
        </w:rPr>
        <w:t/>
      </w:r>
    </w:p>
    <w:tbl>
      <w:tblPr>
        <w:tblW w:w="9306" w:type="dxa"/>
        <w:tblBorders>
          <w:top w:val="single" w:color="1F4E5F" w:sz="10"/>
          <w:left w:val="single" w:color="1F4E5F" w:sz="10"/>
          <w:bottom w:val="single" w:color="1F4E5F" w:sz="10"/>
          <w:right w:val="single" w:color="1F4E5F" w:sz="10"/>
          <w:insideH w:val="nil"/>
          <w:insideV w:val="nil"/>
        </w:tblBorders>
      </w:tblPr>
      <w:tblGrid>
        <w:gridCol w:w="9306"/>
      </w:tblGrid>
      <w:tr>
        <w:tc>
          <w:tcPr>
            <w:tcW w:w="9306" w:type="dxa"/>
            <w:shd w:val="clear" w:fill="E7EFEE"/>
            <w:tcMar>
              <w:top w:w="100" w:type="dxa"/>
              <w:left w:w="160" w:type="dxa"/>
              <w:bottom w:w="60" w:type="dxa"/>
              <w:right w:w="160" w:type="dxa"/>
            </w:tcMar>
          </w:tcPr>
          <w:p>
            <w:pPr>
              <w:pStyle w:val="TableText"/>
            </w:pPr>
            <w:r>
              <w:rPr>
                <w:rFonts w:ascii="Calibri" w:hAnsi="Calibri" w:eastAsia="Microsoft YaHei"/>
                <w:b/>
                <w:color w:val="1F4E5F"/>
                <w:sz w:val="21"/>
              </w:rPr>
              <w:t xml:space="preserve">Model Statement Three: The Guarantor Circle</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Switzerland, Qatar, and Singapore, as the Guarantor Circle, keep the record and the process of the Tolou-e Jadid Compact, and nothing more. They hold no command, administer no territory, and serve every flag alike. The record is whole, the process is fair, and the water is open.</w:t>
            </w:r>
          </w:p>
        </w:tc>
      </w:tr>
    </w:tbl>
    <w:p>
      <w:pPr>
        <w:spacing w:before="0" w:after="120"/>
      </w:pPr>
      <w:r>
        <w:rPr>
          <w:sz w:val="8"/>
        </w:rPr>
        <w:t/>
      </w:r>
    </w:p>
    <w:tbl>
      <w:tblPr>
        <w:tblW w:w="9306" w:type="dxa"/>
        <w:tblBorders>
          <w:top w:val="single" w:color="1F4E5F" w:sz="10"/>
          <w:left w:val="single" w:color="1F4E5F" w:sz="10"/>
          <w:bottom w:val="single" w:color="1F4E5F" w:sz="10"/>
          <w:right w:val="single" w:color="1F4E5F" w:sz="10"/>
          <w:insideH w:val="nil"/>
          <w:insideV w:val="nil"/>
        </w:tblBorders>
      </w:tblPr>
      <w:tblGrid>
        <w:gridCol w:w="9306"/>
      </w:tblGrid>
      <w:tr>
        <w:tc>
          <w:tcPr>
            <w:tcW w:w="9306" w:type="dxa"/>
            <w:shd w:val="clear" w:fill="E7EFEE"/>
            <w:tcMar>
              <w:top w:w="100" w:type="dxa"/>
              <w:left w:w="160" w:type="dxa"/>
              <w:bottom w:w="60" w:type="dxa"/>
              <w:right w:w="160" w:type="dxa"/>
            </w:tcMar>
          </w:tcPr>
          <w:p>
            <w:pPr>
              <w:pStyle w:val="TableText"/>
            </w:pPr>
            <w:r>
              <w:rPr>
                <w:rFonts w:ascii="Calibri" w:hAnsi="Calibri" w:eastAsia="Microsoft YaHei"/>
                <w:b/>
                <w:color w:val="1F4E5F"/>
                <w:sz w:val="21"/>
              </w:rPr>
              <w:t xml:space="preserve">Model Statement Four: The Observer Gallery</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The observers of the Tolou-e Jadid Compact welcome the predictability and the openness of the waterway. They support the system through contribution, through adherence, and through confidence in its record, and they ask nothing of it but that it continue.</w:t>
            </w:r>
          </w:p>
        </w:tc>
      </w:tr>
    </w:tbl>
    <w:p>
      <w:pPr>
        <w:spacing w:before="0" w:after="120"/>
      </w:pPr>
      <w:r>
        <w:rPr>
          <w:sz w:val="8"/>
        </w:rPr>
        <w:t/>
      </w:r>
    </w:p>
    <w:p>
      <w:pPr>
        <w:pStyle w:val="Heading3"/>
        <w:keepNext/>
        <w:keepLines/>
      </w:pPr>
      <w:r>
        <w:rPr>
          <w:rFonts w:ascii="Calibri" w:hAnsi="Calibri" w:eastAsia="Microsoft YaHei"/>
          <w:b/>
          <w:color w:val="222F36"/>
          <w:sz w:val="22"/>
        </w:rPr>
        <w:t xml:space="preserve">N.6 The Concord</w:t>
      </w:r>
    </w:p>
    <w:p>
      <w:pPr>
        <w:pStyle w:val="Normal"/>
      </w:pPr>
      <w:r>
        <w:rPr>
          <w:rFonts w:ascii="Calibri" w:hAnsi="Calibri" w:eastAsia="Microsoft YaHei"/>
          <w:color w:val="222F36"/>
          <w:sz w:val="21"/>
        </w:rPr>
        <w:t xml:space="preserve">All four statements hold true at the same time. Iran claims stewardship and delivers it without tolls. Oman claims openness and guarantees it without militarization. The guarantors claim neutrality and practice it in public. The observers claim predictability and receive it daily. Each capital tells its own story, every story is true, and no story contradicts another. This concord is the political wrapper of the Compact, and the narrative rules of Article 20 exist to protect it as carefully as the fairways themselves.</w:t>
      </w:r>
    </w:p>
    <w:p>
      <w:pPr>
        <w:pStyle w:val="Heading3"/>
        <w:keepNext/>
        <w:keepLines/>
      </w:pPr>
      <w:r>
        <w:rPr>
          <w:rFonts w:ascii="Calibri" w:hAnsi="Calibri" w:eastAsia="Microsoft YaHei"/>
          <w:b/>
          <w:color w:val="222F36"/>
          <w:sz w:val="22"/>
        </w:rPr>
        <w:t xml:space="preserve">N.7 The Declaration of Intent</w:t>
      </w:r>
    </w:p>
    <w:tbl>
      <w:tblPr>
        <w:tblW w:w="9306" w:type="dxa"/>
        <w:tblBorders>
          <w:top w:val="single" w:color="1F4E5F" w:sz="10"/>
          <w:left w:val="single" w:color="1F4E5F" w:sz="10"/>
          <w:bottom w:val="single" w:color="1F4E5F" w:sz="10"/>
          <w:right w:val="single" w:color="1F4E5F" w:sz="10"/>
          <w:insideH w:val="nil"/>
          <w:insideV w:val="nil"/>
        </w:tblBorders>
      </w:tblPr>
      <w:tblGrid>
        <w:gridCol w:w="9306"/>
      </w:tblGrid>
      <w:tr>
        <w:tc>
          <w:tcPr>
            <w:tcW w:w="9306" w:type="dxa"/>
            <w:shd w:val="clear" w:fill="E7EFEE"/>
            <w:tcMar>
              <w:top w:w="100" w:type="dxa"/>
              <w:left w:w="160" w:type="dxa"/>
              <w:bottom w:w="60" w:type="dxa"/>
              <w:right w:w="160" w:type="dxa"/>
            </w:tcMar>
          </w:tcPr>
          <w:p>
            <w:pPr>
              <w:pStyle w:val="TableText"/>
            </w:pPr>
            <w:r>
              <w:rPr>
                <w:rFonts w:ascii="Calibri" w:hAnsi="Calibri" w:eastAsia="Microsoft YaHei"/>
                <w:b/>
                <w:color w:val="1F4E5F"/>
                <w:sz w:val="21"/>
              </w:rPr>
              <w:t xml:space="preserve">Declaration of Intent (Model)</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On this day, [declarant] declares: the Tolou-e Jadid Compact serves peaceful purposes only. Its fairways stay open, its record stays honest, and its Boundary Lines stand. [Declarant] commits to the continuity of the system, to the repair of difficulties in quiet before their discussion in public, and to the respect of every line in Annex M, in letter and in spirit.</w:t>
            </w:r>
          </w:p>
        </w:tc>
      </w:tr>
      <w:tr>
        <w:tc>
          <w:tcPr>
            <w:tcW w:w="9306" w:type="dxa"/>
            <w:tcMar>
              <w:top w:w="40" w:type="dxa"/>
              <w:left w:w="160" w:type="dxa"/>
              <w:bottom w:w="40" w:type="dxa"/>
              <w:right w:w="160" w:type="dxa"/>
            </w:tcMar>
          </w:tcPr>
          <w:p>
            <w:pPr>
              <w:pStyle w:val="TableText"/>
            </w:pPr>
            <w:r>
              <w:rPr>
                <w:rFonts w:ascii="Calibri" w:hAnsi="Calibri" w:eastAsia="Microsoft YaHei"/>
                <w:color w:val="222F36"/>
                <w:sz w:val="21"/>
              </w:rPr>
              <w:t xml:space="preserve">Issued at signature and renewed at each Annual Refit by the Parties and the guarantors (Article 18.5).</w:t>
            </w:r>
          </w:p>
        </w:tc>
      </w:tr>
    </w:tbl>
    <w:p>
      <w:pPr>
        <w:spacing w:before="0" w:after="120"/>
      </w:pPr>
      <w:r>
        <w:rPr>
          <w:sz w:val="8"/>
        </w:rPr>
        <w:t/>
      </w:r>
    </w:p>
    <w:p>
      <w:pPr>
        <w:pStyle w:val="Heading1"/>
        <w:keepNext/>
        <w:keepLines/>
        <w:pageBreakBefore/>
      </w:pPr>
      <w:r>
        <w:rPr>
          <w:rFonts w:ascii="Calibri" w:hAnsi="Calibri" w:eastAsia="Microsoft YaHei"/>
          <w:b/>
          <w:color w:val="1F4E5F"/>
          <w:sz w:val="34"/>
        </w:rPr>
        <w:t xml:space="preserve">Annex O: Glossary and Neutral Terminology</w:t>
      </w:r>
    </w:p>
    <w:p>
      <w:pPr>
        <w:pStyle w:val="Heading3"/>
        <w:keepNext/>
        <w:keepLines/>
      </w:pPr>
      <w:r>
        <w:rPr>
          <w:rFonts w:ascii="Calibri" w:hAnsi="Calibri" w:eastAsia="Microsoft YaHei"/>
          <w:b/>
          <w:color w:val="222F36"/>
          <w:sz w:val="22"/>
        </w:rPr>
        <w:t xml:space="preserve">O.1 Glossary</w:t>
      </w:r>
    </w:p>
    <w:tbl>
      <w:tblPr>
        <w:tblW w:w="9306" w:type="dxa"/>
        <w:tblBorders>
          <w:top w:val="single" w:color="AEC4C1" w:sz="6"/>
          <w:left w:val="single" w:color="AEC4C1" w:sz="6"/>
          <w:bottom w:val="single" w:color="AEC4C1" w:sz="6"/>
          <w:right w:val="single" w:color="AEC4C1" w:sz="6"/>
          <w:insideH w:val="single" w:color="AEC4C1" w:sz="4"/>
          <w:insideV w:val="single" w:color="AEC4C1" w:sz="4"/>
        </w:tblBorders>
      </w:tblPr>
      <w:tblGrid>
        <w:gridCol w:w="2500"/>
        <w:gridCol w:w="6806"/>
      </w:tblGrid>
      <w:tr>
        <w:trPr>
          <w:cantSplit/>
          <w:tblHeader/>
        </w:trPr>
        <w:tc>
          <w:tcPr>
            <w:tcW w:w="2500"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Term</w:t>
            </w:r>
          </w:p>
        </w:tc>
        <w:tc>
          <w:tcPr>
            <w:tcW w:w="6806" w:type="dxa"/>
            <w:shd w:val="clear" w:fill="E7EFEE"/>
            <w:tcMar>
              <w:top w:w="50" w:type="dxa"/>
              <w:left w:w="100" w:type="dxa"/>
              <w:bottom w:w="50" w:type="dxa"/>
              <w:right w:w="100" w:type="dxa"/>
            </w:tcMar>
          </w:tcPr>
          <w:p>
            <w:pPr>
              <w:pStyle w:val="TableText"/>
            </w:pPr>
            <w:r>
              <w:rPr>
                <w:rFonts w:ascii="Calibri" w:hAnsi="Calibri" w:eastAsia="Microsoft YaHei"/>
                <w:b/>
                <w:color w:val="222F36"/>
                <w:sz w:val="20"/>
              </w:rPr>
              <w:t xml:space="preserve">Meaning</w:t>
            </w:r>
          </w:p>
        </w:tc>
      </w:tr>
      <w:tr>
        <w:trPr>
          <w:cantSplit/>
        </w:trPr>
        <w:tc>
          <w:tcPr>
            <w:tcW w:w="2500" w:type="dxa"/>
            <w:tcMar>
              <w:top w:w="50" w:type="dxa"/>
              <w:left w:w="100" w:type="dxa"/>
              <w:bottom w:w="50" w:type="dxa"/>
              <w:right w:w="100" w:type="dxa"/>
            </w:tcMar>
          </w:tcPr>
          <w:p>
            <w:pPr>
              <w:pStyle w:val="TableText"/>
            </w:pPr>
            <w:r>
              <w:rPr>
                <w:rFonts w:ascii="Calibri" w:hAnsi="Calibri" w:eastAsia="Microsoft YaHei"/>
                <w:color w:val="222F36"/>
                <w:sz w:val="20"/>
              </w:rPr>
              <w:t xml:space="preserve">Account Agent</w:t>
            </w:r>
          </w:p>
        </w:tc>
        <w:tc>
          <w:tcPr>
            <w:tcW w:w="6806" w:type="dxa"/>
            <w:tcMar>
              <w:top w:w="50" w:type="dxa"/>
              <w:left w:w="100" w:type="dxa"/>
              <w:bottom w:w="50" w:type="dxa"/>
              <w:right w:w="100" w:type="dxa"/>
            </w:tcMar>
          </w:tcPr>
          <w:p>
            <w:pPr>
              <w:pStyle w:val="TableText"/>
            </w:pPr>
            <w:r>
              <w:rPr>
                <w:rFonts w:ascii="Calibri" w:hAnsi="Calibri" w:eastAsia="Microsoft YaHei"/>
                <w:color w:val="222F36"/>
                <w:sz w:val="20"/>
              </w:rPr>
              <w:t xml:space="preserve">The Record Guarantor administering the Fairway Services Account under Annex H</w:t>
            </w:r>
          </w:p>
        </w:tc>
      </w:tr>
      <w:tr>
        <w:trPr>
          <w:cantSplit/>
        </w:trPr>
        <w:tc>
          <w:tcPr>
            <w:tcW w:w="25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Adherence Instrument</w:t>
            </w:r>
          </w:p>
        </w:tc>
        <w:tc>
          <w:tcPr>
            <w:tcW w:w="68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The instrument of Annex K.2 binding an external navy to the conduct rules</w:t>
            </w:r>
          </w:p>
        </w:tc>
      </w:tr>
      <w:tr>
        <w:trPr>
          <w:cantSplit/>
        </w:trPr>
        <w:tc>
          <w:tcPr>
            <w:tcW w:w="2500" w:type="dxa"/>
            <w:tcMar>
              <w:top w:w="50" w:type="dxa"/>
              <w:left w:w="100" w:type="dxa"/>
              <w:bottom w:w="50" w:type="dxa"/>
              <w:right w:w="100" w:type="dxa"/>
            </w:tcMar>
          </w:tcPr>
          <w:p>
            <w:pPr>
              <w:pStyle w:val="TableText"/>
            </w:pPr>
            <w:r>
              <w:rPr>
                <w:rFonts w:ascii="Calibri" w:hAnsi="Calibri" w:eastAsia="Microsoft YaHei"/>
                <w:color w:val="222F36"/>
                <w:sz w:val="20"/>
              </w:rPr>
              <w:t xml:space="preserve">Bandar Desk</w:t>
            </w:r>
          </w:p>
        </w:tc>
        <w:tc>
          <w:tcPr>
            <w:tcW w:w="6806" w:type="dxa"/>
            <w:tcMar>
              <w:top w:w="50" w:type="dxa"/>
              <w:left w:w="100" w:type="dxa"/>
              <w:bottom w:w="50" w:type="dxa"/>
              <w:right w:w="100" w:type="dxa"/>
            </w:tcMar>
          </w:tcPr>
          <w:p>
            <w:pPr>
              <w:pStyle w:val="TableText"/>
            </w:pPr>
            <w:r>
              <w:rPr>
                <w:rFonts w:ascii="Calibri" w:hAnsi="Calibri" w:eastAsia="Microsoft YaHei"/>
                <w:color w:val="222F36"/>
                <w:sz w:val="20"/>
              </w:rPr>
              <w:t xml:space="preserve">The liaison desk of the Tide Watch in Bandar Abbas, and its fallback watch</w:t>
            </w:r>
          </w:p>
        </w:tc>
      </w:tr>
      <w:tr>
        <w:trPr>
          <w:cantSplit/>
        </w:trPr>
        <w:tc>
          <w:tcPr>
            <w:tcW w:w="25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Banked Ledger</w:t>
            </w:r>
          </w:p>
        </w:tc>
        <w:tc>
          <w:tcPr>
            <w:tcW w:w="68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The permanent record of completed earn-backs under Annex F.5.4</w:t>
            </w:r>
          </w:p>
        </w:tc>
      </w:tr>
      <w:tr>
        <w:trPr>
          <w:cantSplit/>
        </w:trPr>
        <w:tc>
          <w:tcPr>
            <w:tcW w:w="2500" w:type="dxa"/>
            <w:tcMar>
              <w:top w:w="50" w:type="dxa"/>
              <w:left w:w="100" w:type="dxa"/>
              <w:bottom w:w="50" w:type="dxa"/>
              <w:right w:w="100" w:type="dxa"/>
            </w:tcMar>
          </w:tcPr>
          <w:p>
            <w:pPr>
              <w:pStyle w:val="TableText"/>
            </w:pPr>
            <w:r>
              <w:rPr>
                <w:rFonts w:ascii="Calibri" w:hAnsi="Calibri" w:eastAsia="Microsoft YaHei"/>
                <w:color w:val="222F36"/>
                <w:sz w:val="20"/>
              </w:rPr>
              <w:t xml:space="preserve">Boundary Lines</w:t>
            </w:r>
          </w:p>
        </w:tc>
        <w:tc>
          <w:tcPr>
            <w:tcW w:w="6806" w:type="dxa"/>
            <w:tcMar>
              <w:top w:w="50" w:type="dxa"/>
              <w:left w:w="100" w:type="dxa"/>
              <w:bottom w:w="50" w:type="dxa"/>
              <w:right w:w="100" w:type="dxa"/>
            </w:tcMar>
          </w:tcPr>
          <w:p>
            <w:pPr>
              <w:pStyle w:val="TableText"/>
            </w:pPr>
            <w:r>
              <w:rPr>
                <w:rFonts w:ascii="Calibri" w:hAnsi="Calibri" w:eastAsia="Microsoft YaHei"/>
                <w:color w:val="222F36"/>
                <w:sz w:val="20"/>
              </w:rPr>
              <w:t xml:space="preserve">The twelve lines of Article 18 and Annex M stating the conditions of consent</w:t>
            </w:r>
          </w:p>
        </w:tc>
      </w:tr>
      <w:tr>
        <w:trPr>
          <w:cantSplit/>
        </w:trPr>
        <w:tc>
          <w:tcPr>
            <w:tcW w:w="25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Breach</w:t>
            </w:r>
          </w:p>
        </w:tc>
        <w:tc>
          <w:tcPr>
            <w:tcW w:w="68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A deliberate violation: intent plus materiality plus refusal to cure</w:t>
            </w:r>
          </w:p>
        </w:tc>
      </w:tr>
      <w:tr>
        <w:trPr>
          <w:cantSplit/>
        </w:trPr>
        <w:tc>
          <w:tcPr>
            <w:tcW w:w="2500" w:type="dxa"/>
            <w:tcMar>
              <w:top w:w="50" w:type="dxa"/>
              <w:left w:w="100" w:type="dxa"/>
              <w:bottom w:w="50" w:type="dxa"/>
              <w:right w:w="100" w:type="dxa"/>
            </w:tcMar>
          </w:tcPr>
          <w:p>
            <w:pPr>
              <w:pStyle w:val="TableText"/>
            </w:pPr>
            <w:r>
              <w:rPr>
                <w:rFonts w:ascii="Calibri" w:hAnsi="Calibri" w:eastAsia="Microsoft YaHei"/>
                <w:color w:val="222F36"/>
                <w:sz w:val="20"/>
              </w:rPr>
              <w:t xml:space="preserve">Circle</w:t>
            </w:r>
          </w:p>
        </w:tc>
        <w:tc>
          <w:tcPr>
            <w:tcW w:w="6806" w:type="dxa"/>
            <w:tcMar>
              <w:top w:w="50" w:type="dxa"/>
              <w:left w:w="100" w:type="dxa"/>
              <w:bottom w:w="50" w:type="dxa"/>
              <w:right w:w="100" w:type="dxa"/>
            </w:tcMar>
          </w:tcPr>
          <w:p>
            <w:pPr>
              <w:pStyle w:val="TableText"/>
            </w:pPr>
            <w:r>
              <w:rPr>
                <w:rFonts w:ascii="Calibri" w:hAnsi="Calibri" w:eastAsia="Microsoft YaHei"/>
                <w:color w:val="222F36"/>
                <w:sz w:val="20"/>
              </w:rPr>
              <w:t xml:space="preserve">The Guarantor Circle: Switzerland, Qatar, Singapore</w:t>
            </w:r>
          </w:p>
        </w:tc>
      </w:tr>
      <w:tr>
        <w:trPr>
          <w:cantSplit/>
        </w:trPr>
        <w:tc>
          <w:tcPr>
            <w:tcW w:w="25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Clean day</w:t>
            </w:r>
          </w:p>
        </w:tc>
        <w:tc>
          <w:tcPr>
            <w:tcW w:w="68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A day with no new finding in the affected module</w:t>
            </w:r>
          </w:p>
        </w:tc>
      </w:tr>
      <w:tr>
        <w:trPr>
          <w:cantSplit/>
        </w:trPr>
        <w:tc>
          <w:tcPr>
            <w:tcW w:w="2500" w:type="dxa"/>
            <w:tcMar>
              <w:top w:w="50" w:type="dxa"/>
              <w:left w:w="100" w:type="dxa"/>
              <w:bottom w:w="50" w:type="dxa"/>
              <w:right w:w="100" w:type="dxa"/>
            </w:tcMar>
          </w:tcPr>
          <w:p>
            <w:pPr>
              <w:pStyle w:val="TableText"/>
            </w:pPr>
            <w:r>
              <w:rPr>
                <w:rFonts w:ascii="Calibri" w:hAnsi="Calibri" w:eastAsia="Microsoft YaHei"/>
                <w:color w:val="222F36"/>
                <w:sz w:val="20"/>
              </w:rPr>
              <w:t xml:space="preserve">Co-arbitration</w:t>
            </w:r>
          </w:p>
        </w:tc>
        <w:tc>
          <w:tcPr>
            <w:tcW w:w="6806" w:type="dxa"/>
            <w:tcMar>
              <w:top w:w="50" w:type="dxa"/>
              <w:left w:w="100" w:type="dxa"/>
              <w:bottom w:w="50" w:type="dxa"/>
              <w:right w:w="100" w:type="dxa"/>
            </w:tcMar>
          </w:tcPr>
          <w:p>
            <w:pPr>
              <w:pStyle w:val="TableText"/>
            </w:pPr>
            <w:r>
              <w:rPr>
                <w:rFonts w:ascii="Calibri" w:hAnsi="Calibri" w:eastAsia="Microsoft YaHei"/>
                <w:color w:val="222F36"/>
                <w:sz w:val="20"/>
              </w:rPr>
              <w:t xml:space="preserve">The forty-eight-hour binding decision of a Circle member on the mechanics</w:t>
            </w:r>
          </w:p>
        </w:tc>
      </w:tr>
      <w:tr>
        <w:trPr>
          <w:cantSplit/>
        </w:trPr>
        <w:tc>
          <w:tcPr>
            <w:tcW w:w="25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Compact Waters</w:t>
            </w:r>
          </w:p>
        </w:tc>
        <w:tc>
          <w:tcPr>
            <w:tcW w:w="68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The area defined in Annex A</w:t>
            </w:r>
          </w:p>
        </w:tc>
      </w:tr>
      <w:tr>
        <w:trPr>
          <w:cantSplit/>
        </w:trPr>
        <w:tc>
          <w:tcPr>
            <w:tcW w:w="2500" w:type="dxa"/>
            <w:tcMar>
              <w:top w:w="50" w:type="dxa"/>
              <w:left w:w="100" w:type="dxa"/>
              <w:bottom w:w="50" w:type="dxa"/>
              <w:right w:w="100" w:type="dxa"/>
            </w:tcMar>
          </w:tcPr>
          <w:p>
            <w:pPr>
              <w:pStyle w:val="TableText"/>
            </w:pPr>
            <w:r>
              <w:rPr>
                <w:rFonts w:ascii="Calibri" w:hAnsi="Calibri" w:eastAsia="Microsoft YaHei"/>
                <w:color w:val="222F36"/>
                <w:sz w:val="20"/>
              </w:rPr>
              <w:t xml:space="preserve">Concordance</w:t>
            </w:r>
          </w:p>
        </w:tc>
        <w:tc>
          <w:tcPr>
            <w:tcW w:w="6806" w:type="dxa"/>
            <w:tcMar>
              <w:top w:w="50" w:type="dxa"/>
              <w:left w:w="100" w:type="dxa"/>
              <w:bottom w:w="50" w:type="dxa"/>
              <w:right w:w="100" w:type="dxa"/>
            </w:tcMar>
          </w:tcPr>
          <w:p>
            <w:pPr>
              <w:pStyle w:val="TableText"/>
            </w:pPr>
            <w:r>
              <w:rPr>
                <w:rFonts w:ascii="Calibri" w:hAnsi="Calibri" w:eastAsia="Microsoft YaHei"/>
                <w:color w:val="222F36"/>
                <w:sz w:val="20"/>
              </w:rPr>
              <w:t xml:space="preserve">The shared digital record of the Compact under Annex E</w:t>
            </w:r>
          </w:p>
        </w:tc>
      </w:tr>
      <w:tr>
        <w:trPr>
          <w:cantSplit/>
        </w:trPr>
        <w:tc>
          <w:tcPr>
            <w:tcW w:w="25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Courtesy notice</w:t>
            </w:r>
          </w:p>
        </w:tc>
        <w:tc>
          <w:tcPr>
            <w:tcW w:w="68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The notice of state craft under Annex B; it informs and never requests</w:t>
            </w:r>
          </w:p>
        </w:tc>
      </w:tr>
      <w:tr>
        <w:trPr>
          <w:cantSplit/>
        </w:trPr>
        <w:tc>
          <w:tcPr>
            <w:tcW w:w="2500" w:type="dxa"/>
            <w:tcMar>
              <w:top w:w="50" w:type="dxa"/>
              <w:left w:w="100" w:type="dxa"/>
              <w:bottom w:w="50" w:type="dxa"/>
              <w:right w:w="100" w:type="dxa"/>
            </w:tcMar>
          </w:tcPr>
          <w:p>
            <w:pPr>
              <w:pStyle w:val="TableText"/>
            </w:pPr>
            <w:r>
              <w:rPr>
                <w:rFonts w:ascii="Calibri" w:hAnsi="Calibri" w:eastAsia="Microsoft YaHei"/>
                <w:color w:val="222F36"/>
                <w:sz w:val="20"/>
              </w:rPr>
              <w:t xml:space="preserve">Degraded reading</w:t>
            </w:r>
          </w:p>
        </w:tc>
        <w:tc>
          <w:tcPr>
            <w:tcW w:w="6806" w:type="dxa"/>
            <w:tcMar>
              <w:top w:w="50" w:type="dxa"/>
              <w:left w:w="100" w:type="dxa"/>
              <w:bottom w:w="50" w:type="dxa"/>
              <w:right w:w="100" w:type="dxa"/>
            </w:tcMar>
          </w:tcPr>
          <w:p>
            <w:pPr>
              <w:pStyle w:val="TableText"/>
            </w:pPr>
            <w:r>
              <w:rPr>
                <w:rFonts w:ascii="Calibri" w:hAnsi="Calibri" w:eastAsia="Microsoft YaHei"/>
                <w:color w:val="222F36"/>
                <w:sz w:val="20"/>
              </w:rPr>
              <w:t xml:space="preserve">A non-telemetry verification reading under Article 14.9</w:t>
            </w:r>
          </w:p>
        </w:tc>
      </w:tr>
      <w:tr>
        <w:trPr>
          <w:cantSplit/>
        </w:trPr>
        <w:tc>
          <w:tcPr>
            <w:tcW w:w="25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Drift</w:t>
            </w:r>
          </w:p>
        </w:tc>
        <w:tc>
          <w:tcPr>
            <w:tcW w:w="68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A technical, isolated deviation with no material effect</w:t>
            </w:r>
          </w:p>
        </w:tc>
      </w:tr>
      <w:tr>
        <w:trPr>
          <w:cantSplit/>
        </w:trPr>
        <w:tc>
          <w:tcPr>
            <w:tcW w:w="2500" w:type="dxa"/>
            <w:tcMar>
              <w:top w:w="50" w:type="dxa"/>
              <w:left w:w="100" w:type="dxa"/>
              <w:bottom w:w="50" w:type="dxa"/>
              <w:right w:w="100" w:type="dxa"/>
            </w:tcMar>
          </w:tcPr>
          <w:p>
            <w:pPr>
              <w:pStyle w:val="TableText"/>
            </w:pPr>
            <w:r>
              <w:rPr>
                <w:rFonts w:ascii="Calibri" w:hAnsi="Calibri" w:eastAsia="Microsoft YaHei"/>
                <w:color w:val="222F36"/>
                <w:sz w:val="20"/>
              </w:rPr>
              <w:t xml:space="preserve">Earn-back</w:t>
            </w:r>
          </w:p>
        </w:tc>
        <w:tc>
          <w:tcPr>
            <w:tcW w:w="6806" w:type="dxa"/>
            <w:tcMar>
              <w:top w:w="50" w:type="dxa"/>
              <w:left w:w="100" w:type="dxa"/>
              <w:bottom w:w="50" w:type="dxa"/>
              <w:right w:w="100" w:type="dxa"/>
            </w:tcMar>
          </w:tcPr>
          <w:p>
            <w:pPr>
              <w:pStyle w:val="TableText"/>
            </w:pPr>
            <w:r>
              <w:rPr>
                <w:rFonts w:ascii="Calibri" w:hAnsi="Calibri" w:eastAsia="Microsoft YaHei"/>
                <w:color w:val="222F36"/>
                <w:sz w:val="20"/>
              </w:rPr>
              <w:t xml:space="preserve">The verified restoration of benefits after a step-back, under Article 15.4</w:t>
            </w:r>
          </w:p>
        </w:tc>
      </w:tr>
      <w:tr>
        <w:trPr>
          <w:cantSplit/>
        </w:trPr>
        <w:tc>
          <w:tcPr>
            <w:tcW w:w="25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Expectation band</w:t>
            </w:r>
          </w:p>
        </w:tc>
        <w:tc>
          <w:tcPr>
            <w:tcW w:w="68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A published range of normal system behavior under Article 14.6</w:t>
            </w:r>
          </w:p>
        </w:tc>
      </w:tr>
      <w:tr>
        <w:trPr>
          <w:cantSplit/>
        </w:trPr>
        <w:tc>
          <w:tcPr>
            <w:tcW w:w="2500" w:type="dxa"/>
            <w:tcMar>
              <w:top w:w="50" w:type="dxa"/>
              <w:left w:w="100" w:type="dxa"/>
              <w:bottom w:w="50" w:type="dxa"/>
              <w:right w:w="100" w:type="dxa"/>
            </w:tcMar>
          </w:tcPr>
          <w:p>
            <w:pPr>
              <w:pStyle w:val="TableText"/>
            </w:pPr>
            <w:r>
              <w:rPr>
                <w:rFonts w:ascii="Calibri" w:hAnsi="Calibri" w:eastAsia="Microsoft YaHei"/>
                <w:color w:val="222F36"/>
                <w:sz w:val="20"/>
              </w:rPr>
              <w:t xml:space="preserve">Fairway</w:t>
            </w:r>
          </w:p>
        </w:tc>
        <w:tc>
          <w:tcPr>
            <w:tcW w:w="6806" w:type="dxa"/>
            <w:tcMar>
              <w:top w:w="50" w:type="dxa"/>
              <w:left w:w="100" w:type="dxa"/>
              <w:bottom w:w="50" w:type="dxa"/>
              <w:right w:w="100" w:type="dxa"/>
            </w:tcMar>
          </w:tcPr>
          <w:p>
            <w:pPr>
              <w:pStyle w:val="TableText"/>
            </w:pPr>
            <w:r>
              <w:rPr>
                <w:rFonts w:ascii="Calibri" w:hAnsi="Calibri" w:eastAsia="Microsoft YaHei"/>
                <w:color w:val="222F36"/>
                <w:sz w:val="20"/>
              </w:rPr>
              <w:t xml:space="preserve">The Southern Fairway or the Northern Fairway of Annex A</w:t>
            </w:r>
          </w:p>
        </w:tc>
      </w:tr>
      <w:tr>
        <w:trPr>
          <w:cantSplit/>
        </w:trPr>
        <w:tc>
          <w:tcPr>
            <w:tcW w:w="25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Fairway Advisory</w:t>
            </w:r>
          </w:p>
        </w:tc>
        <w:tc>
          <w:tcPr>
            <w:tcW w:w="68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A numbered navigational advisory of the Tide Watch</w:t>
            </w:r>
          </w:p>
        </w:tc>
      </w:tr>
      <w:tr>
        <w:trPr>
          <w:cantSplit/>
        </w:trPr>
        <w:tc>
          <w:tcPr>
            <w:tcW w:w="2500" w:type="dxa"/>
            <w:tcMar>
              <w:top w:w="50" w:type="dxa"/>
              <w:left w:w="100" w:type="dxa"/>
              <w:bottom w:w="50" w:type="dxa"/>
              <w:right w:w="100" w:type="dxa"/>
            </w:tcMar>
          </w:tcPr>
          <w:p>
            <w:pPr>
              <w:pStyle w:val="TableText"/>
            </w:pPr>
            <w:r>
              <w:rPr>
                <w:rFonts w:ascii="Calibri" w:hAnsi="Calibri" w:eastAsia="Microsoft YaHei"/>
                <w:color w:val="222F36"/>
                <w:sz w:val="20"/>
              </w:rPr>
              <w:t xml:space="preserve">Finding</w:t>
            </w:r>
          </w:p>
        </w:tc>
        <w:tc>
          <w:tcPr>
            <w:tcW w:w="6806" w:type="dxa"/>
            <w:tcMar>
              <w:top w:w="50" w:type="dxa"/>
              <w:left w:w="100" w:type="dxa"/>
              <w:bottom w:w="50" w:type="dxa"/>
              <w:right w:w="100" w:type="dxa"/>
            </w:tcMar>
          </w:tcPr>
          <w:p>
            <w:pPr>
              <w:pStyle w:val="TableText"/>
            </w:pPr>
            <w:r>
              <w:rPr>
                <w:rFonts w:ascii="Calibri" w:hAnsi="Calibri" w:eastAsia="Microsoft YaHei"/>
                <w:color w:val="222F36"/>
                <w:sz w:val="20"/>
              </w:rPr>
              <w:t xml:space="preserve">A classification supported by three independent signals</w:t>
            </w:r>
          </w:p>
        </w:tc>
      </w:tr>
      <w:tr>
        <w:trPr>
          <w:cantSplit/>
        </w:trPr>
        <w:tc>
          <w:tcPr>
            <w:tcW w:w="25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Firewall</w:t>
            </w:r>
          </w:p>
        </w:tc>
        <w:tc>
          <w:tcPr>
            <w:tcW w:w="68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The humanitarian firewall of Article 15.5; also the data firewall of Article 13.7</w:t>
            </w:r>
          </w:p>
        </w:tc>
      </w:tr>
      <w:tr>
        <w:trPr>
          <w:cantSplit/>
        </w:trPr>
        <w:tc>
          <w:tcPr>
            <w:tcW w:w="2500" w:type="dxa"/>
            <w:tcMar>
              <w:top w:w="50" w:type="dxa"/>
              <w:left w:w="100" w:type="dxa"/>
              <w:bottom w:w="50" w:type="dxa"/>
              <w:right w:w="100" w:type="dxa"/>
            </w:tcMar>
          </w:tcPr>
          <w:p>
            <w:pPr>
              <w:pStyle w:val="TableText"/>
            </w:pPr>
            <w:r>
              <w:rPr>
                <w:rFonts w:ascii="Calibri" w:hAnsi="Calibri" w:eastAsia="Microsoft YaHei"/>
                <w:color w:val="222F36"/>
                <w:sz w:val="20"/>
              </w:rPr>
              <w:t xml:space="preserve">Full Daylight</w:t>
            </w:r>
          </w:p>
        </w:tc>
        <w:tc>
          <w:tcPr>
            <w:tcW w:w="6806" w:type="dxa"/>
            <w:tcMar>
              <w:top w:w="50" w:type="dxa"/>
              <w:left w:w="100" w:type="dxa"/>
              <w:bottom w:w="50" w:type="dxa"/>
              <w:right w:w="100" w:type="dxa"/>
            </w:tcMar>
          </w:tcPr>
          <w:p>
            <w:pPr>
              <w:pStyle w:val="TableText"/>
            </w:pPr>
            <w:r>
              <w:rPr>
                <w:rFonts w:ascii="Calibri" w:hAnsi="Calibri" w:eastAsia="Microsoft YaHei"/>
                <w:color w:val="222F36"/>
                <w:sz w:val="20"/>
              </w:rPr>
              <w:t xml:space="preserve">The declaration of full operations at Day 45 under Annex L</w:t>
            </w:r>
          </w:p>
        </w:tc>
      </w:tr>
      <w:tr>
        <w:trPr>
          <w:cantSplit/>
        </w:trPr>
        <w:tc>
          <w:tcPr>
            <w:tcW w:w="25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Gallery</w:t>
            </w:r>
          </w:p>
        </w:tc>
        <w:tc>
          <w:tcPr>
            <w:tcW w:w="68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The Observer Gallery of Article 12.3</w:t>
            </w:r>
          </w:p>
        </w:tc>
      </w:tr>
      <w:tr>
        <w:trPr>
          <w:cantSplit/>
        </w:trPr>
        <w:tc>
          <w:tcPr>
            <w:tcW w:w="2500" w:type="dxa"/>
            <w:tcMar>
              <w:top w:w="50" w:type="dxa"/>
              <w:left w:w="100" w:type="dxa"/>
              <w:bottom w:w="50" w:type="dxa"/>
              <w:right w:w="100" w:type="dxa"/>
            </w:tcMar>
          </w:tcPr>
          <w:p>
            <w:pPr>
              <w:pStyle w:val="TableText"/>
            </w:pPr>
            <w:r>
              <w:rPr>
                <w:rFonts w:ascii="Calibri" w:hAnsi="Calibri" w:eastAsia="Microsoft YaHei"/>
                <w:color w:val="222F36"/>
                <w:sz w:val="20"/>
              </w:rPr>
              <w:t xml:space="preserve">Human Gate</w:t>
            </w:r>
          </w:p>
        </w:tc>
        <w:tc>
          <w:tcPr>
            <w:tcW w:w="6806" w:type="dxa"/>
            <w:tcMar>
              <w:top w:w="50" w:type="dxa"/>
              <w:left w:w="100" w:type="dxa"/>
              <w:bottom w:w="50" w:type="dxa"/>
              <w:right w:w="100" w:type="dxa"/>
            </w:tcMar>
          </w:tcPr>
          <w:p>
            <w:pPr>
              <w:pStyle w:val="TableText"/>
            </w:pPr>
            <w:r>
              <w:rPr>
                <w:rFonts w:ascii="Calibri" w:hAnsi="Calibri" w:eastAsia="Microsoft YaHei"/>
                <w:color w:val="222F36"/>
                <w:sz w:val="20"/>
              </w:rPr>
              <w:t xml:space="preserve">The rule that humans review every classification and decide every consequence</w:t>
            </w:r>
          </w:p>
        </w:tc>
      </w:tr>
      <w:tr>
        <w:trPr>
          <w:cantSplit/>
        </w:trPr>
        <w:tc>
          <w:tcPr>
            <w:tcW w:w="25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Integrity Cell</w:t>
            </w:r>
          </w:p>
        </w:tc>
        <w:tc>
          <w:tcPr>
            <w:tcW w:w="68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The standing red team of the Concordance Office under Annex E.6</w:t>
            </w:r>
          </w:p>
        </w:tc>
      </w:tr>
      <w:tr>
        <w:trPr>
          <w:cantSplit/>
        </w:trPr>
        <w:tc>
          <w:tcPr>
            <w:tcW w:w="2500" w:type="dxa"/>
            <w:tcMar>
              <w:top w:w="50" w:type="dxa"/>
              <w:left w:w="100" w:type="dxa"/>
              <w:bottom w:w="50" w:type="dxa"/>
              <w:right w:w="100" w:type="dxa"/>
            </w:tcMar>
          </w:tcPr>
          <w:p>
            <w:pPr>
              <w:pStyle w:val="TableText"/>
            </w:pPr>
            <w:r>
              <w:rPr>
                <w:rFonts w:ascii="Calibri" w:hAnsi="Calibri" w:eastAsia="Microsoft YaHei"/>
                <w:color w:val="222F36"/>
                <w:sz w:val="20"/>
              </w:rPr>
              <w:t xml:space="preserve">Lee Pause</w:t>
            </w:r>
          </w:p>
        </w:tc>
        <w:tc>
          <w:tcPr>
            <w:tcW w:w="6806" w:type="dxa"/>
            <w:tcMar>
              <w:top w:w="50" w:type="dxa"/>
              <w:left w:w="100" w:type="dxa"/>
              <w:bottom w:w="50" w:type="dxa"/>
              <w:right w:w="100" w:type="dxa"/>
            </w:tcMar>
          </w:tcPr>
          <w:p>
            <w:pPr>
              <w:pStyle w:val="TableText"/>
            </w:pPr>
            <w:r>
              <w:rPr>
                <w:rFonts w:ascii="Calibri" w:hAnsi="Calibri" w:eastAsia="Microsoft YaHei"/>
                <w:color w:val="222F36"/>
                <w:sz w:val="20"/>
              </w:rPr>
              <w:t xml:space="preserve">The fourteen-day pause of Article 19.4, with the core at full strength</w:t>
            </w:r>
          </w:p>
        </w:tc>
      </w:tr>
      <w:tr>
        <w:trPr>
          <w:cantSplit/>
        </w:trPr>
        <w:tc>
          <w:tcPr>
            <w:tcW w:w="25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Module</w:t>
            </w:r>
          </w:p>
        </w:tc>
        <w:tc>
          <w:tcPr>
            <w:tcW w:w="68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A functional part of the system for compliance purposes, per Annex F.3</w:t>
            </w:r>
          </w:p>
        </w:tc>
      </w:tr>
      <w:tr>
        <w:trPr>
          <w:cantSplit/>
        </w:trPr>
        <w:tc>
          <w:tcPr>
            <w:tcW w:w="2500" w:type="dxa"/>
            <w:tcMar>
              <w:top w:w="50" w:type="dxa"/>
              <w:left w:w="100" w:type="dxa"/>
              <w:bottom w:w="50" w:type="dxa"/>
              <w:right w:w="100" w:type="dxa"/>
            </w:tcMar>
          </w:tcPr>
          <w:p>
            <w:pPr>
              <w:pStyle w:val="TableText"/>
            </w:pPr>
            <w:r>
              <w:rPr>
                <w:rFonts w:ascii="Calibri" w:hAnsi="Calibri" w:eastAsia="Microsoft YaHei"/>
                <w:color w:val="222F36"/>
                <w:sz w:val="20"/>
              </w:rPr>
              <w:t xml:space="preserve">Notice</w:t>
            </w:r>
          </w:p>
        </w:tc>
        <w:tc>
          <w:tcPr>
            <w:tcW w:w="6806" w:type="dxa"/>
            <w:tcMar>
              <w:top w:w="50" w:type="dxa"/>
              <w:left w:w="100" w:type="dxa"/>
              <w:bottom w:w="50" w:type="dxa"/>
              <w:right w:w="100" w:type="dxa"/>
            </w:tcMar>
          </w:tcPr>
          <w:p>
            <w:pPr>
              <w:pStyle w:val="TableText"/>
            </w:pPr>
            <w:r>
              <w:rPr>
                <w:rFonts w:ascii="Calibri" w:hAnsi="Calibri" w:eastAsia="Microsoft YaHei"/>
                <w:color w:val="222F36"/>
                <w:sz w:val="20"/>
              </w:rPr>
              <w:t xml:space="preserve">A Fairway Notice under Annex C</w:t>
            </w:r>
          </w:p>
        </w:tc>
      </w:tr>
      <w:tr>
        <w:trPr>
          <w:cantSplit/>
        </w:trPr>
        <w:tc>
          <w:tcPr>
            <w:tcW w:w="25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Participant</w:t>
            </w:r>
          </w:p>
        </w:tc>
        <w:tc>
          <w:tcPr>
            <w:tcW w:w="68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A Party, a guarantor, an observer, or an adherent</w:t>
            </w:r>
          </w:p>
        </w:tc>
      </w:tr>
      <w:tr>
        <w:trPr>
          <w:cantSplit/>
        </w:trPr>
        <w:tc>
          <w:tcPr>
            <w:tcW w:w="2500" w:type="dxa"/>
            <w:tcMar>
              <w:top w:w="50" w:type="dxa"/>
              <w:left w:w="100" w:type="dxa"/>
              <w:bottom w:w="50" w:type="dxa"/>
              <w:right w:w="100" w:type="dxa"/>
            </w:tcMar>
          </w:tcPr>
          <w:p>
            <w:pPr>
              <w:pStyle w:val="TableText"/>
            </w:pPr>
            <w:r>
              <w:rPr>
                <w:rFonts w:ascii="Calibri" w:hAnsi="Calibri" w:eastAsia="Microsoft YaHei"/>
                <w:color w:val="222F36"/>
                <w:sz w:val="20"/>
              </w:rPr>
              <w:t xml:space="preserve">Perimeter Check</w:t>
            </w:r>
          </w:p>
        </w:tc>
        <w:tc>
          <w:tcPr>
            <w:tcW w:w="6806" w:type="dxa"/>
            <w:tcMar>
              <w:top w:w="50" w:type="dxa"/>
              <w:left w:w="100" w:type="dxa"/>
              <w:bottom w:w="50" w:type="dxa"/>
              <w:right w:w="100" w:type="dxa"/>
            </w:tcMar>
          </w:tcPr>
          <w:p>
            <w:pPr>
              <w:pStyle w:val="TableText"/>
            </w:pPr>
            <w:r>
              <w:rPr>
                <w:rFonts w:ascii="Calibri" w:hAnsi="Calibri" w:eastAsia="Microsoft YaHei"/>
                <w:color w:val="222F36"/>
                <w:sz w:val="20"/>
              </w:rPr>
              <w:t xml:space="preserve">The Recorder’s certification that a measure crosses no Boundary Line</w:t>
            </w:r>
          </w:p>
        </w:tc>
      </w:tr>
      <w:tr>
        <w:trPr>
          <w:cantSplit/>
        </w:trPr>
        <w:tc>
          <w:tcPr>
            <w:tcW w:w="25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Protection Covenant</w:t>
            </w:r>
          </w:p>
        </w:tc>
        <w:tc>
          <w:tcPr>
            <w:tcW w:w="68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The non-severable, self-defending unity of the Boundary Lines</w:t>
            </w:r>
          </w:p>
        </w:tc>
      </w:tr>
      <w:tr>
        <w:trPr>
          <w:cantSplit/>
        </w:trPr>
        <w:tc>
          <w:tcPr>
            <w:tcW w:w="2500" w:type="dxa"/>
            <w:tcMar>
              <w:top w:w="50" w:type="dxa"/>
              <w:left w:w="100" w:type="dxa"/>
              <w:bottom w:w="50" w:type="dxa"/>
              <w:right w:w="100" w:type="dxa"/>
            </w:tcMar>
          </w:tcPr>
          <w:p>
            <w:pPr>
              <w:pStyle w:val="TableText"/>
            </w:pPr>
            <w:r>
              <w:rPr>
                <w:rFonts w:ascii="Calibri" w:hAnsi="Calibri" w:eastAsia="Microsoft YaHei"/>
                <w:color w:val="222F36"/>
                <w:sz w:val="20"/>
              </w:rPr>
              <w:t xml:space="preserve">Quiet channel</w:t>
            </w:r>
          </w:p>
        </w:tc>
        <w:tc>
          <w:tcPr>
            <w:tcW w:w="6806" w:type="dxa"/>
            <w:tcMar>
              <w:top w:w="50" w:type="dxa"/>
              <w:left w:w="100" w:type="dxa"/>
              <w:bottom w:w="50" w:type="dxa"/>
              <w:right w:w="100" w:type="dxa"/>
            </w:tcMar>
          </w:tcPr>
          <w:p>
            <w:pPr>
              <w:pStyle w:val="TableText"/>
            </w:pPr>
            <w:r>
              <w:rPr>
                <w:rFonts w:ascii="Calibri" w:hAnsi="Calibri" w:eastAsia="Microsoft YaHei"/>
                <w:color w:val="222F36"/>
                <w:sz w:val="20"/>
              </w:rPr>
              <w:t xml:space="preserve">The good-offices channel of the Mediation Guarantor under Annex N.2</w:t>
            </w:r>
          </w:p>
        </w:tc>
      </w:tr>
      <w:tr>
        <w:trPr>
          <w:cantSplit/>
        </w:trPr>
        <w:tc>
          <w:tcPr>
            <w:tcW w:w="25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Recorder</w:t>
            </w:r>
          </w:p>
        </w:tc>
        <w:tc>
          <w:tcPr>
            <w:tcW w:w="68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The head of the Concordance Office, appointed under Article 11.2</w:t>
            </w:r>
          </w:p>
        </w:tc>
      </w:tr>
      <w:tr>
        <w:trPr>
          <w:cantSplit/>
        </w:trPr>
        <w:tc>
          <w:tcPr>
            <w:tcW w:w="2500" w:type="dxa"/>
            <w:tcMar>
              <w:top w:w="50" w:type="dxa"/>
              <w:left w:w="100" w:type="dxa"/>
              <w:bottom w:w="50" w:type="dxa"/>
              <w:right w:w="100" w:type="dxa"/>
            </w:tcMar>
          </w:tcPr>
          <w:p>
            <w:pPr>
              <w:pStyle w:val="TableText"/>
            </w:pPr>
            <w:r>
              <w:rPr>
                <w:rFonts w:ascii="Calibri" w:hAnsi="Calibri" w:eastAsia="Microsoft YaHei"/>
                <w:color w:val="222F36"/>
                <w:sz w:val="20"/>
              </w:rPr>
              <w:t xml:space="preserve">Sealed bulkhead</w:t>
            </w:r>
          </w:p>
        </w:tc>
        <w:tc>
          <w:tcPr>
            <w:tcW w:w="6806" w:type="dxa"/>
            <w:tcMar>
              <w:top w:w="50" w:type="dxa"/>
              <w:left w:w="100" w:type="dxa"/>
              <w:bottom w:w="50" w:type="dxa"/>
              <w:right w:w="100" w:type="dxa"/>
            </w:tcMar>
          </w:tcPr>
          <w:p>
            <w:pPr>
              <w:pStyle w:val="TableText"/>
            </w:pPr>
            <w:r>
              <w:rPr>
                <w:rFonts w:ascii="Calibri" w:hAnsi="Calibri" w:eastAsia="Microsoft YaHei"/>
                <w:color w:val="222F36"/>
                <w:sz w:val="20"/>
              </w:rPr>
              <w:t xml:space="preserve">The independence of the Compact from every other file, per Article 3.4</w:t>
            </w:r>
          </w:p>
        </w:tc>
      </w:tr>
      <w:tr>
        <w:trPr>
          <w:cantSplit/>
        </w:trPr>
        <w:tc>
          <w:tcPr>
            <w:tcW w:w="25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Separation Band</w:t>
            </w:r>
          </w:p>
        </w:tc>
        <w:tc>
          <w:tcPr>
            <w:tcW w:w="68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The area between the fairways defined in Annex A.4</w:t>
            </w:r>
          </w:p>
        </w:tc>
      </w:tr>
      <w:tr>
        <w:trPr>
          <w:cantSplit/>
        </w:trPr>
        <w:tc>
          <w:tcPr>
            <w:tcW w:w="2500" w:type="dxa"/>
            <w:tcMar>
              <w:top w:w="50" w:type="dxa"/>
              <w:left w:w="100" w:type="dxa"/>
              <w:bottom w:w="50" w:type="dxa"/>
              <w:right w:w="100" w:type="dxa"/>
            </w:tcMar>
          </w:tcPr>
          <w:p>
            <w:pPr>
              <w:pStyle w:val="TableText"/>
            </w:pPr>
            <w:r>
              <w:rPr>
                <w:rFonts w:ascii="Calibri" w:hAnsi="Calibri" w:eastAsia="Microsoft YaHei"/>
                <w:color w:val="222F36"/>
                <w:sz w:val="20"/>
              </w:rPr>
              <w:t xml:space="preserve">Signal</w:t>
            </w:r>
          </w:p>
        </w:tc>
        <w:tc>
          <w:tcPr>
            <w:tcW w:w="6806" w:type="dxa"/>
            <w:tcMar>
              <w:top w:w="50" w:type="dxa"/>
              <w:left w:w="100" w:type="dxa"/>
              <w:bottom w:w="50" w:type="dxa"/>
              <w:right w:w="100" w:type="dxa"/>
            </w:tcMar>
          </w:tcPr>
          <w:p>
            <w:pPr>
              <w:pStyle w:val="TableText"/>
            </w:pPr>
            <w:r>
              <w:rPr>
                <w:rFonts w:ascii="Calibri" w:hAnsi="Calibri" w:eastAsia="Microsoft YaHei"/>
                <w:color w:val="222F36"/>
                <w:sz w:val="20"/>
              </w:rPr>
              <w:t xml:space="preserve">An independent item of verified data under the Three-Signal Rule</w:t>
            </w:r>
          </w:p>
        </w:tc>
      </w:tr>
      <w:tr>
        <w:trPr>
          <w:cantSplit/>
        </w:trPr>
        <w:tc>
          <w:tcPr>
            <w:tcW w:w="25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Step-back</w:t>
            </w:r>
          </w:p>
        </w:tc>
        <w:tc>
          <w:tcPr>
            <w:tcW w:w="68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A graduated pause of defined benefits of an affected module</w:t>
            </w:r>
          </w:p>
        </w:tc>
      </w:tr>
      <w:tr>
        <w:trPr>
          <w:cantSplit/>
        </w:trPr>
        <w:tc>
          <w:tcPr>
            <w:tcW w:w="2500" w:type="dxa"/>
            <w:tcMar>
              <w:top w:w="50" w:type="dxa"/>
              <w:left w:w="100" w:type="dxa"/>
              <w:bottom w:w="50" w:type="dxa"/>
              <w:right w:w="100" w:type="dxa"/>
            </w:tcMar>
          </w:tcPr>
          <w:p>
            <w:pPr>
              <w:pStyle w:val="TableText"/>
            </w:pPr>
            <w:r>
              <w:rPr>
                <w:rFonts w:ascii="Calibri" w:hAnsi="Calibri" w:eastAsia="Microsoft YaHei"/>
                <w:color w:val="222F36"/>
                <w:sz w:val="20"/>
              </w:rPr>
              <w:t xml:space="preserve">Strain</w:t>
            </w:r>
          </w:p>
        </w:tc>
        <w:tc>
          <w:tcPr>
            <w:tcW w:w="6806" w:type="dxa"/>
            <w:tcMar>
              <w:top w:w="50" w:type="dxa"/>
              <w:left w:w="100" w:type="dxa"/>
              <w:bottom w:w="50" w:type="dxa"/>
              <w:right w:w="100" w:type="dxa"/>
            </w:tcMar>
          </w:tcPr>
          <w:p>
            <w:pPr>
              <w:pStyle w:val="TableText"/>
            </w:pPr>
            <w:r>
              <w:rPr>
                <w:rFonts w:ascii="Calibri" w:hAnsi="Calibri" w:eastAsia="Microsoft YaHei"/>
                <w:color w:val="222F36"/>
                <w:sz w:val="20"/>
              </w:rPr>
              <w:t xml:space="preserve">A material deviation: a pattern, a repetition, or a material effect</w:t>
            </w:r>
          </w:p>
        </w:tc>
      </w:tr>
      <w:tr>
        <w:trPr>
          <w:cantSplit/>
        </w:trPr>
        <w:tc>
          <w:tcPr>
            <w:tcW w:w="25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Three-Question Test</w:t>
            </w:r>
          </w:p>
        </w:tc>
        <w:tc>
          <w:tcPr>
            <w:tcW w:w="68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The design rule of Article 5.2: trigger, actor, close</w:t>
            </w:r>
          </w:p>
        </w:tc>
      </w:tr>
      <w:tr>
        <w:trPr>
          <w:cantSplit/>
        </w:trPr>
        <w:tc>
          <w:tcPr>
            <w:tcW w:w="2500" w:type="dxa"/>
            <w:tcMar>
              <w:top w:w="50" w:type="dxa"/>
              <w:left w:w="100" w:type="dxa"/>
              <w:bottom w:w="50" w:type="dxa"/>
              <w:right w:w="100" w:type="dxa"/>
            </w:tcMar>
          </w:tcPr>
          <w:p>
            <w:pPr>
              <w:pStyle w:val="TableText"/>
            </w:pPr>
            <w:r>
              <w:rPr>
                <w:rFonts w:ascii="Calibri" w:hAnsi="Calibri" w:eastAsia="Microsoft YaHei"/>
                <w:color w:val="222F36"/>
                <w:sz w:val="20"/>
              </w:rPr>
              <w:t xml:space="preserve">Three-Signal Rule</w:t>
            </w:r>
          </w:p>
        </w:tc>
        <w:tc>
          <w:tcPr>
            <w:tcW w:w="6806" w:type="dxa"/>
            <w:tcMar>
              <w:top w:w="50" w:type="dxa"/>
              <w:left w:w="100" w:type="dxa"/>
              <w:bottom w:w="50" w:type="dxa"/>
              <w:right w:w="100" w:type="dxa"/>
            </w:tcMar>
          </w:tcPr>
          <w:p>
            <w:pPr>
              <w:pStyle w:val="TableText"/>
            </w:pPr>
            <w:r>
              <w:rPr>
                <w:rFonts w:ascii="Calibri" w:hAnsi="Calibri" w:eastAsia="Microsoft YaHei"/>
                <w:color w:val="222F36"/>
                <w:sz w:val="20"/>
              </w:rPr>
              <w:t xml:space="preserve">The convergence standard of Article 14.2</w:t>
            </w:r>
          </w:p>
        </w:tc>
      </w:tr>
      <w:tr>
        <w:trPr>
          <w:cantSplit/>
        </w:trPr>
        <w:tc>
          <w:tcPr>
            <w:tcW w:w="25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Tide Line</w:t>
            </w:r>
          </w:p>
        </w:tc>
        <w:tc>
          <w:tcPr>
            <w:tcW w:w="68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The standing hotline of the Compact under Annex D.5</w:t>
            </w:r>
          </w:p>
        </w:tc>
      </w:tr>
      <w:tr>
        <w:trPr>
          <w:cantSplit/>
        </w:trPr>
        <w:tc>
          <w:tcPr>
            <w:tcW w:w="2500" w:type="dxa"/>
            <w:tcMar>
              <w:top w:w="50" w:type="dxa"/>
              <w:left w:w="100" w:type="dxa"/>
              <w:bottom w:w="50" w:type="dxa"/>
              <w:right w:w="100" w:type="dxa"/>
            </w:tcMar>
          </w:tcPr>
          <w:p>
            <w:pPr>
              <w:pStyle w:val="TableText"/>
            </w:pPr>
            <w:r>
              <w:rPr>
                <w:rFonts w:ascii="Calibri" w:hAnsi="Calibri" w:eastAsia="Microsoft YaHei"/>
                <w:color w:val="222F36"/>
                <w:sz w:val="20"/>
              </w:rPr>
              <w:t xml:space="preserve">Tide Report</w:t>
            </w:r>
          </w:p>
        </w:tc>
        <w:tc>
          <w:tcPr>
            <w:tcW w:w="6806" w:type="dxa"/>
            <w:tcMar>
              <w:top w:w="50" w:type="dxa"/>
              <w:left w:w="100" w:type="dxa"/>
              <w:bottom w:w="50" w:type="dxa"/>
              <w:right w:w="100" w:type="dxa"/>
            </w:tcMar>
          </w:tcPr>
          <w:p>
            <w:pPr>
              <w:pStyle w:val="TableText"/>
            </w:pPr>
            <w:r>
              <w:rPr>
                <w:rFonts w:ascii="Calibri" w:hAnsi="Calibri" w:eastAsia="Microsoft YaHei"/>
                <w:color w:val="222F36"/>
                <w:sz w:val="20"/>
              </w:rPr>
              <w:t xml:space="preserve">The daily public report of the Tide Watch: Steady, Disturbed, or Under Review</w:t>
            </w:r>
          </w:p>
        </w:tc>
      </w:tr>
      <w:tr>
        <w:trPr>
          <w:cantSplit/>
        </w:trPr>
        <w:tc>
          <w:tcPr>
            <w:tcW w:w="25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Tide Watch</w:t>
            </w:r>
          </w:p>
        </w:tc>
        <w:tc>
          <w:tcPr>
            <w:tcW w:w="68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The joint watch of the Compact, seated in Muscat with the Bandar Desk</w:t>
            </w:r>
          </w:p>
        </w:tc>
      </w:tr>
      <w:tr>
        <w:trPr>
          <w:cantSplit/>
        </w:trPr>
        <w:tc>
          <w:tcPr>
            <w:tcW w:w="2500" w:type="dxa"/>
            <w:tcMar>
              <w:top w:w="50" w:type="dxa"/>
              <w:left w:w="100" w:type="dxa"/>
              <w:bottom w:w="50" w:type="dxa"/>
              <w:right w:w="100" w:type="dxa"/>
            </w:tcMar>
          </w:tcPr>
          <w:p>
            <w:pPr>
              <w:pStyle w:val="TableText"/>
            </w:pPr>
            <w:r>
              <w:rPr>
                <w:rFonts w:ascii="Calibri" w:hAnsi="Calibri" w:eastAsia="Microsoft YaHei"/>
                <w:color w:val="222F36"/>
                <w:sz w:val="20"/>
              </w:rPr>
              <w:t xml:space="preserve">Watermark</w:t>
            </w:r>
          </w:p>
        </w:tc>
        <w:tc>
          <w:tcPr>
            <w:tcW w:w="6806" w:type="dxa"/>
            <w:tcMar>
              <w:top w:w="50" w:type="dxa"/>
              <w:left w:w="100" w:type="dxa"/>
              <w:bottom w:w="50" w:type="dxa"/>
              <w:right w:w="100" w:type="dxa"/>
            </w:tcMar>
          </w:tcPr>
          <w:p>
            <w:pPr>
              <w:pStyle w:val="TableText"/>
            </w:pPr>
            <w:r>
              <w:rPr>
                <w:rFonts w:ascii="Calibri" w:hAnsi="Calibri" w:eastAsia="Microsoft YaHei"/>
                <w:color w:val="222F36"/>
                <w:sz w:val="20"/>
              </w:rPr>
              <w:t xml:space="preserve">The per-user marking of every Concordance session under Annex E.9</w:t>
            </w:r>
          </w:p>
        </w:tc>
      </w:tr>
      <w:tr>
        <w:trPr>
          <w:cantSplit/>
        </w:trPr>
        <w:tc>
          <w:tcPr>
            <w:tcW w:w="2500"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Zero toll</w:t>
            </w:r>
          </w:p>
        </w:tc>
        <w:tc>
          <w:tcPr>
            <w:tcW w:w="6806" w:type="dxa"/>
            <w:shd w:val="clear" w:fill="F4F8F7"/>
            <w:tcMar>
              <w:top w:w="50" w:type="dxa"/>
              <w:left w:w="100" w:type="dxa"/>
              <w:bottom w:w="50" w:type="dxa"/>
              <w:right w:w="100" w:type="dxa"/>
            </w:tcMar>
          </w:tcPr>
          <w:p>
            <w:pPr>
              <w:pStyle w:val="TableText"/>
            </w:pPr>
            <w:r>
              <w:rPr>
                <w:rFonts w:ascii="Calibri" w:hAnsi="Calibri" w:eastAsia="Microsoft YaHei"/>
                <w:color w:val="222F36"/>
                <w:sz w:val="20"/>
              </w:rPr>
              <w:t xml:space="preserve">The rule of Article 13.1 and Boundary Line BL-1</w:t>
            </w:r>
          </w:p>
        </w:tc>
      </w:tr>
    </w:tbl>
    <w:p>
      <w:pPr>
        <w:spacing w:before="0" w:after="140"/>
      </w:pPr>
      <w:r>
        <w:rPr>
          <w:sz w:val="8"/>
        </w:rPr>
        <w:t/>
      </w:r>
    </w:p>
    <w:p>
      <w:pPr>
        <w:pStyle w:val="Heading3"/>
        <w:keepNext/>
        <w:keepLines/>
      </w:pPr>
      <w:r>
        <w:rPr>
          <w:rFonts w:ascii="Calibri" w:hAnsi="Calibri" w:eastAsia="Microsoft YaHei"/>
          <w:b/>
          <w:color w:val="222F36"/>
          <w:sz w:val="22"/>
        </w:rPr>
        <w:t xml:space="preserve">O.2 Neutral Terminology Rules</w:t>
      </w:r>
    </w:p>
    <w:p>
      <w:pPr>
        <w:pStyle w:val="Normal"/>
        <w:ind w:left="560" w:hanging="560"/>
      </w:pPr>
      <w:r>
        <w:rPr>
          <w:rFonts w:ascii="Calibri" w:hAnsi="Calibri" w:eastAsia="Microsoft YaHei"/>
          <w:b/>
          <w:color w:val="1F4E5F"/>
          <w:sz w:val="21"/>
        </w:rPr>
        <w:t xml:space="preserve">O.2.1  </w:t>
      </w:r>
      <w:r>
        <w:rPr>
          <w:rFonts w:ascii="Calibri" w:hAnsi="Calibri" w:eastAsia="Microsoft YaHei"/>
          <w:color w:val="222F36"/>
          <w:sz w:val="21"/>
        </w:rPr>
        <w:t xml:space="preserve">Operative text says “the Strait” and uses the coordinates of Annex A. No operative text carries a contested name, a historical claim, or a national descriptor for the waterway.</w:t>
      </w:r>
    </w:p>
    <w:p>
      <w:pPr>
        <w:pStyle w:val="Normal"/>
        <w:ind w:left="560" w:hanging="560"/>
      </w:pPr>
      <w:r>
        <w:rPr>
          <w:rFonts w:ascii="Calibri" w:hAnsi="Calibri" w:eastAsia="Microsoft YaHei"/>
          <w:b/>
          <w:color w:val="1F4E5F"/>
          <w:sz w:val="21"/>
        </w:rPr>
        <w:t xml:space="preserve">O.2.2  </w:t>
      </w:r>
      <w:r>
        <w:rPr>
          <w:rFonts w:ascii="Calibri" w:hAnsi="Calibri" w:eastAsia="Microsoft YaHei"/>
          <w:color w:val="222F36"/>
          <w:sz w:val="21"/>
        </w:rPr>
        <w:t xml:space="preserve">Institutional names come from the sea and the dawn, never from any capital, person, or event: the Tide Watch, the Tide Line, the Tide Report, the Concordance, the Lee Pause. Neutrality lives in the vocabulary, not only in the rules.</w:t>
      </w:r>
    </w:p>
    <w:p>
      <w:pPr>
        <w:pStyle w:val="Normal"/>
        <w:ind w:left="560" w:hanging="560"/>
      </w:pPr>
      <w:r>
        <w:rPr>
          <w:rFonts w:ascii="Calibri" w:hAnsi="Calibri" w:eastAsia="Microsoft YaHei"/>
          <w:b/>
          <w:color w:val="1F4E5F"/>
          <w:sz w:val="21"/>
        </w:rPr>
        <w:t xml:space="preserve">O.2.3  </w:t>
      </w:r>
      <w:r>
        <w:rPr>
          <w:rFonts w:ascii="Calibri" w:hAnsi="Calibri" w:eastAsia="Microsoft YaHei"/>
          <w:color w:val="222F36"/>
          <w:sz w:val="21"/>
        </w:rPr>
        <w:t xml:space="preserve">Translations follow meaning, not convenience. The Persian and Arabic courtesy texts carry the same rules with the same force of honor, and their preparation follows Article 22.6.</w:t>
      </w:r>
    </w:p>
    <w:p>
      <w:pPr>
        <w:spacing w:before="0" w:after="300"/>
      </w:pPr>
      <w:r>
        <w:rPr>
          <w:sz w:val="8"/>
        </w:rPr>
        <w:t/>
      </w:r>
    </w:p>
    <w:p>
      <w:pPr>
        <w:pStyle w:val="Normal"/>
        <w:spacing w:before="40" w:after="120" w:line="260" w:lineRule="auto"/>
      </w:pPr>
      <w:r>
        <w:rPr>
          <w:rFonts w:ascii="Calibri" w:hAnsi="Calibri" w:eastAsia="Microsoft YaHei"/>
          <w:i/>
          <w:color w:val="5E7478"/>
          <w:sz w:val="19"/>
        </w:rPr>
        <w:t xml:space="preserve">End of the Muscat Text. The water is open.</w:t>
      </w:r>
    </w:p>
    <w:sectPr>
      <w:headerReference w:type="default" r:id="R01d6f7044a064621"/>
      <w:footerReference w:type="default" r:id="R9b03e9ef37ba4992"/>
      <w:pgSz w:w="11906" w:h="16838"/>
      <w:pgMar w:top="1300" w:right="1300" w:bottom="1300" w:left="1300" w:header="720" w:footer="720"/>
    </w:sectPr>
  </w:body>
</w:document>
</file>

<file path=word/footer1.xml><?xml version="1.0" encoding="utf-8"?>
<w:ftr xmlns:w="http://schemas.openxmlformats.org/wordprocessingml/2006/main">
  <w:p>
    <w:pPr>
      <w:pBdr>
        <w:top w:val="single" w:color="AEC4C1" w:sz="4" w:space="4"/>
      </w:pBdr>
      <w:tabs>
        <w:tab w:val="right" w:pos="9306"/>
      </w:tabs>
      <w:spacing w:before="60"/>
    </w:pPr>
    <w:r>
      <w:rPr>
        <w:rFonts w:ascii="Calibri" w:hAnsi="Calibri"/>
        <w:color w:val="5E7478"/>
        <w:sz w:val="16"/>
      </w:rPr>
      <w:t xml:space="preserve">Version 1.0 · Strait of Hormuz</w:t>
    </w:r>
    <w:r>
      <w:rPr>
        <w:sz w:val="16"/>
      </w:rPr>
      <w:tab/>
    </w:r>
    <w:r>
      <w:rPr>
        <w:rFonts w:ascii="Calibri" w:hAnsi="Calibri"/>
        <w:color w:val="5E7478"/>
        <w:sz w:val="16"/>
      </w:rPr>
      <w:t xml:space="preserve">Page </w:t>
    </w:r>
    <w:r>
      <w:rPr>
        <w:color w:val="5E7478"/>
        <w:sz w:val="16"/>
      </w:rPr>
      <w:fldChar w:fldCharType="begin"/>
    </w:r>
    <w:r>
      <w:rPr>
        <w:color w:val="5E7478"/>
        <w:sz w:val="16"/>
      </w:rPr>
      <w:instrText xml:space="preserve"> PAGE </w:instrText>
    </w:r>
    <w:r>
      <w:rPr>
        <w:color w:val="5E7478"/>
        <w:sz w:val="16"/>
      </w:rPr>
      <w:fldChar w:fldCharType="end"/>
    </w:r>
    <w:r>
      <w:rPr>
        <w:rFonts w:ascii="Calibri" w:hAnsi="Calibri"/>
        <w:color w:val="5E7478"/>
        <w:sz w:val="16"/>
      </w:rPr>
      <w:t xml:space="preserve"> of </w:t>
    </w:r>
    <w:r>
      <w:rPr>
        <w:color w:val="5E7478"/>
        <w:sz w:val="16"/>
      </w:rPr>
      <w:fldChar w:fldCharType="begin"/>
    </w:r>
    <w:r>
      <w:rPr>
        <w:color w:val="5E7478"/>
        <w:sz w:val="16"/>
      </w:rPr>
      <w:instrText xml:space="preserve"> NUMPAGES </w:instrText>
    </w:r>
    <w:r>
      <w:rPr>
        <w:color w:val="5E7478"/>
        <w:sz w:val="16"/>
      </w:rPr>
      <w:fldChar w:fldCharType="end"/>
    </w:r>
  </w:p>
</w:ftr>
</file>

<file path=word/header1.xml><?xml version="1.0" encoding="utf-8"?>
<w:hdr xmlns:w="http://schemas.openxmlformats.org/wordprocessingml/2006/main">
  <w:p>
    <w:pPr>
      <w:pBdr>
        <w:bottom w:val="single" w:color="AEC4C1" w:sz="4" w:space="4"/>
      </w:pBdr>
      <w:tabs>
        <w:tab w:val="right" w:pos="9186"/>
      </w:tabs>
      <w:spacing w:after="60"/>
    </w:pPr>
    <w:r>
      <w:rPr>
        <w:rFonts w:ascii="Calibri" w:hAnsi="Calibri"/>
        <w:color w:val="1F4E5F"/>
        <w:spacing w:val="16"/>
        <w:sz w:val="16"/>
      </w:rPr>
      <w:t>THE TOLOU-E JADID COMPACT</w:t>
    </w:r>
    <w:r>
      <w:rPr>
        <w:color w:val="5E7478"/>
        <w:sz w:val="16"/>
      </w:rPr>
      <w:tab/>
    </w:r>
    <w:r>
      <w:rPr>
        <w:rFonts w:ascii="Calibri" w:hAnsi="Calibri"/>
        <w:color w:val="5E7478"/>
        <w:sz w:val="16"/>
      </w:rPr>
      <w:t>The Muscat Text · 27 July 2026</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30" w:line="276" w:lineRule="auto"/>
      <w:jc w:val="both"/>
    </w:pPr>
    <w:rPr>
      <w:rFonts w:ascii="Calibri" w:hAnsi="Calibri" w:eastAsia="Microsoft YaHei"/>
      <w:color w:val="222F36"/>
      <w:sz w:val="21"/>
    </w:rPr>
  </w:style>
  <w:style w:type="paragraph" w:styleId="Heading1">
    <w:name w:val="heading 1"/>
    <w:basedOn w:val="Normal"/>
    <w:pPr>
      <w:keepNext/>
      <w:keepLines/>
      <w:spacing w:before="0" w:after="300"/>
      <w:jc w:val="left"/>
      <w:outlineLvl w:val="0"/>
    </w:pPr>
    <w:rPr>
      <w:rFonts w:ascii="Calibri" w:hAnsi="Calibri" w:eastAsia="Microsoft YaHei"/>
      <w:b/>
      <w:color w:val="1F4E5F"/>
    </w:rPr>
  </w:style>
  <w:style w:type="paragraph" w:styleId="Heading2">
    <w:name w:val="heading 2"/>
    <w:basedOn w:val="Normal"/>
    <w:pPr>
      <w:keepNext/>
      <w:keepLines/>
      <w:spacing w:before="380" w:after="160"/>
      <w:jc w:val="left"/>
      <w:outlineLvl w:val="1"/>
    </w:pPr>
    <w:rPr>
      <w:rFonts w:ascii="Calibri" w:hAnsi="Calibri" w:eastAsia="Microsoft YaHei"/>
      <w:b/>
      <w:color w:val="1F4E5F"/>
    </w:rPr>
  </w:style>
  <w:style w:type="paragraph" w:styleId="Heading3">
    <w:name w:val="heading 3"/>
    <w:basedOn w:val="Normal"/>
    <w:pPr>
      <w:keepNext/>
      <w:keepLines/>
      <w:spacing w:before="280" w:after="120"/>
      <w:jc w:val="left"/>
      <w:outlineLvl w:val="2"/>
    </w:pPr>
    <w:rPr>
      <w:rFonts w:ascii="Calibri" w:hAnsi="Calibri" w:eastAsia="Microsoft YaHei"/>
      <w:b/>
      <w:color w:val="1F4E5F"/>
    </w:rPr>
  </w:style>
  <w:style w:type="paragraph" w:styleId="TableText">
    <w:name w:val="TableText"/>
    <w:basedOn w:val="Normal"/>
    <w:pPr>
      <w:spacing w:after="30" w:line="240" w:lineRule="auto"/>
      <w:jc w:val="left"/>
    </w:pPr>
    <w:rPr>
      <w:color w:val="222F36"/>
      <w:sz w:val="20"/>
    </w:rPr>
  </w:style>
  <w:style w:type="paragraph" w:styleId="TOC1">
    <w:name w:val="toc 1"/>
    <w:basedOn w:val="Normal"/>
    <w:pPr>
      <w:tabs>
        <w:tab w:pos="9306" w:val="right" w:leader="dot"/>
      </w:tabs>
      <w:spacing w:before="120" w:after="40" w:line="240" w:lineRule="auto"/>
      <w:ind w:left="0"/>
      <w:jc w:val="left"/>
    </w:pPr>
    <w:rPr>
      <w:color w:val="1F4E5F"/>
      <w:sz w:val="20"/>
    </w:rPr>
  </w:style>
  <w:style w:type="paragraph" w:styleId="TOC2">
    <w:name w:val="toc 2"/>
    <w:basedOn w:val="Normal"/>
    <w:pPr>
      <w:tabs>
        <w:tab w:pos="9306" w:val="right" w:leader="dot"/>
      </w:tabs>
      <w:spacing w:before="20" w:after="40" w:line="240" w:lineRule="auto"/>
      <w:ind w:left="360"/>
      <w:jc w:val="left"/>
    </w:pPr>
    <w:rPr>
      <w:color w:val="222F36"/>
      <w:sz w:val="20"/>
    </w:rPr>
  </w:style>
</w:styles>
</file>

<file path=word/_rels/document.xml.rels><?xml version='1.0' encoding='UTF-8' standalone='yes'?>
<Relationships xmlns="http://schemas.openxmlformats.org/package/2006/relationships"><Relationship Id="R01d6f7044a064621" Type="http://schemas.openxmlformats.org/officeDocument/2006/relationships/header" Target="header1.xml"/><Relationship Id="R66b5e47b056f4180" Type="http://schemas.openxmlformats.org/officeDocument/2006/relationships/styles" Target="styles.xml"/><Relationship Id="R9b03e9ef37ba4992" Type="http://schemas.openxmlformats.org/officeDocument/2006/relationships/footer" Target="footer1.xml"/><Relationship Id="Rf7199f92c13f4a1b" Type="http://schemas.openxmlformats.org/officeDocument/2006/relationships/settings" Target="settings.xml"/></Relationships>
</file>