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pStyle w:val="Normal"/>
        <w:spacing w:before="2800"/>
      </w:pPr>
    </w:p>
    <w:p>
      <w:pPr>
        <w:pStyle w:val="Normal"/>
        <w:spacing w:after="60"/>
        <w:jc w:val="center"/>
      </w:pPr>
      <w:r>
        <w:rPr>
          <w:color w:val="546E7A"/>
          <w:sz w:val="17"/>
          <w:szCs w:val="24"/>
          <w:lang w:val="en-CA" w:eastAsia="en-CA" w:bidi="ar-SA"/>
          <w:rFonts w:ascii="Calibri" w:hAnsi="Calibri" w:eastAsia="Calibri" w:cs="Calibri"/>
          <w:b/>
        </w:rPr>
        <w:t>DRAFT FOR SIGNATURE</w:t>
      </w:r>
    </w:p>
    <w:p>
      <w:pPr>
        <w:pStyle w:val="Normal"/>
        <w:pBdr>
          <w:bottom w:val="threeDEngrave" w:sz="6" w:space="1" w:color="B8860B"/>
        </w:pBdr>
        <w:spacing w:before="120" w:after="120"/>
        <w:ind w:left="2200" w:right="2200"/>
        <w:jc w:val="center"/>
      </w:pPr>
      <w:r>
        <w:rPr>
          <w:szCs w:val="24"/>
          <w:lang w:val="en-CA" w:eastAsia="en-CA" w:bidi="ar-SA"/>
          <w:rFonts w:ascii="Calibri" w:hAnsi="Calibri" w:eastAsia="Calibri" w:cs="Calibri"/>
          <w:color w:val="263238"/>
          <w:sz w:val="21"/>
        </w:rPr>
        <w:t xml:space="preserve"> </w:t>
      </w:r>
    </w:p>
    <w:p>
      <w:pPr>
        <w:pStyle w:val="Normal"/>
        <w:spacing w:before="420" w:after="120"/>
        <w:jc w:val="center"/>
      </w:pPr>
      <w:r>
        <w:rPr>
          <w:rFonts w:ascii="Calibri" w:hAnsi="Calibri" w:eastAsia="Calibri" w:cs="Calibri"/>
          <w:b/>
          <w:color w:val="263238"/>
          <w:sz w:val="24"/>
          <w:szCs w:val="24"/>
          <w:lang w:val="en-CA" w:eastAsia="en-CA" w:bidi="ar-SA"/>
        </w:rPr>
        <w:t>THE TRIAD BRIDGE COMPACT</w:t>
      </w:r>
    </w:p>
    <w:p>
      <w:pPr>
        <w:pStyle w:val="Normal"/>
        <w:spacing w:after="420"/>
        <w:jc w:val="center"/>
      </w:pPr>
      <w:r>
        <w:rPr>
          <w:color w:val="23445A"/>
          <w:sz w:val="32"/>
          <w:szCs w:val="24"/>
          <w:lang w:val="en-CA" w:eastAsia="en-CA" w:bidi="ar-SA"/>
          <w:rFonts w:ascii="Calibri" w:hAnsi="Calibri" w:eastAsia="Calibri" w:cs="Calibri"/>
          <w:b/>
        </w:rPr>
        <w:t>A Joint Governance Compact for the Strait of Hormuz</w:t>
      </w:r>
    </w:p>
    <w:p>
      <w:pPr>
        <w:pStyle w:val="Normal"/>
        <w:pBdr>
          <w:bottom w:val="threeDEngrave" w:sz="6" w:space="1" w:color="B8860B"/>
        </w:pBdr>
        <w:spacing w:before="120" w:after="120"/>
        <w:ind w:left="2200" w:right="2200"/>
        <w:jc w:val="center"/>
      </w:pPr>
      <w:r>
        <w:rPr>
          <w:szCs w:val="24"/>
          <w:lang w:val="en-CA" w:eastAsia="en-CA" w:bidi="ar-SA"/>
          <w:rFonts w:ascii="Calibri" w:hAnsi="Calibri" w:eastAsia="Calibri" w:cs="Calibri"/>
          <w:color w:val="263238"/>
          <w:sz w:val="21"/>
        </w:rPr>
        <w:t xml:space="preserve"> </w:t>
      </w:r>
    </w:p>
    <w:p>
      <w:pPr>
        <w:pStyle w:val="Normal"/>
        <w:spacing w:before="1000"/>
        <w:jc w:val="center"/>
      </w:pPr>
      <w:r>
        <w:rPr>
          <w:b/>
          <w:sz w:val="26"/>
          <w:szCs w:val="24"/>
          <w:lang w:val="en-CA" w:eastAsia="en-CA" w:bidi="ar-SA"/>
          <w:rFonts w:ascii="Calibri" w:hAnsi="Calibri" w:eastAsia="Calibri" w:cs="Calibri"/>
          <w:color w:val="2F5670"/>
        </w:rPr>
        <w:t xml:space="preserve">Islamic Republic of </w:t>
        <w:t xml:space="preserve">Iran  |</w:t>
        <w:t xml:space="preserve">  Sultanate of Oman</w:t>
      </w:r>
    </w:p>
    <w:p>
      <w:pPr>
        <w:pStyle w:val="Normal"/>
        <w:jc w:val="center"/>
      </w:pPr>
      <w:r>
        <w:rPr>
          <w:color w:val="263238"/>
          <w:szCs w:val="24"/>
          <w:lang w:val="en-CA" w:eastAsia="en-CA" w:bidi="ar-SA"/>
          <w:rFonts w:ascii="Calibri" w:hAnsi="Calibri" w:eastAsia="Calibri" w:cs="Calibri"/>
          <w:sz w:val="21"/>
        </w:rPr>
        <w:t>with the Endorsement of the United States of America</w:t>
      </w:r>
    </w:p>
    <w:p>
      <w:pPr>
        <w:pStyle w:val="Normal"/>
        <w:jc w:val="center"/>
      </w:pPr>
      <w:r>
        <w:rPr>
          <w:color w:val="2F5670"/>
          <w:sz w:val="21"/>
          <w:szCs w:val="24"/>
          <w:lang w:val="en-CA" w:eastAsia="en-CA" w:bidi="ar-SA"/>
          <w:rFonts w:ascii="Calibri" w:hAnsi="Calibri" w:eastAsia="Calibri" w:cs="Calibri"/>
          <w:b/>
        </w:rPr>
        <w:t>Witnessed by the State of Qatar and the Swiss Confederation</w:t>
      </w:r>
    </w:p>
    <w:p>
      <w:pPr>
        <w:pStyle w:val="Normal"/>
        <w:spacing w:after="60"/>
        <w:jc w:val="center"/>
      </w:pPr>
      <w:r>
        <w:rPr>
          <w:color w:val="2F5670"/>
          <w:sz w:val="21"/>
          <w:szCs w:val="24"/>
          <w:lang w:val="en-CA" w:eastAsia="en-CA" w:bidi="ar-SA"/>
          <w:rFonts w:ascii="Calibri" w:hAnsi="Calibri" w:eastAsia="Calibri" w:cs="Calibri"/>
          <w:b/>
        </w:rPr>
        <w:t xml:space="preserve">Technical Support: International Maritime </w:t>
        <w:t xml:space="preserve">Organization  |</w:t>
        <w:t xml:space="preserve">  International Atomic Energy Agency</w:t>
      </w:r>
    </w:p>
    <w:p>
      <w:pPr>
        <w:pStyle w:val="Normal"/>
        <w:spacing w:before="2400" w:after="100"/>
        <w:jc w:val="center"/>
      </w:pPr>
      <w:r>
        <w:rPr>
          <w:sz w:val="18"/>
          <w:szCs w:val="24"/>
          <w:lang w:val="en-CA" w:eastAsia="en-CA" w:bidi="ar-SA"/>
          <w:rFonts w:ascii="Calibri" w:hAnsi="Calibri" w:eastAsia="Calibri" w:cs="Calibri"/>
          <w:color w:val="8FA3AD"/>
        </w:rPr>
        <w:t xml:space="preserve">Muscat  |</w:t>
        <w:t xml:space="preserve">  July 2026</w:t>
      </w:r>
    </w:p>
    <w:p>
      <w:pPr>
        <w:pStyle w:val="Normal"/>
        <w:spacing w:after="60"/>
        <w:jc w:val="center"/>
      </w:pPr>
      <w:r>
        <w:rPr>
          <w:color w:val="263238"/>
          <w:sz w:val="20"/>
          <w:szCs w:val="24"/>
          <w:lang w:val="en-CA" w:eastAsia="en-CA" w:bidi="ar-SA"/>
          <w:rFonts w:ascii="Calibri" w:hAnsi="Calibri" w:eastAsia="Calibri" w:cs="Calibri"/>
          <w:b/>
        </w:rPr>
        <w:t xml:space="preserve">Authorized Negotiators </w:t>
        <w:t xml:space="preserve">Only  |</w:t>
        <w:t xml:space="preserve">  Version </w:t>
        <w:t xml:space="preserve">3.0  |</w:t>
        <w:t xml:space="preserve">  Hardened and Expanded</w:t>
      </w:r>
    </w:p>
    <w:p>
      <w:pPr>
        <w:pStyle w:val="Normal"/>
        <w:sectPr w:rsidR="00A54D89">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pgBorders w:offsetFrom="page">
            <w:top w:val="double" w:sz="18" w:space="24" w:color="B8860B"/>
            <w:left w:val="double" w:sz="18" w:space="24" w:color="B8860B"/>
            <w:bottom w:val="double" w:sz="18" w:space="24" w:color="B8860B"/>
            <w:right w:val="double" w:sz="18" w:space="24" w:color="B8860B"/>
          </w:pgBorders>
          <w:cols w:space="720"/>
          <w:titlePg/>
        </w:sectPr>
      </w:pPr>
    </w:p>
    <w:p>
      <w:pPr>
        <w:pStyle w:val="Heading1"/>
      </w:pPr>
      <w:r>
        <w:rPr>
          <w:szCs w:val="24"/>
          <w:lang w:val="en-CA" w:eastAsia="en-CA" w:bidi="ar-SA"/>
          <w:rFonts w:ascii="Calibri" w:hAnsi="Calibri" w:eastAsia="Calibri" w:cs="Calibri"/>
          <w:b/>
          <w:color w:val="23445A"/>
          <w:sz w:val="18"/>
        </w:rPr>
        <w:t>Table of Contents</w:t>
      </w:r>
    </w:p>
    <w:p>
      <w:pPr>
        <w:pStyle w:val="Normal"/>
      </w:pPr>
      <w:r>
        <w:fldChar w:fldCharType="begin"/>
      </w:r>
      <w:r>
        <w:instrText xml:space="preserve"> TOC \o "1-2" \h \z \u </w:instrText>
      </w:r>
      <w:r>
        <w:fldChar w:fldCharType="separate"/>
      </w:r>
    </w:p>
    <w:p>
      <w:pPr>
        <w:pStyle w:val="TOC1"/>
      </w:pPr>
      <w:r>
        <w:rPr>
          <w:szCs w:val="24"/>
          <w:lang w:val="en-CA" w:eastAsia="en-CA" w:bidi="ar-SA"/>
          <w:rFonts w:ascii="Calibri" w:hAnsi="Calibri" w:eastAsia="Calibri" w:cs="Calibri"/>
          <w:color w:val="263238"/>
          <w:b/>
          <w:sz w:val="20"/>
        </w:rPr>
        <w:t>Preamble</w:t>
      </w:r>
      <w:r>
        <w:rPr>
          <w:szCs w:val="24"/>
          <w:lang w:val="en-CA" w:eastAsia="en-CA" w:bidi="ar-SA"/>
          <w:rFonts w:ascii="Calibri" w:hAnsi="Calibri"/>
          <w:color w:val="263238"/>
          <w:b/>
          <w:sz w:val="20"/>
        </w:rPr>
        <w:tab/>
      </w:r>
      <w:r>
        <w:rPr>
          <w:szCs w:val="24"/>
          <w:lang w:val="en-CA" w:eastAsia="en-CA" w:bidi="ar-SA"/>
          <w:rFonts w:ascii="Calibri" w:hAnsi="Calibri" w:eastAsia="Calibri" w:cs="Calibri"/>
          <w:color w:val="263238"/>
          <w:b/>
          <w:sz w:val="20"/>
        </w:rPr>
        <w:t>3</w:t>
      </w:r>
    </w:p>
    <w:p>
      <w:pPr>
        <w:pStyle w:val="TOC1"/>
      </w:pPr>
      <w:r>
        <w:rPr>
          <w:szCs w:val="24"/>
          <w:lang w:val="en-CA" w:eastAsia="en-CA" w:bidi="ar-SA"/>
          <w:rFonts w:ascii="Calibri" w:hAnsi="Calibri" w:eastAsia="Calibri" w:cs="Calibri"/>
          <w:color w:val="263238"/>
          <w:b/>
          <w:sz w:val="20"/>
        </w:rPr>
        <w:t>PART I: FOUNDATIONS</w:t>
      </w:r>
      <w:r>
        <w:rPr>
          <w:szCs w:val="24"/>
          <w:lang w:val="en-CA" w:eastAsia="en-CA" w:bidi="ar-SA"/>
          <w:rFonts w:ascii="Calibri" w:hAnsi="Calibri"/>
          <w:color w:val="263238"/>
          <w:b/>
          <w:sz w:val="20"/>
        </w:rPr>
        <w:tab/>
      </w:r>
      <w:r>
        <w:rPr>
          <w:szCs w:val="24"/>
          <w:lang w:val="en-CA" w:eastAsia="en-CA" w:bidi="ar-SA"/>
          <w:rFonts w:ascii="Calibri" w:hAnsi="Calibri" w:eastAsia="Calibri" w:cs="Calibri"/>
          <w:color w:val="263238"/>
          <w:b/>
          <w:sz w:val="20"/>
        </w:rPr>
        <w:t>4</w:t>
      </w:r>
    </w:p>
    <w:p>
      <w:pPr>
        <w:pStyle w:val="TOC2"/>
      </w:pPr>
      <w:r>
        <w:rPr>
          <w:szCs w:val="24"/>
          <w:lang w:val="en-CA" w:eastAsia="en-CA" w:bidi="ar-SA"/>
          <w:rFonts w:ascii="Calibri" w:hAnsi="Calibri" w:eastAsia="Calibri" w:cs="Calibri"/>
          <w:color w:val="2F5670"/>
          <w:sz w:val="21"/>
          <w:b/>
        </w:rPr>
        <w:t>Article 1: Purpose and Scope</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5</w:t>
      </w:r>
    </w:p>
    <w:p>
      <w:pPr>
        <w:pStyle w:val="TOC2"/>
      </w:pPr>
      <w:r>
        <w:rPr>
          <w:szCs w:val="24"/>
          <w:lang w:val="en-CA" w:eastAsia="en-CA" w:bidi="ar-SA"/>
          <w:rFonts w:ascii="Calibri" w:hAnsi="Calibri" w:eastAsia="Calibri" w:cs="Calibri"/>
          <w:color w:val="2F5670"/>
          <w:sz w:val="21"/>
          <w:b/>
        </w:rPr>
        <w:t>Article 2: The Parties and the Triad</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5</w:t>
      </w:r>
    </w:p>
    <w:p>
      <w:pPr>
        <w:pStyle w:val="TOC2"/>
      </w:pPr>
      <w:r>
        <w:rPr>
          <w:szCs w:val="24"/>
          <w:lang w:val="en-CA" w:eastAsia="en-CA" w:bidi="ar-SA"/>
          <w:rFonts w:ascii="Calibri" w:hAnsi="Calibri" w:eastAsia="Calibri" w:cs="Calibri"/>
          <w:color w:val="2F5670"/>
          <w:sz w:val="21"/>
          <w:b/>
        </w:rPr>
        <w:t>Article 3: Governing Principles</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5</w:t>
      </w:r>
    </w:p>
    <w:p>
      <w:pPr>
        <w:pStyle w:val="TOC2"/>
      </w:pPr>
      <w:r>
        <w:rPr>
          <w:szCs w:val="24"/>
          <w:lang w:val="en-CA" w:eastAsia="en-CA" w:bidi="ar-SA"/>
          <w:rFonts w:ascii="Calibri" w:hAnsi="Calibri" w:eastAsia="Calibri" w:cs="Calibri"/>
          <w:color w:val="2F5670"/>
          <w:sz w:val="21"/>
          <w:b/>
        </w:rPr>
        <w:t>Article 4: The Nofade Guarantee</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5</w:t>
      </w:r>
    </w:p>
    <w:p>
      <w:pPr>
        <w:pStyle w:val="TOC1"/>
      </w:pPr>
      <w:r>
        <w:rPr>
          <w:szCs w:val="24"/>
          <w:lang w:val="en-CA" w:eastAsia="en-CA" w:bidi="ar-SA"/>
          <w:rFonts w:ascii="Calibri" w:hAnsi="Calibri" w:eastAsia="Calibri" w:cs="Calibri"/>
          <w:color w:val="263238"/>
          <w:b/>
          <w:sz w:val="20"/>
        </w:rPr>
        <w:t>PART II: THE MARITIME BRIDGE</w:t>
      </w:r>
      <w:r>
        <w:rPr>
          <w:szCs w:val="24"/>
          <w:lang w:val="en-CA" w:eastAsia="en-CA" w:bidi="ar-SA"/>
          <w:rFonts w:ascii="Calibri" w:hAnsi="Calibri"/>
          <w:color w:val="263238"/>
          <w:b/>
          <w:sz w:val="20"/>
        </w:rPr>
        <w:tab/>
      </w:r>
      <w:r>
        <w:rPr>
          <w:szCs w:val="24"/>
          <w:lang w:val="en-CA" w:eastAsia="en-CA" w:bidi="ar-SA"/>
          <w:rFonts w:ascii="Calibri" w:hAnsi="Calibri" w:eastAsia="Calibri" w:cs="Calibri"/>
          <w:color w:val="263238"/>
          <w:b/>
          <w:sz w:val="20"/>
        </w:rPr>
        <w:t>5</w:t>
      </w:r>
    </w:p>
    <w:p>
      <w:pPr>
        <w:pStyle w:val="TOC2"/>
      </w:pPr>
      <w:r>
        <w:rPr>
          <w:szCs w:val="24"/>
          <w:lang w:val="en-CA" w:eastAsia="en-CA" w:bidi="ar-SA"/>
          <w:rFonts w:ascii="Calibri" w:hAnsi="Calibri" w:eastAsia="Calibri" w:cs="Calibri"/>
          <w:color w:val="2F5670"/>
          <w:sz w:val="21"/>
          <w:b/>
        </w:rPr>
        <w:t>Article 5: Immediate Stabilization</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6</w:t>
      </w:r>
    </w:p>
    <w:p>
      <w:pPr>
        <w:pStyle w:val="TOC2"/>
      </w:pPr>
      <w:r>
        <w:rPr>
          <w:szCs w:val="24"/>
          <w:lang w:val="en-CA" w:eastAsia="en-CA" w:bidi="ar-SA"/>
          <w:rFonts w:ascii="Calibri" w:hAnsi="Calibri" w:eastAsia="Calibri" w:cs="Calibri"/>
          <w:color w:val="2F5670"/>
          <w:sz w:val="21"/>
          <w:b/>
        </w:rPr>
        <w:t>Article 6: The Two-Corridor System</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6</w:t>
      </w:r>
    </w:p>
    <w:p>
      <w:pPr>
        <w:pStyle w:val="TOC2"/>
      </w:pPr>
      <w:r>
        <w:rPr>
          <w:szCs w:val="24"/>
          <w:lang w:val="en-CA" w:eastAsia="en-CA" w:bidi="ar-SA"/>
          <w:rFonts w:ascii="Calibri" w:hAnsi="Calibri" w:eastAsia="Calibri" w:cs="Calibri"/>
          <w:color w:val="2F5670"/>
          <w:sz w:val="21"/>
          <w:b/>
        </w:rPr>
        <w:t>Article 7: Reopening the Strait</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6</w:t>
      </w:r>
    </w:p>
    <w:p>
      <w:pPr>
        <w:pStyle w:val="TOC2"/>
      </w:pPr>
      <w:r>
        <w:rPr>
          <w:szCs w:val="24"/>
          <w:lang w:val="en-CA" w:eastAsia="en-CA" w:bidi="ar-SA"/>
          <w:rFonts w:ascii="Calibri" w:hAnsi="Calibri" w:eastAsia="Calibri" w:cs="Calibri"/>
          <w:color w:val="2F5670"/>
          <w:sz w:val="21"/>
          <w:b/>
        </w:rPr>
        <w:t>Article 8: The Hormuz Bridge Commission</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6</w:t>
      </w:r>
    </w:p>
    <w:p>
      <w:pPr>
        <w:pStyle w:val="TOC2"/>
      </w:pPr>
      <w:r>
        <w:rPr>
          <w:szCs w:val="24"/>
          <w:lang w:val="en-CA" w:eastAsia="en-CA" w:bidi="ar-SA"/>
          <w:rFonts w:ascii="Calibri" w:hAnsi="Calibri" w:eastAsia="Calibri" w:cs="Calibri"/>
          <w:color w:val="2F5670"/>
          <w:sz w:val="21"/>
          <w:b/>
        </w:rPr>
        <w:t>Article 8A: Knowledge Transfer and Training Program</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6</w:t>
      </w:r>
    </w:p>
    <w:p>
      <w:pPr>
        <w:pStyle w:val="TOC2"/>
      </w:pPr>
      <w:r>
        <w:rPr>
          <w:szCs w:val="24"/>
          <w:lang w:val="en-CA" w:eastAsia="en-CA" w:bidi="ar-SA"/>
          <w:rFonts w:ascii="Calibri" w:hAnsi="Calibri" w:eastAsia="Calibri" w:cs="Calibri"/>
          <w:color w:val="2F5670"/>
          <w:sz w:val="21"/>
          <w:b/>
        </w:rPr>
        <w:t>Article 9: The PGSA Transformation</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6</w:t>
      </w:r>
    </w:p>
    <w:p>
      <w:pPr>
        <w:pStyle w:val="TOC2"/>
      </w:pPr>
      <w:r>
        <w:rPr>
          <w:szCs w:val="24"/>
          <w:lang w:val="en-CA" w:eastAsia="en-CA" w:bidi="ar-SA"/>
          <w:rFonts w:ascii="Calibri" w:hAnsi="Calibri" w:eastAsia="Calibri" w:cs="Calibri"/>
          <w:color w:val="2F5670"/>
          <w:sz w:val="21"/>
          <w:b/>
        </w:rPr>
        <w:t>Article 10: The Toll-Free Guarantee and the Maritime Services Trust</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6</w:t>
      </w:r>
    </w:p>
    <w:p>
      <w:pPr>
        <w:pStyle w:val="TOC2"/>
      </w:pPr>
      <w:r>
        <w:rPr>
          <w:szCs w:val="24"/>
          <w:lang w:val="en-CA" w:eastAsia="en-CA" w:bidi="ar-SA"/>
          <w:rFonts w:ascii="Calibri" w:hAnsi="Calibri" w:eastAsia="Calibri" w:cs="Calibri"/>
          <w:color w:val="2F5670"/>
          <w:sz w:val="21"/>
          <w:b/>
        </w:rPr>
        <w:t>Article 11: The Non-Interdiction Protocol</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6</w:t>
      </w:r>
    </w:p>
    <w:p>
      <w:pPr>
        <w:pStyle w:val="TOC2"/>
      </w:pPr>
      <w:r>
        <w:rPr>
          <w:szCs w:val="24"/>
          <w:lang w:val="en-CA" w:eastAsia="en-CA" w:bidi="ar-SA"/>
          <w:rFonts w:ascii="Calibri" w:hAnsi="Calibri" w:eastAsia="Calibri" w:cs="Calibri"/>
          <w:color w:val="2F5670"/>
          <w:sz w:val="21"/>
          <w:b/>
        </w:rPr>
        <w:t>Article 11A: Environmental Protection Protocol</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6</w:t>
      </w:r>
    </w:p>
    <w:p>
      <w:pPr>
        <w:pStyle w:val="TOC2"/>
      </w:pPr>
      <w:r>
        <w:rPr>
          <w:szCs w:val="24"/>
          <w:lang w:val="en-CA" w:eastAsia="en-CA" w:bidi="ar-SA"/>
          <w:rFonts w:ascii="Calibri" w:hAnsi="Calibri" w:eastAsia="Calibri" w:cs="Calibri"/>
          <w:color w:val="2F5670"/>
          <w:sz w:val="21"/>
          <w:b/>
        </w:rPr>
        <w:t>Article 11B: Mariner Welfare and Safety Guarantee</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6</w:t>
      </w:r>
    </w:p>
    <w:p>
      <w:pPr>
        <w:pStyle w:val="TOC1"/>
      </w:pPr>
      <w:r>
        <w:rPr>
          <w:szCs w:val="24"/>
          <w:lang w:val="en-CA" w:eastAsia="en-CA" w:bidi="ar-SA"/>
          <w:rFonts w:ascii="Calibri" w:hAnsi="Calibri" w:eastAsia="Calibri" w:cs="Calibri"/>
          <w:color w:val="263238"/>
          <w:b/>
          <w:sz w:val="20"/>
        </w:rPr>
        <w:t>PART III: THE NUCLEAR BRIDGE</w:t>
      </w:r>
      <w:r>
        <w:rPr>
          <w:szCs w:val="24"/>
          <w:lang w:val="en-CA" w:eastAsia="en-CA" w:bidi="ar-SA"/>
          <w:rFonts w:ascii="Calibri" w:hAnsi="Calibri"/>
          <w:color w:val="263238"/>
          <w:b/>
          <w:sz w:val="20"/>
        </w:rPr>
        <w:tab/>
      </w:r>
      <w:r>
        <w:rPr>
          <w:szCs w:val="24"/>
          <w:lang w:val="en-CA" w:eastAsia="en-CA" w:bidi="ar-SA"/>
          <w:rFonts w:ascii="Calibri" w:hAnsi="Calibri" w:eastAsia="Calibri" w:cs="Calibri"/>
          <w:color w:val="263238"/>
          <w:b/>
          <w:sz w:val="20"/>
        </w:rPr>
        <w:t>6</w:t>
      </w:r>
    </w:p>
    <w:p>
      <w:pPr>
        <w:pStyle w:val="TOC2"/>
      </w:pPr>
      <w:r>
        <w:rPr>
          <w:szCs w:val="24"/>
          <w:lang w:val="en-CA" w:eastAsia="en-CA" w:bidi="ar-SA"/>
          <w:rFonts w:ascii="Calibri" w:hAnsi="Calibri" w:eastAsia="Calibri" w:cs="Calibri"/>
          <w:color w:val="2F5670"/>
          <w:sz w:val="21"/>
          <w:b/>
        </w:rPr>
        <w:t>Article 12: The In-Place Disposition: Dust to Fuel</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7</w:t>
      </w:r>
    </w:p>
    <w:p>
      <w:pPr>
        <w:pStyle w:val="TOC2"/>
      </w:pPr>
      <w:r>
        <w:rPr>
          <w:szCs w:val="24"/>
          <w:lang w:val="en-CA" w:eastAsia="en-CA" w:bidi="ar-SA"/>
          <w:rFonts w:ascii="Calibri" w:hAnsi="Calibri" w:eastAsia="Calibri" w:cs="Calibri"/>
          <w:color w:val="2F5670"/>
          <w:sz w:val="21"/>
          <w:b/>
        </w:rPr>
        <w:t>Article 13: Verification Architecture</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7</w:t>
      </w:r>
    </w:p>
    <w:p>
      <w:pPr>
        <w:pStyle w:val="TOC2"/>
      </w:pPr>
      <w:r>
        <w:rPr>
          <w:szCs w:val="24"/>
          <w:lang w:val="en-CA" w:eastAsia="en-CA" w:bidi="ar-SA"/>
          <w:rFonts w:ascii="Calibri" w:hAnsi="Calibri" w:eastAsia="Calibri" w:cs="Calibri"/>
          <w:color w:val="2F5670"/>
          <w:sz w:val="21"/>
          <w:b/>
        </w:rPr>
        <w:t>Article 13A: The Strait Transparency and Observation Mission</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7</w:t>
      </w:r>
    </w:p>
    <w:p>
      <w:pPr>
        <w:pStyle w:val="TOC2"/>
      </w:pPr>
      <w:r>
        <w:rPr>
          <w:szCs w:val="24"/>
          <w:lang w:val="en-CA" w:eastAsia="en-CA" w:bidi="ar-SA"/>
          <w:rFonts w:ascii="Calibri" w:hAnsi="Calibri" w:eastAsia="Calibri" w:cs="Calibri"/>
          <w:color w:val="2F5670"/>
          <w:sz w:val="21"/>
          <w:b/>
        </w:rPr>
        <w:t>Article 13B: The Civil Society Advisory Body</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7</w:t>
      </w:r>
    </w:p>
    <w:p>
      <w:pPr>
        <w:pStyle w:val="TOC1"/>
      </w:pPr>
      <w:r>
        <w:rPr>
          <w:szCs w:val="24"/>
          <w:lang w:val="en-CA" w:eastAsia="en-CA" w:bidi="ar-SA"/>
          <w:rFonts w:ascii="Calibri" w:hAnsi="Calibri" w:eastAsia="Calibri" w:cs="Calibri"/>
          <w:color w:val="263238"/>
          <w:b/>
          <w:sz w:val="20"/>
        </w:rPr>
        <w:t>PART IV: THE NORMALIZATION BRIDGE</w:t>
      </w:r>
      <w:r>
        <w:rPr>
          <w:szCs w:val="24"/>
          <w:lang w:val="en-CA" w:eastAsia="en-CA" w:bidi="ar-SA"/>
          <w:rFonts w:ascii="Calibri" w:hAnsi="Calibri"/>
          <w:color w:val="263238"/>
          <w:b/>
          <w:sz w:val="20"/>
        </w:rPr>
        <w:tab/>
      </w:r>
      <w:r>
        <w:rPr>
          <w:szCs w:val="24"/>
          <w:lang w:val="en-CA" w:eastAsia="en-CA" w:bidi="ar-SA"/>
          <w:rFonts w:ascii="Calibri" w:hAnsi="Calibri" w:eastAsia="Calibri" w:cs="Calibri"/>
          <w:color w:val="263238"/>
          <w:b/>
          <w:sz w:val="20"/>
        </w:rPr>
        <w:t>7</w:t>
      </w:r>
    </w:p>
    <w:p>
      <w:pPr>
        <w:pStyle w:val="TOC2"/>
      </w:pPr>
      <w:r>
        <w:rPr>
          <w:szCs w:val="24"/>
          <w:lang w:val="en-CA" w:eastAsia="en-CA" w:bidi="ar-SA"/>
          <w:rFonts w:ascii="Calibri" w:hAnsi="Calibri" w:eastAsia="Calibri" w:cs="Calibri"/>
          <w:color w:val="2F5670"/>
          <w:sz w:val="21"/>
          <w:b/>
        </w:rPr>
        <w:t>Article 14: Ceasefire Codification and Force Posture</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8</w:t>
      </w:r>
    </w:p>
    <w:p>
      <w:pPr>
        <w:pStyle w:val="TOC2"/>
      </w:pPr>
      <w:r>
        <w:rPr>
          <w:szCs w:val="24"/>
          <w:lang w:val="en-CA" w:eastAsia="en-CA" w:bidi="ar-SA"/>
          <w:rFonts w:ascii="Calibri" w:hAnsi="Calibri" w:eastAsia="Calibri" w:cs="Calibri"/>
          <w:color w:val="2F5670"/>
          <w:sz w:val="21"/>
          <w:b/>
        </w:rPr>
        <w:t>Article 15: Sanctions Relief and Economic Reopening</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9</w:t>
      </w:r>
    </w:p>
    <w:p>
      <w:pPr>
        <w:pStyle w:val="TOC2"/>
      </w:pPr>
      <w:r>
        <w:rPr>
          <w:szCs w:val="24"/>
          <w:lang w:val="en-CA" w:eastAsia="en-CA" w:bidi="ar-SA"/>
          <w:rFonts w:ascii="Calibri" w:hAnsi="Calibri" w:eastAsia="Calibri" w:cs="Calibri"/>
          <w:color w:val="2F5670"/>
          <w:sz w:val="21"/>
          <w:b/>
        </w:rPr>
        <w:t>Article 15A: The Transition Investment Fund</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9</w:t>
      </w:r>
    </w:p>
    <w:p>
      <w:pPr>
        <w:pStyle w:val="TOC2"/>
      </w:pPr>
      <w:r>
        <w:rPr>
          <w:szCs w:val="24"/>
          <w:lang w:val="en-CA" w:eastAsia="en-CA" w:bidi="ar-SA"/>
          <w:rFonts w:ascii="Calibri" w:hAnsi="Calibri" w:eastAsia="Calibri" w:cs="Calibri"/>
          <w:color w:val="2F5670"/>
          <w:sz w:val="21"/>
          <w:b/>
        </w:rPr>
        <w:t>Article 16: Diplomatic Normalization</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9</w:t>
      </w:r>
    </w:p>
    <w:p>
      <w:pPr>
        <w:pStyle w:val="TOC2"/>
      </w:pPr>
      <w:r>
        <w:rPr>
          <w:szCs w:val="24"/>
          <w:lang w:val="en-CA" w:eastAsia="en-CA" w:bidi="ar-SA"/>
          <w:rFonts w:ascii="Calibri" w:hAnsi="Calibri" w:eastAsia="Calibri" w:cs="Calibri"/>
          <w:color w:val="2F5670"/>
          <w:sz w:val="21"/>
          <w:b/>
        </w:rPr>
        <w:t>Article 16A: The Comprehensive Economic Cooperation Zone</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9</w:t>
      </w:r>
    </w:p>
    <w:p>
      <w:pPr>
        <w:pStyle w:val="TOC1"/>
      </w:pPr>
      <w:r>
        <w:rPr>
          <w:szCs w:val="24"/>
          <w:lang w:val="en-CA" w:eastAsia="en-CA" w:bidi="ar-SA"/>
          <w:rFonts w:ascii="Calibri" w:hAnsi="Calibri" w:eastAsia="Calibri" w:cs="Calibri"/>
          <w:color w:val="263238"/>
          <w:b/>
          <w:sz w:val="20"/>
        </w:rPr>
        <w:t>PART V: THE COMPLIANCE ENGINE</w:t>
      </w:r>
      <w:r>
        <w:rPr>
          <w:szCs w:val="24"/>
          <w:lang w:val="en-CA" w:eastAsia="en-CA" w:bidi="ar-SA"/>
          <w:rFonts w:ascii="Calibri" w:hAnsi="Calibri"/>
          <w:color w:val="263238"/>
          <w:b/>
          <w:sz w:val="20"/>
        </w:rPr>
        <w:tab/>
      </w:r>
      <w:r>
        <w:rPr>
          <w:szCs w:val="24"/>
          <w:lang w:val="en-CA" w:eastAsia="en-CA" w:bidi="ar-SA"/>
          <w:rFonts w:ascii="Calibri" w:hAnsi="Calibri" w:eastAsia="Calibri" w:cs="Calibri"/>
          <w:color w:val="263238"/>
          <w:b/>
          <w:sz w:val="20"/>
        </w:rPr>
        <w:t>9</w:t>
      </w:r>
    </w:p>
    <w:p>
      <w:pPr>
        <w:pStyle w:val="TOC2"/>
      </w:pPr>
      <w:r>
        <w:rPr>
          <w:szCs w:val="24"/>
          <w:lang w:val="en-CA" w:eastAsia="en-CA" w:bidi="ar-SA"/>
          <w:rFonts w:ascii="Calibri" w:hAnsi="Calibri" w:eastAsia="Calibri" w:cs="Calibri"/>
          <w:color w:val="2F5670"/>
          <w:sz w:val="21"/>
          <w:b/>
        </w:rPr>
        <w:t>Article 17: Classification and Step-Back</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10</w:t>
      </w:r>
    </w:p>
    <w:p>
      <w:pPr>
        <w:pStyle w:val="TOC2"/>
      </w:pPr>
      <w:r>
        <w:rPr>
          <w:szCs w:val="24"/>
          <w:lang w:val="en-CA" w:eastAsia="en-CA" w:bidi="ar-SA"/>
          <w:rFonts w:ascii="Calibri" w:hAnsi="Calibri" w:eastAsia="Calibri" w:cs="Calibri"/>
          <w:color w:val="2F5670"/>
          <w:sz w:val="21"/>
          <w:b/>
        </w:rPr>
        <w:t>Article 18: Earn-Back and Protections</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10</w:t>
      </w:r>
    </w:p>
    <w:p>
      <w:pPr>
        <w:pStyle w:val="TOC2"/>
      </w:pPr>
      <w:r>
        <w:rPr>
          <w:szCs w:val="24"/>
          <w:lang w:val="en-CA" w:eastAsia="en-CA" w:bidi="ar-SA"/>
          <w:rFonts w:ascii="Calibri" w:hAnsi="Calibri" w:eastAsia="Calibri" w:cs="Calibri"/>
          <w:color w:val="2F5670"/>
          <w:sz w:val="21"/>
          <w:b/>
        </w:rPr>
        <w:t>Article 18A: The Strait Ombudsman</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10</w:t>
      </w:r>
    </w:p>
    <w:p>
      <w:pPr>
        <w:pStyle w:val="TOC2"/>
      </w:pPr>
      <w:r>
        <w:rPr>
          <w:szCs w:val="24"/>
          <w:lang w:val="en-CA" w:eastAsia="en-CA" w:bidi="ar-SA"/>
          <w:rFonts w:ascii="Calibri" w:hAnsi="Calibri" w:eastAsia="Calibri" w:cs="Calibri"/>
          <w:color w:val="2F5670"/>
          <w:sz w:val="21"/>
          <w:b/>
        </w:rPr>
        <w:t>Article 18B: Standing Arbitration</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10</w:t>
      </w:r>
    </w:p>
    <w:p>
      <w:pPr>
        <w:pStyle w:val="TOC1"/>
      </w:pPr>
      <w:r>
        <w:rPr>
          <w:szCs w:val="24"/>
          <w:lang w:val="en-CA" w:eastAsia="en-CA" w:bidi="ar-SA"/>
          <w:rFonts w:ascii="Calibri" w:hAnsi="Calibri" w:eastAsia="Calibri" w:cs="Calibri"/>
          <w:color w:val="263238"/>
          <w:b/>
          <w:sz w:val="20"/>
        </w:rPr>
        <w:t>PART VI: THE POLITICAL ANNOUNCEMENTS PACKAGE</w:t>
      </w:r>
      <w:r>
        <w:rPr>
          <w:szCs w:val="24"/>
          <w:lang w:val="en-CA" w:eastAsia="en-CA" w:bidi="ar-SA"/>
          <w:rFonts w:ascii="Calibri" w:hAnsi="Calibri"/>
          <w:color w:val="263238"/>
          <w:b/>
          <w:sz w:val="20"/>
        </w:rPr>
        <w:tab/>
      </w:r>
      <w:r>
        <w:rPr>
          <w:szCs w:val="24"/>
          <w:lang w:val="en-CA" w:eastAsia="en-CA" w:bidi="ar-SA"/>
          <w:rFonts w:ascii="Calibri" w:hAnsi="Calibri" w:eastAsia="Calibri" w:cs="Calibri"/>
          <w:color w:val="263238"/>
          <w:b/>
          <w:sz w:val="20"/>
        </w:rPr>
        <w:t>10</w:t>
      </w:r>
    </w:p>
    <w:p>
      <w:pPr>
        <w:pStyle w:val="TOC2"/>
      </w:pPr>
      <w:r>
        <w:rPr>
          <w:szCs w:val="24"/>
          <w:lang w:val="en-CA" w:eastAsia="en-CA" w:bidi="ar-SA"/>
          <w:rFonts w:ascii="Calibri" w:hAnsi="Calibri" w:eastAsia="Calibri" w:cs="Calibri"/>
          <w:color w:val="2F5670"/>
          <w:sz w:val="21"/>
          <w:b/>
        </w:rPr>
        <w:t>Article 19: Announcement Architecture and Sequencing</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11</w:t>
      </w:r>
    </w:p>
    <w:p>
      <w:pPr>
        <w:pStyle w:val="TOC2"/>
      </w:pPr>
      <w:r>
        <w:rPr>
          <w:szCs w:val="24"/>
          <w:lang w:val="en-CA" w:eastAsia="en-CA" w:bidi="ar-SA"/>
          <w:rFonts w:ascii="Calibri" w:hAnsi="Calibri" w:eastAsia="Calibri" w:cs="Calibri"/>
          <w:color w:val="2F5670"/>
          <w:sz w:val="21"/>
          <w:b/>
        </w:rPr>
        <w:t>Article 20: Master Announcement Timeline</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11</w:t>
      </w:r>
    </w:p>
    <w:p>
      <w:pPr>
        <w:pStyle w:val="TOC2"/>
      </w:pPr>
      <w:r>
        <w:rPr>
          <w:szCs w:val="24"/>
          <w:lang w:val="en-CA" w:eastAsia="en-CA" w:bidi="ar-SA"/>
          <w:rFonts w:ascii="Calibri" w:hAnsi="Calibri" w:eastAsia="Calibri" w:cs="Calibri"/>
          <w:color w:val="2F5670"/>
          <w:sz w:val="21"/>
          <w:b/>
        </w:rPr>
        <w:t>Article 21: Pre-Cleared Public Statements</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11</w:t>
      </w:r>
    </w:p>
    <w:p>
      <w:pPr>
        <w:pStyle w:val="TOC2"/>
      </w:pPr>
      <w:r>
        <w:rPr>
          <w:szCs w:val="24"/>
          <w:lang w:val="en-CA" w:eastAsia="en-CA" w:bidi="ar-SA"/>
          <w:rFonts w:ascii="Calibri" w:hAnsi="Calibri" w:eastAsia="Calibri" w:cs="Calibri"/>
          <w:color w:val="2F5670"/>
          <w:sz w:val="21"/>
          <w:b/>
        </w:rPr>
        <w:t>Article 22: Contingency Scenarios and Media Guidance</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11</w:t>
      </w:r>
    </w:p>
    <w:p>
      <w:pPr>
        <w:pStyle w:val="TOC1"/>
      </w:pPr>
      <w:r>
        <w:rPr>
          <w:szCs w:val="24"/>
          <w:lang w:val="en-CA" w:eastAsia="en-CA" w:bidi="ar-SA"/>
          <w:rFonts w:ascii="Calibri" w:hAnsi="Calibri" w:eastAsia="Calibri" w:cs="Calibri"/>
          <w:color w:val="263238"/>
          <w:b/>
          <w:sz w:val="20"/>
        </w:rPr>
        <w:t>PART VII: FINAL PROVISIONS AND SIGNATURE</w:t>
      </w:r>
      <w:r>
        <w:rPr>
          <w:szCs w:val="24"/>
          <w:lang w:val="en-CA" w:eastAsia="en-CA" w:bidi="ar-SA"/>
          <w:rFonts w:ascii="Calibri" w:hAnsi="Calibri"/>
          <w:color w:val="263238"/>
          <w:b/>
          <w:sz w:val="20"/>
        </w:rPr>
        <w:tab/>
      </w:r>
      <w:r>
        <w:rPr>
          <w:szCs w:val="24"/>
          <w:lang w:val="en-CA" w:eastAsia="en-CA" w:bidi="ar-SA"/>
          <w:rFonts w:ascii="Calibri" w:hAnsi="Calibri" w:eastAsia="Calibri" w:cs="Calibri"/>
          <w:color w:val="263238"/>
          <w:b/>
          <w:sz w:val="20"/>
        </w:rPr>
        <w:t>11</w:t>
      </w:r>
    </w:p>
    <w:p>
      <w:pPr>
        <w:pStyle w:val="TOC2"/>
      </w:pPr>
      <w:r>
        <w:rPr>
          <w:szCs w:val="24"/>
          <w:lang w:val="en-CA" w:eastAsia="en-CA" w:bidi="ar-SA"/>
          <w:rFonts w:ascii="Calibri" w:hAnsi="Calibri" w:eastAsia="Calibri" w:cs="Calibri"/>
          <w:color w:val="2F5670"/>
          <w:sz w:val="21"/>
          <w:b/>
        </w:rPr>
        <w:t>Article 23: Final Provisions</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12</w:t>
      </w:r>
    </w:p>
    <w:p>
      <w:pPr>
        <w:pStyle w:val="TOC2"/>
      </w:pPr>
      <w:r>
        <w:rPr>
          <w:szCs w:val="24"/>
          <w:lang w:val="en-CA" w:eastAsia="en-CA" w:bidi="ar-SA"/>
          <w:rFonts w:ascii="Calibri" w:hAnsi="Calibri" w:eastAsia="Calibri" w:cs="Calibri"/>
          <w:color w:val="2F5670"/>
          <w:sz w:val="21"/>
          <w:b/>
        </w:rPr>
        <w:t>Article 23A: The Five-Year Review Summit</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12</w:t>
      </w:r>
    </w:p>
    <w:p>
      <w:pPr>
        <w:pStyle w:val="TOC2"/>
      </w:pPr>
      <w:r>
        <w:rPr>
          <w:szCs w:val="24"/>
          <w:lang w:val="en-CA" w:eastAsia="en-CA" w:bidi="ar-SA"/>
          <w:rFonts w:ascii="Calibri" w:hAnsi="Calibri" w:eastAsia="Calibri" w:cs="Calibri"/>
          <w:color w:val="2F5670"/>
          <w:sz w:val="21"/>
          <w:b/>
        </w:rPr>
        <w:t>Article 23B: The Youth and Future Generations Council</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12</w:t>
      </w:r>
    </w:p>
    <w:p>
      <w:pPr>
        <w:pStyle w:val="TOC2"/>
      </w:pPr>
      <w:r>
        <w:rPr>
          <w:szCs w:val="24"/>
          <w:lang w:val="en-CA" w:eastAsia="en-CA" w:bidi="ar-SA"/>
          <w:rFonts w:ascii="Calibri" w:hAnsi="Calibri" w:eastAsia="Calibri" w:cs="Calibri"/>
          <w:color w:val="2F5670"/>
          <w:sz w:val="21"/>
          <w:b/>
        </w:rPr>
        <w:t>Article 23C: The Public Trust Charter</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12</w:t>
      </w:r>
    </w:p>
    <w:p>
      <w:pPr>
        <w:pStyle w:val="TOC2"/>
      </w:pPr>
      <w:r>
        <w:rPr>
          <w:szCs w:val="24"/>
          <w:lang w:val="en-CA" w:eastAsia="en-CA" w:bidi="ar-SA"/>
          <w:rFonts w:ascii="Calibri" w:hAnsi="Calibri" w:eastAsia="Calibri" w:cs="Calibri"/>
          <w:color w:val="2F5670"/>
          <w:sz w:val="21"/>
          <w:b/>
        </w:rPr>
        <w:t>Signature and Endorsement</w:t>
      </w:r>
      <w:r>
        <w:rPr>
          <w:szCs w:val="24"/>
          <w:lang w:val="en-CA" w:eastAsia="en-CA" w:bidi="ar-SA"/>
          <w:rFonts w:ascii="Calibri" w:hAnsi="Calibri"/>
          <w:color w:val="546E7A"/>
          <w:sz w:val="20"/>
        </w:rPr>
        <w:tab/>
      </w:r>
      <w:r>
        <w:rPr>
          <w:szCs w:val="24"/>
          <w:lang w:val="en-CA" w:eastAsia="en-CA" w:bidi="ar-SA"/>
          <w:rFonts w:ascii="Calibri" w:hAnsi="Calibri" w:eastAsia="Calibri" w:cs="Calibri"/>
          <w:color w:val="2F5670"/>
          <w:sz w:val="21"/>
          <w:b/>
        </w:rPr>
        <w:t>12</w:t>
      </w:r>
    </w:p>
    <w:p>
      <w:pPr>
        <w:pStyle w:val="TOC1"/>
      </w:pPr>
      <w:r>
        <w:rPr>
          <w:szCs w:val="24"/>
          <w:lang w:val="en-CA" w:eastAsia="en-CA" w:bidi="ar-SA"/>
          <w:rFonts w:ascii="Calibri" w:hAnsi="Calibri" w:eastAsia="Calibri" w:cs="Calibri"/>
          <w:color w:val="263238"/>
          <w:b/>
          <w:sz w:val="20"/>
        </w:rPr>
        <w:t>ANNEXES</w:t>
      </w:r>
      <w:r>
        <w:rPr>
          <w:szCs w:val="24"/>
          <w:lang w:val="en-CA" w:eastAsia="en-CA" w:bidi="ar-SA"/>
          <w:rFonts w:ascii="Calibri" w:hAnsi="Calibri"/>
          <w:color w:val="263238"/>
          <w:b/>
          <w:sz w:val="20"/>
        </w:rPr>
        <w:tab/>
      </w:r>
      <w:r>
        <w:rPr>
          <w:szCs w:val="24"/>
          <w:lang w:val="en-CA" w:eastAsia="en-CA" w:bidi="ar-SA"/>
          <w:rFonts w:ascii="Calibri" w:hAnsi="Calibri" w:eastAsia="Calibri" w:cs="Calibri"/>
          <w:color w:val="263238"/>
          <w:b/>
          <w:sz w:val="20"/>
        </w:rPr>
        <w:t>12</w:t>
      </w:r>
    </w:p>
    <w:p>
      <w:pPr>
        <w:pStyle w:val="TOC2"/>
      </w:pPr>
      <w:r>
        <w:rPr>
          <w:szCs w:val="24"/>
          <w:lang w:val="en-CA" w:eastAsia="en-CA" w:bidi="ar-SA"/>
          <w:rFonts w:ascii="Calibri" w:hAnsi="Calibri" w:eastAsia="Calibri" w:cs="Calibri"/>
          <w:color w:val="546E7A"/>
          <w:sz w:val="20"/>
        </w:rPr>
        <w:t>Annex A: Corridor Technical Description</w:t>
      </w:r>
      <w:r>
        <w:rPr>
          <w:szCs w:val="24"/>
          <w:lang w:val="en-CA" w:eastAsia="en-CA" w:bidi="ar-SA"/>
          <w:rFonts w:ascii="Calibri" w:hAnsi="Calibri"/>
          <w:color w:val="546E7A"/>
          <w:sz w:val="20"/>
        </w:rPr>
        <w:tab/>
      </w:r>
      <w:r>
        <w:rPr>
          <w:szCs w:val="24"/>
          <w:lang w:val="en-CA" w:eastAsia="en-CA" w:bidi="ar-SA"/>
          <w:rFonts w:ascii="Calibri" w:hAnsi="Calibri" w:eastAsia="Calibri" w:cs="Calibri"/>
          <w:color w:val="546E7A"/>
          <w:sz w:val="20"/>
        </w:rPr>
        <w:t>13</w:t>
      </w:r>
    </w:p>
    <w:p>
      <w:pPr>
        <w:pStyle w:val="TOC2"/>
      </w:pPr>
      <w:r>
        <w:rPr>
          <w:szCs w:val="24"/>
          <w:lang w:val="en-CA" w:eastAsia="en-CA" w:bidi="ar-SA"/>
          <w:rFonts w:ascii="Calibri" w:hAnsi="Calibri" w:eastAsia="Calibri" w:cs="Calibri"/>
          <w:color w:val="546E7A"/>
          <w:sz w:val="20"/>
        </w:rPr>
        <w:t>Annex B: Simplified Consequence Schedule</w:t>
      </w:r>
      <w:r>
        <w:rPr>
          <w:szCs w:val="24"/>
          <w:lang w:val="en-CA" w:eastAsia="en-CA" w:bidi="ar-SA"/>
          <w:rFonts w:ascii="Calibri" w:hAnsi="Calibri"/>
          <w:color w:val="546E7A"/>
          <w:sz w:val="20"/>
        </w:rPr>
        <w:tab/>
      </w:r>
      <w:r>
        <w:rPr>
          <w:szCs w:val="24"/>
          <w:lang w:val="en-CA" w:eastAsia="en-CA" w:bidi="ar-SA"/>
          <w:rFonts w:ascii="Calibri" w:hAnsi="Calibri" w:eastAsia="Calibri" w:cs="Calibri"/>
          <w:color w:val="546E7A"/>
          <w:sz w:val="20"/>
        </w:rPr>
        <w:t>13</w:t>
      </w:r>
    </w:p>
    <w:p>
      <w:pPr>
        <w:pStyle w:val="TOC2"/>
      </w:pPr>
      <w:r>
        <w:rPr>
          <w:szCs w:val="24"/>
          <w:lang w:val="en-CA" w:eastAsia="en-CA" w:bidi="ar-SA"/>
          <w:rFonts w:ascii="Calibri" w:hAnsi="Calibri" w:eastAsia="Calibri" w:cs="Calibri"/>
          <w:color w:val="546E7A"/>
          <w:sz w:val="20"/>
        </w:rPr>
        <w:t>Annex C: Maritime Services Trust Operating Terms</w:t>
      </w:r>
      <w:r>
        <w:rPr>
          <w:szCs w:val="24"/>
          <w:lang w:val="en-CA" w:eastAsia="en-CA" w:bidi="ar-SA"/>
          <w:rFonts w:ascii="Calibri" w:hAnsi="Calibri"/>
          <w:color w:val="546E7A"/>
          <w:sz w:val="20"/>
        </w:rPr>
        <w:tab/>
      </w:r>
      <w:r>
        <w:rPr>
          <w:szCs w:val="24"/>
          <w:lang w:val="en-CA" w:eastAsia="en-CA" w:bidi="ar-SA"/>
          <w:rFonts w:ascii="Calibri" w:hAnsi="Calibri" w:eastAsia="Calibri" w:cs="Calibri"/>
          <w:color w:val="546E7A"/>
          <w:sz w:val="20"/>
        </w:rPr>
        <w:t>13</w:t>
      </w:r>
    </w:p>
    <w:p>
      <w:pPr>
        <w:pStyle w:val="TOC2"/>
      </w:pPr>
      <w:r>
        <w:rPr>
          <w:szCs w:val="24"/>
          <w:lang w:val="en-CA" w:eastAsia="en-CA" w:bidi="ar-SA"/>
          <w:rFonts w:ascii="Calibri" w:hAnsi="Calibri" w:eastAsia="Calibri" w:cs="Calibri"/>
          <w:color w:val="546E7A"/>
          <w:sz w:val="20"/>
        </w:rPr>
        <w:t>Annex D: Islamabad MOU Alignment Table</w:t>
      </w:r>
      <w:r>
        <w:rPr>
          <w:szCs w:val="24"/>
          <w:lang w:val="en-CA" w:eastAsia="en-CA" w:bidi="ar-SA"/>
          <w:rFonts w:ascii="Calibri" w:hAnsi="Calibri"/>
          <w:color w:val="546E7A"/>
          <w:sz w:val="20"/>
        </w:rPr>
        <w:tab/>
      </w:r>
      <w:r>
        <w:rPr>
          <w:szCs w:val="24"/>
          <w:lang w:val="en-CA" w:eastAsia="en-CA" w:bidi="ar-SA"/>
          <w:rFonts w:ascii="Calibri" w:hAnsi="Calibri" w:eastAsia="Calibri" w:cs="Calibri"/>
          <w:color w:val="546E7A"/>
          <w:sz w:val="20"/>
        </w:rPr>
        <w:t>13</w:t>
      </w:r>
    </w:p>
    <w:p>
      <w:pPr>
        <w:pStyle w:val="TOC2"/>
      </w:pPr>
      <w:r>
        <w:rPr>
          <w:szCs w:val="24"/>
          <w:lang w:val="en-CA" w:eastAsia="en-CA" w:bidi="ar-SA"/>
          <w:rFonts w:ascii="Calibri" w:hAnsi="Calibri" w:eastAsia="Calibri" w:cs="Calibri"/>
          <w:color w:val="546E7A"/>
          <w:sz w:val="20"/>
        </w:rPr>
        <w:t>Annex E: Source Frameworks</w:t>
      </w:r>
      <w:r>
        <w:rPr>
          <w:szCs w:val="24"/>
          <w:lang w:val="en-CA" w:eastAsia="en-CA" w:bidi="ar-SA"/>
          <w:rFonts w:ascii="Calibri" w:hAnsi="Calibri"/>
          <w:color w:val="546E7A"/>
          <w:sz w:val="20"/>
        </w:rPr>
        <w:tab/>
      </w:r>
      <w:r>
        <w:rPr>
          <w:szCs w:val="24"/>
          <w:lang w:val="en-CA" w:eastAsia="en-CA" w:bidi="ar-SA"/>
          <w:rFonts w:ascii="Calibri" w:hAnsi="Calibri" w:eastAsia="Calibri" w:cs="Calibri"/>
          <w:color w:val="546E7A"/>
          <w:sz w:val="20"/>
        </w:rPr>
        <w:t>13</w:t>
      </w:r>
    </w:p>
    <w:p>
      <w:pPr>
        <w:pStyle w:val="TOC2"/>
      </w:pPr>
      <w:r>
        <w:rPr>
          <w:szCs w:val="24"/>
          <w:lang w:val="en-CA" w:eastAsia="en-CA" w:bidi="ar-SA"/>
          <w:rFonts w:ascii="Calibri" w:hAnsi="Calibri" w:eastAsia="Calibri" w:cs="Calibri"/>
          <w:color w:val="546E7A"/>
          <w:sz w:val="20"/>
          <w:b/>
        </w:rPr>
        <w:t>Annex F: Mariner Welfare and Safety Guarantee</w:t>
      </w:r>
      <w:r>
        <w:rPr>
          <w:szCs w:val="24"/>
          <w:lang w:val="en-CA" w:eastAsia="en-CA" w:bidi="ar-SA"/>
          <w:rFonts w:ascii="Calibri" w:hAnsi="Calibri"/>
          <w:color w:val="546E7A"/>
          <w:sz w:val="20"/>
        </w:rPr>
        <w:tab/>
      </w:r>
      <w:r>
        <w:rPr>
          <w:szCs w:val="24"/>
          <w:lang w:val="en-CA" w:eastAsia="en-CA" w:bidi="ar-SA"/>
          <w:rFonts w:ascii="Calibri" w:hAnsi="Calibri" w:eastAsia="Calibri" w:cs="Calibri"/>
          <w:color w:val="546E7A"/>
          <w:sz w:val="20"/>
          <w:b/>
        </w:rPr>
        <w:t>14</w:t>
      </w:r>
    </w:p>
    <w:p>
      <w:pPr>
        <w:pStyle w:val="Normal"/>
      </w:pPr>
      <w:r>
        <w:fldChar w:fldCharType="end"/>
      </w:r>
    </w:p>
    <w:p>
      <w:pPr>
        <w:pStyle w:val="Normal"/>
        <w:sectPr w:rsidR="00A54D89">
          <w:pgSz w:w="11906" w:h="16838"/>
          <w:pgMar w:top="1800" w:right="1440" w:bottom="1440" w:left="1440" w:header="720" w:footer="720" w:gutter="0"/>
          <w:cols w:space="720"/>
        </w:sectPr>
      </w:pPr>
    </w:p>
    <w:p>
      <w:pPr>
        <w:pStyle w:val="Heading1"/>
        <w:pBdr>
          <w:bottom w:val="single" w:sz="6" w:space="3" w:color="B8860B"/>
        </w:pBdr>
      </w:pPr>
      <w:r>
        <w:rPr>
          <w:szCs w:val="24"/>
          <w:lang w:val="en-CA" w:eastAsia="en-CA" w:bidi="ar-SA"/>
          <w:rFonts w:ascii="Calibri" w:hAnsi="Calibri" w:eastAsia="Calibri" w:cs="Calibri"/>
          <w:b/>
          <w:color w:val="23445A"/>
          <w:sz w:val="32"/>
        </w:rPr>
        <w:t>Preamble</w:t>
      </w:r>
    </w:p>
    <w:p>
      <w:pPr>
        <w:pStyle w:val="Normal"/>
      </w:pPr>
      <w:r>
        <w:rPr>
          <w:szCs w:val="24"/>
          <w:lang w:val="en-CA" w:eastAsia="en-CA" w:bidi="ar-SA"/>
          <w:rFonts w:ascii="Calibri" w:hAnsi="Calibri" w:eastAsia="Calibri" w:cs="Calibri"/>
          <w:color w:val="263238"/>
          <w:sz w:val="21"/>
        </w:rPr>
        <w:t>The Islamic Republic of Iran and the Sultanate of Oman, the two Strait States, with the endorsement of the United States of America,</w:t>
      </w:r>
    </w:p>
    <w:p>
      <w:pPr>
        <w:pStyle w:val="Normal"/>
      </w:pPr>
      <w:r>
        <w:rPr>
          <w:szCs w:val="24"/>
          <w:lang w:val="en-CA" w:eastAsia="en-CA" w:bidi="ar-SA"/>
          <w:rFonts w:ascii="Calibri" w:hAnsi="Calibri" w:eastAsia="Calibri" w:cs="Calibri"/>
          <w:color w:val="263238"/>
          <w:sz w:val="21"/>
        </w:rPr>
        <w:t>Recognizing that the Strait of Hormuz joins two sovereign coastal states and one shared waterway, and that this waterway prospers only as a bridge, never as a barrier;</w:t>
      </w:r>
    </w:p>
    <w:p>
      <w:pPr>
        <w:pStyle w:val="Normal"/>
      </w:pPr>
      <w:r>
        <w:rPr>
          <w:szCs w:val="24"/>
          <w:lang w:val="en-CA" w:eastAsia="en-CA" w:bidi="ar-SA"/>
          <w:rFonts w:ascii="Calibri" w:hAnsi="Calibri" w:eastAsia="Calibri" w:cs="Calibri"/>
          <w:color w:val="263238"/>
          <w:sz w:val="21"/>
        </w:rPr>
        <w:t>Affirming the Islamabad Memorandum of Understanding of 17 June 2026 and implementing its Article 5 on safe navigation through the Strait;</w:t>
      </w:r>
    </w:p>
    <w:p>
      <w:pPr>
        <w:pStyle w:val="Normal"/>
      </w:pPr>
      <w:r>
        <w:rPr>
          <w:szCs w:val="24"/>
          <w:lang w:val="en-CA" w:eastAsia="en-CA" w:bidi="ar-SA"/>
          <w:rFonts w:ascii="Calibri" w:hAnsi="Calibri" w:eastAsia="Calibri" w:cs="Calibri"/>
          <w:color w:val="263238"/>
          <w:sz w:val="21"/>
        </w:rPr>
        <w:t>Acknowledging that commerce through the Strait carries energy, food, and medicine to nations on every continent, and that every mariner deserves a safe and predictable passage;</w:t>
      </w:r>
    </w:p>
    <w:p>
      <w:pPr>
        <w:pStyle w:val="Normal"/>
      </w:pPr>
      <w:r>
        <w:rPr>
          <w:szCs w:val="24"/>
          <w:lang w:val="en-CA" w:eastAsia="en-CA" w:bidi="ar-SA"/>
          <w:rFonts w:ascii="Calibri" w:hAnsi="Calibri" w:eastAsia="Calibri" w:cs="Calibri"/>
          <w:color w:val="263238"/>
          <w:sz w:val="21"/>
        </w:rPr>
        <w:t>Determined to replace confrontation with architecture, tolls with toll-free passage, and suspicion with verification;</w:t>
      </w:r>
    </w:p>
    <w:p>
      <w:pPr>
        <w:pStyle w:val="Normal"/>
      </w:pPr>
      <w:r>
        <w:rPr>
          <w:szCs w:val="24"/>
          <w:lang w:val="en-CA" w:eastAsia="en-CA" w:bidi="ar-SA"/>
          <w:rFonts w:ascii="Calibri" w:hAnsi="Calibri" w:eastAsia="Calibri" w:cs="Calibri"/>
          <w:color w:val="263238"/>
          <w:sz w:val="21"/>
        </w:rPr>
        <w:t>Have agreed as follows:</w:t>
      </w:r>
    </w:p>
    <w:p>
      <w:pPr>
        <w:pStyle w:val="Heading1"/>
        <w:pBdr>
          <w:bottom w:val="single" w:sz="6" w:space="3" w:color="B8860B"/>
        </w:pBdr>
      </w:pPr>
      <w:r>
        <w:rPr>
          <w:szCs w:val="24"/>
          <w:lang w:val="en-CA" w:eastAsia="en-CA" w:bidi="ar-SA"/>
          <w:rFonts w:ascii="Calibri" w:hAnsi="Calibri" w:eastAsia="Calibri" w:cs="Calibri"/>
          <w:b/>
          <w:color w:val="23445A"/>
          <w:sz w:val="32"/>
        </w:rPr>
        <w:t>PART I: FOUNDATIONS</w:t>
      </w:r>
    </w:p>
    <w:p>
      <w:pPr>
        <w:pStyle w:val="Heading2"/>
      </w:pPr>
      <w:r>
        <w:rPr>
          <w:szCs w:val="24"/>
          <w:lang w:val="en-CA" w:eastAsia="en-CA" w:bidi="ar-SA"/>
          <w:rFonts w:ascii="Calibri" w:hAnsi="Calibri" w:eastAsia="Calibri" w:cs="Calibri"/>
          <w:b/>
          <w:color w:val="2F5670"/>
          <w:sz w:val="26"/>
        </w:rPr>
        <w:t>Article 1: Purpose and Scope</w:t>
      </w:r>
    </w:p>
    <w:p>
      <w:pPr>
        <w:pStyle w:val="Normal"/>
        <w:spacing w:after="140"/>
        <w:ind w:left="576" w:hanging="576"/>
      </w:pPr>
      <w:r>
        <w:rPr>
          <w:b/>
          <w:color w:val="2F5670"/>
          <w:szCs w:val="24"/>
          <w:lang w:val="en-CA" w:eastAsia="en-CA" w:bidi="ar-SA"/>
          <w:rFonts w:ascii="Calibri" w:hAnsi="Calibri" w:eastAsia="Calibri" w:cs="Calibri"/>
          <w:sz w:val="21"/>
        </w:rPr>
        <w:t xml:space="preserve">1.1  </w:t>
      </w:r>
      <w:r>
        <w:rPr>
          <w:szCs w:val="24"/>
          <w:lang w:val="en-CA" w:eastAsia="en-CA" w:bidi="ar-SA"/>
          <w:rFonts w:ascii="Calibri" w:hAnsi="Calibri" w:eastAsia="Calibri" w:cs="Calibri"/>
          <w:color w:val="263238"/>
          <w:sz w:val="21"/>
        </w:rPr>
        <w:t>Purpose. This Compact establishes a permanent joint governance system for the Strait of Hormuz, operated by the two Strait States as sovereign equals. It restores full commercial transit, keeps every lane toll-free permanently, answers the nuclear question in place on Iranian soil, and normalizes relations step by step on a verified ladder.</w:t>
      </w:r>
    </w:p>
    <w:p>
      <w:pPr>
        <w:pStyle w:val="Normal"/>
        <w:spacing w:after="140"/>
        <w:ind w:left="576" w:hanging="576"/>
      </w:pPr>
      <w:r>
        <w:rPr>
          <w:b/>
          <w:color w:val="2F5670"/>
          <w:szCs w:val="24"/>
          <w:lang w:val="en-CA" w:eastAsia="en-CA" w:bidi="ar-SA"/>
          <w:rFonts w:ascii="Calibri" w:hAnsi="Calibri" w:eastAsia="Calibri" w:cs="Calibri"/>
          <w:sz w:val="21"/>
        </w:rPr>
        <w:t xml:space="preserve">1.2  </w:t>
      </w:r>
      <w:r>
        <w:rPr>
          <w:szCs w:val="24"/>
          <w:lang w:val="en-CA" w:eastAsia="en-CA" w:bidi="ar-SA"/>
          <w:rFonts w:ascii="Calibri" w:hAnsi="Calibri" w:eastAsia="Calibri" w:cs="Calibri"/>
          <w:color w:val="263238"/>
          <w:sz w:val="21"/>
        </w:rPr>
        <w:t>The simplicity rule. The Compact uses an existing body wherever a functioning body exists. The Joint Hormuz Committee becomes the Hormuz Bridge Commission. The International Maritime Organization (IMO) administers the traffic scheme and the money. The International Atomic Energy Agency (IAEA) verifies the nuclear disposition. The United Nations Mine Action Service (UNMAS) leads hazard clearance. The Swiss Confederation administers the escrow and the disposition fund. The Joint Maritime Information Center (JMIC) publishes transit data. The Compact creates only lean new structures where no existing body fits: a ten-officer secretariat in Muscat, the Strait Ombudsman (Article 18A), the Strait Transparency and Observation Mission (Article 13A), and the standing advisory bodies of Articles 13B and 23B.</w:t>
      </w:r>
    </w:p>
    <w:p>
      <w:pPr>
        <w:pStyle w:val="Normal"/>
        <w:spacing w:after="140"/>
        <w:ind w:left="576" w:hanging="576"/>
      </w:pPr>
      <w:r>
        <w:rPr>
          <w:b/>
          <w:color w:val="2F5670"/>
          <w:szCs w:val="24"/>
          <w:lang w:val="en-CA" w:eastAsia="en-CA" w:bidi="ar-SA"/>
          <w:rFonts w:ascii="Calibri" w:hAnsi="Calibri" w:eastAsia="Calibri" w:cs="Calibri"/>
          <w:sz w:val="21"/>
        </w:rPr>
        <w:t xml:space="preserve">1.3  </w:t>
      </w:r>
      <w:r>
        <w:rPr>
          <w:szCs w:val="24"/>
          <w:lang w:val="en-CA" w:eastAsia="en-CA" w:bidi="ar-SA"/>
          <w:rFonts w:ascii="Calibri" w:hAnsi="Calibri" w:eastAsia="Calibri" w:cs="Calibri"/>
          <w:color w:val="263238"/>
          <w:sz w:val="21"/>
        </w:rPr>
        <w:t>Scope. The Compact covers the maritime regime, the nuclear disposition, the normalization track, and the compliance engine. Regional files beyond the Strait remain outside this Compact. Each module stands alone: progress in one module never waits on another module (the Partial Success Doctrine).</w:t>
      </w:r>
    </w:p>
    <w:p>
      <w:pPr>
        <w:pStyle w:val="Normal"/>
        <w:spacing w:after="140"/>
        <w:ind w:left="576" w:hanging="576"/>
      </w:pPr>
      <w:r>
        <w:rPr>
          <w:b/>
          <w:color w:val="2F5670"/>
          <w:szCs w:val="24"/>
          <w:lang w:val="en-CA" w:eastAsia="en-CA" w:bidi="ar-SA"/>
          <w:rFonts w:ascii="Calibri" w:hAnsi="Calibri" w:eastAsia="Calibri" w:cs="Calibri"/>
          <w:sz w:val="21"/>
        </w:rPr>
        <w:t xml:space="preserve">1.4  </w:t>
      </w:r>
      <w:r>
        <w:rPr>
          <w:szCs w:val="24"/>
          <w:lang w:val="en-CA" w:eastAsia="en-CA" w:bidi="ar-SA"/>
          <w:rFonts w:ascii="Calibri" w:hAnsi="Calibri" w:eastAsia="Calibri" w:cs="Calibri"/>
          <w:color w:val="263238"/>
          <w:sz w:val="21"/>
        </w:rPr>
        <w:t>Absorption of the Memorandum of Understanding. The Compact absorbs the Islamabad MOU. The MOU provisions merge into this Compact on Day 60, and this Compact governs thereafter. Nothing lapses in the merger: every live obligation crosses into the Compact at full force (Nofade, Article 4). The absorption alters, dilutes, and reinterprets nothing in paragraph 8 of the MOU: the nuclear disposition commitments of paragraph 8 remain explicitly referenced and fully operative inside this Compact, and any amendment to the Compact's nuclear provisions takes the same level of consent as an amendment to the MOU itself.</w:t>
      </w:r>
    </w:p>
    <w:p>
      <w:pPr>
        <w:pStyle w:val="Normal"/>
        <w:spacing w:after="140"/>
        <w:ind w:left="576" w:hanging="576"/>
      </w:pPr>
      <w:r>
        <w:rPr>
          <w:b/>
          <w:color w:val="2F5670"/>
          <w:szCs w:val="24"/>
          <w:lang w:val="en-CA" w:eastAsia="en-CA" w:bidi="ar-SA"/>
          <w:rFonts w:ascii="Calibri" w:hAnsi="Calibri" w:eastAsia="Calibri" w:cs="Calibri"/>
          <w:sz w:val="21"/>
        </w:rPr>
        <w:t xml:space="preserve">1.5  </w:t>
      </w:r>
      <w:r>
        <w:rPr>
          <w:szCs w:val="24"/>
          <w:lang w:val="en-CA" w:eastAsia="en-CA" w:bidi="ar-SA"/>
          <w:rFonts w:ascii="Calibri" w:hAnsi="Calibri" w:eastAsia="Calibri" w:cs="Calibri"/>
          <w:color w:val="263238"/>
          <w:sz w:val="21"/>
        </w:rPr>
        <w:t>Cost discipline. The Compact runs on existing institutions, existing premises, and existing personnel wherever they serve. Total new standing cost stays below USD 75 million per year across the full architecture, including the Observation Mission and the Ombudsman office, shared per Annex C, before service reimbursements and before Transition Fund capitalization.</w:t>
      </w:r>
    </w:p>
    <w:p>
      <w:pPr>
        <w:pStyle w:val="Heading2"/>
      </w:pPr>
      <w:r>
        <w:rPr>
          <w:szCs w:val="24"/>
          <w:lang w:val="en-CA" w:eastAsia="en-CA" w:bidi="ar-SA"/>
          <w:rFonts w:ascii="Calibri" w:hAnsi="Calibri" w:eastAsia="Calibri" w:cs="Calibri"/>
          <w:b/>
          <w:color w:val="2F5670"/>
          <w:sz w:val="26"/>
        </w:rPr>
        <w:t>Article 2: The Parties and the Triad</w:t>
      </w:r>
    </w:p>
    <w:p>
      <w:pPr>
        <w:pStyle w:val="Normal"/>
        <w:spacing w:after="140"/>
        <w:ind w:left="576" w:hanging="576"/>
      </w:pPr>
      <w:r>
        <w:rPr>
          <w:b/>
          <w:color w:val="2F5670"/>
          <w:szCs w:val="24"/>
          <w:lang w:val="en-CA" w:eastAsia="en-CA" w:bidi="ar-SA"/>
          <w:rFonts w:ascii="Calibri" w:hAnsi="Calibri" w:eastAsia="Calibri" w:cs="Calibri"/>
          <w:sz w:val="21"/>
        </w:rPr>
        <w:t xml:space="preserve">2.1  </w:t>
      </w:r>
      <w:r>
        <w:rPr>
          <w:szCs w:val="24"/>
          <w:lang w:val="en-CA" w:eastAsia="en-CA" w:bidi="ar-SA"/>
          <w:rFonts w:ascii="Calibri" w:hAnsi="Calibri" w:eastAsia="Calibri" w:cs="Calibri"/>
          <w:color w:val="263238"/>
          <w:sz w:val="21"/>
        </w:rPr>
        <w:t>The Parties. The Islamic Republic of Iran and the Sultanate of Oman are the Parties and the co-governors of the Strait under this Compact.</w:t>
      </w:r>
    </w:p>
    <w:p>
      <w:pPr>
        <w:pStyle w:val="Normal"/>
        <w:spacing w:after="140"/>
        <w:ind w:left="576" w:hanging="576"/>
      </w:pPr>
      <w:r>
        <w:rPr>
          <w:b/>
          <w:color w:val="2F5670"/>
          <w:szCs w:val="24"/>
          <w:lang w:val="en-CA" w:eastAsia="en-CA" w:bidi="ar-SA"/>
          <w:rFonts w:ascii="Calibri" w:hAnsi="Calibri" w:eastAsia="Calibri" w:cs="Calibri"/>
          <w:sz w:val="21"/>
        </w:rPr>
        <w:t xml:space="preserve">2.2  </w:t>
      </w:r>
      <w:r>
        <w:rPr>
          <w:szCs w:val="24"/>
          <w:lang w:val="en-CA" w:eastAsia="en-CA" w:bidi="ar-SA"/>
          <w:rFonts w:ascii="Calibri" w:hAnsi="Calibri" w:eastAsia="Calibri" w:cs="Calibri"/>
          <w:color w:val="263238"/>
          <w:sz w:val="21"/>
        </w:rPr>
        <w:t>The Endorsing Stakeholder. The United States of America endorses the Compact, accepts the defined obligations of Articles 9, 14, and 15 (strike cessation, blockade removal, de-designation, sanctions relief sequencing, and fund contributions), and holds a non-voting Stakeholder Seat at the Commission.</w:t>
      </w:r>
    </w:p>
    <w:p>
      <w:pPr>
        <w:pStyle w:val="Normal"/>
        <w:spacing w:after="140"/>
        <w:ind w:left="576" w:hanging="576"/>
      </w:pPr>
      <w:r>
        <w:rPr>
          <w:b/>
          <w:color w:val="2F5670"/>
          <w:szCs w:val="24"/>
          <w:lang w:val="en-CA" w:eastAsia="en-CA" w:bidi="ar-SA"/>
          <w:rFonts w:ascii="Calibri" w:hAnsi="Calibri" w:eastAsia="Calibri" w:cs="Calibri"/>
          <w:sz w:val="21"/>
        </w:rPr>
        <w:t xml:space="preserve">2.3  </w:t>
      </w:r>
      <w:r>
        <w:rPr>
          <w:szCs w:val="24"/>
          <w:lang w:val="en-CA" w:eastAsia="en-CA" w:bidi="ar-SA"/>
          <w:rFonts w:ascii="Calibri" w:hAnsi="Calibri" w:eastAsia="Calibri" w:cs="Calibri"/>
          <w:color w:val="263238"/>
          <w:sz w:val="21"/>
        </w:rPr>
        <w:t>The Triad. The Triad names the three forces that hold the bridge: the two Strait States as co-governors; the international maritime community seated through the IMO; and the Endorsing Stakeholder as guarantor of the strategic bargain. Every article assigns each leg of the Triad a defined and limited role. No leg governs alone.</w:t>
      </w:r>
    </w:p>
    <w:p>
      <w:pPr>
        <w:pStyle w:val="Normal"/>
        <w:spacing w:after="140"/>
        <w:ind w:left="576" w:hanging="576"/>
      </w:pPr>
      <w:r>
        <w:rPr>
          <w:b/>
          <w:color w:val="2F5670"/>
          <w:szCs w:val="24"/>
          <w:lang w:val="en-CA" w:eastAsia="en-CA" w:bidi="ar-SA"/>
          <w:rFonts w:ascii="Calibri" w:hAnsi="Calibri" w:eastAsia="Calibri" w:cs="Calibri"/>
          <w:sz w:val="21"/>
        </w:rPr>
        <w:t xml:space="preserve">2.4  </w:t>
      </w:r>
      <w:r>
        <w:rPr>
          <w:szCs w:val="24"/>
          <w:lang w:val="en-CA" w:eastAsia="en-CA" w:bidi="ar-SA"/>
          <w:rFonts w:ascii="Calibri" w:hAnsi="Calibri" w:eastAsia="Calibri" w:cs="Calibri"/>
          <w:color w:val="263238"/>
          <w:sz w:val="21"/>
        </w:rPr>
        <w:t>Witnesses and facilitators. The State of Qatar and the Swiss Confederation witness the Compact. Oman leads facilitation; Qatar supports the political channel; Switzerland administers the financial architecture.</w:t>
      </w:r>
    </w:p>
    <w:p>
      <w:pPr>
        <w:pStyle w:val="Heading2"/>
      </w:pPr>
      <w:r>
        <w:rPr>
          <w:szCs w:val="24"/>
          <w:lang w:val="en-CA" w:eastAsia="en-CA" w:bidi="ar-SA"/>
          <w:rFonts w:ascii="Calibri" w:hAnsi="Calibri" w:eastAsia="Calibri" w:cs="Calibri"/>
          <w:b/>
          <w:color w:val="2F5670"/>
          <w:sz w:val="26"/>
        </w:rPr>
        <w:t>Article 3: Governing Principles</w:t>
      </w:r>
    </w:p>
    <w:p>
      <w:pPr>
        <w:pStyle w:val="Normal"/>
        <w:spacing w:after="140"/>
        <w:ind w:left="576" w:hanging="576"/>
      </w:pPr>
      <w:r>
        <w:rPr>
          <w:b/>
          <w:color w:val="2F5670"/>
          <w:szCs w:val="24"/>
          <w:lang w:val="en-CA" w:eastAsia="en-CA" w:bidi="ar-SA"/>
          <w:rFonts w:ascii="Calibri" w:hAnsi="Calibri" w:eastAsia="Calibri" w:cs="Calibri"/>
          <w:sz w:val="21"/>
        </w:rPr>
        <w:t xml:space="preserve">3.1  </w:t>
      </w:r>
      <w:r>
        <w:rPr>
          <w:szCs w:val="24"/>
          <w:lang w:val="en-CA" w:eastAsia="en-CA" w:bidi="ar-SA"/>
          <w:rFonts w:ascii="Calibri" w:hAnsi="Calibri" w:eastAsia="Calibri" w:cs="Calibri"/>
          <w:color w:val="263238"/>
          <w:sz w:val="21"/>
        </w:rPr>
        <w:t>Sovereign equality. The two Strait States govern as equals. Each holds two Commission seats; each holds one co-chair; neither outranks the other in any article.</w:t>
      </w:r>
    </w:p>
    <w:p>
      <w:pPr>
        <w:pStyle w:val="Normal"/>
        <w:spacing w:after="140"/>
        <w:ind w:left="576" w:hanging="576"/>
      </w:pPr>
      <w:r>
        <w:rPr>
          <w:b/>
          <w:color w:val="2F5670"/>
          <w:szCs w:val="24"/>
          <w:lang w:val="en-CA" w:eastAsia="en-CA" w:bidi="ar-SA"/>
          <w:rFonts w:ascii="Calibri" w:hAnsi="Calibri" w:eastAsia="Calibri" w:cs="Calibri"/>
          <w:sz w:val="21"/>
        </w:rPr>
        <w:t xml:space="preserve">3.2  </w:t>
      </w:r>
      <w:r>
        <w:rPr>
          <w:szCs w:val="24"/>
          <w:lang w:val="en-CA" w:eastAsia="en-CA" w:bidi="ar-SA"/>
          <w:rFonts w:ascii="Calibri" w:hAnsi="Calibri" w:eastAsia="Calibri" w:cs="Calibri"/>
          <w:color w:val="263238"/>
          <w:sz w:val="21"/>
        </w:rPr>
        <w:t>Mutual architecture. Every constraint in this Compact binds the framework itself, not one Party for the benefit of the other. No clause reads as a unilateral restraint, a concession, or a subordination. Prohibitions live in the architecture, equally above all participants.</w:t>
      </w:r>
    </w:p>
    <w:p>
      <w:pPr>
        <w:pStyle w:val="Normal"/>
        <w:spacing w:after="140"/>
        <w:ind w:left="576" w:hanging="576"/>
      </w:pPr>
      <w:r>
        <w:rPr>
          <w:b/>
          <w:color w:val="2F5670"/>
          <w:szCs w:val="24"/>
          <w:lang w:val="en-CA" w:eastAsia="en-CA" w:bidi="ar-SA"/>
          <w:rFonts w:ascii="Calibri" w:hAnsi="Calibri" w:eastAsia="Calibri" w:cs="Calibri"/>
          <w:sz w:val="21"/>
        </w:rPr>
        <w:t xml:space="preserve">3.3  </w:t>
      </w:r>
      <w:r>
        <w:rPr>
          <w:szCs w:val="24"/>
          <w:lang w:val="en-CA" w:eastAsia="en-CA" w:bidi="ar-SA"/>
          <w:rFonts w:ascii="Calibri" w:hAnsi="Calibri" w:eastAsia="Calibri" w:cs="Calibri"/>
          <w:color w:val="263238"/>
          <w:sz w:val="21"/>
        </w:rPr>
        <w:t>Synchronized reciprocal motion. No Party moves first alone. Every obligation pairs with a simultaneous counterpart in the Master Timeline (Article 20), so that each side acts and each side receives on the same day.</w:t>
      </w:r>
    </w:p>
    <w:p>
      <w:pPr>
        <w:pStyle w:val="Normal"/>
        <w:spacing w:after="140"/>
        <w:ind w:left="576" w:hanging="576"/>
      </w:pPr>
      <w:r>
        <w:rPr>
          <w:b/>
          <w:color w:val="2F5670"/>
          <w:szCs w:val="24"/>
          <w:lang w:val="en-CA" w:eastAsia="en-CA" w:bidi="ar-SA"/>
          <w:rFonts w:ascii="Calibri" w:hAnsi="Calibri" w:eastAsia="Calibri" w:cs="Calibri"/>
          <w:sz w:val="21"/>
        </w:rPr>
        <w:t xml:space="preserve">3.4  </w:t>
      </w:r>
      <w:r>
        <w:rPr>
          <w:szCs w:val="24"/>
          <w:lang w:val="en-CA" w:eastAsia="en-CA" w:bidi="ar-SA"/>
          <w:rFonts w:ascii="Calibri" w:hAnsi="Calibri" w:eastAsia="Calibri" w:cs="Calibri"/>
          <w:color w:val="263238"/>
          <w:sz w:val="21"/>
        </w:rPr>
        <w:t>The humanitarian absolute. Food, medicine, medical equipment, and aviation safety flows never pause, in any circumstance, under any article, at any tier of the compliance engine.</w:t>
      </w:r>
    </w:p>
    <w:p>
      <w:pPr>
        <w:pStyle w:val="Normal"/>
        <w:spacing w:after="140"/>
        <w:ind w:left="576" w:hanging="576"/>
      </w:pPr>
      <w:r>
        <w:rPr>
          <w:b/>
          <w:color w:val="2F5670"/>
          <w:szCs w:val="24"/>
          <w:lang w:val="en-CA" w:eastAsia="en-CA" w:bidi="ar-SA"/>
          <w:rFonts w:ascii="Calibri" w:hAnsi="Calibri" w:eastAsia="Calibri" w:cs="Calibri"/>
          <w:sz w:val="21"/>
        </w:rPr>
        <w:t xml:space="preserve">3.5  </w:t>
      </w:r>
      <w:r>
        <w:rPr>
          <w:szCs w:val="24"/>
          <w:lang w:val="en-CA" w:eastAsia="en-CA" w:bidi="ar-SA"/>
          <w:rFonts w:ascii="Calibri" w:hAnsi="Calibri" w:eastAsia="Calibri" w:cs="Calibri"/>
          <w:color w:val="263238"/>
          <w:sz w:val="21"/>
        </w:rPr>
        <w:t>Decoupling of economics from force. The compliance engine operates through economic and administrative steps only. No compliance event under this Compact authorizes, triggers, or justifies military force by any participant. Military decisions remain with heads of government under their own constitutional processes, wholly outside this Compact. This separation is absolute and non-waivable.</w:t>
      </w:r>
    </w:p>
    <w:p>
      <w:pPr>
        <w:pStyle w:val="Normal"/>
        <w:spacing w:after="140"/>
        <w:ind w:left="576" w:hanging="576"/>
      </w:pPr>
      <w:r>
        <w:rPr>
          <w:b/>
          <w:color w:val="2F5670"/>
          <w:szCs w:val="24"/>
          <w:lang w:val="en-CA" w:eastAsia="en-CA" w:bidi="ar-SA"/>
          <w:rFonts w:ascii="Calibri" w:hAnsi="Calibri" w:eastAsia="Calibri" w:cs="Calibri"/>
          <w:sz w:val="21"/>
        </w:rPr>
        <w:t xml:space="preserve">3.6  </w:t>
      </w:r>
      <w:r>
        <w:rPr>
          <w:szCs w:val="24"/>
          <w:lang w:val="en-CA" w:eastAsia="en-CA" w:bidi="ar-SA"/>
          <w:rFonts w:ascii="Calibri" w:hAnsi="Calibri" w:eastAsia="Calibri" w:cs="Calibri"/>
          <w:color w:val="263238"/>
          <w:sz w:val="21"/>
        </w:rPr>
        <w:t>Partial success. A failure in one module stays inside that module (Article 17.7). The bridge bends; it never collapses.</w:t>
      </w:r>
    </w:p>
    <w:p>
      <w:pPr>
        <w:pStyle w:val="Normal"/>
        <w:spacing w:after="140"/>
        <w:ind w:left="576" w:hanging="576"/>
      </w:pPr>
      <w:r>
        <w:rPr>
          <w:b/>
          <w:color w:val="2F5670"/>
          <w:szCs w:val="24"/>
          <w:lang w:val="en-CA" w:eastAsia="en-CA" w:bidi="ar-SA"/>
          <w:rFonts w:ascii="Calibri" w:hAnsi="Calibri" w:eastAsia="Calibri" w:cs="Calibri"/>
          <w:sz w:val="21"/>
        </w:rPr>
        <w:t xml:space="preserve">3.7  </w:t>
      </w:r>
      <w:r>
        <w:rPr>
          <w:szCs w:val="24"/>
          <w:lang w:val="en-CA" w:eastAsia="en-CA" w:bidi="ar-SA"/>
          <w:rFonts w:ascii="Calibri" w:hAnsi="Calibri" w:eastAsia="Calibri" w:cs="Calibri"/>
          <w:color w:val="263238"/>
          <w:sz w:val="21"/>
        </w:rPr>
        <w:t>Truthful duality. The Compact defines every outcome with physical precision, so that each participant describes the same reality in its own words, truthfully, without contradiction. Article 19.3 carries the full alignment table.</w:t>
      </w:r>
    </w:p>
    <w:p>
      <w:pPr>
        <w:pStyle w:val="Heading2"/>
      </w:pPr>
      <w:r>
        <w:rPr>
          <w:szCs w:val="24"/>
          <w:lang w:val="en-CA" w:eastAsia="en-CA" w:bidi="ar-SA"/>
          <w:rFonts w:ascii="Calibri" w:hAnsi="Calibri" w:eastAsia="Calibri" w:cs="Calibri"/>
          <w:b/>
          <w:color w:val="2F5670"/>
          <w:sz w:val="26"/>
        </w:rPr>
        <w:t>Article 4: The Nofade Guarantee</w:t>
      </w:r>
    </w:p>
    <w:p>
      <w:pPr>
        <w:pStyle w:val="Normal"/>
        <w:spacing w:after="140"/>
        <w:ind w:left="576" w:hanging="576"/>
      </w:pPr>
      <w:r>
        <w:rPr>
          <w:b/>
          <w:color w:val="2F5670"/>
          <w:szCs w:val="24"/>
          <w:lang w:val="en-CA" w:eastAsia="en-CA" w:bidi="ar-SA"/>
          <w:rFonts w:ascii="Calibri" w:hAnsi="Calibri" w:eastAsia="Calibri" w:cs="Calibri"/>
          <w:sz w:val="21"/>
        </w:rPr>
        <w:t xml:space="preserve">4.1  </w:t>
      </w:r>
      <w:r>
        <w:rPr>
          <w:szCs w:val="24"/>
          <w:lang w:val="en-CA" w:eastAsia="en-CA" w:bidi="ar-SA"/>
          <w:rFonts w:ascii="Calibri" w:hAnsi="Calibri" w:eastAsia="Calibri" w:cs="Calibri"/>
          <w:color w:val="263238"/>
          <w:sz w:val="21"/>
        </w:rPr>
        <w:t>No sunset. The Compact contains no sunset clauses, no silent expirations, and no decaying obligations. It operates on a continuous horizon, by design, because a commitment that expires is a commitment that plans to fail.</w:t>
      </w:r>
    </w:p>
    <w:p>
      <w:pPr>
        <w:pStyle w:val="Normal"/>
        <w:spacing w:after="140"/>
        <w:ind w:left="576" w:hanging="576"/>
      </w:pPr>
      <w:r>
        <w:rPr>
          <w:b/>
          <w:color w:val="2F5670"/>
          <w:szCs w:val="24"/>
          <w:lang w:val="en-CA" w:eastAsia="en-CA" w:bidi="ar-SA"/>
          <w:rFonts w:ascii="Calibri" w:hAnsi="Calibri" w:eastAsia="Calibri" w:cs="Calibri"/>
          <w:sz w:val="21"/>
        </w:rPr>
        <w:t xml:space="preserve">4.2  </w:t>
      </w:r>
      <w:r>
        <w:rPr>
          <w:szCs w:val="24"/>
          <w:lang w:val="en-CA" w:eastAsia="en-CA" w:bidi="ar-SA"/>
          <w:rFonts w:ascii="Calibri" w:hAnsi="Calibri" w:eastAsia="Calibri" w:cs="Calibri"/>
          <w:color w:val="263238"/>
          <w:sz w:val="21"/>
        </w:rPr>
        <w:t>No fade of commitments. Every commitment persists at full strength from activation until the Parties jointly amend it in writing under Article 23. Time never dilutes an obligation; routine never weakens a verification right; political weather never erodes a standing rule.</w:t>
      </w:r>
    </w:p>
    <w:p>
      <w:pPr>
        <w:pStyle w:val="Normal"/>
        <w:spacing w:after="140"/>
        <w:ind w:left="576" w:hanging="576"/>
      </w:pPr>
      <w:r>
        <w:rPr>
          <w:b/>
          <w:color w:val="2F5670"/>
          <w:szCs w:val="24"/>
          <w:lang w:val="en-CA" w:eastAsia="en-CA" w:bidi="ar-SA"/>
          <w:rFonts w:ascii="Calibri" w:hAnsi="Calibri" w:eastAsia="Calibri" w:cs="Calibri"/>
          <w:sz w:val="21"/>
        </w:rPr>
        <w:t xml:space="preserve">4.3  </w:t>
      </w:r>
      <w:r>
        <w:rPr>
          <w:szCs w:val="24"/>
          <w:lang w:val="en-CA" w:eastAsia="en-CA" w:bidi="ar-SA"/>
          <w:rFonts w:ascii="Calibri" w:hAnsi="Calibri" w:eastAsia="Calibri" w:cs="Calibri"/>
          <w:color w:val="263238"/>
          <w:sz w:val="21"/>
        </w:rPr>
        <w:t>No</w:t>
        <w:t xml:space="preserve"> fade of earned benefits. Benefits earned through verified compliance persist. No earned benefit lapses through the passage of time, a change of government, or a change of mood. Only the compliance engine's own defined step-back adjusts a </w:t>
        <w:t>benefit, and</w:t>
        <w:t xml:space="preserve"> earn-back always restores it (Article 18).</w:t>
      </w:r>
    </w:p>
    <w:p>
      <w:pPr>
        <w:pStyle w:val="Normal"/>
        <w:spacing w:after="140"/>
        <w:ind w:left="576" w:hanging="576"/>
      </w:pPr>
      <w:r>
        <w:rPr>
          <w:b/>
          <w:color w:val="2F5670"/>
          <w:szCs w:val="24"/>
          <w:lang w:val="en-CA" w:eastAsia="en-CA" w:bidi="ar-SA"/>
          <w:rFonts w:ascii="Calibri" w:hAnsi="Calibri" w:eastAsia="Calibri" w:cs="Calibri"/>
          <w:sz w:val="21"/>
        </w:rPr>
        <w:t xml:space="preserve">4.4  </w:t>
      </w:r>
      <w:r>
        <w:rPr>
          <w:szCs w:val="24"/>
          <w:lang w:val="en-CA" w:eastAsia="en-CA" w:bidi="ar-SA"/>
          <w:rFonts w:ascii="Calibri" w:hAnsi="Calibri" w:eastAsia="Calibri" w:cs="Calibri"/>
          <w:color w:val="263238"/>
          <w:sz w:val="21"/>
        </w:rPr>
        <w:t>No</w:t>
        <w:t xml:space="preserve"> fade of verification. Verification intensity never declines by default. The IAEA presence, the telemetry feeds, the custody seals, and the audit rights of Article 13 continue at full strength for the life of the Compact. Any reduction of verification intensity constitutes an amendment and takes effect only through the joint written instrument of Article 23.3.</w:t>
      </w:r>
    </w:p>
    <w:p>
      <w:pPr>
        <w:pStyle w:val="Normal"/>
        <w:spacing w:after="140"/>
        <w:ind w:left="576" w:hanging="576"/>
      </w:pPr>
      <w:r>
        <w:rPr>
          <w:b/>
          <w:color w:val="2F5670"/>
          <w:szCs w:val="24"/>
          <w:lang w:val="en-CA" w:eastAsia="en-CA" w:bidi="ar-SA"/>
          <w:rFonts w:ascii="Calibri" w:hAnsi="Calibri" w:eastAsia="Calibri" w:cs="Calibri"/>
          <w:sz w:val="21"/>
        </w:rPr>
        <w:t xml:space="preserve">4.5  </w:t>
      </w:r>
      <w:r>
        <w:rPr>
          <w:szCs w:val="24"/>
          <w:lang w:val="en-CA" w:eastAsia="en-CA" w:bidi="ar-SA"/>
          <w:rFonts w:ascii="Calibri" w:hAnsi="Calibri" w:eastAsia="Calibri" w:cs="Calibri"/>
          <w:color w:val="263238"/>
          <w:sz w:val="21"/>
        </w:rPr>
        <w:t>No</w:t>
        <w:t xml:space="preserve"> fade of the toll-free rule. The toll-free guarantee of Article 10 stands permanently. No passage fee arises by inaction, by silence, by custom, or by reinterpretation.</w:t>
      </w:r>
    </w:p>
    <w:p>
      <w:pPr>
        <w:pStyle w:val="Normal"/>
        <w:spacing w:after="140"/>
        <w:ind w:left="576" w:hanging="576"/>
      </w:pPr>
      <w:r>
        <w:rPr>
          <w:b/>
          <w:color w:val="2F5670"/>
          <w:szCs w:val="24"/>
          <w:lang w:val="en-CA" w:eastAsia="en-CA" w:bidi="ar-SA"/>
          <w:rFonts w:ascii="Calibri" w:hAnsi="Calibri" w:eastAsia="Calibri" w:cs="Calibri"/>
          <w:sz w:val="21"/>
        </w:rPr>
        <w:t xml:space="preserve">4.6  </w:t>
      </w:r>
      <w:r>
        <w:rPr>
          <w:szCs w:val="24"/>
          <w:lang w:val="en-CA" w:eastAsia="en-CA" w:bidi="ar-SA"/>
          <w:rFonts w:ascii="Calibri" w:hAnsi="Calibri" w:eastAsia="Calibri" w:cs="Calibri"/>
          <w:color w:val="263238"/>
          <w:sz w:val="21"/>
        </w:rPr>
        <w:t>Exit</w:t>
        <w:t xml:space="preserve"> is an act, not a fade. Withdrawal under Article 23.4 constitutes a deliberate, notified, time-bound sovereign act. Nothing in this Compact drifts away; everything either persists at full force or changes by joint signature.</w:t>
      </w:r>
    </w:p>
    <w:p>
      <w:pPr>
        <w:pStyle w:val="Heading1"/>
        <w:pBdr>
          <w:bottom w:val="single" w:sz="6" w:space="3" w:color="B8860B"/>
        </w:pBdr>
      </w:pPr>
      <w:r>
        <w:rPr>
          <w:szCs w:val="24"/>
          <w:lang w:val="en-CA" w:eastAsia="en-CA" w:bidi="ar-SA"/>
          <w:rFonts w:ascii="Calibri" w:hAnsi="Calibri" w:eastAsia="Calibri" w:cs="Calibri"/>
          <w:b/>
          <w:color w:val="23445A"/>
          <w:sz w:val="32"/>
        </w:rPr>
        <w:t>PART II: THE MARITIME BRIDGE</w:t>
      </w:r>
    </w:p>
    <w:p>
      <w:pPr>
        <w:pStyle w:val="Heading2"/>
      </w:pPr>
      <w:r>
        <w:rPr>
          <w:szCs w:val="24"/>
          <w:lang w:val="en-CA" w:eastAsia="en-CA" w:bidi="ar-SA"/>
          <w:rFonts w:ascii="Calibri" w:hAnsi="Calibri" w:eastAsia="Calibri" w:cs="Calibri"/>
          <w:b/>
          <w:color w:val="2F5670"/>
          <w:sz w:val="26"/>
        </w:rPr>
        <w:t>Article 5: Immediate Stabilization (Day minus 1 to Day 3)</w:t>
      </w:r>
    </w:p>
    <w:p>
      <w:pPr>
        <w:pStyle w:val="Normal"/>
        <w:spacing w:after="140"/>
        <w:ind w:left="576" w:hanging="576"/>
      </w:pPr>
      <w:r>
        <w:rPr>
          <w:b/>
          <w:color w:val="2F5670"/>
          <w:szCs w:val="24"/>
          <w:lang w:val="en-CA" w:eastAsia="en-CA" w:bidi="ar-SA"/>
          <w:rFonts w:ascii="Calibri" w:hAnsi="Calibri" w:eastAsia="Calibri" w:cs="Calibri"/>
          <w:sz w:val="21"/>
        </w:rPr>
        <w:t xml:space="preserve">5.1  </w:t>
      </w:r>
      <w:r>
        <w:rPr>
          <w:szCs w:val="24"/>
          <w:lang w:val="en-CA" w:eastAsia="en-CA" w:bidi="ar-SA"/>
          <w:rFonts w:ascii="Calibri" w:hAnsi="Calibri" w:eastAsia="Calibri" w:cs="Calibri"/>
          <w:color w:val="263238"/>
          <w:sz w:val="21"/>
        </w:rPr>
        <w:t>The</w:t>
        <w:t xml:space="preserve"> standstill. Starting 00:01 Muscat time on Saturday 25 July 2026 (Day minus 1), the framework imposes a 72-hour standstill across the Strait area: military strikes pause on all sides; vessel interdiction pauses on all sides; mine-laying pauses on all sides; naval forces hold declared stand-off positions at least 15 nautical miles from the transit corridors. Signature on Day 0 extends the </w:t>
        <w:t>standstill automatically, and on Day 3 it converts into the permanent non-interdiction regime of Article 11.</w:t>
      </w:r>
    </w:p>
    <w:p>
      <w:pPr>
        <w:pStyle w:val="Normal"/>
        <w:spacing w:after="140"/>
        <w:ind w:left="576" w:hanging="576"/>
      </w:pPr>
      <w:r>
        <w:rPr>
          <w:b/>
          <w:color w:val="2F5670"/>
          <w:szCs w:val="24"/>
          <w:lang w:val="en-CA" w:eastAsia="en-CA" w:bidi="ar-SA"/>
          <w:rFonts w:ascii="Calibri" w:hAnsi="Calibri" w:eastAsia="Calibri" w:cs="Calibri"/>
          <w:sz w:val="21"/>
        </w:rPr>
        <w:t xml:space="preserve">5.2  </w:t>
      </w:r>
      <w:r>
        <w:rPr>
          <w:szCs w:val="24"/>
          <w:lang w:val="en-CA" w:eastAsia="en-CA" w:bidi="ar-SA"/>
          <w:rFonts w:ascii="Calibri" w:hAnsi="Calibri" w:eastAsia="Calibri" w:cs="Calibri"/>
          <w:color w:val="263238"/>
          <w:sz w:val="21"/>
        </w:rPr>
        <w:t>The</w:t>
        <w:t xml:space="preserve"> hotline. The military deconfliction hotline activates on Day minus 1 and tests daily at 06:00 UTC. An incident notification receives an answer within 15 minutes. A routine inquiry receives an answer within 2 hours. The hotline never closes (</w:t>
        <w:t>Nofade</w:t>
        <w:t>, Article 4). The primary crisis contact for each Party is a serving Deputy Minister or equivalent, named in the signature block of this Compact. The contact list publishes on the Commission's public dashboard and refreshes quarterly.</w:t>
      </w:r>
    </w:p>
    <w:p>
      <w:pPr>
        <w:pStyle w:val="Normal"/>
        <w:spacing w:after="140"/>
        <w:ind w:left="576" w:hanging="576"/>
      </w:pPr>
      <w:r>
        <w:rPr>
          <w:b/>
          <w:color w:val="2F5670"/>
          <w:szCs w:val="24"/>
          <w:lang w:val="en-CA" w:eastAsia="en-CA" w:bidi="ar-SA"/>
          <w:rFonts w:ascii="Calibri" w:hAnsi="Calibri" w:eastAsia="Calibri" w:cs="Calibri"/>
          <w:sz w:val="21"/>
        </w:rPr>
        <w:t xml:space="preserve">5.3  </w:t>
      </w:r>
      <w:r>
        <w:rPr>
          <w:szCs w:val="24"/>
          <w:lang w:val="en-CA" w:eastAsia="en-CA" w:bidi="ar-SA"/>
          <w:rFonts w:ascii="Calibri" w:hAnsi="Calibri" w:eastAsia="Calibri" w:cs="Calibri"/>
          <w:color w:val="263238"/>
          <w:sz w:val="21"/>
        </w:rPr>
        <w:t>The</w:t>
        <w:t xml:space="preserve"> humanitarian lane. A humanitarian lane under International Committee of the Red Cross and IMO supervision operates continuously from Day minus 1 for vessels carrying food, medicine, and humanitarian cargo. This lane never closes under any article of this Compact.</w:t>
      </w:r>
    </w:p>
    <w:p>
      <w:pPr>
        <w:pStyle w:val="Heading2"/>
      </w:pPr>
      <w:r>
        <w:rPr>
          <w:szCs w:val="24"/>
          <w:lang w:val="en-CA" w:eastAsia="en-CA" w:bidi="ar-SA"/>
          <w:rFonts w:ascii="Calibri" w:hAnsi="Calibri" w:eastAsia="Calibri" w:cs="Calibri"/>
          <w:b/>
          <w:color w:val="2F5670"/>
          <w:sz w:val="26"/>
        </w:rPr>
        <w:t>Article 6: The Two-Corridor System</w:t>
      </w:r>
    </w:p>
    <w:p>
      <w:pPr>
        <w:pStyle w:val="Normal"/>
        <w:spacing w:after="140"/>
        <w:ind w:left="576" w:hanging="576"/>
      </w:pPr>
      <w:r>
        <w:rPr>
          <w:b/>
          <w:color w:val="2F5670"/>
          <w:szCs w:val="24"/>
          <w:lang w:val="en-CA" w:eastAsia="en-CA" w:bidi="ar-SA"/>
          <w:rFonts w:ascii="Calibri" w:hAnsi="Calibri" w:eastAsia="Calibri" w:cs="Calibri"/>
          <w:sz w:val="21"/>
        </w:rPr>
        <w:t xml:space="preserve">6.1  </w:t>
      </w:r>
      <w:r>
        <w:rPr>
          <w:szCs w:val="24"/>
          <w:lang w:val="en-CA" w:eastAsia="en-CA" w:bidi="ar-SA"/>
          <w:rFonts w:ascii="Calibri" w:hAnsi="Calibri" w:eastAsia="Calibri" w:cs="Calibri"/>
          <w:color w:val="263238"/>
          <w:sz w:val="21"/>
        </w:rPr>
        <w:t>Baseline</w:t>
        <w:t>. The corridors follow the IMO Traffic Separation Scheme (TSS) for the Strait of Hormuz, the internationally recognized navigation baseline. The Compact builds on that scheme; it does not replace it. Annex A carries the technical description.</w:t>
      </w:r>
    </w:p>
    <w:p>
      <w:pPr>
        <w:pStyle w:val="Normal"/>
        <w:spacing w:after="140"/>
        <w:ind w:left="576" w:hanging="576"/>
      </w:pPr>
      <w:r>
        <w:rPr>
          <w:b/>
          <w:color w:val="2F5670"/>
          <w:szCs w:val="24"/>
          <w:lang w:val="en-CA" w:eastAsia="en-CA" w:bidi="ar-SA"/>
          <w:rFonts w:ascii="Calibri" w:hAnsi="Calibri" w:eastAsia="Calibri" w:cs="Calibri"/>
          <w:sz w:val="21"/>
        </w:rPr>
        <w:t xml:space="preserve">6.2  </w:t>
      </w:r>
      <w:r>
        <w:rPr>
          <w:szCs w:val="24"/>
          <w:lang w:val="en-CA" w:eastAsia="en-CA" w:bidi="ar-SA"/>
          <w:rFonts w:ascii="Calibri" w:hAnsi="Calibri" w:eastAsia="Calibri" w:cs="Calibri"/>
          <w:color w:val="263238"/>
          <w:sz w:val="21"/>
        </w:rPr>
        <w:t>The</w:t>
        <w:t xml:space="preserve"> Southern Guarantee Corridor. Position: Omani territorial waters south of the TSS separation zone. Management: Oman administers and secures this corridor in coordination with the IMO. Regime: open to all commercial vessels of every flag, toll-free, with no prior notice beyond standard international reporting practice. This corridor restores full freedom of navigation from Day 0. The Commission conducts one ground-truth patrol per week in each corridor: a patrol craft of mixed </w:t>
        <w:t>Iranian-Omani</w:t>
        <w:t xml:space="preserve"> staffing physically verifies the position and identity of at least five percent of transiting vessels, and the patrol log publishes on the daily bulletin within 12 hours.</w:t>
      </w:r>
    </w:p>
    <w:p>
      <w:pPr>
        <w:pStyle w:val="Normal"/>
        <w:spacing w:after="140"/>
        <w:ind w:left="576" w:hanging="576"/>
      </w:pPr>
      <w:r>
        <w:rPr>
          <w:b/>
          <w:color w:val="2F5670"/>
          <w:szCs w:val="24"/>
          <w:lang w:val="en-CA" w:eastAsia="en-CA" w:bidi="ar-SA"/>
          <w:rFonts w:ascii="Calibri" w:hAnsi="Calibri" w:eastAsia="Calibri" w:cs="Calibri"/>
          <w:sz w:val="21"/>
        </w:rPr>
        <w:t xml:space="preserve">6.3  </w:t>
      </w:r>
      <w:r>
        <w:rPr>
          <w:szCs w:val="24"/>
          <w:lang w:val="en-CA" w:eastAsia="en-CA" w:bidi="ar-SA"/>
          <w:rFonts w:ascii="Calibri" w:hAnsi="Calibri" w:eastAsia="Calibri" w:cs="Calibri"/>
          <w:color w:val="263238"/>
          <w:sz w:val="21"/>
        </w:rPr>
        <w:t>The</w:t>
        <w:t xml:space="preserve"> Northern Coordinated Corridor. Position: the northern inshore traffic zone adjacent to the Iranian coast and </w:t>
        <w:t>Qeshm</w:t>
        <w:t xml:space="preserve"> Island, aligned with the TSS northern lanes. Management: the Commission's Transit Coordination Desk operates this corridor. Regime: toll-free. A vessel files a 12-field Transit Notice (Annex A.3) through the Desk's public portal 24 hours before transit; the Desk issues an automatic Acknowledgment within 30 minutes. The Acknowledgment confirms receipt; it never functions as permission. The Desk issues a Safety Hold only on defined technical grounds (explosive cargo hazard, pollution risk, charted obstruction, active hazard in lane), states the ground in writing, and the hold expires after 24 hours unless the Review Panel confirms it. The Review Panel convenes within 24 hours of any operator request.</w:t>
      </w:r>
    </w:p>
    <w:p>
      <w:pPr>
        <w:pStyle w:val="Normal"/>
        <w:spacing w:after="140"/>
        <w:ind w:left="576" w:hanging="576"/>
      </w:pPr>
      <w:r>
        <w:rPr>
          <w:b/>
          <w:color w:val="2F5670"/>
          <w:szCs w:val="24"/>
          <w:lang w:val="en-CA" w:eastAsia="en-CA" w:bidi="ar-SA"/>
          <w:rFonts w:ascii="Calibri" w:hAnsi="Calibri" w:eastAsia="Calibri" w:cs="Calibri"/>
          <w:sz w:val="21"/>
        </w:rPr>
        <w:t xml:space="preserve">6.4  </w:t>
      </w:r>
      <w:r>
        <w:rPr>
          <w:szCs w:val="24"/>
          <w:lang w:val="en-CA" w:eastAsia="en-CA" w:bidi="ar-SA"/>
          <w:rFonts w:ascii="Calibri" w:hAnsi="Calibri" w:eastAsia="Calibri" w:cs="Calibri"/>
          <w:color w:val="263238"/>
          <w:sz w:val="21"/>
        </w:rPr>
        <w:t>The</w:t>
        <w:t xml:space="preserve"> median lane. The TSS separation zone serves as a shared median lane for emergency maneuvering and overtaking, administered jointly by the Commission, consistent with the Iran-Oman technical dialogue of 12 July 2026.</w:t>
      </w:r>
    </w:p>
    <w:p>
      <w:pPr>
        <w:pStyle w:val="Normal"/>
        <w:spacing w:after="140"/>
        <w:ind w:left="576" w:hanging="576"/>
      </w:pPr>
      <w:r>
        <w:rPr>
          <w:b/>
          <w:color w:val="2F5670"/>
          <w:szCs w:val="24"/>
          <w:lang w:val="en-CA" w:eastAsia="en-CA" w:bidi="ar-SA"/>
          <w:rFonts w:ascii="Calibri" w:hAnsi="Calibri" w:eastAsia="Calibri" w:cs="Calibri"/>
          <w:sz w:val="21"/>
        </w:rPr>
        <w:t xml:space="preserve">6.5  </w:t>
      </w:r>
      <w:r>
        <w:rPr>
          <w:szCs w:val="24"/>
          <w:lang w:val="en-CA" w:eastAsia="en-CA" w:bidi="ar-SA"/>
          <w:rFonts w:ascii="Calibri" w:hAnsi="Calibri" w:eastAsia="Calibri" w:cs="Calibri"/>
          <w:color w:val="263238"/>
          <w:sz w:val="21"/>
        </w:rPr>
        <w:t>Corridor</w:t>
        <w:t xml:space="preserve"> summary. The table below states the operating rules of each corridor.</w:t>
      </w:r>
    </w:p>
    <w:tbl>
      <w:tblPr>
        <w:tblStyle w:val="TableNormal"/>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1865"/>
        <w:gridCol w:w="2052"/>
        <w:gridCol w:w="2251"/>
        <w:gridCol w:w="1882"/>
        <w:gridCol w:w="1176"/>
      </w:tblGrid>
      <w:tr>
        <w:trPr>
          <w:tblHeader w:val="1"/>
        </w:trPr>
        <w:tc>
          <w:tcPr>
            <w:tcW w:w="1865" w:type="dxa"/>
            <w:shd w:val="clear" w:color="auto" w:fill="EDF2F4"/>
          </w:tcPr>
          <w:p>
            <w:pPr>
              <w:pStyle w:val="Normal"/>
              <w:spacing w:before="30" w:after="30" w:line="240" w:lineRule="auto"/>
              <w:jc w:val="left"/>
            </w:pPr>
            <w:r>
              <w:rPr>
                <w:b/>
                <w:color w:val="23445A"/>
                <w:sz w:val="18"/>
                <w:szCs w:val="24"/>
                <w:lang w:val="en-CA" w:eastAsia="en-CA" w:bidi="ar-SA"/>
                <w:rFonts w:ascii="Calibri" w:hAnsi="Calibri" w:eastAsia="Calibri" w:cs="Calibri"/>
              </w:rPr>
              <w:t>Corridor</w:t>
            </w:r>
          </w:p>
        </w:tc>
        <w:tc>
          <w:tcPr>
            <w:tcW w:w="2052" w:type="dxa"/>
            <w:shd w:val="clear" w:color="auto" w:fill="EDF2F4"/>
          </w:tcPr>
          <w:p>
            <w:pPr>
              <w:pStyle w:val="Normal"/>
              <w:spacing w:before="30" w:after="30" w:line="240" w:lineRule="auto"/>
              <w:jc w:val="left"/>
            </w:pPr>
            <w:r>
              <w:rPr>
                <w:b/>
                <w:color w:val="23445A"/>
                <w:sz w:val="18"/>
                <w:szCs w:val="24"/>
                <w:lang w:val="en-CA" w:eastAsia="en-CA" w:bidi="ar-SA"/>
                <w:rFonts w:ascii="Calibri" w:hAnsi="Calibri" w:eastAsia="Calibri" w:cs="Calibri"/>
              </w:rPr>
              <w:t>Waters</w:t>
            </w:r>
          </w:p>
        </w:tc>
        <w:tc>
          <w:tcPr>
            <w:tcW w:w="2251" w:type="dxa"/>
            <w:shd w:val="clear" w:color="auto" w:fill="EDF2F4"/>
          </w:tcPr>
          <w:p>
            <w:pPr>
              <w:pStyle w:val="Normal"/>
              <w:spacing w:before="30" w:after="30" w:line="240" w:lineRule="auto"/>
              <w:jc w:val="left"/>
            </w:pPr>
            <w:r>
              <w:rPr>
                <w:b/>
                <w:color w:val="23445A"/>
                <w:sz w:val="18"/>
                <w:szCs w:val="24"/>
                <w:lang w:val="en-CA" w:eastAsia="en-CA" w:bidi="ar-SA"/>
                <w:rFonts w:ascii="Calibri" w:hAnsi="Calibri" w:eastAsia="Calibri" w:cs="Calibri"/>
              </w:rPr>
              <w:t>Manager</w:t>
            </w:r>
          </w:p>
        </w:tc>
        <w:tc>
          <w:tcPr>
            <w:tcW w:w="1882" w:type="dxa"/>
            <w:shd w:val="clear" w:color="auto" w:fill="EDF2F4"/>
          </w:tcPr>
          <w:p>
            <w:pPr>
              <w:pStyle w:val="Normal"/>
              <w:spacing w:before="30" w:after="30" w:line="240" w:lineRule="auto"/>
              <w:jc w:val="left"/>
            </w:pPr>
            <w:r>
              <w:rPr>
                <w:b/>
                <w:color w:val="23445A"/>
                <w:sz w:val="18"/>
                <w:szCs w:val="24"/>
                <w:lang w:val="en-CA" w:eastAsia="en-CA" w:bidi="ar-SA"/>
                <w:rFonts w:ascii="Calibri" w:hAnsi="Calibri" w:eastAsia="Calibri" w:cs="Calibri"/>
              </w:rPr>
              <w:t>Notice rule</w:t>
            </w:r>
          </w:p>
        </w:tc>
        <w:tc>
          <w:tcPr>
            <w:tcW w:w="1176" w:type="dxa"/>
            <w:shd w:val="clear" w:color="auto" w:fill="EDF2F4"/>
          </w:tcPr>
          <w:p>
            <w:pPr>
              <w:pStyle w:val="Normal"/>
              <w:spacing w:before="30" w:after="30" w:line="240" w:lineRule="auto"/>
              <w:jc w:val="left"/>
            </w:pPr>
            <w:r>
              <w:rPr>
                <w:b/>
                <w:color w:val="23445A"/>
                <w:sz w:val="18"/>
                <w:szCs w:val="24"/>
                <w:lang w:val="en-CA" w:eastAsia="en-CA" w:bidi="ar-SA"/>
                <w:rFonts w:ascii="Calibri" w:hAnsi="Calibri" w:eastAsia="Calibri" w:cs="Calibri"/>
              </w:rPr>
              <w:t>Toll</w:t>
            </w:r>
          </w:p>
        </w:tc>
      </w:tr>
      <w:tr>
        <w:tc>
          <w:tcPr>
            <w:tcW w:w="1865" w:type="dxa"/>
          </w:tcPr>
          <w:p>
            <w:pPr>
              <w:pStyle w:val="Normal"/>
              <w:spacing w:before="30" w:after="30" w:line="240" w:lineRule="auto"/>
              <w:jc w:val="left"/>
            </w:pPr>
            <w:r>
              <w:rPr>
                <w:sz w:val="18"/>
                <w:szCs w:val="24"/>
                <w:lang w:val="en-CA" w:eastAsia="en-CA" w:bidi="ar-SA"/>
                <w:rFonts w:ascii="Calibri" w:hAnsi="Calibri" w:eastAsia="Calibri" w:cs="Calibri"/>
                <w:color w:val="263238"/>
              </w:rPr>
              <w:t>Southern Guarantee</w:t>
            </w:r>
          </w:p>
        </w:tc>
        <w:tc>
          <w:tcPr>
            <w:tcW w:w="2052" w:type="dxa"/>
          </w:tcPr>
          <w:p>
            <w:pPr>
              <w:pStyle w:val="Normal"/>
              <w:spacing w:before="30" w:after="30" w:line="240" w:lineRule="auto"/>
              <w:jc w:val="left"/>
            </w:pPr>
            <w:r>
              <w:rPr>
                <w:sz w:val="18"/>
                <w:szCs w:val="24"/>
                <w:lang w:val="en-CA" w:eastAsia="en-CA" w:bidi="ar-SA"/>
                <w:rFonts w:ascii="Calibri" w:hAnsi="Calibri" w:eastAsia="Calibri" w:cs="Calibri"/>
                <w:color w:val="263238"/>
              </w:rPr>
              <w:t xml:space="preserve">Omani territorial waters, south of TSS separation </w:t>
              <w:t>zone</w:t>
            </w:r>
          </w:p>
        </w:tc>
        <w:tc>
          <w:tcPr>
            <w:tcW w:w="2251" w:type="dxa"/>
          </w:tcPr>
          <w:p>
            <w:pPr>
              <w:pStyle w:val="Normal"/>
              <w:spacing w:before="30" w:after="30" w:line="240" w:lineRule="auto"/>
              <w:jc w:val="left"/>
            </w:pPr>
            <w:r>
              <w:rPr>
                <w:szCs w:val="24"/>
                <w:lang w:val="en-CA" w:eastAsia="en-CA" w:bidi="ar-SA"/>
                <w:rFonts w:ascii="Calibri" w:hAnsi="Calibri" w:eastAsia="Calibri" w:cs="Calibri"/>
                <w:color w:val="263238"/>
                <w:sz w:val="18"/>
              </w:rPr>
              <w:t>Oman, with IMO coordination</w:t>
            </w:r>
          </w:p>
        </w:tc>
        <w:tc>
          <w:tcPr>
            <w:tcW w:w="1882" w:type="dxa"/>
          </w:tcPr>
          <w:p>
            <w:pPr>
              <w:pStyle w:val="Normal"/>
              <w:spacing w:before="30" w:after="30" w:line="240" w:lineRule="auto"/>
              <w:jc w:val="left"/>
            </w:pPr>
            <w:r>
              <w:rPr>
                <w:sz w:val="18"/>
                <w:szCs w:val="24"/>
                <w:lang w:val="en-CA" w:eastAsia="en-CA" w:bidi="ar-SA"/>
                <w:rFonts w:ascii="Calibri" w:hAnsi="Calibri" w:eastAsia="Calibri" w:cs="Calibri"/>
                <w:color w:val="263238"/>
              </w:rPr>
              <w:t xml:space="preserve">Standard IMO reporting only; open </w:t>
              <w:t>from Day 0</w:t>
            </w:r>
          </w:p>
        </w:tc>
        <w:tc>
          <w:tcPr>
            <w:tcW w:w="1176" w:type="dxa"/>
          </w:tcPr>
          <w:p>
            <w:pPr>
              <w:pStyle w:val="Normal"/>
              <w:spacing w:before="30" w:after="30" w:line="240" w:lineRule="auto"/>
              <w:jc w:val="left"/>
            </w:pPr>
            <w:r>
              <w:rPr>
                <w:szCs w:val="24"/>
                <w:lang w:val="en-CA" w:eastAsia="en-CA" w:bidi="ar-SA"/>
                <w:rFonts w:ascii="Calibri" w:hAnsi="Calibri" w:eastAsia="Calibri" w:cs="Calibri"/>
                <w:color w:val="263238"/>
                <w:sz w:val="18"/>
              </w:rPr>
              <w:t>None, ever</w:t>
            </w:r>
          </w:p>
        </w:tc>
      </w:tr>
      <w:tr>
        <w:tc>
          <w:tcPr>
            <w:tcW w:w="1865" w:type="dxa"/>
          </w:tcPr>
          <w:p>
            <w:pPr>
              <w:pStyle w:val="Normal"/>
              <w:spacing w:before="30" w:after="30" w:line="240" w:lineRule="auto"/>
              <w:jc w:val="left"/>
            </w:pPr>
            <w:r>
              <w:rPr>
                <w:sz w:val="18"/>
                <w:szCs w:val="24"/>
                <w:lang w:val="en-CA" w:eastAsia="en-CA" w:bidi="ar-SA"/>
                <w:rFonts w:ascii="Calibri" w:hAnsi="Calibri" w:eastAsia="Calibri" w:cs="Calibri"/>
                <w:color w:val="263238"/>
              </w:rPr>
              <w:t>Northern Coordinated</w:t>
            </w:r>
          </w:p>
        </w:tc>
        <w:tc>
          <w:tcPr>
            <w:tcW w:w="2052" w:type="dxa"/>
          </w:tcPr>
          <w:p>
            <w:pPr>
              <w:pStyle w:val="Normal"/>
              <w:spacing w:before="30" w:after="30" w:line="240" w:lineRule="auto"/>
              <w:jc w:val="left"/>
            </w:pPr>
            <w:r>
              <w:rPr>
                <w:sz w:val="18"/>
                <w:szCs w:val="24"/>
                <w:lang w:val="en-CA" w:eastAsia="en-CA" w:bidi="ar-SA"/>
                <w:rFonts w:ascii="Calibri" w:hAnsi="Calibri" w:eastAsia="Calibri" w:cs="Calibri"/>
                <w:color w:val="263238"/>
              </w:rPr>
              <w:t xml:space="preserve">Northern inshore zone adjacent to Iran and </w:t>
              <w:t>Qeshm</w:t>
            </w:r>
          </w:p>
        </w:tc>
        <w:tc>
          <w:tcPr>
            <w:tcW w:w="2251" w:type="dxa"/>
          </w:tcPr>
          <w:p>
            <w:pPr>
              <w:pStyle w:val="Normal"/>
              <w:spacing w:before="30" w:after="30" w:line="240" w:lineRule="auto"/>
              <w:jc w:val="left"/>
            </w:pPr>
            <w:r>
              <w:rPr>
                <w:sz w:val="18"/>
                <w:szCs w:val="24"/>
                <w:lang w:val="en-CA" w:eastAsia="en-CA" w:bidi="ar-SA"/>
                <w:rFonts w:ascii="Calibri" w:hAnsi="Calibri" w:eastAsia="Calibri" w:cs="Calibri"/>
                <w:color w:val="263238"/>
              </w:rPr>
              <w:t>Commission Transit Coordination Desk</w:t>
            </w:r>
          </w:p>
        </w:tc>
        <w:tc>
          <w:tcPr>
            <w:tcW w:w="1882" w:type="dxa"/>
          </w:tcPr>
          <w:p>
            <w:pPr>
              <w:pStyle w:val="Normal"/>
              <w:spacing w:before="30" w:after="30" w:line="240" w:lineRule="auto"/>
              <w:jc w:val="left"/>
            </w:pPr>
            <w:r>
              <w:rPr>
                <w:sz w:val="18"/>
                <w:szCs w:val="24"/>
                <w:lang w:val="en-CA" w:eastAsia="en-CA" w:bidi="ar-SA"/>
                <w:rFonts w:ascii="Calibri" w:hAnsi="Calibri" w:eastAsia="Calibri" w:cs="Calibri"/>
                <w:color w:val="263238"/>
              </w:rPr>
              <w:t>12-field Transit Notice, automatic Acknowledgment in 30 minutes; never permission</w:t>
            </w:r>
          </w:p>
        </w:tc>
        <w:tc>
          <w:tcPr>
            <w:tcW w:w="1176" w:type="dxa"/>
          </w:tcPr>
          <w:p>
            <w:pPr>
              <w:pStyle w:val="Normal"/>
              <w:spacing w:before="30" w:after="30" w:line="240" w:lineRule="auto"/>
              <w:jc w:val="left"/>
            </w:pPr>
            <w:r>
              <w:rPr>
                <w:sz w:val="18"/>
                <w:szCs w:val="24"/>
                <w:lang w:val="en-CA" w:eastAsia="en-CA" w:bidi="ar-SA"/>
                <w:rFonts w:ascii="Calibri" w:hAnsi="Calibri" w:eastAsia="Calibri" w:cs="Calibri"/>
                <w:color w:val="263238"/>
              </w:rPr>
              <w:t>None, ever</w:t>
            </w:r>
          </w:p>
        </w:tc>
      </w:tr>
      <w:tr>
        <w:tc>
          <w:tcPr>
            <w:tcW w:w="1865" w:type="dxa"/>
          </w:tcPr>
          <w:p>
            <w:pPr>
              <w:pStyle w:val="Normal"/>
              <w:spacing w:before="30" w:after="30" w:line="240" w:lineRule="auto"/>
              <w:jc w:val="left"/>
            </w:pPr>
            <w:r>
              <w:rPr>
                <w:sz w:val="18"/>
                <w:szCs w:val="24"/>
                <w:lang w:val="en-CA" w:eastAsia="en-CA" w:bidi="ar-SA"/>
                <w:rFonts w:ascii="Calibri" w:hAnsi="Calibri" w:eastAsia="Calibri" w:cs="Calibri"/>
                <w:color w:val="263238"/>
              </w:rPr>
              <w:t>Median lane</w:t>
            </w:r>
          </w:p>
        </w:tc>
        <w:tc>
          <w:tcPr>
            <w:tcW w:w="2052" w:type="dxa"/>
          </w:tcPr>
          <w:p>
            <w:pPr>
              <w:pStyle w:val="Normal"/>
              <w:spacing w:before="30" w:after="30" w:line="240" w:lineRule="auto"/>
              <w:jc w:val="left"/>
            </w:pPr>
            <w:r>
              <w:rPr>
                <w:sz w:val="18"/>
                <w:szCs w:val="24"/>
                <w:lang w:val="en-CA" w:eastAsia="en-CA" w:bidi="ar-SA"/>
                <w:rFonts w:ascii="Calibri" w:hAnsi="Calibri" w:eastAsia="Calibri" w:cs="Calibri"/>
                <w:color w:val="263238"/>
              </w:rPr>
              <w:t>TSS separation zone</w:t>
            </w:r>
          </w:p>
        </w:tc>
        <w:tc>
          <w:tcPr>
            <w:tcW w:w="2251" w:type="dxa"/>
          </w:tcPr>
          <w:p>
            <w:pPr>
              <w:pStyle w:val="Normal"/>
              <w:spacing w:before="30" w:after="30" w:line="240" w:lineRule="auto"/>
              <w:jc w:val="left"/>
            </w:pPr>
            <w:r>
              <w:rPr>
                <w:sz w:val="18"/>
                <w:szCs w:val="24"/>
                <w:lang w:val="en-CA" w:eastAsia="en-CA" w:bidi="ar-SA"/>
                <w:rFonts w:ascii="Calibri" w:hAnsi="Calibri" w:eastAsia="Calibri" w:cs="Calibri"/>
                <w:color w:val="263238"/>
              </w:rPr>
              <w:t>Commission, jointly</w:t>
            </w:r>
          </w:p>
        </w:tc>
        <w:tc>
          <w:tcPr>
            <w:tcW w:w="1882" w:type="dxa"/>
          </w:tcPr>
          <w:p>
            <w:pPr>
              <w:pStyle w:val="Normal"/>
              <w:spacing w:before="30" w:after="30" w:line="240" w:lineRule="auto"/>
              <w:jc w:val="left"/>
            </w:pPr>
            <w:r>
              <w:rPr>
                <w:sz w:val="18"/>
                <w:szCs w:val="24"/>
                <w:lang w:val="en-CA" w:eastAsia="en-CA" w:bidi="ar-SA"/>
                <w:rFonts w:ascii="Calibri" w:hAnsi="Calibri" w:eastAsia="Calibri" w:cs="Calibri"/>
                <w:color w:val="263238"/>
              </w:rPr>
              <w:t>Emergency maneuvering and overtaking only</w:t>
            </w:r>
          </w:p>
        </w:tc>
        <w:tc>
          <w:tcPr>
            <w:tcW w:w="1176" w:type="dxa"/>
          </w:tcPr>
          <w:p>
            <w:pPr>
              <w:pStyle w:val="Normal"/>
              <w:spacing w:before="30" w:after="30" w:line="240" w:lineRule="auto"/>
              <w:jc w:val="left"/>
            </w:pPr>
            <w:r>
              <w:rPr>
                <w:sz w:val="18"/>
                <w:szCs w:val="24"/>
                <w:lang w:val="en-CA" w:eastAsia="en-CA" w:bidi="ar-SA"/>
                <w:rFonts w:ascii="Calibri" w:hAnsi="Calibri" w:eastAsia="Calibri" w:cs="Calibri"/>
                <w:color w:val="263238"/>
              </w:rPr>
              <w:t>None, ever</w:t>
            </w:r>
          </w:p>
        </w:tc>
      </w:tr>
    </w:tbl>
    <w:p>
      <w:pPr>
        <w:pStyle w:val="Normal"/>
        <w:spacing w:after="140"/>
      </w:pPr>
    </w:p>
    <w:p>
      <w:pPr>
        <w:pStyle w:val="Caption"/>
      </w:pPr>
      <w:r>
        <w:rPr>
          <w:szCs w:val="24"/>
          <w:lang w:val="en-CA" w:eastAsia="en-CA" w:bidi="ar-SA"/>
          <w:rFonts w:ascii="Calibri" w:hAnsi="Calibri" w:eastAsia="Calibri" w:cs="Calibri"/>
          <w:color w:val="263238"/>
          <w:sz w:val="20"/>
          <w:b/>
        </w:rPr>
        <w:t>Table 1: Corridor operating rules</w:t>
      </w:r>
    </w:p>
    <w:p>
      <w:pPr>
        <w:pStyle w:val="Heading2"/>
      </w:pPr>
      <w:r>
        <w:rPr>
          <w:szCs w:val="24"/>
          <w:lang w:val="en-CA" w:eastAsia="en-CA" w:bidi="ar-SA"/>
          <w:rFonts w:ascii="Calibri" w:hAnsi="Calibri" w:eastAsia="Calibri" w:cs="Calibri"/>
          <w:b/>
          <w:color w:val="263238"/>
          <w:sz w:val="21"/>
        </w:rPr>
        <w:t>Article 7: Reopening the Strait</w:t>
      </w:r>
    </w:p>
    <w:p>
      <w:pPr>
        <w:pStyle w:val="Normal"/>
        <w:spacing w:after="140"/>
        <w:ind w:left="576" w:hanging="576"/>
      </w:pPr>
      <w:r>
        <w:rPr>
          <w:b/>
          <w:color w:val="2F5670"/>
          <w:szCs w:val="24"/>
          <w:lang w:val="en-CA" w:eastAsia="en-CA" w:bidi="ar-SA"/>
          <w:rFonts w:ascii="Calibri" w:hAnsi="Calibri" w:eastAsia="Calibri" w:cs="Calibri"/>
          <w:sz w:val="21"/>
        </w:rPr>
        <w:t xml:space="preserve">7.1  </w:t>
      </w:r>
      <w:r>
        <w:rPr>
          <w:szCs w:val="24"/>
          <w:lang w:val="en-CA" w:eastAsia="en-CA" w:bidi="ar-SA"/>
          <w:rFonts w:ascii="Calibri" w:hAnsi="Calibri" w:eastAsia="Calibri" w:cs="Calibri"/>
          <w:color w:val="263238"/>
          <w:sz w:val="21"/>
        </w:rPr>
        <w:t>Survey</w:t>
        <w:t>. UNMAS leads the technical survey of the corridors from Day 1. Iran declares all known minefields, submerged obstacles, and hazards within 48 hours; Oman provides survey support and port access; neutral mine countermeasure vessels operate under UNMAS coordination.</w:t>
      </w:r>
    </w:p>
    <w:p>
      <w:pPr>
        <w:pStyle w:val="Normal"/>
        <w:spacing w:after="140"/>
        <w:ind w:left="576" w:hanging="576"/>
      </w:pPr>
      <w:r>
        <w:rPr>
          <w:b/>
          <w:color w:val="2F5670"/>
          <w:szCs w:val="24"/>
          <w:lang w:val="en-CA" w:eastAsia="en-CA" w:bidi="ar-SA"/>
          <w:rFonts w:ascii="Calibri" w:hAnsi="Calibri" w:eastAsia="Calibri" w:cs="Calibri"/>
          <w:sz w:val="21"/>
        </w:rPr>
        <w:t xml:space="preserve">7.2  </w:t>
      </w:r>
      <w:r>
        <w:rPr>
          <w:szCs w:val="24"/>
          <w:lang w:val="en-CA" w:eastAsia="en-CA" w:bidi="ar-SA"/>
          <w:rFonts w:ascii="Calibri" w:hAnsi="Calibri" w:eastAsia="Calibri" w:cs="Calibri"/>
          <w:color w:val="263238"/>
          <w:sz w:val="21"/>
        </w:rPr>
        <w:t>Phased</w:t>
        <w:t xml:space="preserve"> clearance. Zone A (Southern Guarantee Corridor): survey Days 1 to 5, clearance Days 5 to 10. Zone B (Northern Coordinated Corridor): survey Days 5 to 10, clearance Days 10 to 18. Zone C (median lane and anchorages): clearance Days 15 to 21. A zone certifies clear only after a second-pass verification confirms zero remaining mine-like contacts.</w:t>
      </w:r>
    </w:p>
    <w:p>
      <w:pPr>
        <w:pStyle w:val="Normal"/>
        <w:spacing w:after="140"/>
        <w:ind w:left="576" w:hanging="576"/>
      </w:pPr>
      <w:r>
        <w:rPr>
          <w:b/>
          <w:color w:val="2F5670"/>
          <w:szCs w:val="24"/>
          <w:lang w:val="en-CA" w:eastAsia="en-CA" w:bidi="ar-SA"/>
          <w:rFonts w:ascii="Calibri" w:hAnsi="Calibri" w:eastAsia="Calibri" w:cs="Calibri"/>
          <w:sz w:val="21"/>
        </w:rPr>
        <w:t xml:space="preserve">7.3  </w:t>
      </w:r>
      <w:r>
        <w:rPr>
          <w:szCs w:val="24"/>
          <w:lang w:val="en-CA" w:eastAsia="en-CA" w:bidi="ar-SA"/>
          <w:rFonts w:ascii="Calibri" w:hAnsi="Calibri" w:eastAsia="Calibri" w:cs="Calibri"/>
          <w:color w:val="263238"/>
          <w:sz w:val="21"/>
        </w:rPr>
        <w:t>Convoy</w:t>
        <w:t xml:space="preserve"> phase. From Day 3 to Day 21, commercial vessels transit the Southern Guarantee Corridor in scheduled daylight convoys at four-hour intervals, with Commission notification and AIS broadcast </w:t>
        <w:t>at all times</w:t>
        <w:t>. Night transit resumes on Day 21 upon UNMAS certification of all three zones.</w:t>
      </w:r>
    </w:p>
    <w:p>
      <w:pPr>
        <w:pStyle w:val="Normal"/>
        <w:spacing w:after="140"/>
        <w:ind w:left="576" w:hanging="576"/>
      </w:pPr>
      <w:r>
        <w:rPr>
          <w:b/>
          <w:color w:val="2F5670"/>
          <w:szCs w:val="24"/>
          <w:lang w:val="en-CA" w:eastAsia="en-CA" w:bidi="ar-SA"/>
          <w:rFonts w:ascii="Calibri" w:hAnsi="Calibri" w:eastAsia="Calibri" w:cs="Calibri"/>
          <w:sz w:val="21"/>
        </w:rPr>
        <w:t xml:space="preserve">7.4  </w:t>
      </w:r>
      <w:r>
        <w:rPr>
          <w:szCs w:val="24"/>
          <w:lang w:val="en-CA" w:eastAsia="en-CA" w:bidi="ar-SA"/>
          <w:rFonts w:ascii="Calibri" w:hAnsi="Calibri" w:eastAsia="Calibri" w:cs="Calibri"/>
          <w:color w:val="263238"/>
          <w:sz w:val="21"/>
        </w:rPr>
        <w:t>Full</w:t>
        <w:t xml:space="preserve"> restoration. On Day 30 the Strait operates at or above its pre-crisis baseline of 90 to 140 commercial transits per day, in both corridors, day and night, toll-free.</w:t>
      </w:r>
    </w:p>
    <w:p>
      <w:pPr>
        <w:pStyle w:val="Normal"/>
        <w:spacing w:after="140"/>
        <w:ind w:left="576" w:hanging="576"/>
      </w:pPr>
      <w:r>
        <w:rPr>
          <w:b/>
          <w:color w:val="2F5670"/>
          <w:szCs w:val="24"/>
          <w:lang w:val="en-CA" w:eastAsia="en-CA" w:bidi="ar-SA"/>
          <w:rFonts w:ascii="Calibri" w:hAnsi="Calibri" w:eastAsia="Calibri" w:cs="Calibri"/>
          <w:sz w:val="21"/>
        </w:rPr>
        <w:t xml:space="preserve">7.5  </w:t>
      </w:r>
      <w:r>
        <w:rPr>
          <w:szCs w:val="24"/>
          <w:lang w:val="en-CA" w:eastAsia="en-CA" w:bidi="ar-SA"/>
          <w:rFonts w:ascii="Calibri" w:hAnsi="Calibri" w:eastAsia="Calibri" w:cs="Calibri"/>
          <w:color w:val="263238"/>
          <w:sz w:val="21"/>
        </w:rPr>
        <w:t>Insurance</w:t>
        <w:t xml:space="preserve"> normalization. The Commission publishes a daily transit bulletin through the JMIC. On Day 21 the Commission and the IMO issue a joint safety certification to the protection and indemnity clubs, targeting war-risk premiums at or below 1.5 times the pre-crisis level by Day 45.</w:t>
      </w:r>
    </w:p>
    <w:p>
      <w:pPr>
        <w:pStyle w:val="Normal"/>
        <w:spacing w:after="140"/>
        <w:ind w:left="576" w:hanging="576"/>
      </w:pPr>
      <w:r>
        <w:rPr>
          <w:b/>
          <w:color w:val="2F5670"/>
          <w:szCs w:val="24"/>
          <w:lang w:val="en-CA" w:eastAsia="en-CA" w:bidi="ar-SA"/>
          <w:rFonts w:ascii="Calibri" w:hAnsi="Calibri" w:eastAsia="Calibri" w:cs="Calibri"/>
          <w:sz w:val="21"/>
        </w:rPr>
        <w:t xml:space="preserve">7.6  </w:t>
      </w:r>
      <w:r>
        <w:rPr>
          <w:szCs w:val="24"/>
          <w:lang w:val="en-CA" w:eastAsia="en-CA" w:bidi="ar-SA"/>
          <w:rFonts w:ascii="Calibri" w:hAnsi="Calibri" w:eastAsia="Calibri" w:cs="Calibri"/>
          <w:color w:val="263238"/>
          <w:sz w:val="21"/>
        </w:rPr>
        <w:t>Anchorages</w:t>
        <w:t>. Two waiting anchorages operate under Commission notice: Anchorage Alpha (26.0 N, 56.6 E) east of the corridor, and Anchorage Muscat West per Omani chart, for vessels awaiting convoy windows.</w:t>
      </w:r>
    </w:p>
    <w:p>
      <w:pPr>
        <w:pStyle w:val="Heading2"/>
      </w:pPr>
      <w:r>
        <w:rPr>
          <w:szCs w:val="24"/>
          <w:lang w:val="en-CA" w:eastAsia="en-CA" w:bidi="ar-SA"/>
          <w:rFonts w:ascii="Calibri" w:hAnsi="Calibri" w:eastAsia="Calibri" w:cs="Calibri"/>
          <w:b/>
          <w:color w:val="263238"/>
          <w:sz w:val="21"/>
        </w:rPr>
        <w:t>Article 8: The Hormuz Bridge Commission</w:t>
      </w:r>
    </w:p>
    <w:p>
      <w:pPr>
        <w:pStyle w:val="Normal"/>
        <w:spacing w:after="140"/>
        <w:ind w:left="576" w:hanging="576"/>
      </w:pPr>
      <w:r>
        <w:rPr>
          <w:b/>
          <w:color w:val="2F5670"/>
          <w:szCs w:val="24"/>
          <w:lang w:val="en-CA" w:eastAsia="en-CA" w:bidi="ar-SA"/>
          <w:rFonts w:ascii="Calibri" w:hAnsi="Calibri" w:eastAsia="Calibri" w:cs="Calibri"/>
          <w:sz w:val="21"/>
        </w:rPr>
        <w:t xml:space="preserve">8.1  </w:t>
      </w:r>
      <w:r>
        <w:rPr>
          <w:szCs w:val="24"/>
          <w:lang w:val="en-CA" w:eastAsia="en-CA" w:bidi="ar-SA"/>
          <w:rFonts w:ascii="Calibri" w:hAnsi="Calibri" w:eastAsia="Calibri" w:cs="Calibri"/>
          <w:color w:val="263238"/>
          <w:sz w:val="21"/>
        </w:rPr>
        <w:t>Establishment</w:t>
        <w:t xml:space="preserve"> by conversion. The Joint Hormuz Committee, seated in Muscat since 29 June 2026, converts into the Hormuz Bridge Commission on Day 0. The conversion preserves the Committee's personnel, premises, and working papers. The Commission grows out of an existing body; the cost of creation is near zero.</w:t>
      </w:r>
    </w:p>
    <w:p>
      <w:pPr>
        <w:pStyle w:val="Normal"/>
        <w:spacing w:after="140"/>
        <w:ind w:left="576" w:hanging="576"/>
      </w:pPr>
      <w:r>
        <w:rPr>
          <w:szCs w:val="24"/>
          <w:lang w:val="en-CA" w:eastAsia="en-CA" w:bidi="ar-SA"/>
          <w:rFonts w:ascii="Calibri" w:hAnsi="Calibri" w:eastAsia="Calibri" w:cs="Calibri"/>
          <w:color w:val="2F5670"/>
          <w:sz w:val="21"/>
          <w:b/>
        </w:rPr>
        <w:t xml:space="preserve">8.2  </w:t>
      </w:r>
      <w:r>
        <w:rPr>
          <w:szCs w:val="24"/>
          <w:lang w:val="en-CA" w:eastAsia="en-CA" w:bidi="ar-SA"/>
          <w:rFonts w:ascii="Calibri" w:hAnsi="Calibri" w:eastAsia="Calibri" w:cs="Calibri"/>
          <w:color w:val="263238"/>
          <w:sz w:val="21"/>
        </w:rPr>
        <w:t>Composition</w:t>
        <w:t>. Two commissioners from Iran and two from Oman; one co-chair from each Strait State; one non-voting IMO technical adviser; one non-voting Stakeholder Seat for the United States. Commission decisions operate by consensus of the four voting commissioners. Where consensus fails, the item passes to the Council of Friends (Article 18.4) within 7 days.</w:t>
      </w:r>
    </w:p>
    <w:p>
      <w:pPr>
        <w:pStyle w:val="Normal"/>
        <w:spacing w:after="140"/>
        <w:ind w:left="576" w:hanging="576"/>
      </w:pPr>
      <w:r>
        <w:rPr>
          <w:b/>
          <w:color w:val="2F5670"/>
          <w:szCs w:val="24"/>
          <w:lang w:val="en-CA" w:eastAsia="en-CA" w:bidi="ar-SA"/>
          <w:rFonts w:ascii="Calibri" w:hAnsi="Calibri" w:eastAsia="Calibri" w:cs="Calibri"/>
          <w:sz w:val="21"/>
        </w:rPr>
        <w:t xml:space="preserve">8.2a  </w:t>
      </w:r>
      <w:r>
        <w:rPr>
          <w:szCs w:val="24"/>
          <w:lang w:val="en-CA" w:eastAsia="en-CA" w:bidi="ar-SA"/>
          <w:rFonts w:ascii="Calibri" w:hAnsi="Calibri" w:eastAsia="Calibri" w:cs="Calibri"/>
          <w:color w:val="263238"/>
          <w:sz w:val="21"/>
        </w:rPr>
        <w:t>The</w:t>
        <w:t xml:space="preserve"> Independent Oversight Committee. A standing committee of five independent experts, drawn from academia, maritime civil society, and former diplomats with no current government affiliation, holds the right to access all non-classified Registry data, to submit friend-of-the-instrument reports to the Commission, and to comment publicly on the state of compliance of any participant. The Council of Friends appoints the Committee for staggered three-year terms.</w:t>
      </w:r>
    </w:p>
    <w:p>
      <w:pPr>
        <w:pStyle w:val="Normal"/>
        <w:spacing w:after="140"/>
        <w:ind w:left="576" w:hanging="576"/>
      </w:pPr>
      <w:r>
        <w:rPr>
          <w:b/>
          <w:color w:val="2F5670"/>
          <w:szCs w:val="24"/>
          <w:lang w:val="en-CA" w:eastAsia="en-CA" w:bidi="ar-SA"/>
          <w:rFonts w:ascii="Calibri" w:hAnsi="Calibri" w:eastAsia="Calibri" w:cs="Calibri"/>
          <w:sz w:val="21"/>
        </w:rPr>
        <w:t xml:space="preserve">8.3  </w:t>
      </w:r>
      <w:r>
        <w:rPr>
          <w:szCs w:val="24"/>
          <w:lang w:val="en-CA" w:eastAsia="en-CA" w:bidi="ar-SA"/>
          <w:rFonts w:ascii="Calibri" w:hAnsi="Calibri" w:eastAsia="Calibri" w:cs="Calibri"/>
          <w:color w:val="263238"/>
          <w:sz w:val="21"/>
        </w:rPr>
        <w:t>Secretariat</w:t>
        <w:t>. A standing secretariat of ten officers in Muscat (four Iranian, four Omani, two seconded from the IMO) runs daily operations: the Transit Coordination Desk, the daily bulletin, the Trust invoicing interface, and the Review Panel docket. A rotation opens the four Iranian and four Omani slots: nationals of the Endorsing Stakeholder and of other participating or endorsing states serve staggered two-year terms as deputy secretaries, building a multilateral professional culture while each Strait State retains parity at officer level.</w:t>
      </w:r>
    </w:p>
    <w:p>
      <w:pPr>
        <w:pStyle w:val="Normal"/>
        <w:spacing w:after="140"/>
        <w:ind w:left="576" w:hanging="576"/>
      </w:pPr>
      <w:r>
        <w:rPr>
          <w:b/>
          <w:color w:val="2F5670"/>
          <w:szCs w:val="24"/>
          <w:lang w:val="en-CA" w:eastAsia="en-CA" w:bidi="ar-SA"/>
          <w:rFonts w:ascii="Calibri" w:hAnsi="Calibri" w:eastAsia="Calibri" w:cs="Calibri"/>
          <w:sz w:val="21"/>
        </w:rPr>
        <w:t xml:space="preserve">8.4  </w:t>
      </w:r>
      <w:r>
        <w:rPr>
          <w:szCs w:val="24"/>
          <w:lang w:val="en-CA" w:eastAsia="en-CA" w:bidi="ar-SA"/>
          <w:rFonts w:ascii="Calibri" w:hAnsi="Calibri" w:eastAsia="Calibri" w:cs="Calibri"/>
          <w:color w:val="263238"/>
          <w:sz w:val="21"/>
        </w:rPr>
        <w:t>The</w:t>
        <w:t xml:space="preserve"> Transit Coordination Desk. The Desk receives Transit Notices for the Northern Coordinated Corridor, issues automatic Acknowledgments, publishes corridor status in real time, and maintains the public Safe Registry of participating operators (Article 10.5).</w:t>
      </w:r>
    </w:p>
    <w:p>
      <w:pPr>
        <w:pStyle w:val="Normal"/>
        <w:spacing w:after="140"/>
        <w:ind w:left="576" w:hanging="576"/>
      </w:pPr>
      <w:r>
        <w:rPr>
          <w:b/>
          <w:color w:val="2F5670"/>
          <w:szCs w:val="24"/>
          <w:lang w:val="en-CA" w:eastAsia="en-CA" w:bidi="ar-SA"/>
          <w:rFonts w:ascii="Calibri" w:hAnsi="Calibri" w:eastAsia="Calibri" w:cs="Calibri"/>
          <w:sz w:val="21"/>
        </w:rPr>
        <w:t xml:space="preserve">8.5  </w:t>
      </w:r>
      <w:r>
        <w:rPr>
          <w:szCs w:val="24"/>
          <w:lang w:val="en-CA" w:eastAsia="en-CA" w:bidi="ar-SA"/>
          <w:rFonts w:ascii="Calibri" w:hAnsi="Calibri" w:eastAsia="Calibri" w:cs="Calibri"/>
          <w:color w:val="263238"/>
          <w:sz w:val="21"/>
        </w:rPr>
        <w:t>The</w:t>
        <w:t xml:space="preserve"> Review Panel. Three members (one Iranian maritime expert, one Omani maritime expert, one IMO-nominated expert) hear Safety Hold confirmations, operator appeals, and hotline referrals. The Panel convenes within 24 hours and decides within 24 hours of convening.</w:t>
      </w:r>
    </w:p>
    <w:p>
      <w:pPr>
        <w:pStyle w:val="Normal"/>
        <w:spacing w:after="140"/>
        <w:ind w:left="576" w:hanging="576"/>
      </w:pPr>
      <w:r>
        <w:rPr>
          <w:b/>
          <w:color w:val="2F5670"/>
          <w:szCs w:val="24"/>
          <w:lang w:val="en-CA" w:eastAsia="en-CA" w:bidi="ar-SA"/>
          <w:rFonts w:ascii="Calibri" w:hAnsi="Calibri" w:eastAsia="Calibri" w:cs="Calibri"/>
          <w:sz w:val="21"/>
        </w:rPr>
        <w:t xml:space="preserve">8.6  </w:t>
      </w:r>
      <w:r>
        <w:rPr>
          <w:szCs w:val="24"/>
          <w:lang w:val="en-CA" w:eastAsia="en-CA" w:bidi="ar-SA"/>
          <w:rFonts w:ascii="Calibri" w:hAnsi="Calibri" w:eastAsia="Calibri" w:cs="Calibri"/>
          <w:color w:val="263238"/>
          <w:sz w:val="21"/>
        </w:rPr>
        <w:t>Meetings</w:t>
        <w:t>. The Commission meets weekly in Muscat for the first 90 days, then monthly, in person or by secure video. Quorum is three commissioners, including at least one from each Strait State.</w:t>
      </w:r>
    </w:p>
    <w:p>
      <w:pPr>
        <w:pStyle w:val="Heading2"/>
      </w:pPr>
      <w:r>
        <w:rPr>
          <w:szCs w:val="24"/>
          <w:lang w:val="en-CA" w:eastAsia="en-CA" w:bidi="ar-SA"/>
          <w:rFonts w:ascii="Calibri" w:hAnsi="Calibri" w:eastAsia="Calibri" w:cs="Calibri"/>
          <w:b/>
          <w:color w:val="263238"/>
          <w:sz w:val="21"/>
        </w:rPr>
        <w:t>Article 8A: Knowledge Transfer and Training Program</w:t>
      </w:r>
    </w:p>
    <w:p>
      <w:pPr>
        <w:pStyle w:val="Normal"/>
        <w:spacing w:after="140"/>
        <w:ind w:left="576" w:hanging="576"/>
      </w:pPr>
      <w:r>
        <w:rPr>
          <w:szCs w:val="24"/>
          <w:lang w:val="en-CA" w:eastAsia="en-CA" w:bidi="ar-SA"/>
          <w:rFonts w:ascii="Calibri" w:hAnsi="Calibri" w:eastAsia="Calibri" w:cs="Calibri"/>
          <w:color w:val="2F5670"/>
          <w:sz w:val="21"/>
          <w:b/>
        </w:rPr>
        <w:t xml:space="preserve">8A.1  </w:t>
      </w:r>
      <w:r>
        <w:rPr>
          <w:szCs w:val="24"/>
          <w:lang w:val="en-CA" w:eastAsia="en-CA" w:bidi="ar-SA"/>
          <w:rFonts w:ascii="Calibri" w:hAnsi="Calibri" w:eastAsia="Calibri" w:cs="Calibri"/>
          <w:color w:val="263238"/>
          <w:sz w:val="21"/>
        </w:rPr>
        <w:t>Joint</w:t>
        <w:t xml:space="preserve"> training. The IMO, the IAEA, and UNMAS run a standing joint training program for Commission staff from all participating states. The program covers corridor management, verification practice, maritime law, and incident de-escalation, and every Commission officer completes the core curriculum within the first year of service.</w:t>
      </w:r>
    </w:p>
    <w:p>
      <w:pPr>
        <w:pStyle w:val="Normal"/>
        <w:spacing w:after="140"/>
        <w:ind w:left="576" w:hanging="576"/>
      </w:pPr>
      <w:r>
        <w:rPr>
          <w:szCs w:val="24"/>
          <w:lang w:val="en-CA" w:eastAsia="en-CA" w:bidi="ar-SA"/>
          <w:rFonts w:ascii="Calibri" w:hAnsi="Calibri" w:eastAsia="Calibri" w:cs="Calibri"/>
          <w:color w:val="2F5670"/>
          <w:sz w:val="21"/>
          <w:b/>
        </w:rPr>
        <w:t xml:space="preserve">8A.2  </w:t>
      </w:r>
      <w:r>
        <w:rPr>
          <w:szCs w:val="24"/>
          <w:lang w:val="en-CA" w:eastAsia="en-CA" w:bidi="ar-SA"/>
          <w:rFonts w:ascii="Calibri" w:hAnsi="Calibri" w:eastAsia="Calibri" w:cs="Calibri"/>
          <w:color w:val="263238"/>
          <w:sz w:val="21"/>
        </w:rPr>
        <w:t>Shared</w:t>
        <w:t xml:space="preserve"> professional culture. The program builds personal and professional connections across the participating states, so that the institution withstands political tension. The Commission publishes the training calendar and completion rates in its annual report.</w:t>
      </w:r>
    </w:p>
    <w:p>
      <w:pPr>
        <w:pStyle w:val="Heading2"/>
      </w:pPr>
      <w:r>
        <w:rPr>
          <w:szCs w:val="24"/>
          <w:lang w:val="en-CA" w:eastAsia="en-CA" w:bidi="ar-SA"/>
          <w:rFonts w:ascii="Calibri" w:hAnsi="Calibri" w:eastAsia="Calibri" w:cs="Calibri"/>
          <w:b/>
          <w:color w:val="263238"/>
          <w:sz w:val="21"/>
        </w:rPr>
        <w:t>Article 9: The PGSA Transformation</w:t>
      </w:r>
    </w:p>
    <w:p>
      <w:pPr>
        <w:pStyle w:val="Normal"/>
        <w:spacing w:after="140"/>
        <w:ind w:left="576" w:hanging="576"/>
      </w:pPr>
      <w:r>
        <w:rPr>
          <w:b/>
          <w:color w:val="2F5670"/>
          <w:szCs w:val="24"/>
          <w:lang w:val="en-CA" w:eastAsia="en-CA" w:bidi="ar-SA"/>
          <w:rFonts w:ascii="Calibri" w:hAnsi="Calibri" w:eastAsia="Calibri" w:cs="Calibri"/>
          <w:sz w:val="21"/>
        </w:rPr>
        <w:t xml:space="preserve">9.1  </w:t>
      </w:r>
      <w:r>
        <w:rPr>
          <w:szCs w:val="24"/>
          <w:lang w:val="en-CA" w:eastAsia="en-CA" w:bidi="ar-SA"/>
          <w:rFonts w:ascii="Calibri" w:hAnsi="Calibri" w:eastAsia="Calibri" w:cs="Calibri"/>
          <w:color w:val="263238"/>
          <w:sz w:val="21"/>
        </w:rPr>
        <w:t>The</w:t>
        <w:t xml:space="preserve"> problem this article solves. The Persian Gulf Strait Authority (PGSA) exists on the water today, with a functioning portal, a vessel database, and trained staff; it also sits under a United States designation tied to its permission function and its military linkage. The Compact solves this by transformation, not humiliation.</w:t>
      </w:r>
    </w:p>
    <w:p>
      <w:pPr>
        <w:pStyle w:val="Normal"/>
        <w:spacing w:after="140"/>
        <w:ind w:left="576" w:hanging="576"/>
      </w:pPr>
      <w:r>
        <w:rPr>
          <w:b/>
          <w:color w:val="2F5670"/>
          <w:szCs w:val="24"/>
          <w:lang w:val="en-CA" w:eastAsia="en-CA" w:bidi="ar-SA"/>
          <w:rFonts w:ascii="Calibri" w:hAnsi="Calibri" w:eastAsia="Calibri" w:cs="Calibri"/>
          <w:sz w:val="21"/>
        </w:rPr>
        <w:t xml:space="preserve">9.2  </w:t>
      </w:r>
      <w:r>
        <w:rPr>
          <w:szCs w:val="24"/>
          <w:lang w:val="en-CA" w:eastAsia="en-CA" w:bidi="ar-SA"/>
          <w:rFonts w:ascii="Calibri" w:hAnsi="Calibri" w:eastAsia="Calibri" w:cs="Calibri"/>
          <w:color w:val="263238"/>
          <w:sz w:val="21"/>
        </w:rPr>
        <w:t>Transformation</w:t>
        <w:t>. On Day 0 the PGSA's permission function dissolves, and the PGSA ceases to exist as a permit-granting authority. Its civilian staff, vessel database, and public portal transfer into the Commission as the Transit Coordination Desk under Article 8.4. The Desk grants no permits; it acknowledges notices.</w:t>
      </w:r>
    </w:p>
    <w:p>
      <w:pPr>
        <w:pStyle w:val="Normal"/>
        <w:spacing w:after="140"/>
        <w:ind w:left="576" w:hanging="576"/>
      </w:pPr>
      <w:r>
        <w:rPr>
          <w:b/>
          <w:color w:val="2F5670"/>
          <w:szCs w:val="24"/>
          <w:lang w:val="en-CA" w:eastAsia="en-CA" w:bidi="ar-SA"/>
          <w:rFonts w:ascii="Calibri" w:hAnsi="Calibri" w:eastAsia="Calibri" w:cs="Calibri"/>
          <w:sz w:val="21"/>
        </w:rPr>
        <w:t xml:space="preserve">9.3  </w:t>
      </w:r>
      <w:r>
        <w:rPr>
          <w:szCs w:val="24"/>
          <w:lang w:val="en-CA" w:eastAsia="en-CA" w:bidi="ar-SA"/>
          <w:rFonts w:ascii="Calibri" w:hAnsi="Calibri" w:eastAsia="Calibri" w:cs="Calibri"/>
          <w:color w:val="263238"/>
          <w:sz w:val="21"/>
        </w:rPr>
        <w:t>The</w:t>
        <w:t xml:space="preserve"> civilian rule. Commission, Desk, and Review Panel staff are civilian maritime professionals. The framework architecture excludes military personnel from operational roles in these bodies.</w:t>
      </w:r>
    </w:p>
    <w:p>
      <w:pPr>
        <w:pStyle w:val="Normal"/>
        <w:spacing w:after="140"/>
        <w:ind w:left="576" w:hanging="576"/>
      </w:pPr>
      <w:r>
        <w:rPr>
          <w:b/>
          <w:color w:val="2F5670"/>
          <w:szCs w:val="24"/>
          <w:lang w:val="en-CA" w:eastAsia="en-CA" w:bidi="ar-SA"/>
          <w:rFonts w:ascii="Calibri" w:hAnsi="Calibri" w:eastAsia="Calibri" w:cs="Calibri"/>
          <w:sz w:val="21"/>
        </w:rPr>
        <w:t xml:space="preserve">9.4  </w:t>
      </w:r>
      <w:r>
        <w:rPr>
          <w:szCs w:val="24"/>
          <w:lang w:val="en-CA" w:eastAsia="en-CA" w:bidi="ar-SA"/>
          <w:rFonts w:ascii="Calibri" w:hAnsi="Calibri" w:eastAsia="Calibri" w:cs="Calibri"/>
          <w:color w:val="263238"/>
          <w:sz w:val="21"/>
        </w:rPr>
        <w:t>Data</w:t>
        <w:t xml:space="preserve"> inheritance. The 40-point PGSA application compresses into the 12-field Transit Notice (Annex A.3). Historical vessel records pass to the Commission under joint custody, with access logged in the Shared Digital Registry.</w:t>
      </w:r>
    </w:p>
    <w:p>
      <w:pPr>
        <w:pStyle w:val="Normal"/>
        <w:spacing w:after="140"/>
        <w:ind w:left="576" w:hanging="576"/>
      </w:pPr>
      <w:r>
        <w:rPr>
          <w:b/>
          <w:color w:val="2F5670"/>
          <w:szCs w:val="24"/>
          <w:lang w:val="en-CA" w:eastAsia="en-CA" w:bidi="ar-SA"/>
          <w:rFonts w:ascii="Calibri" w:hAnsi="Calibri" w:eastAsia="Calibri" w:cs="Calibri"/>
          <w:sz w:val="21"/>
        </w:rPr>
        <w:t xml:space="preserve">9.5  </w:t>
      </w:r>
      <w:r>
        <w:rPr>
          <w:szCs w:val="24"/>
          <w:lang w:val="en-CA" w:eastAsia="en-CA" w:bidi="ar-SA"/>
          <w:rFonts w:ascii="Calibri" w:hAnsi="Calibri" w:eastAsia="Calibri" w:cs="Calibri"/>
          <w:color w:val="263238"/>
          <w:sz w:val="21"/>
        </w:rPr>
        <w:t>The</w:t>
        <w:t xml:space="preserve"> de-designation sequence. On Day 7, upon IAEA confirmation of consolidation (Article 12.4) and activation of the Commission, the United States removes the PGSA designation and issues a general license covering Commission and Desk transactions. The framework pairs the dissolution of </w:t>
        <w:t>the permission function with the removal of the designation in one synchronized motion (Article 3.3).</w:t>
      </w:r>
    </w:p>
    <w:p>
      <w:pPr>
        <w:pStyle w:val="Normal"/>
        <w:spacing w:after="140"/>
        <w:ind w:left="576" w:hanging="576"/>
      </w:pPr>
      <w:r>
        <w:rPr>
          <w:b/>
          <w:color w:val="2F5670"/>
          <w:szCs w:val="24"/>
          <w:lang w:val="en-CA" w:eastAsia="en-CA" w:bidi="ar-SA"/>
          <w:rFonts w:ascii="Calibri" w:hAnsi="Calibri" w:eastAsia="Calibri" w:cs="Calibri"/>
          <w:sz w:val="21"/>
        </w:rPr>
        <w:t xml:space="preserve">9.6  </w:t>
      </w:r>
      <w:r>
        <w:rPr>
          <w:szCs w:val="24"/>
          <w:lang w:val="en-CA" w:eastAsia="en-CA" w:bidi="ar-SA"/>
          <w:rFonts w:ascii="Calibri" w:hAnsi="Calibri" w:eastAsia="Calibri" w:cs="Calibri"/>
          <w:color w:val="263238"/>
          <w:sz w:val="21"/>
        </w:rPr>
        <w:t>What</w:t>
        <w:t xml:space="preserve"> each side records. Tehran records: the PGSA internationalizes; its people, its systems, and its role continue inside a joint institution. Washington records: the PGSA as designated no longer exists; no permission body remains; the designation departs because the designated conduct departs. Both records describe the same event truthfully (Article 3.7).</w:t>
      </w:r>
    </w:p>
    <w:p>
      <w:pPr>
        <w:pStyle w:val="Heading2"/>
      </w:pPr>
      <w:r>
        <w:rPr>
          <w:szCs w:val="24"/>
          <w:lang w:val="en-CA" w:eastAsia="en-CA" w:bidi="ar-SA"/>
          <w:rFonts w:ascii="Calibri" w:hAnsi="Calibri" w:eastAsia="Calibri" w:cs="Calibri"/>
          <w:b/>
          <w:color w:val="263238"/>
          <w:sz w:val="21"/>
        </w:rPr>
        <w:t>Article 10: The Toll-Free Guarantee and the Maritime Services Trust</w:t>
      </w:r>
    </w:p>
    <w:p>
      <w:pPr>
        <w:pStyle w:val="Normal"/>
        <w:spacing w:after="140"/>
        <w:ind w:left="576" w:hanging="576"/>
      </w:pPr>
      <w:r>
        <w:rPr>
          <w:b/>
          <w:color w:val="2F5670"/>
          <w:szCs w:val="24"/>
          <w:lang w:val="en-CA" w:eastAsia="en-CA" w:bidi="ar-SA"/>
          <w:rFonts w:ascii="Calibri" w:hAnsi="Calibri" w:eastAsia="Calibri" w:cs="Calibri"/>
          <w:sz w:val="21"/>
        </w:rPr>
        <w:t xml:space="preserve">10.1  </w:t>
      </w:r>
      <w:r>
        <w:rPr>
          <w:szCs w:val="24"/>
          <w:lang w:val="en-CA" w:eastAsia="en-CA" w:bidi="ar-SA"/>
          <w:rFonts w:ascii="Calibri" w:hAnsi="Calibri" w:eastAsia="Calibri" w:cs="Calibri"/>
          <w:color w:val="263238"/>
          <w:sz w:val="21"/>
        </w:rPr>
        <w:t>The</w:t>
        <w:t xml:space="preserve"> guarantee. Transit through the Strait of Hormuz operates toll-free, permanently, in both corridors, for every vessel, under every flag. The framework architecture contains no toll, no transit fee, no passage charge, and no conditional payment of any kind, in any currency, under any name, forever (</w:t>
        <w:t>Nofade</w:t>
        <w:t>, Article 4.5).</w:t>
      </w:r>
    </w:p>
    <w:p>
      <w:pPr>
        <w:pStyle w:val="Normal"/>
        <w:spacing w:after="140"/>
        <w:ind w:left="576" w:hanging="576"/>
      </w:pPr>
      <w:r>
        <w:rPr>
          <w:b/>
          <w:color w:val="2F5670"/>
          <w:szCs w:val="24"/>
          <w:lang w:val="en-CA" w:eastAsia="en-CA" w:bidi="ar-SA"/>
          <w:rFonts w:ascii="Calibri" w:hAnsi="Calibri" w:eastAsia="Calibri" w:cs="Calibri"/>
          <w:sz w:val="21"/>
        </w:rPr>
        <w:t xml:space="preserve">10.2  </w:t>
      </w:r>
      <w:r>
        <w:rPr>
          <w:szCs w:val="24"/>
          <w:lang w:val="en-CA" w:eastAsia="en-CA" w:bidi="ar-SA"/>
          <w:rFonts w:ascii="Calibri" w:hAnsi="Calibri" w:eastAsia="Calibri" w:cs="Calibri"/>
          <w:color w:val="263238"/>
          <w:sz w:val="21"/>
        </w:rPr>
        <w:t>The</w:t>
        <w:t xml:space="preserve"> Trust. The Hormuz Maritime Services Trust operates under IMO administration. The Trust reimburses the Strait States for documented maritime services: traffic separation management, hydrography and charting, aids to navigation, search and rescue readiness, environmental monitoring, oil spill response readiness, and mine-risk patrol coordination. Reimbursement flows against quarterly audited invoices. The Trust collects no per-transit charge; its income comes from voluntary industry contributions through the International Chamber of Shipping and BIMCO, from anchored contributions by the Endorsing Stakeholder and other flag states, and from a standing contribution by each Strait State (Annex C).</w:t>
      </w:r>
    </w:p>
    <w:p>
      <w:pPr>
        <w:pStyle w:val="Normal"/>
        <w:spacing w:after="140"/>
        <w:ind w:left="576" w:hanging="576"/>
      </w:pPr>
      <w:r>
        <w:rPr>
          <w:b/>
          <w:color w:val="2F5670"/>
          <w:szCs w:val="24"/>
          <w:lang w:val="en-CA" w:eastAsia="en-CA" w:bidi="ar-SA"/>
          <w:rFonts w:ascii="Calibri" w:hAnsi="Calibri" w:eastAsia="Calibri" w:cs="Calibri"/>
          <w:sz w:val="21"/>
        </w:rPr>
        <w:t xml:space="preserve">10.3  </w:t>
      </w:r>
      <w:r>
        <w:rPr>
          <w:szCs w:val="24"/>
          <w:lang w:val="en-CA" w:eastAsia="en-CA" w:bidi="ar-SA"/>
          <w:rFonts w:ascii="Calibri" w:hAnsi="Calibri" w:eastAsia="Calibri" w:cs="Calibri"/>
          <w:color w:val="263238"/>
          <w:sz w:val="21"/>
        </w:rPr>
        <w:t>The</w:t>
        <w:t xml:space="preserve"> legal architecture. Passage is free; services are reimbursed. This distinction mirrors the Malacca Strait cooperative mechanism and satisfies the United Nations Convention on the Law of the Sea: no charge attaches to the right of passage, while documented services receive reimbursement after independent audit. Shippers never pay a Strait State for passage, and no payment conditions any transit.</w:t>
      </w:r>
    </w:p>
    <w:p>
      <w:pPr>
        <w:pStyle w:val="Normal"/>
        <w:spacing w:after="140"/>
        <w:ind w:left="576" w:hanging="576"/>
      </w:pPr>
      <w:r>
        <w:rPr>
          <w:b/>
          <w:color w:val="2F5670"/>
          <w:szCs w:val="24"/>
          <w:lang w:val="en-CA" w:eastAsia="en-CA" w:bidi="ar-SA"/>
          <w:rFonts w:ascii="Calibri" w:hAnsi="Calibri" w:eastAsia="Calibri" w:cs="Calibri"/>
          <w:sz w:val="21"/>
        </w:rPr>
        <w:t xml:space="preserve">10.4  </w:t>
      </w:r>
      <w:r>
        <w:rPr>
          <w:szCs w:val="24"/>
          <w:lang w:val="en-CA" w:eastAsia="en-CA" w:bidi="ar-SA"/>
          <w:rFonts w:ascii="Calibri" w:hAnsi="Calibri" w:eastAsia="Calibri" w:cs="Calibri"/>
          <w:color w:val="263238"/>
          <w:sz w:val="21"/>
        </w:rPr>
        <w:t>Ceiling</w:t>
        <w:t xml:space="preserve"> and audit. Annual reimbursements carry a ceiling of USD 900 million, indexed in the Trust charter, divided per audited service records between the two Strait States. An IMO-appointed external auditor examines every invoice. The Trust charter contains no sunset clause (</w:t>
        <w:t>Nofade</w:t>
        <w:t>, Article 4).</w:t>
      </w:r>
    </w:p>
    <w:p>
      <w:pPr>
        <w:pStyle w:val="Normal"/>
        <w:spacing w:after="140"/>
        <w:ind w:left="576" w:hanging="576"/>
      </w:pPr>
      <w:r>
        <w:rPr>
          <w:b/>
          <w:color w:val="2F5670"/>
          <w:szCs w:val="24"/>
          <w:lang w:val="en-CA" w:eastAsia="en-CA" w:bidi="ar-SA"/>
          <w:rFonts w:ascii="Calibri" w:hAnsi="Calibri" w:eastAsia="Calibri" w:cs="Calibri"/>
          <w:sz w:val="21"/>
        </w:rPr>
        <w:t xml:space="preserve">10.5  </w:t>
      </w:r>
      <w:r>
        <w:rPr>
          <w:szCs w:val="24"/>
          <w:lang w:val="en-CA" w:eastAsia="en-CA" w:bidi="ar-SA"/>
          <w:rFonts w:ascii="Calibri" w:hAnsi="Calibri" w:eastAsia="Calibri" w:cs="Calibri"/>
          <w:color w:val="263238"/>
          <w:sz w:val="21"/>
        </w:rPr>
        <w:t>The</w:t>
        <w:t xml:space="preserve"> Safe Registry. Operators who contribute to the Trust join the public Safe Registry and receive priority convoy scheduling and the Commission's safety certification, which insurers recognize in premium setting. Participation stays voluntary; transit stays free regardless. The market, not the Compact, prices the difference.</w:t>
      </w:r>
    </w:p>
    <w:p>
      <w:pPr>
        <w:pStyle w:val="Normal"/>
        <w:spacing w:after="140"/>
        <w:ind w:left="576" w:hanging="576"/>
      </w:pPr>
      <w:r>
        <w:rPr>
          <w:b/>
          <w:color w:val="2F5670"/>
          <w:szCs w:val="24"/>
          <w:lang w:val="en-CA" w:eastAsia="en-CA" w:bidi="ar-SA"/>
          <w:rFonts w:ascii="Calibri" w:hAnsi="Calibri" w:eastAsia="Calibri" w:cs="Calibri"/>
          <w:sz w:val="21"/>
        </w:rPr>
        <w:t xml:space="preserve">10.6  </w:t>
      </w:r>
      <w:r>
        <w:rPr>
          <w:szCs w:val="24"/>
          <w:lang w:val="en-CA" w:eastAsia="en-CA" w:bidi="ar-SA"/>
          <w:rFonts w:ascii="Calibri" w:hAnsi="Calibri" w:eastAsia="Calibri" w:cs="Calibri"/>
          <w:color w:val="263238"/>
          <w:sz w:val="21"/>
        </w:rPr>
        <w:t>The</w:t>
        <w:t xml:space="preserve"> Toll-Free Passage Enforcer. A dedicated sub-committee of the Commission, staffed by three independent maritime lawyers nominated by the IMO, investigates any attempt to impose a de facto toll, a disguised passage charge, or an inflated service reimbursement. The sub-committee reports its findings directly to the Strait Ombudsman (Article 18A) and to the Council of Friends (Article 18.4), and every finding publishes on the public dashboard within 7 days. A confirmed de facto toll classifies as a Tier 2 event under Article 17.</w:t>
      </w:r>
    </w:p>
    <w:p>
      <w:pPr>
        <w:pStyle w:val="Heading2"/>
      </w:pPr>
      <w:r>
        <w:rPr>
          <w:szCs w:val="24"/>
          <w:lang w:val="en-CA" w:eastAsia="en-CA" w:bidi="ar-SA"/>
          <w:rFonts w:ascii="Calibri" w:hAnsi="Calibri" w:eastAsia="Calibri" w:cs="Calibri"/>
          <w:b/>
          <w:color w:val="263238"/>
          <w:sz w:val="21"/>
        </w:rPr>
        <w:t>Article 11: The Non-Interdiction Protocol</w:t>
      </w:r>
    </w:p>
    <w:p>
      <w:pPr>
        <w:pStyle w:val="Normal"/>
        <w:spacing w:after="140"/>
        <w:ind w:left="576" w:hanging="576"/>
      </w:pPr>
      <w:r>
        <w:rPr>
          <w:b/>
          <w:color w:val="2F5670"/>
          <w:szCs w:val="24"/>
          <w:lang w:val="en-CA" w:eastAsia="en-CA" w:bidi="ar-SA"/>
          <w:rFonts w:ascii="Calibri" w:hAnsi="Calibri" w:eastAsia="Calibri" w:cs="Calibri"/>
          <w:sz w:val="21"/>
        </w:rPr>
        <w:t xml:space="preserve">11.1  </w:t>
      </w:r>
      <w:r>
        <w:rPr>
          <w:szCs w:val="24"/>
          <w:lang w:val="en-CA" w:eastAsia="en-CA" w:bidi="ar-SA"/>
          <w:rFonts w:ascii="Calibri" w:hAnsi="Calibri" w:eastAsia="Calibri" w:cs="Calibri"/>
          <w:color w:val="263238"/>
          <w:sz w:val="21"/>
        </w:rPr>
        <w:t>The</w:t>
        <w:t xml:space="preserve"> rule. Commercial transit operates under an absolute non-interdiction rule within the framework. No vessel faces stop, boarding, seizure, or diversion in either corridor, except on defined Safety Hold grounds under Article 6.3, and then only for 24 hours pending Review Panel confirmation.</w:t>
      </w:r>
    </w:p>
    <w:p>
      <w:pPr>
        <w:pStyle w:val="Normal"/>
        <w:spacing w:after="140"/>
        <w:ind w:left="576" w:hanging="576"/>
      </w:pPr>
      <w:r>
        <w:rPr>
          <w:szCs w:val="24"/>
          <w:lang w:val="en-CA" w:eastAsia="en-CA" w:bidi="ar-SA"/>
          <w:rFonts w:ascii="Calibri" w:hAnsi="Calibri" w:eastAsia="Calibri" w:cs="Calibri"/>
          <w:color w:val="2F5670"/>
          <w:sz w:val="21"/>
          <w:b/>
        </w:rPr>
        <w:t xml:space="preserve">11.2  </w:t>
      </w:r>
      <w:r>
        <w:rPr>
          <w:szCs w:val="24"/>
          <w:lang w:val="en-CA" w:eastAsia="en-CA" w:bidi="ar-SA"/>
          <w:rFonts w:ascii="Calibri" w:hAnsi="Calibri" w:eastAsia="Calibri" w:cs="Calibri"/>
          <w:color w:val="263238"/>
          <w:sz w:val="21"/>
        </w:rPr>
        <w:t>Stand</w:t>
        <w:t>-off posture. Naval forces of all participants observe the declared stand-</w:t>
        <w:t>off line</w:t>
        <w:t xml:space="preserve"> 15 nautical miles from the corridors, leaving full breathing room for merchant traffic. Any approach within 10 nautical miles of a corridor activates the hailing protocol automatically: the approaching vessel receives a hail on VHF Channel 16 and states its identity, purpose, and intended route; silence beyond 15 minutes activates automatic hotline notification under Article 5.2. Any approach within 5 nautical miles of a corridor without hail response activates immediate hotline notification.</w:t>
      </w:r>
    </w:p>
    <w:p>
      <w:pPr>
        <w:pStyle w:val="Normal"/>
        <w:spacing w:after="140"/>
        <w:ind w:left="576" w:hanging="576"/>
      </w:pPr>
      <w:r>
        <w:rPr>
          <w:b/>
          <w:color w:val="2F5670"/>
          <w:szCs w:val="24"/>
          <w:lang w:val="en-CA" w:eastAsia="en-CA" w:bidi="ar-SA"/>
          <w:rFonts w:ascii="Calibri" w:hAnsi="Calibri" w:eastAsia="Calibri" w:cs="Calibri"/>
          <w:sz w:val="21"/>
        </w:rPr>
        <w:t xml:space="preserve">11.3  </w:t>
      </w:r>
      <w:r>
        <w:rPr>
          <w:szCs w:val="24"/>
          <w:lang w:val="en-CA" w:eastAsia="en-CA" w:bidi="ar-SA"/>
          <w:rFonts w:ascii="Calibri" w:hAnsi="Calibri" w:eastAsia="Calibri" w:cs="Calibri"/>
          <w:color w:val="263238"/>
          <w:sz w:val="21"/>
        </w:rPr>
        <w:t>The</w:t>
        <w:t xml:space="preserve"> incident ladder. Every maritime incident follows one ladder: hotline notification (15 minutes), on-scene de-escalation (2 hours), Commission technical review (24 hours), Council of Friends referral (7 days) for anything unresolved. No rung of the ladder authorizes force (Article 3.5).</w:t>
      </w:r>
    </w:p>
    <w:p>
      <w:pPr>
        <w:pStyle w:val="Normal"/>
        <w:spacing w:after="140"/>
        <w:ind w:left="576" w:hanging="576"/>
      </w:pPr>
      <w:r>
        <w:rPr>
          <w:b/>
          <w:color w:val="2F5670"/>
          <w:szCs w:val="24"/>
          <w:lang w:val="en-CA" w:eastAsia="en-CA" w:bidi="ar-SA"/>
          <w:rFonts w:ascii="Calibri" w:hAnsi="Calibri" w:eastAsia="Calibri" w:cs="Calibri"/>
          <w:sz w:val="21"/>
        </w:rPr>
        <w:t xml:space="preserve">11.3a  </w:t>
      </w:r>
      <w:r>
        <w:rPr>
          <w:szCs w:val="24"/>
          <w:lang w:val="en-CA" w:eastAsia="en-CA" w:bidi="ar-SA"/>
          <w:rFonts w:ascii="Calibri" w:hAnsi="Calibri" w:eastAsia="Calibri" w:cs="Calibri"/>
          <w:color w:val="263238"/>
          <w:sz w:val="21"/>
        </w:rPr>
        <w:t>The</w:t>
        <w:t xml:space="preserve"> Rogue Actor Pathway. Where a Party attributes an incident to a rogue or errant element rather than state direction, that Party delivers its full, unredacted chain-of-command and communications logs to the Commission within 12 hours. Absent that delivery, the event classifies automatically as state-directed under Article 17. A rogue-actor finding takes effect only through Commission consensus minus one; absent that consensus, the standard incident ladder applies. This pathway is the exclusive means of claiming non-attribution.</w:t>
      </w:r>
    </w:p>
    <w:p>
      <w:pPr>
        <w:pStyle w:val="Normal"/>
        <w:spacing w:after="140"/>
        <w:ind w:left="576" w:hanging="576"/>
      </w:pPr>
      <w:r>
        <w:rPr>
          <w:b/>
          <w:color w:val="2F5670"/>
          <w:szCs w:val="24"/>
          <w:lang w:val="en-CA" w:eastAsia="en-CA" w:bidi="ar-SA"/>
          <w:rFonts w:ascii="Calibri" w:hAnsi="Calibri" w:eastAsia="Calibri" w:cs="Calibri"/>
          <w:sz w:val="21"/>
        </w:rPr>
        <w:t xml:space="preserve">11.4  </w:t>
      </w:r>
      <w:r>
        <w:rPr>
          <w:szCs w:val="24"/>
          <w:lang w:val="en-CA" w:eastAsia="en-CA" w:bidi="ar-SA"/>
          <w:rFonts w:ascii="Calibri" w:hAnsi="Calibri" w:eastAsia="Calibri" w:cs="Calibri"/>
          <w:color w:val="263238"/>
          <w:sz w:val="21"/>
        </w:rPr>
        <w:t>The</w:t>
        <w:t xml:space="preserve"> escort rule. Naval escorts of commercial convoys operate under Commission notification, in the median lane or outside corridor edges, broadcasting identity and position on AIS </w:t>
        <w:t>at all times</w:t>
        <w:t>.</w:t>
      </w:r>
    </w:p>
    <w:p>
      <w:pPr>
        <w:pStyle w:val="Heading2"/>
      </w:pPr>
      <w:r>
        <w:rPr>
          <w:szCs w:val="24"/>
          <w:lang w:val="en-CA" w:eastAsia="en-CA" w:bidi="ar-SA"/>
          <w:rFonts w:ascii="Calibri" w:hAnsi="Calibri" w:eastAsia="Calibri" w:cs="Calibri"/>
          <w:b/>
          <w:color w:val="263238"/>
          <w:sz w:val="21"/>
        </w:rPr>
        <w:t>Article 11A: Environmental Protection Protocol</w:t>
      </w:r>
    </w:p>
    <w:p>
      <w:pPr>
        <w:pStyle w:val="Normal"/>
        <w:spacing w:after="140"/>
        <w:ind w:left="576" w:hanging="576"/>
      </w:pPr>
      <w:r>
        <w:rPr>
          <w:szCs w:val="24"/>
          <w:lang w:val="en-CA" w:eastAsia="en-CA" w:bidi="ar-SA"/>
          <w:rFonts w:ascii="Calibri" w:hAnsi="Calibri" w:eastAsia="Calibri" w:cs="Calibri"/>
          <w:color w:val="2F5670"/>
          <w:sz w:val="21"/>
          <w:b/>
        </w:rPr>
        <w:t xml:space="preserve">11A.1  </w:t>
      </w:r>
      <w:r>
        <w:rPr>
          <w:szCs w:val="24"/>
          <w:lang w:val="en-CA" w:eastAsia="en-CA" w:bidi="ar-SA"/>
          <w:rFonts w:ascii="Calibri" w:hAnsi="Calibri" w:eastAsia="Calibri" w:cs="Calibri"/>
          <w:color w:val="263238"/>
          <w:sz w:val="21"/>
        </w:rPr>
        <w:t>Joint</w:t>
        <w:t xml:space="preserve"> environmental monitoring. The Strait States operate a joint environmental monitoring program for the Strait under Commission coordination: water quality sensors, satellite observation, and port-state inspections feed a shared environmental register inside the Shared Digital Registry.</w:t>
      </w:r>
    </w:p>
    <w:p>
      <w:pPr>
        <w:pStyle w:val="Normal"/>
        <w:spacing w:after="140"/>
        <w:ind w:left="576" w:hanging="576"/>
      </w:pPr>
      <w:r>
        <w:rPr>
          <w:szCs w:val="24"/>
          <w:lang w:val="en-CA" w:eastAsia="en-CA" w:bidi="ar-SA"/>
          <w:rFonts w:ascii="Calibri" w:hAnsi="Calibri" w:eastAsia="Calibri" w:cs="Calibri"/>
          <w:color w:val="2F5670"/>
          <w:sz w:val="21"/>
          <w:b/>
        </w:rPr>
        <w:t xml:space="preserve">11A.2  </w:t>
      </w:r>
      <w:r>
        <w:rPr>
          <w:szCs w:val="24"/>
          <w:lang w:val="en-CA" w:eastAsia="en-CA" w:bidi="ar-SA"/>
          <w:rFonts w:ascii="Calibri" w:hAnsi="Calibri" w:eastAsia="Calibri" w:cs="Calibri"/>
          <w:color w:val="263238"/>
          <w:sz w:val="21"/>
        </w:rPr>
        <w:t>Spill</w:t>
        <w:t xml:space="preserve"> prevention and response. The framework maintains a standing oil spill prevention and response plan: response vessels pre-position at both coasts, joint drills run twice per year, and any spill activates joint response within 6 hours, with costs shared per Annex C.</w:t>
      </w:r>
    </w:p>
    <w:p>
      <w:pPr>
        <w:pStyle w:val="Normal"/>
        <w:spacing w:after="140"/>
        <w:ind w:left="576" w:hanging="576"/>
      </w:pPr>
      <w:r>
        <w:rPr>
          <w:szCs w:val="24"/>
          <w:lang w:val="en-CA" w:eastAsia="en-CA" w:bidi="ar-SA"/>
          <w:rFonts w:ascii="Calibri" w:hAnsi="Calibri" w:eastAsia="Calibri" w:cs="Calibri"/>
          <w:color w:val="2F5670"/>
          <w:sz w:val="21"/>
          <w:b/>
        </w:rPr>
        <w:t xml:space="preserve">11A.3  </w:t>
      </w:r>
      <w:r>
        <w:rPr>
          <w:szCs w:val="24"/>
          <w:lang w:val="en-CA" w:eastAsia="en-CA" w:bidi="ar-SA"/>
          <w:rFonts w:ascii="Calibri" w:hAnsi="Calibri" w:eastAsia="Calibri" w:cs="Calibri"/>
          <w:color w:val="263238"/>
          <w:sz w:val="21"/>
        </w:rPr>
        <w:t>Pollution</w:t>
        <w:t xml:space="preserve"> control. The Commission sets discharge and emissions standards for transiting vessels consistent with the MARPOL Convention, and the environmental register records every violation. Persistent violators lose Safe Registry standing (Article 10.5).</w:t>
      </w:r>
    </w:p>
    <w:p>
      <w:pPr>
        <w:pStyle w:val="Heading2"/>
      </w:pPr>
      <w:r>
        <w:rPr>
          <w:szCs w:val="24"/>
          <w:lang w:val="en-CA" w:eastAsia="en-CA" w:bidi="ar-SA"/>
          <w:rFonts w:ascii="Calibri" w:hAnsi="Calibri" w:eastAsia="Calibri" w:cs="Calibri"/>
          <w:b/>
          <w:color w:val="263238"/>
          <w:sz w:val="21"/>
        </w:rPr>
        <w:t>Article 11B: Mariner Welfare and Safety Guarantee</w:t>
      </w:r>
    </w:p>
    <w:p>
      <w:pPr>
        <w:pStyle w:val="Normal"/>
        <w:spacing w:after="140"/>
        <w:ind w:left="576" w:hanging="576"/>
      </w:pPr>
      <w:r>
        <w:rPr>
          <w:b/>
          <w:color w:val="2F5670"/>
          <w:szCs w:val="24"/>
          <w:lang w:val="en-CA" w:eastAsia="en-CA" w:bidi="ar-SA"/>
          <w:rFonts w:ascii="Calibri" w:hAnsi="Calibri" w:eastAsia="Calibri" w:cs="Calibri"/>
          <w:sz w:val="21"/>
        </w:rPr>
        <w:t xml:space="preserve">11B.1  </w:t>
      </w:r>
      <w:r>
        <w:rPr>
          <w:szCs w:val="24"/>
          <w:lang w:val="en-CA" w:eastAsia="en-CA" w:bidi="ar-SA"/>
          <w:rFonts w:ascii="Calibri" w:hAnsi="Calibri" w:eastAsia="Calibri" w:cs="Calibri"/>
          <w:color w:val="263238"/>
          <w:sz w:val="21"/>
        </w:rPr>
        <w:t>The</w:t>
        <w:t xml:space="preserve"> guarantee. Every mariner transiting the Strait holds guaranteed rights under this Compact: safe passage for medical emergencies, timely crew changes, access to consular assistance, and protection from arbitrary detention. Annex F carries the full guarantee.</w:t>
      </w:r>
    </w:p>
    <w:p>
      <w:pPr>
        <w:pStyle w:val="Normal"/>
        <w:spacing w:after="140"/>
        <w:ind w:left="576" w:hanging="576"/>
      </w:pPr>
      <w:r>
        <w:rPr>
          <w:szCs w:val="24"/>
          <w:lang w:val="en-CA" w:eastAsia="en-CA" w:bidi="ar-SA"/>
          <w:rFonts w:ascii="Calibri" w:hAnsi="Calibri" w:eastAsia="Calibri" w:cs="Calibri"/>
          <w:color w:val="2F5670"/>
          <w:sz w:val="21"/>
          <w:b/>
        </w:rPr>
        <w:t xml:space="preserve">11B.2  </w:t>
      </w:r>
      <w:r>
        <w:rPr>
          <w:szCs w:val="24"/>
          <w:lang w:val="en-CA" w:eastAsia="en-CA" w:bidi="ar-SA"/>
          <w:rFonts w:ascii="Calibri" w:hAnsi="Calibri" w:eastAsia="Calibri" w:cs="Calibri"/>
          <w:color w:val="263238"/>
          <w:sz w:val="21"/>
        </w:rPr>
        <w:t>Medical</w:t>
        <w:t xml:space="preserve"> emergencies. A medical emergency on any vessel activates immediate humanitarian lane access to the nearest port of either Strait State, regardless of flag, cargo, or compliance status (Article 3.4).</w:t>
      </w:r>
    </w:p>
    <w:p>
      <w:pPr>
        <w:pStyle w:val="Normal"/>
        <w:spacing w:after="140"/>
        <w:ind w:left="576" w:hanging="576"/>
      </w:pPr>
      <w:r>
        <w:rPr>
          <w:szCs w:val="24"/>
          <w:lang w:val="en-CA" w:eastAsia="en-CA" w:bidi="ar-SA"/>
          <w:rFonts w:ascii="Calibri" w:hAnsi="Calibri" w:eastAsia="Calibri" w:cs="Calibri"/>
          <w:color w:val="2F5670"/>
          <w:sz w:val="21"/>
          <w:b/>
        </w:rPr>
        <w:t xml:space="preserve">11B.3  </w:t>
      </w:r>
      <w:r>
        <w:rPr>
          <w:szCs w:val="24"/>
          <w:lang w:val="en-CA" w:eastAsia="en-CA" w:bidi="ar-SA"/>
          <w:rFonts w:ascii="Calibri" w:hAnsi="Calibri" w:eastAsia="Calibri" w:cs="Calibri"/>
          <w:color w:val="263238"/>
          <w:sz w:val="21"/>
        </w:rPr>
        <w:t>Detention</w:t>
        <w:t xml:space="preserve"> safeguards. No mariner faces detention except under a defined Safety Hold or applicable international law. Every detention triggers consular notification within 12 hours and Commission review within 48 hours.</w:t>
      </w:r>
    </w:p>
    <w:p>
      <w:pPr>
        <w:pStyle w:val="Heading1"/>
        <w:pBdr>
          <w:bottom w:val="single" w:sz="6" w:space="3" w:color="B8860B"/>
        </w:pBdr>
      </w:pPr>
      <w:r>
        <w:rPr>
          <w:szCs w:val="24"/>
          <w:lang w:val="en-CA" w:eastAsia="en-CA" w:bidi="ar-SA"/>
          <w:rFonts w:ascii="Calibri" w:hAnsi="Calibri" w:eastAsia="Calibri" w:cs="Calibri"/>
          <w:b/>
          <w:color w:val="23445A"/>
          <w:sz w:val="19"/>
        </w:rPr>
        <w:t>PART III: THE NUCLEAR BRIDGE</w:t>
      </w:r>
    </w:p>
    <w:p>
      <w:pPr>
        <w:pStyle w:val="Heading2"/>
      </w:pPr>
      <w:r>
        <w:rPr>
          <w:szCs w:val="24"/>
          <w:lang w:val="en-CA" w:eastAsia="en-CA" w:bidi="ar-SA"/>
          <w:rFonts w:ascii="Calibri" w:hAnsi="Calibri" w:eastAsia="Calibri" w:cs="Calibri"/>
          <w:b/>
          <w:color w:val="263238"/>
          <w:sz w:val="21"/>
        </w:rPr>
        <w:t>Article 12: The In-Place Disposition: Dust to Fuel</w:t>
      </w:r>
    </w:p>
    <w:p>
      <w:pPr>
        <w:pStyle w:val="Normal"/>
        <w:spacing w:after="140"/>
        <w:ind w:left="576" w:hanging="576"/>
      </w:pPr>
      <w:r>
        <w:rPr>
          <w:b/>
          <w:color w:val="2F5670"/>
          <w:szCs w:val="24"/>
          <w:lang w:val="en-CA" w:eastAsia="en-CA" w:bidi="ar-SA"/>
          <w:rFonts w:ascii="Calibri" w:hAnsi="Calibri" w:eastAsia="Calibri" w:cs="Calibri"/>
          <w:sz w:val="21"/>
        </w:rPr>
        <w:t xml:space="preserve">12.1  </w:t>
      </w:r>
      <w:r>
        <w:rPr>
          <w:szCs w:val="24"/>
          <w:lang w:val="en-CA" w:eastAsia="en-CA" w:bidi="ar-SA"/>
          <w:rFonts w:ascii="Calibri" w:hAnsi="Calibri" w:eastAsia="Calibri" w:cs="Calibri"/>
          <w:color w:val="263238"/>
          <w:sz w:val="21"/>
        </w:rPr>
        <w:t>The</w:t>
        <w:t xml:space="preserve"> formula. The Compact answers the enriched uranium question in place, on Iranian soil, under continuous international witness. The formula: </w:t>
        <w:t>downblend</w:t>
        <w:t xml:space="preserve">, convert, burn. Every gram stays in Iran; every gram loses weapons usability forever. This Article implements paragraph 8 of the Islamabad Memorandum of Understanding, which commits the Parties to the disposition of stockpiled enriched material through, at minimum, </w:t>
        <w:t>downblending</w:t>
        <w:t xml:space="preserve"> on site under the supervision of the International Atomic Energy Agency. The formula carries two truthful names: Dust to Fuel in the Washington record, Fuel from Dust in the Tehran record. Both names describe one physical process.</w:t>
      </w:r>
    </w:p>
    <w:p>
      <w:pPr>
        <w:pStyle w:val="Normal"/>
        <w:spacing w:after="140"/>
        <w:ind w:left="576" w:hanging="576"/>
      </w:pPr>
      <w:r>
        <w:rPr>
          <w:b/>
          <w:color w:val="2F5670"/>
          <w:szCs w:val="24"/>
          <w:lang w:val="en-CA" w:eastAsia="en-CA" w:bidi="ar-SA"/>
          <w:rFonts w:ascii="Calibri" w:hAnsi="Calibri" w:eastAsia="Calibri" w:cs="Calibri"/>
          <w:sz w:val="21"/>
        </w:rPr>
        <w:t xml:space="preserve">12.2  </w:t>
      </w:r>
      <w:r>
        <w:rPr>
          <w:szCs w:val="24"/>
          <w:lang w:val="en-CA" w:eastAsia="en-CA" w:bidi="ar-SA"/>
          <w:rFonts w:ascii="Calibri" w:hAnsi="Calibri" w:eastAsia="Calibri" w:cs="Calibri"/>
          <w:color w:val="263238"/>
          <w:sz w:val="21"/>
        </w:rPr>
        <w:t>Definition</w:t>
        <w:t xml:space="preserve"> of Disposition. Disposition means the irreversible </w:t>
        <w:t>downblending</w:t>
        <w:t xml:space="preserve"> of all uranium enriched above 3.67 percent U-235 to an assay at or below 3.67 percent, followed by conversion into reactor fuel assemblies for the Bushehr and </w:t>
        <w:t>Darkhovin</w:t>
        <w:t xml:space="preserve"> power plants, followed by reactor burn. Disposition destroys the weapons usability of the material in place; physics offers no other destruction for atoms short of the reactor burn, and the Compact includes the reactor burn. The Compact records this definition so that every participant describes one physical process accurately (Article 3.7).</w:t>
      </w:r>
    </w:p>
    <w:p>
      <w:pPr>
        <w:pStyle w:val="Normal"/>
        <w:spacing w:after="140"/>
        <w:ind w:left="576" w:hanging="576"/>
      </w:pPr>
      <w:r>
        <w:rPr>
          <w:b/>
          <w:color w:val="2F5670"/>
          <w:szCs w:val="24"/>
          <w:lang w:val="en-CA" w:eastAsia="en-CA" w:bidi="ar-SA"/>
          <w:rFonts w:ascii="Calibri" w:hAnsi="Calibri" w:eastAsia="Calibri" w:cs="Calibri"/>
          <w:sz w:val="21"/>
        </w:rPr>
        <w:t xml:space="preserve">12.3  </w:t>
      </w:r>
      <w:r>
        <w:rPr>
          <w:szCs w:val="24"/>
          <w:lang w:val="en-CA" w:eastAsia="en-CA" w:bidi="ar-SA"/>
          <w:rFonts w:ascii="Calibri" w:hAnsi="Calibri" w:eastAsia="Calibri" w:cs="Calibri"/>
          <w:color w:val="263238"/>
          <w:sz w:val="21"/>
        </w:rPr>
        <w:t>The</w:t>
        <w:t xml:space="preserve"> three-layer answer to the Nuclear Dust demand. Layer one: the demand's own text names destruction in place, in coordination with the Islamic Republic of Iran, witnessed by the atomic energy authority or its equivalent, as the preferable path; the Compact selects exactly that path. </w:t>
        <w:t xml:space="preserve">Layer two: </w:t>
        <w:t>downblending</w:t>
        <w:t xml:space="preserve"> constitutes functional destruction, because dilution to 3.67 percent removes weapons usability irreversibly under continuous witness, and any reconstitution takes months of detectable work. Layer three: conversion and reactor burn complete the destruction, because the </w:t>
        <w:t>downblended</w:t>
        <w:t xml:space="preserve"> material becomes fuel assemblies and then electricity. The dust dies; the atoms serve.</w:t>
      </w:r>
    </w:p>
    <w:p>
      <w:pPr>
        <w:pStyle w:val="Normal"/>
        <w:spacing w:after="140"/>
        <w:ind w:left="576" w:hanging="576"/>
      </w:pPr>
      <w:r>
        <w:rPr>
          <w:b/>
          <w:color w:val="2F5670"/>
          <w:szCs w:val="24"/>
          <w:lang w:val="en-CA" w:eastAsia="en-CA" w:bidi="ar-SA"/>
          <w:rFonts w:ascii="Calibri" w:hAnsi="Calibri" w:eastAsia="Calibri" w:cs="Calibri"/>
          <w:sz w:val="21"/>
        </w:rPr>
        <w:t xml:space="preserve">12.4  </w:t>
      </w:r>
      <w:r>
        <w:rPr>
          <w:szCs w:val="24"/>
          <w:lang w:val="en-CA" w:eastAsia="en-CA" w:bidi="ar-SA"/>
          <w:rFonts w:ascii="Calibri" w:hAnsi="Calibri" w:eastAsia="Calibri" w:cs="Calibri"/>
          <w:color w:val="263238"/>
          <w:sz w:val="21"/>
        </w:rPr>
        <w:t>Freeze</w:t>
        <w:t xml:space="preserve"> and consolidation (Days 0 to 14). On Day 0 the framework freezes all uranium enriched above 3.67 percent: no movement, no processing, no access except under dual-lock seals, which the IAEA applies with Iranian and Agency custody keys both present. By Day 7 the full inventory consolidates at the Esfahan disposition facility under IAEA material accountancy, and the IAEA confirms consolidation in writing. The IAEA issues the consolidation certificate on Day 14.</w:t>
      </w:r>
    </w:p>
    <w:p>
      <w:pPr>
        <w:pStyle w:val="Normal"/>
        <w:spacing w:after="140"/>
        <w:ind w:left="576" w:hanging="576"/>
      </w:pPr>
      <w:r>
        <w:rPr>
          <w:b/>
          <w:color w:val="2F5670"/>
          <w:szCs w:val="24"/>
          <w:lang w:val="en-CA" w:eastAsia="en-CA" w:bidi="ar-SA"/>
          <w:rFonts w:ascii="Calibri" w:hAnsi="Calibri" w:eastAsia="Calibri" w:cs="Calibri"/>
          <w:sz w:val="21"/>
        </w:rPr>
        <w:t xml:space="preserve">12.5  </w:t>
      </w:r>
      <w:r>
        <w:rPr>
          <w:szCs w:val="24"/>
          <w:lang w:val="en-CA" w:eastAsia="en-CA" w:bidi="ar-SA"/>
          <w:rFonts w:ascii="Calibri" w:hAnsi="Calibri" w:eastAsia="Calibri" w:cs="Calibri"/>
          <w:color w:val="263238"/>
          <w:sz w:val="21"/>
        </w:rPr>
        <w:t>Downblending</w:t>
        <w:t xml:space="preserve"> (Days 7 to 90). </w:t>
        <w:t>Downblending</w:t>
        <w:t xml:space="preserve"> begins on Day 7 under continuous IAEA inspector presence, with 24-hour batch telemetry to the Agency and the Commission, and mass spectrometry sampling at every blend point. The campaign completes no later than Day 90, when the IAEA issues the Disposition Certificate: all previously weapons-usable material stands destroyed in place.</w:t>
      </w:r>
    </w:p>
    <w:p>
      <w:pPr>
        <w:pStyle w:val="Normal"/>
        <w:spacing w:after="140"/>
        <w:ind w:left="576" w:hanging="576"/>
      </w:pPr>
      <w:r>
        <w:rPr>
          <w:b/>
          <w:color w:val="2F5670"/>
          <w:szCs w:val="24"/>
          <w:lang w:val="en-CA" w:eastAsia="en-CA" w:bidi="ar-SA"/>
          <w:rFonts w:ascii="Calibri" w:hAnsi="Calibri" w:eastAsia="Calibri" w:cs="Calibri"/>
          <w:sz w:val="21"/>
        </w:rPr>
        <w:t xml:space="preserve">12.6  </w:t>
      </w:r>
      <w:r>
        <w:rPr>
          <w:szCs w:val="24"/>
          <w:lang w:val="en-CA" w:eastAsia="en-CA" w:bidi="ar-SA"/>
          <w:rFonts w:ascii="Calibri" w:hAnsi="Calibri" w:eastAsia="Calibri" w:cs="Calibri"/>
          <w:color w:val="263238"/>
          <w:sz w:val="21"/>
        </w:rPr>
        <w:t>Fuel</w:t>
        <w:t xml:space="preserve"> conversion (Days 60 to 180). The </w:t>
        <w:t>downblended</w:t>
        <w:t xml:space="preserve"> stock converts into fuel assemblies under the same custody chain. Assembly loading into Bushehr and </w:t>
        <w:t>Darkhovin</w:t>
        <w:t xml:space="preserve"> begins on Day 120 and completes on Day 180.</w:t>
      </w:r>
    </w:p>
    <w:p>
      <w:pPr>
        <w:pStyle w:val="Normal"/>
        <w:spacing w:after="140"/>
        <w:ind w:left="576" w:hanging="576"/>
      </w:pPr>
      <w:r>
        <w:rPr>
          <w:b/>
          <w:color w:val="2F5670"/>
          <w:szCs w:val="24"/>
          <w:lang w:val="en-CA" w:eastAsia="en-CA" w:bidi="ar-SA"/>
          <w:rFonts w:ascii="Calibri" w:hAnsi="Calibri" w:eastAsia="Calibri" w:cs="Calibri"/>
          <w:sz w:val="21"/>
        </w:rPr>
        <w:t xml:space="preserve">12.7  </w:t>
      </w:r>
      <w:r>
        <w:rPr>
          <w:szCs w:val="24"/>
          <w:lang w:val="en-CA" w:eastAsia="en-CA" w:bidi="ar-SA"/>
          <w:rFonts w:ascii="Calibri" w:hAnsi="Calibri" w:eastAsia="Calibri" w:cs="Calibri"/>
          <w:color w:val="263238"/>
          <w:sz w:val="21"/>
        </w:rPr>
        <w:t>The</w:t>
        <w:t xml:space="preserve"> standing ceiling. From Day 0 onward, enrichment across Iran operates at or below 3.67 percent U-235. Advanced centrifuge rotors beyond the two-rotor research allowance leave service, enter dual-lock containers, and move to the monitored storage hall within 45 days. Fordow converts into an international medical isotope center under joint Iranian and IAEA oversight, producing isotopes for regional hospitals, with a standing cap of 500 first-generation machines for isotope work.</w:t>
      </w:r>
    </w:p>
    <w:p>
      <w:pPr>
        <w:pStyle w:val="Normal"/>
        <w:spacing w:after="140"/>
        <w:ind w:left="576" w:hanging="576"/>
      </w:pPr>
      <w:r>
        <w:rPr>
          <w:b/>
          <w:color w:val="2F5670"/>
          <w:szCs w:val="24"/>
          <w:lang w:val="en-CA" w:eastAsia="en-CA" w:bidi="ar-SA"/>
          <w:rFonts w:ascii="Calibri" w:hAnsi="Calibri" w:eastAsia="Calibri" w:cs="Calibri"/>
          <w:sz w:val="21"/>
        </w:rPr>
        <w:t xml:space="preserve">12.8  </w:t>
      </w:r>
      <w:r>
        <w:rPr>
          <w:szCs w:val="24"/>
          <w:lang w:val="en-CA" w:eastAsia="en-CA" w:bidi="ar-SA"/>
          <w:rFonts w:ascii="Calibri" w:hAnsi="Calibri" w:eastAsia="Calibri" w:cs="Calibri"/>
          <w:color w:val="263238"/>
          <w:sz w:val="21"/>
        </w:rPr>
        <w:t>The</w:t>
        <w:t xml:space="preserve"> Joint Disposition Fund. A dedicated fund, capitalized by the Endorsing Stakeholder and the Strait States, pays the verified costs of consolidation, </w:t>
        <w:t>downblending</w:t>
        <w:t>, conversion, storage, and monitoring. The Swiss facilitator administers the Fund. The IAEA certifies each completed stage before the Fund disburses the matching tranche. The Endorsing Stakeholder's contribution purchases verified disposition services, nothing else.</w:t>
      </w:r>
    </w:p>
    <w:p>
      <w:pPr>
        <w:pStyle w:val="Normal"/>
        <w:spacing w:after="140"/>
        <w:ind w:left="576" w:hanging="576"/>
      </w:pPr>
      <w:r>
        <w:rPr>
          <w:b/>
          <w:color w:val="263238"/>
          <w:szCs w:val="24"/>
          <w:lang w:val="en-CA" w:eastAsia="en-CA" w:bidi="ar-SA"/>
          <w:rFonts w:ascii="Calibri" w:hAnsi="Calibri" w:eastAsia="Calibri" w:cs="Calibri"/>
          <w:sz w:val="21"/>
        </w:rPr>
        <w:t xml:space="preserve">12.9  </w:t>
      </w:r>
      <w:r>
        <w:rPr>
          <w:szCs w:val="24"/>
          <w:lang w:val="en-CA" w:eastAsia="en-CA" w:bidi="ar-SA"/>
          <w:rFonts w:ascii="Calibri" w:hAnsi="Calibri" w:eastAsia="Calibri" w:cs="Calibri"/>
          <w:color w:val="263238"/>
          <w:sz w:val="18"/>
        </w:rPr>
        <w:t>Truthful</w:t>
        <w:t xml:space="preserve"> duality on the dust. Washington records: the Nuclear Dust faces destruction in place, under continuous witness, on the President's stated preferable path, and Iran never enriches above 3.67 percent again under this architecture. Tehran records: not one gram of Iranian uranium leaves Iranian soil; the material transforms into fuel for Iranian reactors under Iranian custody; the right to peaceful nuclear technology stands affirmed in writing. Both records describe the same physical process truthfully.</w:t>
      </w:r>
    </w:p>
    <w:p>
      <w:pPr>
        <w:pStyle w:val="Normal"/>
        <w:spacing w:after="140"/>
        <w:ind w:left="576" w:hanging="576"/>
      </w:pPr>
      <w:r>
        <w:rPr>
          <w:b/>
          <w:color w:val="263238"/>
          <w:szCs w:val="24"/>
          <w:lang w:val="en-CA" w:eastAsia="en-CA" w:bidi="ar-SA"/>
          <w:rFonts w:ascii="Calibri" w:hAnsi="Calibri" w:eastAsia="Calibri" w:cs="Calibri"/>
          <w:sz w:val="21"/>
        </w:rPr>
        <w:t xml:space="preserve">12.9a  </w:t>
      </w:r>
      <w:r>
        <w:rPr>
          <w:szCs w:val="24"/>
          <w:lang w:val="en-CA" w:eastAsia="en-CA" w:bidi="ar-SA"/>
          <w:rFonts w:ascii="Calibri" w:hAnsi="Calibri" w:eastAsia="Calibri" w:cs="Calibri"/>
          <w:color w:val="263238"/>
          <w:sz w:val="18"/>
        </w:rPr>
        <w:t>Fuel</w:t>
        <w:t xml:space="preserve"> from Dust. Tehran records: the material transforms from a strategic concern into civilian fuel for Iranian reactors, under Iranian custody, on Iranian soil. The Compact records this transformation as Fuel from Dust, a neutral descriptor that captures both the end of weapons usability and the creation of civilian energy. Dust to Fuel and Fuel from Dust name the same physical process, and both names stand equally in every official text.</w:t>
      </w:r>
    </w:p>
    <w:p>
      <w:pPr>
        <w:pStyle w:val="Normal"/>
        <w:spacing w:after="140"/>
        <w:ind w:left="576" w:hanging="576"/>
      </w:pPr>
      <w:r>
        <w:rPr>
          <w:szCs w:val="24"/>
          <w:lang w:val="en-CA" w:eastAsia="en-CA" w:bidi="ar-SA"/>
          <w:rFonts w:ascii="Calibri" w:hAnsi="Calibri" w:eastAsia="Calibri" w:cs="Calibri"/>
          <w:color w:val="263238"/>
          <w:sz w:val="21"/>
        </w:rPr>
        <w:t xml:space="preserve">12.10  </w:t>
      </w:r>
      <w:r>
        <w:rPr>
          <w:szCs w:val="24"/>
          <w:lang w:val="en-CA" w:eastAsia="en-CA" w:bidi="ar-SA"/>
          <w:rFonts w:ascii="Calibri" w:hAnsi="Calibri" w:eastAsia="Calibri" w:cs="Calibri"/>
          <w:color w:val="263238"/>
          <w:sz w:val="18"/>
        </w:rPr>
        <w:t>No</w:t>
        <w:t xml:space="preserve"> weapons, ever. The framework architecture excludes any activity designed to produce a nuclear weapon or weapons-usable fissile material. Such activity constitutes a Tier 3 event under Article 17 and activates the maximum graduated response of the compliance engine (Annex B). The nuclear disposition methodology of this Compact, </w:t>
        <w:t>downblending</w:t>
        <w:t xml:space="preserve"> in place, conversion to fuel, and reactor burn, is sui generis, tailored to the Iranian nuclear program and the Strait of Hormuz crisis of 2026. It establishes no legal or political precedent for any other state's program, any other methodology, or any other negotiation, and no provision of this Compact </w:t>
        <w:t>supports</w:t>
        <w:t xml:space="preserve"> citation as precedent in any other forum.</w:t>
      </w:r>
    </w:p>
    <w:p>
      <w:pPr>
        <w:pStyle w:val="Heading2"/>
      </w:pPr>
      <w:r>
        <w:rPr>
          <w:szCs w:val="24"/>
          <w:lang w:val="en-CA" w:eastAsia="en-CA" w:bidi="ar-SA"/>
          <w:rFonts w:ascii="Calibri" w:hAnsi="Calibri" w:eastAsia="Calibri" w:cs="Calibri"/>
          <w:b/>
          <w:color w:val="B8860B"/>
          <w:sz w:val="19"/>
        </w:rPr>
        <w:t>Article 13: Verification Architecture</w:t>
      </w:r>
    </w:p>
    <w:p>
      <w:pPr>
        <w:pStyle w:val="Normal"/>
        <w:spacing w:after="140"/>
        <w:ind w:left="576" w:hanging="576"/>
      </w:pPr>
      <w:r>
        <w:rPr>
          <w:b/>
          <w:color w:val="263238"/>
          <w:szCs w:val="24"/>
          <w:lang w:val="en-CA" w:eastAsia="en-CA" w:bidi="ar-SA"/>
          <w:rFonts w:ascii="Calibri" w:hAnsi="Calibri" w:eastAsia="Calibri" w:cs="Calibri"/>
          <w:sz w:val="21"/>
        </w:rPr>
        <w:t xml:space="preserve">13.1  </w:t>
      </w:r>
      <w:r>
        <w:rPr>
          <w:szCs w:val="24"/>
          <w:lang w:val="en-CA" w:eastAsia="en-CA" w:bidi="ar-SA"/>
          <w:rFonts w:ascii="Calibri" w:hAnsi="Calibri" w:eastAsia="Calibri" w:cs="Calibri"/>
          <w:color w:val="263238"/>
          <w:sz w:val="18"/>
        </w:rPr>
        <w:t>Sole</w:t>
        <w:t xml:space="preserve"> verifier. The IAEA verifies the nuclear disposition and the standing ceiling. No other body shares this role; the Commission observes the shared dashboard.</w:t>
      </w:r>
    </w:p>
    <w:p>
      <w:pPr>
        <w:pStyle w:val="Normal"/>
        <w:spacing w:after="140"/>
        <w:ind w:left="576" w:hanging="576"/>
      </w:pPr>
      <w:r>
        <w:rPr>
          <w:b/>
          <w:color w:val="263238"/>
          <w:szCs w:val="24"/>
          <w:lang w:val="en-CA" w:eastAsia="en-CA" w:bidi="ar-SA"/>
          <w:rFonts w:ascii="Calibri" w:hAnsi="Calibri" w:eastAsia="Calibri" w:cs="Calibri"/>
          <w:sz w:val="21"/>
        </w:rPr>
        <w:t xml:space="preserve">13.2  </w:t>
      </w:r>
      <w:r>
        <w:rPr>
          <w:szCs w:val="24"/>
          <w:lang w:val="en-CA" w:eastAsia="en-CA" w:bidi="ar-SA"/>
          <w:rFonts w:ascii="Calibri" w:hAnsi="Calibri" w:eastAsia="Calibri" w:cs="Calibri"/>
          <w:color w:val="263238"/>
          <w:sz w:val="18"/>
        </w:rPr>
        <w:t>Simultaneous</w:t>
        <w:t xml:space="preserve"> telemetry. All monitoring data transmits to the IAEA, the Commission, and both Strait States with identical latency. The Shared Digital Registry logs every transmission with cryptographic chain of custody. No participant receives earlier, preferential, or exclusive feeds.</w:t>
      </w:r>
    </w:p>
    <w:p>
      <w:pPr>
        <w:pStyle w:val="Normal"/>
        <w:spacing w:after="140"/>
        <w:ind w:left="576" w:hanging="576"/>
      </w:pPr>
      <w:r>
        <w:rPr>
          <w:b/>
          <w:color w:val="263238"/>
          <w:szCs w:val="24"/>
          <w:lang w:val="en-CA" w:eastAsia="en-CA" w:bidi="ar-SA"/>
          <w:rFonts w:ascii="Calibri" w:hAnsi="Calibri" w:eastAsia="Calibri" w:cs="Calibri"/>
          <w:sz w:val="21"/>
        </w:rPr>
        <w:t xml:space="preserve">13.3  </w:t>
      </w:r>
      <w:r>
        <w:rPr>
          <w:szCs w:val="24"/>
          <w:lang w:val="en-CA" w:eastAsia="en-CA" w:bidi="ar-SA"/>
          <w:rFonts w:ascii="Calibri" w:hAnsi="Calibri" w:eastAsia="Calibri" w:cs="Calibri"/>
          <w:color w:val="263238"/>
          <w:sz w:val="18"/>
        </w:rPr>
        <w:t>The</w:t>
        <w:t xml:space="preserve"> alert ladder. Level 1 (informational): no action. Level 2 (technical review): Commission technical review within 7 days. Level 3 (compliance review): enhanced IAEA inspection within 72 hours. Level 4 (breach indicator): the Commission convenes within 24 </w:t>
        <w:t>hours</w:t>
        <w:t xml:space="preserve"> and executive consultation precedes any consequence. Only Level 4 connects to the compliance engine.</w:t>
      </w:r>
    </w:p>
    <w:p>
      <w:pPr>
        <w:pStyle w:val="Normal"/>
        <w:spacing w:after="140"/>
        <w:ind w:left="576" w:hanging="576"/>
      </w:pPr>
      <w:r>
        <w:rPr>
          <w:b/>
          <w:color w:val="263238"/>
          <w:szCs w:val="24"/>
          <w:lang w:val="en-CA" w:eastAsia="en-CA" w:bidi="ar-SA"/>
          <w:rFonts w:ascii="Calibri" w:hAnsi="Calibri" w:eastAsia="Calibri" w:cs="Calibri"/>
          <w:sz w:val="21"/>
        </w:rPr>
        <w:t xml:space="preserve">13.4  </w:t>
      </w:r>
      <w:r>
        <w:rPr>
          <w:szCs w:val="24"/>
          <w:lang w:val="en-CA" w:eastAsia="en-CA" w:bidi="ar-SA"/>
          <w:rFonts w:ascii="Calibri" w:hAnsi="Calibri" w:eastAsia="Calibri" w:cs="Calibri"/>
          <w:color w:val="263238"/>
          <w:sz w:val="18"/>
        </w:rPr>
        <w:t>The</w:t>
        <w:t xml:space="preserve"> 48-hour telemetry rule. If telemetry from a disposition-relevant facility stays unavailable for 48 consecutive hours, and the IAEA certifies the gap is not equipment failure or maintenance, the benefits linked to that facility suspend automatically. No human veto overrides this suspension. Restoration of verified telemetry lifts the suspension immediately. This rule is the sole automatic trigger in the Compact.</w:t>
      </w:r>
    </w:p>
    <w:p>
      <w:pPr>
        <w:pStyle w:val="Normal"/>
        <w:spacing w:after="140"/>
        <w:ind w:left="576" w:hanging="576"/>
      </w:pPr>
      <w:r>
        <w:rPr>
          <w:b/>
          <w:color w:val="263238"/>
          <w:szCs w:val="24"/>
          <w:lang w:val="en-CA" w:eastAsia="en-CA" w:bidi="ar-SA"/>
          <w:rFonts w:ascii="Calibri" w:hAnsi="Calibri" w:eastAsia="Calibri" w:cs="Calibri"/>
          <w:sz w:val="21"/>
        </w:rPr>
        <w:t xml:space="preserve">13.5  </w:t>
      </w:r>
      <w:r>
        <w:rPr>
          <w:szCs w:val="24"/>
          <w:lang w:val="en-CA" w:eastAsia="en-CA" w:bidi="ar-SA"/>
          <w:rFonts w:ascii="Calibri" w:hAnsi="Calibri" w:eastAsia="Calibri" w:cs="Calibri"/>
          <w:color w:val="263238"/>
          <w:sz w:val="18"/>
        </w:rPr>
        <w:t>Access</w:t>
        <w:t>. IAEA inspectors hold daily access to the disposition facility, monthly access to declared sites, and unscheduled verification at declared sites on 24-hour notice. Access delays feed the consequence schedule (Annex B).</w:t>
      </w:r>
    </w:p>
    <w:p>
      <w:pPr>
        <w:pStyle w:val="Normal"/>
        <w:spacing w:after="140"/>
        <w:ind w:left="576" w:hanging="576"/>
      </w:pPr>
      <w:r>
        <w:rPr>
          <w:b/>
          <w:color w:val="263238"/>
          <w:szCs w:val="24"/>
          <w:lang w:val="en-CA" w:eastAsia="en-CA" w:bidi="ar-SA"/>
          <w:rFonts w:ascii="Calibri" w:hAnsi="Calibri" w:eastAsia="Calibri" w:cs="Calibri"/>
          <w:sz w:val="21"/>
        </w:rPr>
        <w:t xml:space="preserve">13.6  </w:t>
      </w:r>
      <w:r>
        <w:rPr>
          <w:szCs w:val="24"/>
          <w:lang w:val="en-CA" w:eastAsia="en-CA" w:bidi="ar-SA"/>
          <w:rFonts w:ascii="Calibri" w:hAnsi="Calibri" w:eastAsia="Calibri" w:cs="Calibri"/>
          <w:color w:val="263238"/>
          <w:sz w:val="18"/>
        </w:rPr>
        <w:t>Reciprocal</w:t>
        <w:t xml:space="preserve"> investment. Both Strait States and the Endorsing Stakeholder fund verification through the Joint Disposition Fund and the Trust. Verification operates as a shared investment in a shared certainty, not as an inspection regime imposed on one state.</w:t>
      </w:r>
    </w:p>
    <w:p>
      <w:pPr>
        <w:pStyle w:val="Normal"/>
        <w:spacing w:after="140"/>
        <w:ind w:left="576" w:hanging="576"/>
      </w:pPr>
      <w:r>
        <w:rPr>
          <w:b/>
          <w:color w:val="263238"/>
          <w:szCs w:val="24"/>
          <w:lang w:val="en-CA" w:eastAsia="en-CA" w:bidi="ar-SA"/>
          <w:rFonts w:ascii="Calibri" w:hAnsi="Calibri" w:eastAsia="Calibri" w:cs="Calibri"/>
          <w:sz w:val="21"/>
        </w:rPr>
        <w:t xml:space="preserve">13.7  </w:t>
      </w:r>
      <w:r>
        <w:rPr>
          <w:szCs w:val="24"/>
          <w:lang w:val="en-CA" w:eastAsia="en-CA" w:bidi="ar-SA"/>
          <w:rFonts w:ascii="Calibri" w:hAnsi="Calibri" w:eastAsia="Calibri" w:cs="Calibri"/>
          <w:color w:val="263238"/>
          <w:sz w:val="18"/>
        </w:rPr>
        <w:t>Two</w:t>
        <w:t>-key data access. No single officer of any Party or organ views, downloads, or modifies sensitive Registry data unilaterally. Access to raw telemetry, custody records, or military notices activates only with two authorized officers of different national affiliation present together. Access logs publish monthly.</w:t>
      </w:r>
    </w:p>
    <w:p>
      <w:pPr>
        <w:pStyle w:val="Normal"/>
        <w:spacing w:after="140"/>
        <w:ind w:left="576" w:hanging="576"/>
      </w:pPr>
      <w:r>
        <w:rPr>
          <w:b/>
          <w:color w:val="263238"/>
          <w:szCs w:val="24"/>
          <w:lang w:val="en-CA" w:eastAsia="en-CA" w:bidi="ar-SA"/>
          <w:rFonts w:ascii="Calibri" w:hAnsi="Calibri" w:eastAsia="Calibri" w:cs="Calibri"/>
          <w:sz w:val="21"/>
        </w:rPr>
        <w:t xml:space="preserve">13.8  </w:t>
      </w:r>
      <w:r>
        <w:rPr>
          <w:szCs w:val="24"/>
          <w:lang w:val="en-CA" w:eastAsia="en-CA" w:bidi="ar-SA"/>
          <w:rFonts w:ascii="Calibri" w:hAnsi="Calibri" w:eastAsia="Calibri" w:cs="Calibri"/>
          <w:color w:val="263238"/>
          <w:sz w:val="18"/>
        </w:rPr>
        <w:t>Dual</w:t>
        <w:t xml:space="preserve"> satellite verification. The Commission contracts with at least two different commercial satellite providers for corridor and facility monitoring and cross-references both feeds. Where one provider's imagery degrades, delays, or drops out, the other provider's feed serves as the primary verification source.</w:t>
      </w:r>
    </w:p>
    <w:p>
      <w:pPr>
        <w:pStyle w:val="Normal"/>
        <w:spacing w:after="140"/>
        <w:ind w:left="576" w:hanging="576"/>
      </w:pPr>
      <w:r>
        <w:rPr>
          <w:b/>
          <w:color w:val="263238"/>
          <w:szCs w:val="24"/>
          <w:lang w:val="en-CA" w:eastAsia="en-CA" w:bidi="ar-SA"/>
          <w:rFonts w:ascii="Calibri" w:hAnsi="Calibri" w:eastAsia="Calibri" w:cs="Calibri"/>
          <w:sz w:val="21"/>
        </w:rPr>
        <w:t xml:space="preserve">13.9  </w:t>
      </w:r>
      <w:r>
        <w:rPr>
          <w:szCs w:val="24"/>
          <w:lang w:val="en-CA" w:eastAsia="en-CA" w:bidi="ar-SA"/>
          <w:rFonts w:ascii="Calibri" w:hAnsi="Calibri" w:eastAsia="Calibri" w:cs="Calibri"/>
          <w:color w:val="263238"/>
          <w:sz w:val="18"/>
        </w:rPr>
        <w:t>Safeguards</w:t>
        <w:t xml:space="preserve"> Plus. The Islamic Republic of Iran concludes and implements an Additional Protocol with the IAEA within 180 days of Day 0, extending Agency verification into a permanent and comprehensive architecture beyond the disposition facility. This commitment stands as a core Nofade obligation (Article 4): it never lapses, and any modification travels through the joint written instrument of Article 23.3.</w:t>
      </w:r>
    </w:p>
    <w:p>
      <w:pPr>
        <w:pStyle w:val="Normal"/>
        <w:spacing w:after="140"/>
        <w:ind w:left="576" w:hanging="576"/>
      </w:pPr>
      <w:r>
        <w:rPr>
          <w:b/>
          <w:color w:val="263238"/>
          <w:szCs w:val="24"/>
          <w:lang w:val="en-CA" w:eastAsia="en-CA" w:bidi="ar-SA"/>
          <w:rFonts w:ascii="Calibri" w:hAnsi="Calibri" w:eastAsia="Calibri" w:cs="Calibri"/>
          <w:sz w:val="21"/>
        </w:rPr>
        <w:t xml:space="preserve">13.10  </w:t>
      </w:r>
      <w:r>
        <w:rPr>
          <w:szCs w:val="24"/>
          <w:lang w:val="en-CA" w:eastAsia="en-CA" w:bidi="ar-SA"/>
          <w:rFonts w:ascii="Calibri" w:hAnsi="Calibri" w:eastAsia="Calibri" w:cs="Calibri"/>
          <w:color w:val="263238"/>
          <w:sz w:val="18"/>
        </w:rPr>
        <w:t>The</w:t>
        <w:t xml:space="preserve"> public transparency portal. The Commission operates a public-facing dashboard that publishes aggregated, unclassified data: transit counts, corridor status, Commission meeting records, Trust disbursements, and headline compliance metrics. The portal refreshes daily, and the global community monitors the health of the Compact through it.</w:t>
      </w:r>
    </w:p>
    <w:p>
      <w:pPr>
        <w:pStyle w:val="Normal"/>
        <w:spacing w:after="140"/>
        <w:ind w:left="576" w:hanging="576"/>
      </w:pPr>
      <w:r>
        <w:rPr>
          <w:b/>
          <w:color w:val="263238"/>
          <w:szCs w:val="24"/>
          <w:lang w:val="en-CA" w:eastAsia="en-CA" w:bidi="ar-SA"/>
          <w:rFonts w:ascii="Calibri" w:hAnsi="Calibri" w:eastAsia="Calibri" w:cs="Calibri"/>
          <w:sz w:val="21"/>
        </w:rPr>
        <w:t xml:space="preserve">13.11  </w:t>
      </w:r>
      <w:r>
        <w:rPr>
          <w:szCs w:val="24"/>
          <w:lang w:val="en-CA" w:eastAsia="en-CA" w:bidi="ar-SA"/>
          <w:rFonts w:ascii="Calibri" w:hAnsi="Calibri" w:eastAsia="Calibri" w:cs="Calibri"/>
          <w:color w:val="263238"/>
          <w:sz w:val="18"/>
        </w:rPr>
        <w:t>Open-source</w:t>
        <w:t xml:space="preserve"> integration. The Commission integrates open-source information into its official bulletins: non-governmental satellite imagery analysis, academic reporting, and industry data. Each monthly bulletin answers material open-source findings directly, so that the public narrative meets a verified record.</w:t>
      </w:r>
    </w:p>
    <w:p>
      <w:pPr>
        <w:pStyle w:val="Normal"/>
        <w:spacing w:after="140"/>
        <w:ind w:left="576" w:hanging="576"/>
      </w:pPr>
      <w:r>
        <w:rPr>
          <w:b/>
          <w:color w:val="263238"/>
          <w:szCs w:val="24"/>
          <w:lang w:val="en-CA" w:eastAsia="en-CA" w:bidi="ar-SA"/>
          <w:rFonts w:ascii="Calibri" w:hAnsi="Calibri" w:eastAsia="Calibri" w:cs="Calibri"/>
          <w:sz w:val="21"/>
        </w:rPr>
        <w:t xml:space="preserve">13.12  </w:t>
      </w:r>
      <w:r>
        <w:rPr>
          <w:szCs w:val="24"/>
          <w:lang w:val="en-CA" w:eastAsia="en-CA" w:bidi="ar-SA"/>
          <w:rFonts w:ascii="Calibri" w:hAnsi="Calibri" w:eastAsia="Calibri" w:cs="Calibri"/>
          <w:color w:val="263238"/>
          <w:sz w:val="18"/>
        </w:rPr>
        <w:t>Cyber</w:t>
        <w:t xml:space="preserve"> security cooperation. The participants operate a joint cyber defense protocol covering the Transit Coordination Desk, the IAEA telemetry chain, the JMIC feeds, and the Shared Digital Registry. The protocol includes shared threat intelligence, joint incident response within 12 hours, and annual penetration testing by an independent auditor. A cyber intrusion on framework systems classifies under Article 17 by the same proportionate logic as a physical intrusion.</w:t>
      </w:r>
    </w:p>
    <w:p>
      <w:pPr>
        <w:pStyle w:val="Heading2"/>
      </w:pPr>
      <w:r>
        <w:rPr>
          <w:szCs w:val="24"/>
          <w:lang w:val="en-CA" w:eastAsia="en-CA" w:bidi="ar-SA"/>
          <w:rFonts w:ascii="Calibri" w:hAnsi="Calibri" w:eastAsia="Calibri" w:cs="Calibri"/>
          <w:b/>
          <w:color w:val="B8860B"/>
          <w:sz w:val="19"/>
        </w:rPr>
        <w:t>Article 13A: The Strait Transparency and Observation Mission</w:t>
      </w:r>
    </w:p>
    <w:p>
      <w:pPr>
        <w:pStyle w:val="Normal"/>
        <w:spacing w:after="140"/>
        <w:ind w:left="576" w:hanging="576"/>
      </w:pPr>
      <w:r>
        <w:rPr>
          <w:b/>
          <w:color w:val="263238"/>
          <w:szCs w:val="24"/>
          <w:lang w:val="en-CA" w:eastAsia="en-CA" w:bidi="ar-SA"/>
          <w:rFonts w:ascii="Calibri" w:hAnsi="Calibri" w:eastAsia="Calibri" w:cs="Calibri"/>
          <w:sz w:val="21"/>
        </w:rPr>
        <w:t xml:space="preserve">13A.1  </w:t>
      </w:r>
      <w:r>
        <w:rPr>
          <w:szCs w:val="24"/>
          <w:lang w:val="en-CA" w:eastAsia="en-CA" w:bidi="ar-SA"/>
          <w:rFonts w:ascii="Calibri" w:hAnsi="Calibri" w:eastAsia="Calibri" w:cs="Calibri"/>
          <w:color w:val="263238"/>
          <w:sz w:val="18"/>
        </w:rPr>
        <w:t>Establishment</w:t>
        <w:t>. A permanent, unarmed observation mission, the Strait Transparency and Observation Mission, stands under the authority of the Council of Friends, modeled on the United Nations Truce Supervision Organization. Observers from neutral states, including Switzerland and Qatar, station on both coasts and at the Commission.</w:t>
      </w:r>
    </w:p>
    <w:p>
      <w:pPr>
        <w:pStyle w:val="Normal"/>
        <w:spacing w:after="140"/>
        <w:ind w:left="576" w:hanging="576"/>
      </w:pPr>
      <w:r>
        <w:rPr>
          <w:b/>
          <w:color w:val="263238"/>
          <w:szCs w:val="24"/>
          <w:lang w:val="en-CA" w:eastAsia="en-CA" w:bidi="ar-SA"/>
          <w:rFonts w:ascii="Calibri" w:hAnsi="Calibri" w:eastAsia="Calibri" w:cs="Calibri"/>
          <w:sz w:val="21"/>
        </w:rPr>
        <w:t xml:space="preserve">13A.2  </w:t>
      </w:r>
      <w:r>
        <w:rPr>
          <w:szCs w:val="24"/>
          <w:lang w:val="en-CA" w:eastAsia="en-CA" w:bidi="ar-SA"/>
          <w:rFonts w:ascii="Calibri" w:hAnsi="Calibri" w:eastAsia="Calibri" w:cs="Calibri"/>
          <w:color w:val="263238"/>
          <w:sz w:val="18"/>
        </w:rPr>
        <w:t>Ground</w:t>
        <w:t xml:space="preserve"> truth. The Mission provides independent ground truth for maritime and nuclear-adjacent activity: corridor patrol observation, port visits, and incident scene access. Mission reports publish on the public transparency portal and complement the dual satellite verification of Article 13.8.</w:t>
      </w:r>
    </w:p>
    <w:p>
      <w:pPr>
        <w:pStyle w:val="Normal"/>
        <w:spacing w:after="140"/>
        <w:ind w:left="576" w:hanging="576"/>
      </w:pPr>
      <w:r>
        <w:rPr>
          <w:b/>
          <w:color w:val="263238"/>
          <w:szCs w:val="24"/>
          <w:lang w:val="en-CA" w:eastAsia="en-CA" w:bidi="ar-SA"/>
          <w:rFonts w:ascii="Calibri" w:hAnsi="Calibri" w:eastAsia="Calibri" w:cs="Calibri"/>
          <w:sz w:val="21"/>
        </w:rPr>
        <w:t xml:space="preserve">13A.3  </w:t>
      </w:r>
      <w:r>
        <w:rPr>
          <w:szCs w:val="24"/>
          <w:lang w:val="en-CA" w:eastAsia="en-CA" w:bidi="ar-SA"/>
          <w:rFonts w:ascii="Calibri" w:hAnsi="Calibri" w:eastAsia="Calibri" w:cs="Calibri"/>
          <w:color w:val="263238"/>
          <w:sz w:val="18"/>
        </w:rPr>
        <w:t>Access</w:t>
        <w:t>. The Mission holds standing access to corridor facilities, anchorages, and Commission records. Mission observers carry no enforcement function: they observe, record, and report.</w:t>
      </w:r>
    </w:p>
    <w:p>
      <w:pPr>
        <w:pStyle w:val="Heading2"/>
      </w:pPr>
      <w:r>
        <w:rPr>
          <w:szCs w:val="24"/>
          <w:lang w:val="en-CA" w:eastAsia="en-CA" w:bidi="ar-SA"/>
          <w:rFonts w:ascii="Calibri" w:hAnsi="Calibri" w:eastAsia="Calibri" w:cs="Calibri"/>
          <w:b/>
          <w:color w:val="B8860B"/>
          <w:sz w:val="19"/>
        </w:rPr>
        <w:t>Article 13B: The Civil Society Advisory Body</w:t>
      </w:r>
    </w:p>
    <w:p>
      <w:pPr>
        <w:pStyle w:val="Normal"/>
        <w:spacing w:after="140"/>
        <w:ind w:left="576" w:hanging="576"/>
      </w:pPr>
      <w:r>
        <w:rPr>
          <w:b/>
          <w:color w:val="263238"/>
          <w:szCs w:val="24"/>
          <w:lang w:val="en-CA" w:eastAsia="en-CA" w:bidi="ar-SA"/>
          <w:rFonts w:ascii="Calibri" w:hAnsi="Calibri" w:eastAsia="Calibri" w:cs="Calibri"/>
          <w:sz w:val="21"/>
        </w:rPr>
        <w:t xml:space="preserve">13B.1  </w:t>
      </w:r>
      <w:r>
        <w:rPr>
          <w:szCs w:val="24"/>
          <w:lang w:val="en-CA" w:eastAsia="en-CA" w:bidi="ar-SA"/>
          <w:rFonts w:ascii="Calibri" w:hAnsi="Calibri" w:eastAsia="Calibri" w:cs="Calibri"/>
          <w:color w:val="263238"/>
          <w:sz w:val="18"/>
        </w:rPr>
        <w:t>Composition</w:t>
        <w:t>. A standing Civil Society Advisory Body convenes representatives of the shipping, insurance, energy, and environmental communities as non-voting advisers to the Commission. The Council of Friends appoints the members for staggered three-year terms.</w:t>
      </w:r>
    </w:p>
    <w:p>
      <w:pPr>
        <w:pStyle w:val="Normal"/>
        <w:spacing w:after="140"/>
        <w:ind w:left="576" w:hanging="576"/>
      </w:pPr>
      <w:r>
        <w:rPr>
          <w:b/>
          <w:color w:val="263238"/>
          <w:szCs w:val="24"/>
          <w:lang w:val="en-CA" w:eastAsia="en-CA" w:bidi="ar-SA"/>
          <w:rFonts w:ascii="Calibri" w:hAnsi="Calibri" w:eastAsia="Calibri" w:cs="Calibri"/>
          <w:sz w:val="21"/>
        </w:rPr>
        <w:t xml:space="preserve">13B.2  </w:t>
      </w:r>
      <w:r>
        <w:rPr>
          <w:szCs w:val="24"/>
          <w:lang w:val="en-CA" w:eastAsia="en-CA" w:bidi="ar-SA"/>
          <w:rFonts w:ascii="Calibri" w:hAnsi="Calibri" w:eastAsia="Calibri" w:cs="Calibri"/>
          <w:color w:val="263238"/>
          <w:sz w:val="18"/>
        </w:rPr>
        <w:t>The</w:t>
        <w:t xml:space="preserve"> Strait Health Report. The Body publishes an annual Strait Health Report assessing corridor safety, environmental condition, and compliance culture, and submits expert input to every Commission session. The Commission answers the Report's findings in its next monthly bulletin.</w:t>
      </w:r>
    </w:p>
    <w:p>
      <w:pPr>
        <w:pStyle w:val="Heading1"/>
        <w:pBdr>
          <w:bottom w:val="single" w:sz="6" w:space="3" w:color="B8860B"/>
        </w:pBdr>
      </w:pPr>
      <w:r>
        <w:rPr>
          <w:szCs w:val="24"/>
          <w:lang w:val="en-CA" w:eastAsia="en-CA" w:bidi="ar-SA"/>
          <w:rFonts w:ascii="Calibri" w:hAnsi="Calibri" w:eastAsia="Calibri" w:cs="Calibri"/>
          <w:b/>
          <w:color w:val="8FA3AD"/>
          <w:sz w:val="18"/>
        </w:rPr>
        <w:t>PART IV: THE NORMALIZATION BRIDGE</w:t>
      </w:r>
    </w:p>
    <w:p>
      <w:pPr>
        <w:pStyle w:val="Heading2"/>
      </w:pPr>
      <w:r>
        <w:rPr>
          <w:szCs w:val="24"/>
          <w:lang w:val="en-CA" w:eastAsia="en-CA" w:bidi="ar-SA"/>
          <w:rFonts w:ascii="Calibri" w:hAnsi="Calibri" w:eastAsia="Calibri" w:cs="Calibri"/>
          <w:b/>
          <w:color w:val="B8860B"/>
          <w:sz w:val="19"/>
        </w:rPr>
        <w:t>Article 14: Ceasefire Codification and Force Posture</w:t>
      </w:r>
    </w:p>
    <w:p>
      <w:pPr>
        <w:pStyle w:val="Normal"/>
        <w:spacing w:after="140"/>
        <w:ind w:left="576" w:hanging="576"/>
      </w:pPr>
      <w:r>
        <w:rPr>
          <w:b/>
          <w:color w:val="263238"/>
          <w:szCs w:val="24"/>
          <w:lang w:val="en-CA" w:eastAsia="en-CA" w:bidi="ar-SA"/>
          <w:rFonts w:ascii="Calibri" w:hAnsi="Calibri" w:eastAsia="Calibri" w:cs="Calibri"/>
          <w:sz w:val="21"/>
        </w:rPr>
        <w:t xml:space="preserve">14.1  </w:t>
      </w:r>
      <w:r>
        <w:rPr>
          <w:szCs w:val="24"/>
          <w:lang w:val="en-CA" w:eastAsia="en-CA" w:bidi="ar-SA"/>
          <w:rFonts w:ascii="Calibri" w:hAnsi="Calibri" w:eastAsia="Calibri" w:cs="Calibri"/>
          <w:color w:val="263238"/>
          <w:sz w:val="18"/>
        </w:rPr>
        <w:t>From</w:t>
        <w:t xml:space="preserve"> pause to permanence. The conditional pause of 12 July 2026 converts into a standing cessation on Day 0. The framework architecture excludes kinetic enforcement of this Compact on all sides (Article 3.5).</w:t>
      </w:r>
    </w:p>
    <w:p>
      <w:pPr>
        <w:pStyle w:val="Normal"/>
        <w:spacing w:after="140"/>
        <w:ind w:left="576" w:hanging="576"/>
      </w:pPr>
      <w:r>
        <w:rPr>
          <w:b/>
          <w:color w:val="263238"/>
          <w:szCs w:val="24"/>
          <w:lang w:val="en-CA" w:eastAsia="en-CA" w:bidi="ar-SA"/>
          <w:rFonts w:ascii="Calibri" w:hAnsi="Calibri" w:eastAsia="Calibri" w:cs="Calibri"/>
          <w:sz w:val="21"/>
        </w:rPr>
        <w:t xml:space="preserve">14.2  </w:t>
      </w:r>
      <w:r>
        <w:rPr>
          <w:szCs w:val="24"/>
          <w:lang w:val="en-CA" w:eastAsia="en-CA" w:bidi="ar-SA"/>
          <w:rFonts w:ascii="Calibri" w:hAnsi="Calibri" w:eastAsia="Calibri" w:cs="Calibri"/>
          <w:color w:val="263238"/>
          <w:sz w:val="18"/>
        </w:rPr>
        <w:t>Stand</w:t>
        <w:t>-off declaration. Naval surface forces of all participants observe the 15-nautical-mile stand-</w:t>
        <w:t>off line</w:t>
        <w:t xml:space="preserve"> from the corridors. Military overflights of the corridor area operate above 6,000 meters and outside 20 nautical miles of the corridor edges. Deviations feed the consequence schedule symmetrically (Annex B).</w:t>
      </w:r>
    </w:p>
    <w:p>
      <w:pPr>
        <w:pStyle w:val="Normal"/>
        <w:spacing w:after="140"/>
        <w:ind w:left="576" w:hanging="576"/>
      </w:pPr>
      <w:r>
        <w:rPr>
          <w:b/>
          <w:color w:val="263238"/>
          <w:szCs w:val="24"/>
          <w:lang w:val="en-CA" w:eastAsia="en-CA" w:bidi="ar-SA"/>
          <w:rFonts w:ascii="Calibri" w:hAnsi="Calibri" w:eastAsia="Calibri" w:cs="Calibri"/>
          <w:sz w:val="21"/>
        </w:rPr>
        <w:t xml:space="preserve">14.3  </w:t>
      </w:r>
      <w:r>
        <w:rPr>
          <w:szCs w:val="24"/>
          <w:lang w:val="en-CA" w:eastAsia="en-CA" w:bidi="ar-SA"/>
          <w:rFonts w:ascii="Calibri" w:hAnsi="Calibri" w:eastAsia="Calibri" w:cs="Calibri"/>
          <w:color w:val="263238"/>
          <w:sz w:val="18"/>
        </w:rPr>
        <w:t>Regional</w:t>
        <w:t xml:space="preserve"> bases posture. The framework answers both stated concerns with one mutual rule: forces at regional bases conduct no operations against any participant in this Compact, and no participant conducts operations against regional bases. The Council of Friends receives all notifications under this article.</w:t>
      </w:r>
    </w:p>
    <w:p>
      <w:pPr>
        <w:pStyle w:val="Normal"/>
        <w:spacing w:after="140"/>
        <w:ind w:left="576" w:hanging="576"/>
      </w:pPr>
      <w:r>
        <w:rPr>
          <w:b/>
          <w:color w:val="263238"/>
          <w:szCs w:val="24"/>
          <w:lang w:val="en-CA" w:eastAsia="en-CA" w:bidi="ar-SA"/>
          <w:rFonts w:ascii="Calibri" w:hAnsi="Calibri" w:eastAsia="Calibri" w:cs="Calibri"/>
          <w:sz w:val="21"/>
        </w:rPr>
        <w:t xml:space="preserve">14.4  </w:t>
      </w:r>
      <w:r>
        <w:rPr>
          <w:szCs w:val="24"/>
          <w:lang w:val="en-CA" w:eastAsia="en-CA" w:bidi="ar-SA"/>
          <w:rFonts w:ascii="Calibri" w:hAnsi="Calibri" w:eastAsia="Calibri" w:cs="Calibri"/>
          <w:color w:val="263238"/>
          <w:sz w:val="18"/>
        </w:rPr>
        <w:t>No</w:t>
        <w:t xml:space="preserve"> surprise movement. Force posture changes inside the Gulf area during the first 90 days operate on 72-hour advance notice through the hotline.</w:t>
      </w:r>
    </w:p>
    <w:p>
      <w:pPr>
        <w:pStyle w:val="Heading2"/>
      </w:pPr>
      <w:r>
        <w:rPr>
          <w:szCs w:val="24"/>
          <w:lang w:val="en-CA" w:eastAsia="en-CA" w:bidi="ar-SA"/>
          <w:rFonts w:ascii="Calibri" w:hAnsi="Calibri" w:eastAsia="Calibri" w:cs="Calibri"/>
          <w:b/>
          <w:color w:val="B8860B"/>
          <w:sz w:val="19"/>
        </w:rPr>
        <w:t>Article 15: Sanctions Relief and Economic Reopening</w:t>
      </w:r>
    </w:p>
    <w:p>
      <w:pPr>
        <w:pStyle w:val="Normal"/>
        <w:spacing w:after="140"/>
        <w:ind w:left="576" w:hanging="576"/>
      </w:pPr>
      <w:r>
        <w:rPr>
          <w:b/>
          <w:color w:val="263238"/>
          <w:szCs w:val="24"/>
          <w:lang w:val="en-CA" w:eastAsia="en-CA" w:bidi="ar-SA"/>
          <w:rFonts w:ascii="Calibri" w:hAnsi="Calibri" w:eastAsia="Calibri" w:cs="Calibri"/>
          <w:sz w:val="21"/>
        </w:rPr>
        <w:t xml:space="preserve">15.1  </w:t>
      </w:r>
      <w:r>
        <w:rPr>
          <w:szCs w:val="24"/>
          <w:lang w:val="en-CA" w:eastAsia="en-CA" w:bidi="ar-SA"/>
          <w:rFonts w:ascii="Calibri" w:hAnsi="Calibri" w:eastAsia="Calibri" w:cs="Calibri"/>
          <w:color w:val="263238"/>
          <w:sz w:val="18"/>
        </w:rPr>
        <w:t>Sequenced</w:t>
        <w:t xml:space="preserve"> relief. Relief follows verified milestones through the Swiss-administered escrow, in synchronized pairs (Article 3.3):</w:t>
      </w:r>
    </w:p>
    <w:tbl>
      <w:tblPr>
        <w:tblStyle w:val="TableNormal"/>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1304"/>
        <w:gridCol w:w="3008"/>
        <w:gridCol w:w="4914"/>
      </w:tblGrid>
      <w:tr>
        <w:trPr>
          <w:tblHeader w:val="1"/>
        </w:trPr>
        <w:tc>
          <w:tcPr>
            <w:tcW w:w="1304" w:type="dxa"/>
            <w:shd w:val="clear" w:color="auto" w:fill="EDF2F4"/>
          </w:tcPr>
          <w:p>
            <w:pPr>
              <w:pStyle w:val="Normal"/>
              <w:spacing w:before="30" w:after="30" w:line="240" w:lineRule="auto"/>
              <w:jc w:val="left"/>
            </w:pPr>
            <w:r>
              <w:rPr>
                <w:b/>
                <w:color w:val="546E7A"/>
                <w:sz w:val="20"/>
                <w:szCs w:val="24"/>
                <w:lang w:val="en-CA" w:eastAsia="en-CA" w:bidi="ar-SA"/>
                <w:rFonts w:ascii="Calibri" w:hAnsi="Calibri" w:eastAsia="Calibri" w:cs="Calibri"/>
              </w:rPr>
              <w:t>Milestone day</w:t>
            </w:r>
          </w:p>
        </w:tc>
        <w:tc>
          <w:tcPr>
            <w:tcW w:w="3008" w:type="dxa"/>
            <w:shd w:val="clear" w:color="auto" w:fill="EDF2F4"/>
          </w:tcPr>
          <w:p>
            <w:pPr>
              <w:pStyle w:val="Normal"/>
              <w:spacing w:before="30" w:after="30" w:line="240" w:lineRule="auto"/>
              <w:jc w:val="left"/>
            </w:pPr>
            <w:r>
              <w:rPr>
                <w:b/>
                <w:color w:val="546E7A"/>
                <w:sz w:val="20"/>
                <w:szCs w:val="24"/>
                <w:lang w:val="en-CA" w:eastAsia="en-CA" w:bidi="ar-SA"/>
                <w:rFonts w:ascii="Calibri" w:hAnsi="Calibri" w:eastAsia="Calibri" w:cs="Calibri"/>
              </w:rPr>
              <w:t>Verified trigger</w:t>
            </w:r>
          </w:p>
        </w:tc>
        <w:tc>
          <w:tcPr>
            <w:tcW w:w="4914" w:type="dxa"/>
            <w:shd w:val="clear" w:color="auto" w:fill="EDF2F4"/>
          </w:tcPr>
          <w:p>
            <w:pPr>
              <w:pStyle w:val="Normal"/>
              <w:spacing w:before="30" w:after="30" w:line="240" w:lineRule="auto"/>
              <w:jc w:val="left"/>
            </w:pPr>
            <w:r>
              <w:rPr>
                <w:b/>
                <w:color w:val="546E7A"/>
                <w:sz w:val="20"/>
                <w:szCs w:val="24"/>
                <w:lang w:val="en-CA" w:eastAsia="en-CA" w:bidi="ar-SA"/>
                <w:rFonts w:ascii="Calibri" w:hAnsi="Calibri" w:eastAsia="Calibri" w:cs="Calibri"/>
              </w:rPr>
              <w:t>Relief action</w:t>
            </w:r>
          </w:p>
        </w:tc>
      </w:tr>
      <w:tr>
        <w:tc>
          <w:tcPr>
            <w:tcW w:w="1304" w:type="dxa"/>
          </w:tcPr>
          <w:p>
            <w:pPr>
              <w:pStyle w:val="Normal"/>
              <w:spacing w:before="30" w:after="30" w:line="240" w:lineRule="auto"/>
              <w:jc w:val="left"/>
            </w:pPr>
            <w:r>
              <w:rPr>
                <w:sz w:val="21"/>
                <w:szCs w:val="24"/>
                <w:lang w:val="en-CA" w:eastAsia="en-CA" w:bidi="ar-SA"/>
                <w:rFonts w:ascii="Calibri" w:hAnsi="Calibri" w:eastAsia="Calibri" w:cs="Calibri"/>
                <w:color w:val="263238"/>
              </w:rPr>
              <w:t>Day 7</w:t>
            </w:r>
          </w:p>
        </w:tc>
        <w:tc>
          <w:tcPr>
            <w:tcW w:w="3008" w:type="dxa"/>
          </w:tcPr>
          <w:p>
            <w:pPr>
              <w:pStyle w:val="Normal"/>
              <w:spacing w:before="30" w:after="30" w:line="240" w:lineRule="auto"/>
              <w:jc w:val="left"/>
            </w:pPr>
            <w:r>
              <w:rPr>
                <w:sz w:val="21"/>
                <w:szCs w:val="24"/>
                <w:lang w:val="en-CA" w:eastAsia="en-CA" w:bidi="ar-SA"/>
                <w:rFonts w:ascii="Calibri" w:hAnsi="Calibri" w:eastAsia="Calibri" w:cs="Calibri"/>
                <w:color w:val="263238"/>
              </w:rPr>
              <w:t>IAEA confirms consolidation</w:t>
            </w:r>
          </w:p>
        </w:tc>
        <w:tc>
          <w:tcPr>
            <w:tcW w:w="4914" w:type="dxa"/>
          </w:tcPr>
          <w:p>
            <w:pPr>
              <w:pStyle w:val="Normal"/>
              <w:spacing w:before="30" w:after="30" w:line="240" w:lineRule="auto"/>
              <w:jc w:val="left"/>
            </w:pPr>
            <w:r>
              <w:rPr>
                <w:sz w:val="21"/>
                <w:szCs w:val="24"/>
                <w:lang w:val="en-CA" w:eastAsia="en-CA" w:bidi="ar-SA"/>
                <w:rFonts w:ascii="Calibri" w:hAnsi="Calibri" w:eastAsia="Calibri" w:cs="Calibri"/>
                <w:color w:val="263238"/>
              </w:rPr>
              <w:t>First escrow tranche releases; OFAC general license for Commission transactions; Iranian crude export clearance resumes under escrow monitoring</w:t>
            </w:r>
          </w:p>
        </w:tc>
      </w:tr>
      <w:tr>
        <w:tc>
          <w:tcPr>
            <w:tcW w:w="1304" w:type="dxa"/>
          </w:tcPr>
          <w:p>
            <w:pPr>
              <w:pStyle w:val="Normal"/>
              <w:spacing w:before="30" w:after="30" w:line="240" w:lineRule="auto"/>
              <w:jc w:val="left"/>
            </w:pPr>
            <w:r>
              <w:rPr>
                <w:sz w:val="21"/>
                <w:szCs w:val="24"/>
                <w:lang w:val="en-CA" w:eastAsia="en-CA" w:bidi="ar-SA"/>
                <w:rFonts w:ascii="Calibri" w:hAnsi="Calibri" w:eastAsia="Calibri" w:cs="Calibri"/>
                <w:color w:val="263238"/>
              </w:rPr>
              <w:t>Day 14</w:t>
            </w:r>
          </w:p>
        </w:tc>
        <w:tc>
          <w:tcPr>
            <w:tcW w:w="3008" w:type="dxa"/>
          </w:tcPr>
          <w:p>
            <w:pPr>
              <w:pStyle w:val="Normal"/>
              <w:spacing w:before="30" w:after="30" w:line="240" w:lineRule="auto"/>
              <w:jc w:val="left"/>
            </w:pPr>
            <w:r>
              <w:rPr>
                <w:sz w:val="21"/>
                <w:szCs w:val="24"/>
                <w:lang w:val="en-CA" w:eastAsia="en-CA" w:bidi="ar-SA"/>
                <w:rFonts w:ascii="Calibri" w:hAnsi="Calibri" w:eastAsia="Calibri" w:cs="Calibri"/>
                <w:color w:val="263238"/>
              </w:rPr>
              <w:t>Consolidation certificate</w:t>
            </w:r>
          </w:p>
        </w:tc>
        <w:tc>
          <w:tcPr>
            <w:tcW w:w="4914" w:type="dxa"/>
          </w:tcPr>
          <w:p>
            <w:pPr>
              <w:pStyle w:val="Normal"/>
              <w:spacing w:before="30" w:after="30" w:line="240" w:lineRule="auto"/>
              <w:jc w:val="left"/>
            </w:pPr>
            <w:r>
              <w:rPr>
                <w:sz w:val="21"/>
                <w:szCs w:val="24"/>
                <w:lang w:val="en-CA" w:eastAsia="en-CA" w:bidi="ar-SA"/>
                <w:rFonts w:ascii="Calibri" w:hAnsi="Calibri" w:eastAsia="Calibri" w:cs="Calibri"/>
                <w:color w:val="263238"/>
              </w:rPr>
              <w:t>Naval blockade of Iranian ports lifts in full; second escrow tranche releases</w:t>
            </w:r>
          </w:p>
        </w:tc>
      </w:tr>
      <w:tr>
        <w:tc>
          <w:tcPr>
            <w:tcW w:w="1304" w:type="dxa"/>
          </w:tcPr>
          <w:p>
            <w:pPr>
              <w:pStyle w:val="Normal"/>
              <w:spacing w:before="30" w:after="30" w:line="240" w:lineRule="auto"/>
              <w:jc w:val="left"/>
            </w:pPr>
            <w:r>
              <w:rPr>
                <w:sz w:val="21"/>
                <w:szCs w:val="24"/>
                <w:lang w:val="en-CA" w:eastAsia="en-CA" w:bidi="ar-SA"/>
                <w:rFonts w:ascii="Calibri" w:hAnsi="Calibri" w:eastAsia="Calibri" w:cs="Calibri"/>
                <w:color w:val="263238"/>
              </w:rPr>
              <w:t>Day 30</w:t>
            </w:r>
          </w:p>
        </w:tc>
        <w:tc>
          <w:tcPr>
            <w:tcW w:w="3008" w:type="dxa"/>
          </w:tcPr>
          <w:p>
            <w:pPr>
              <w:pStyle w:val="Normal"/>
              <w:spacing w:before="30" w:after="30" w:line="240" w:lineRule="auto"/>
              <w:jc w:val="left"/>
            </w:pPr>
            <w:r>
              <w:rPr>
                <w:sz w:val="21"/>
                <w:szCs w:val="24"/>
                <w:lang w:val="en-CA" w:eastAsia="en-CA" w:bidi="ar-SA"/>
                <w:rFonts w:ascii="Calibri" w:hAnsi="Calibri" w:eastAsia="Calibri" w:cs="Calibri"/>
                <w:color w:val="263238"/>
              </w:rPr>
              <w:t>Full corridor restoration</w:t>
            </w:r>
          </w:p>
        </w:tc>
        <w:tc>
          <w:tcPr>
            <w:tcW w:w="4914" w:type="dxa"/>
          </w:tcPr>
          <w:p>
            <w:pPr>
              <w:pStyle w:val="Normal"/>
              <w:spacing w:before="30" w:after="30" w:line="240" w:lineRule="auto"/>
              <w:jc w:val="left"/>
            </w:pPr>
            <w:r>
              <w:rPr>
                <w:sz w:val="21"/>
                <w:szCs w:val="24"/>
                <w:lang w:val="en-CA" w:eastAsia="en-CA" w:bidi="ar-SA"/>
                <w:rFonts w:ascii="Calibri" w:hAnsi="Calibri" w:eastAsia="Calibri" w:cs="Calibri"/>
                <w:color w:val="263238"/>
              </w:rPr>
              <w:t>SWIFT Phase 1 (restricted reconnection of designated banks); petrochemical export licenses issue</w:t>
            </w:r>
          </w:p>
        </w:tc>
      </w:tr>
      <w:tr>
        <w:tc>
          <w:tcPr>
            <w:tcW w:w="1304" w:type="dxa"/>
          </w:tcPr>
          <w:p>
            <w:pPr>
              <w:pStyle w:val="Normal"/>
              <w:spacing w:before="30" w:after="30" w:line="240" w:lineRule="auto"/>
              <w:jc w:val="left"/>
            </w:pPr>
            <w:r>
              <w:rPr>
                <w:sz w:val="21"/>
                <w:szCs w:val="24"/>
                <w:lang w:val="en-CA" w:eastAsia="en-CA" w:bidi="ar-SA"/>
                <w:rFonts w:ascii="Calibri" w:hAnsi="Calibri" w:eastAsia="Calibri" w:cs="Calibri"/>
                <w:color w:val="263238"/>
              </w:rPr>
              <w:t>Day 60</w:t>
            </w:r>
          </w:p>
        </w:tc>
        <w:tc>
          <w:tcPr>
            <w:tcW w:w="3008" w:type="dxa"/>
          </w:tcPr>
          <w:p>
            <w:pPr>
              <w:pStyle w:val="Normal"/>
              <w:spacing w:before="30" w:after="30" w:line="240" w:lineRule="auto"/>
              <w:jc w:val="left"/>
            </w:pPr>
            <w:r>
              <w:rPr>
                <w:sz w:val="21"/>
                <w:szCs w:val="24"/>
                <w:lang w:val="en-CA" w:eastAsia="en-CA" w:bidi="ar-SA"/>
                <w:rFonts w:ascii="Calibri" w:hAnsi="Calibri" w:eastAsia="Calibri" w:cs="Calibri"/>
                <w:color w:val="263238"/>
              </w:rPr>
              <w:t>MOU absorption complete</w:t>
            </w:r>
          </w:p>
        </w:tc>
        <w:tc>
          <w:tcPr>
            <w:tcW w:w="4914" w:type="dxa"/>
          </w:tcPr>
          <w:p>
            <w:pPr>
              <w:pStyle w:val="Normal"/>
              <w:spacing w:before="30" w:after="30" w:line="240" w:lineRule="auto"/>
              <w:jc w:val="left"/>
            </w:pPr>
            <w:r>
              <w:rPr>
                <w:sz w:val="21"/>
                <w:szCs w:val="24"/>
                <w:lang w:val="en-CA" w:eastAsia="en-CA" w:bidi="ar-SA"/>
                <w:rFonts w:ascii="Calibri" w:hAnsi="Calibri" w:eastAsia="Calibri" w:cs="Calibri"/>
                <w:color w:val="263238"/>
              </w:rPr>
              <w:t>SWIFT Phase 2 (expanded reconnection); second frozen asset tranche releases</w:t>
            </w:r>
          </w:p>
        </w:tc>
      </w:tr>
      <w:tr>
        <w:tc>
          <w:tcPr>
            <w:tcW w:w="1304" w:type="dxa"/>
          </w:tcPr>
          <w:p>
            <w:pPr>
              <w:pStyle w:val="Normal"/>
              <w:spacing w:before="30" w:after="30" w:line="240" w:lineRule="auto"/>
              <w:jc w:val="left"/>
            </w:pPr>
            <w:r>
              <w:rPr>
                <w:sz w:val="21"/>
                <w:szCs w:val="24"/>
                <w:lang w:val="en-CA" w:eastAsia="en-CA" w:bidi="ar-SA"/>
                <w:rFonts w:ascii="Calibri" w:hAnsi="Calibri" w:eastAsia="Calibri" w:cs="Calibri"/>
                <w:color w:val="263238"/>
              </w:rPr>
              <w:t>Day 90</w:t>
            </w:r>
          </w:p>
        </w:tc>
        <w:tc>
          <w:tcPr>
            <w:tcW w:w="3008" w:type="dxa"/>
          </w:tcPr>
          <w:p>
            <w:pPr>
              <w:pStyle w:val="Normal"/>
              <w:spacing w:before="30" w:after="30" w:line="240" w:lineRule="auto"/>
              <w:jc w:val="left"/>
            </w:pPr>
            <w:r>
              <w:rPr>
                <w:sz w:val="21"/>
                <w:szCs w:val="24"/>
                <w:lang w:val="en-CA" w:eastAsia="en-CA" w:bidi="ar-SA"/>
                <w:rFonts w:ascii="Calibri" w:hAnsi="Calibri" w:eastAsia="Calibri" w:cs="Calibri"/>
                <w:color w:val="263238"/>
              </w:rPr>
              <w:t>Disposition Certificate</w:t>
            </w:r>
          </w:p>
        </w:tc>
        <w:tc>
          <w:tcPr>
            <w:tcW w:w="4914" w:type="dxa"/>
          </w:tcPr>
          <w:p>
            <w:pPr>
              <w:pStyle w:val="Normal"/>
              <w:spacing w:before="30" w:after="30" w:line="240" w:lineRule="auto"/>
              <w:jc w:val="left"/>
            </w:pPr>
            <w:r>
              <w:rPr>
                <w:sz w:val="21"/>
                <w:szCs w:val="24"/>
                <w:lang w:val="en-CA" w:eastAsia="en-CA" w:bidi="ar-SA"/>
                <w:rFonts w:ascii="Calibri" w:hAnsi="Calibri" w:eastAsia="Calibri" w:cs="Calibri"/>
                <w:color w:val="263238"/>
              </w:rPr>
              <w:t>SWIFT Phase 3 (full reconnection); remaining designated banks reconnect</w:t>
            </w:r>
          </w:p>
        </w:tc>
      </w:tr>
      <w:tr>
        <w:tc>
          <w:tcPr>
            <w:tcW w:w="1304" w:type="dxa"/>
          </w:tcPr>
          <w:p>
            <w:pPr>
              <w:pStyle w:val="Normal"/>
              <w:spacing w:before="30" w:after="30" w:line="240" w:lineRule="auto"/>
              <w:jc w:val="left"/>
            </w:pPr>
            <w:r>
              <w:rPr>
                <w:sz w:val="21"/>
                <w:szCs w:val="24"/>
                <w:lang w:val="en-CA" w:eastAsia="en-CA" w:bidi="ar-SA"/>
                <w:rFonts w:ascii="Calibri" w:hAnsi="Calibri" w:eastAsia="Calibri" w:cs="Calibri"/>
                <w:color w:val="263238"/>
              </w:rPr>
              <w:t>Day 365</w:t>
            </w:r>
          </w:p>
        </w:tc>
        <w:tc>
          <w:tcPr>
            <w:tcW w:w="3008" w:type="dxa"/>
          </w:tcPr>
          <w:p>
            <w:pPr>
              <w:pStyle w:val="Normal"/>
              <w:spacing w:before="30" w:after="30" w:line="240" w:lineRule="auto"/>
              <w:jc w:val="left"/>
            </w:pPr>
            <w:r>
              <w:rPr>
                <w:sz w:val="21"/>
                <w:szCs w:val="24"/>
                <w:lang w:val="en-CA" w:eastAsia="en-CA" w:bidi="ar-SA"/>
                <w:rFonts w:ascii="Calibri" w:hAnsi="Calibri" w:eastAsia="Calibri" w:cs="Calibri"/>
                <w:color w:val="263238"/>
              </w:rPr>
              <w:t>One clean verification year</w:t>
            </w:r>
          </w:p>
        </w:tc>
        <w:tc>
          <w:tcPr>
            <w:tcW w:w="4914" w:type="dxa"/>
          </w:tcPr>
          <w:p>
            <w:pPr>
              <w:pStyle w:val="Normal"/>
              <w:spacing w:before="30" w:after="30" w:line="240" w:lineRule="auto"/>
              <w:jc w:val="left"/>
            </w:pPr>
            <w:r>
              <w:rPr>
                <w:sz w:val="21"/>
                <w:szCs w:val="24"/>
                <w:lang w:val="en-CA" w:eastAsia="en-CA" w:bidi="ar-SA"/>
                <w:rFonts w:ascii="Calibri" w:hAnsi="Calibri" w:eastAsia="Calibri" w:cs="Calibri"/>
                <w:color w:val="263238"/>
              </w:rPr>
              <w:t>Standing relief architecture confirms at annual review and persists (</w:t>
              <w:t>Nofade</w:t>
              <w:t>, Article 4)</w:t>
            </w:r>
          </w:p>
        </w:tc>
      </w:tr>
    </w:tbl>
    <w:p>
      <w:pPr>
        <w:pStyle w:val="Normal"/>
        <w:spacing w:after="140"/>
      </w:pPr>
    </w:p>
    <w:p>
      <w:pPr>
        <w:pStyle w:val="Caption"/>
      </w:pPr>
      <w:r>
        <w:rPr>
          <w:szCs w:val="24"/>
          <w:lang w:val="en-CA" w:eastAsia="en-CA" w:bidi="ar-SA"/>
          <w:rFonts w:ascii="Calibri" w:hAnsi="Calibri" w:eastAsia="Calibri" w:cs="Calibri"/>
          <w:color w:val="263238"/>
          <w:sz w:val="20"/>
          <w:i/>
        </w:rPr>
        <w:t>Table 2: Relief sequence</w:t>
      </w:r>
    </w:p>
    <w:p>
      <w:pPr>
        <w:pStyle w:val="Normal"/>
        <w:spacing w:after="140"/>
        <w:ind w:left="576" w:hanging="576"/>
      </w:pPr>
      <w:r>
        <w:rPr>
          <w:szCs w:val="24"/>
          <w:lang w:val="en-CA" w:eastAsia="en-CA" w:bidi="ar-SA"/>
          <w:rFonts w:ascii="Calibri" w:hAnsi="Calibri" w:eastAsia="Calibri" w:cs="Calibri"/>
          <w:color w:val="263238"/>
          <w:sz w:val="21"/>
        </w:rPr>
        <w:t xml:space="preserve">15.2  </w:t>
      </w:r>
      <w:r>
        <w:rPr>
          <w:szCs w:val="24"/>
          <w:lang w:val="en-CA" w:eastAsia="en-CA" w:bidi="ar-SA"/>
          <w:rFonts w:ascii="Calibri" w:hAnsi="Calibri" w:eastAsia="Calibri" w:cs="Calibri"/>
          <w:color w:val="263238"/>
          <w:sz w:val="18"/>
        </w:rPr>
        <w:t>Symmetry</w:t>
        <w:t>. Delays in relief feed the same consequence schedule as delays in compliance (Annex B, economic rows). The engine treats a late tranche and a late inspection with the same proportionate logic, in both directions.</w:t>
      </w:r>
    </w:p>
    <w:p>
      <w:pPr>
        <w:pStyle w:val="Normal"/>
        <w:spacing w:after="140"/>
        <w:ind w:left="576" w:hanging="576"/>
      </w:pPr>
      <w:r>
        <w:rPr>
          <w:b/>
          <w:color w:val="263238"/>
          <w:szCs w:val="24"/>
          <w:lang w:val="en-CA" w:eastAsia="en-CA" w:bidi="ar-SA"/>
          <w:rFonts w:ascii="Calibri" w:hAnsi="Calibri" w:eastAsia="Calibri" w:cs="Calibri"/>
          <w:sz w:val="21"/>
        </w:rPr>
        <w:t xml:space="preserve">15.3  </w:t>
      </w:r>
      <w:r>
        <w:rPr>
          <w:szCs w:val="24"/>
          <w:lang w:val="en-CA" w:eastAsia="en-CA" w:bidi="ar-SA"/>
          <w:rFonts w:ascii="Calibri" w:hAnsi="Calibri" w:eastAsia="Calibri" w:cs="Calibri"/>
          <w:color w:val="263238"/>
          <w:sz w:val="18"/>
        </w:rPr>
        <w:t>The</w:t>
        <w:t xml:space="preserve"> humanitarian channel. The humanitarian channel operates outside this sequence entirely and never closes (Article 3.4).</w:t>
      </w:r>
    </w:p>
    <w:p>
      <w:pPr>
        <w:pStyle w:val="Normal"/>
        <w:spacing w:after="140"/>
        <w:ind w:left="576" w:hanging="576"/>
      </w:pPr>
      <w:r>
        <w:rPr>
          <w:b/>
          <w:color w:val="263238"/>
          <w:szCs w:val="24"/>
          <w:lang w:val="en-CA" w:eastAsia="en-CA" w:bidi="ar-SA"/>
          <w:rFonts w:ascii="Calibri" w:hAnsi="Calibri" w:eastAsia="Calibri" w:cs="Calibri"/>
          <w:sz w:val="21"/>
        </w:rPr>
        <w:t xml:space="preserve">15.4  </w:t>
      </w:r>
      <w:r>
        <w:rPr>
          <w:szCs w:val="24"/>
          <w:lang w:val="en-CA" w:eastAsia="en-CA" w:bidi="ar-SA"/>
          <w:rFonts w:ascii="Calibri" w:hAnsi="Calibri" w:eastAsia="Calibri" w:cs="Calibri"/>
          <w:color w:val="263238"/>
          <w:sz w:val="18"/>
        </w:rPr>
        <w:t>The</w:t>
        <w:t xml:space="preserve"> onboarding cushion. The dates in Table 2 are targets, and the Commission works to meet each one. A delay of up to 15 days for technical onboarding, bank bureaucracy, or regulatory coordination registers as no compliance event, provided the concerned participant demonstrates continuous good-faith effort. A delay beyond 15 days without verified cause feeds the consequence schedule (Annex B, economic rows).</w:t>
      </w:r>
    </w:p>
    <w:p>
      <w:pPr>
        <w:pStyle w:val="Heading2"/>
      </w:pPr>
      <w:r>
        <w:rPr>
          <w:szCs w:val="24"/>
          <w:lang w:val="en-CA" w:eastAsia="en-CA" w:bidi="ar-SA"/>
          <w:rFonts w:ascii="Calibri" w:hAnsi="Calibri" w:eastAsia="Calibri" w:cs="Calibri"/>
          <w:b/>
          <w:color w:val="B8860B"/>
          <w:sz w:val="19"/>
        </w:rPr>
        <w:t>Article 15A: The Transition Investment Fund</w:t>
      </w:r>
    </w:p>
    <w:p>
      <w:pPr>
        <w:pStyle w:val="Normal"/>
        <w:spacing w:after="140"/>
        <w:ind w:left="576" w:hanging="576"/>
      </w:pPr>
      <w:r>
        <w:rPr>
          <w:b/>
          <w:color w:val="263238"/>
          <w:szCs w:val="24"/>
          <w:lang w:val="en-CA" w:eastAsia="en-CA" w:bidi="ar-SA"/>
          <w:rFonts w:ascii="Calibri" w:hAnsi="Calibri" w:eastAsia="Calibri" w:cs="Calibri"/>
          <w:sz w:val="21"/>
        </w:rPr>
        <w:t xml:space="preserve">15A.1  </w:t>
      </w:r>
      <w:r>
        <w:rPr>
          <w:szCs w:val="24"/>
          <w:lang w:val="en-CA" w:eastAsia="en-CA" w:bidi="ar-SA"/>
          <w:rFonts w:ascii="Calibri" w:hAnsi="Calibri" w:eastAsia="Calibri" w:cs="Calibri"/>
          <w:color w:val="263238"/>
          <w:sz w:val="18"/>
        </w:rPr>
        <w:t>Establishment</w:t>
        <w:t>. The Hormuz Transition Investment Fund stands alongside the Maritime Services Trust as a separate and larger vehicle. Contributions from all participants and from international financial institutions capitalize the Fund, and an independent board with IMF and World Bank advisory seats governs it.</w:t>
      </w:r>
    </w:p>
    <w:p>
      <w:pPr>
        <w:pStyle w:val="Normal"/>
        <w:spacing w:after="140"/>
        <w:ind w:left="576" w:hanging="576"/>
      </w:pPr>
      <w:r>
        <w:rPr>
          <w:b/>
          <w:color w:val="263238"/>
          <w:szCs w:val="24"/>
          <w:lang w:val="en-CA" w:eastAsia="en-CA" w:bidi="ar-SA"/>
          <w:rFonts w:ascii="Calibri" w:hAnsi="Calibri" w:eastAsia="Calibri" w:cs="Calibri"/>
          <w:sz w:val="21"/>
        </w:rPr>
        <w:t xml:space="preserve">15A.2  </w:t>
      </w:r>
      <w:r>
        <w:rPr>
          <w:szCs w:val="24"/>
          <w:lang w:val="en-CA" w:eastAsia="en-CA" w:bidi="ar-SA"/>
          <w:rFonts w:ascii="Calibri" w:hAnsi="Calibri" w:eastAsia="Calibri" w:cs="Calibri"/>
          <w:color w:val="263238"/>
          <w:sz w:val="18"/>
        </w:rPr>
        <w:t>Mandate</w:t>
        <w:t>. The Fund invests in sustainable infrastructure in both Iran and Oman: renewable energy, port modernization, water security, and grid interconnection. Investments follow published criteria and independent audit, and no investment conditions any transit.</w:t>
      </w:r>
    </w:p>
    <w:p>
      <w:pPr>
        <w:pStyle w:val="Normal"/>
        <w:spacing w:after="140"/>
        <w:ind w:left="576" w:hanging="576"/>
      </w:pPr>
      <w:r>
        <w:rPr>
          <w:b/>
          <w:color w:val="263238"/>
          <w:szCs w:val="24"/>
          <w:lang w:val="en-CA" w:eastAsia="en-CA" w:bidi="ar-SA"/>
          <w:rFonts w:ascii="Calibri" w:hAnsi="Calibri" w:eastAsia="Calibri" w:cs="Calibri"/>
          <w:sz w:val="21"/>
        </w:rPr>
        <w:t xml:space="preserve">15A.3  </w:t>
      </w:r>
      <w:r>
        <w:rPr>
          <w:szCs w:val="24"/>
          <w:lang w:val="en-CA" w:eastAsia="en-CA" w:bidi="ar-SA"/>
          <w:rFonts w:ascii="Calibri" w:hAnsi="Calibri" w:eastAsia="Calibri" w:cs="Calibri"/>
          <w:color w:val="263238"/>
          <w:sz w:val="18"/>
        </w:rPr>
        <w:t>The</w:t>
        <w:t xml:space="preserve"> peace dividend lock. The Fund locks in the peace dividend: it gives every participant a tangible economic stake in long-term compliance, and its disbursements continue through every tier of the compliance engine except Tier 3 (Article 17).</w:t>
      </w:r>
    </w:p>
    <w:p>
      <w:pPr>
        <w:pStyle w:val="Heading2"/>
      </w:pPr>
      <w:r>
        <w:rPr>
          <w:szCs w:val="24"/>
          <w:lang w:val="en-CA" w:eastAsia="en-CA" w:bidi="ar-SA"/>
          <w:rFonts w:ascii="Calibri" w:hAnsi="Calibri" w:eastAsia="Calibri" w:cs="Calibri"/>
          <w:b/>
          <w:color w:val="B8860B"/>
          <w:sz w:val="19"/>
        </w:rPr>
        <w:t>Article 16: Diplomatic Normalization</w:t>
      </w:r>
    </w:p>
    <w:p>
      <w:pPr>
        <w:pStyle w:val="Normal"/>
        <w:spacing w:after="140"/>
        <w:ind w:left="576" w:hanging="576"/>
      </w:pPr>
      <w:r>
        <w:rPr>
          <w:b/>
          <w:color w:val="263238"/>
          <w:szCs w:val="24"/>
          <w:lang w:val="en-CA" w:eastAsia="en-CA" w:bidi="ar-SA"/>
          <w:rFonts w:ascii="Calibri" w:hAnsi="Calibri" w:eastAsia="Calibri" w:cs="Calibri"/>
          <w:sz w:val="21"/>
        </w:rPr>
        <w:t xml:space="preserve">16.1  </w:t>
      </w:r>
      <w:r>
        <w:rPr>
          <w:szCs w:val="24"/>
          <w:lang w:val="en-CA" w:eastAsia="en-CA" w:bidi="ar-SA"/>
          <w:rFonts w:ascii="Calibri" w:hAnsi="Calibri" w:eastAsia="Calibri" w:cs="Calibri"/>
          <w:color w:val="263238"/>
          <w:sz w:val="18"/>
        </w:rPr>
        <w:t>Protecting</w:t>
        <w:t xml:space="preserve"> power expansion. On Day 30 the Swiss protecting power mandate in Tehran expands into a full United States Interests Section with consular staffing. The Omani channel continues as the standing leader-to-leader line (Article 3.3 synchronization: this step pairs with SWIFT Phase 1).</w:t>
      </w:r>
    </w:p>
    <w:p>
      <w:pPr>
        <w:pStyle w:val="Normal"/>
        <w:spacing w:after="140"/>
        <w:ind w:left="576" w:hanging="576"/>
      </w:pPr>
      <w:r>
        <w:rPr>
          <w:b/>
          <w:color w:val="263238"/>
          <w:szCs w:val="24"/>
          <w:lang w:val="en-CA" w:eastAsia="en-CA" w:bidi="ar-SA"/>
          <w:rFonts w:ascii="Calibri" w:hAnsi="Calibri" w:eastAsia="Calibri" w:cs="Calibri"/>
          <w:sz w:val="21"/>
        </w:rPr>
        <w:t xml:space="preserve">16.2  </w:t>
      </w:r>
      <w:r>
        <w:rPr>
          <w:szCs w:val="24"/>
          <w:lang w:val="en-CA" w:eastAsia="en-CA" w:bidi="ar-SA"/>
          <w:rFonts w:ascii="Calibri" w:hAnsi="Calibri" w:eastAsia="Calibri" w:cs="Calibri"/>
          <w:color w:val="263238"/>
          <w:sz w:val="18"/>
        </w:rPr>
        <w:t>Interests</w:t>
        <w:t xml:space="preserve"> sections. On Day 60 reciprocal </w:t>
        <w:t>interests</w:t>
        <w:t xml:space="preserve"> sections open in Tehran and Washington.</w:t>
      </w:r>
    </w:p>
    <w:p>
      <w:pPr>
        <w:pStyle w:val="Normal"/>
        <w:spacing w:after="140"/>
        <w:ind w:left="576" w:hanging="576"/>
      </w:pPr>
      <w:r>
        <w:rPr>
          <w:b/>
          <w:color w:val="263238"/>
          <w:szCs w:val="24"/>
          <w:lang w:val="en-CA" w:eastAsia="en-CA" w:bidi="ar-SA"/>
          <w:rFonts w:ascii="Calibri" w:hAnsi="Calibri" w:eastAsia="Calibri" w:cs="Calibri"/>
          <w:sz w:val="21"/>
        </w:rPr>
        <w:t xml:space="preserve">16.3  </w:t>
      </w:r>
      <w:r>
        <w:rPr>
          <w:szCs w:val="24"/>
          <w:lang w:val="en-CA" w:eastAsia="en-CA" w:bidi="ar-SA"/>
          <w:rFonts w:ascii="Calibri" w:hAnsi="Calibri" w:eastAsia="Calibri" w:cs="Calibri"/>
          <w:color w:val="263238"/>
          <w:sz w:val="18"/>
        </w:rPr>
        <w:t>Embassies</w:t>
        <w:t xml:space="preserve">. On Day 180 the Parties and the Endorsing Stakeholder exchange ambassadors, completing the normalization ladder: hotline, </w:t>
        <w:t>interests</w:t>
        <w:t xml:space="preserve"> sections, embassies.</w:t>
      </w:r>
    </w:p>
    <w:p>
      <w:pPr>
        <w:pStyle w:val="Normal"/>
        <w:spacing w:after="140"/>
        <w:ind w:left="576" w:hanging="576"/>
      </w:pPr>
      <w:r>
        <w:rPr>
          <w:b/>
          <w:color w:val="263238"/>
          <w:szCs w:val="24"/>
          <w:lang w:val="en-CA" w:eastAsia="en-CA" w:bidi="ar-SA"/>
          <w:rFonts w:ascii="Calibri" w:hAnsi="Calibri" w:eastAsia="Calibri" w:cs="Calibri"/>
          <w:sz w:val="21"/>
        </w:rPr>
        <w:t xml:space="preserve">16.4  </w:t>
      </w:r>
      <w:r>
        <w:rPr>
          <w:szCs w:val="24"/>
          <w:lang w:val="en-CA" w:eastAsia="en-CA" w:bidi="ar-SA"/>
          <w:rFonts w:ascii="Calibri" w:hAnsi="Calibri" w:eastAsia="Calibri" w:cs="Calibri"/>
          <w:color w:val="263238"/>
          <w:sz w:val="18"/>
        </w:rPr>
        <w:t>Political</w:t>
        <w:t xml:space="preserve"> systems. The framework architecture contains no political-system conditionality. Each state's political system evolves exclusively through its own internal sovereign processes. The Compact measures conduct, not constitutions.</w:t>
      </w:r>
    </w:p>
    <w:p>
      <w:pPr>
        <w:pStyle w:val="Normal"/>
        <w:spacing w:after="140"/>
        <w:ind w:left="576" w:hanging="576"/>
      </w:pPr>
      <w:r>
        <w:rPr>
          <w:b/>
          <w:color w:val="263238"/>
          <w:szCs w:val="24"/>
          <w:lang w:val="en-CA" w:eastAsia="en-CA" w:bidi="ar-SA"/>
          <w:rFonts w:ascii="Calibri" w:hAnsi="Calibri" w:eastAsia="Calibri" w:cs="Calibri"/>
          <w:sz w:val="21"/>
        </w:rPr>
        <w:t xml:space="preserve">16.5  </w:t>
      </w:r>
      <w:r>
        <w:rPr>
          <w:szCs w:val="24"/>
          <w:lang w:val="en-CA" w:eastAsia="en-CA" w:bidi="ar-SA"/>
          <w:rFonts w:ascii="Calibri" w:hAnsi="Calibri" w:eastAsia="Calibri" w:cs="Calibri"/>
          <w:color w:val="263238"/>
          <w:sz w:val="18"/>
        </w:rPr>
        <w:t>The</w:t>
        <w:t xml:space="preserve"> public record. The Endorsing Stakeholder records the relationship as normalized and rapidly reintegrating. The Islamic Republic records its system as intact and externally untouched. Both records stand simultaneously (Article 3.7).</w:t>
      </w:r>
    </w:p>
    <w:p>
      <w:pPr>
        <w:pStyle w:val="Heading2"/>
      </w:pPr>
      <w:r>
        <w:rPr>
          <w:szCs w:val="24"/>
          <w:lang w:val="en-CA" w:eastAsia="en-CA" w:bidi="ar-SA"/>
          <w:rFonts w:ascii="Calibri" w:hAnsi="Calibri" w:eastAsia="Calibri" w:cs="Calibri"/>
          <w:b/>
          <w:color w:val="B8860B"/>
          <w:sz w:val="19"/>
        </w:rPr>
        <w:t>Article 16A: The Comprehensive Economic Cooperation Zone</w:t>
      </w:r>
    </w:p>
    <w:p>
      <w:pPr>
        <w:pStyle w:val="Normal"/>
        <w:spacing w:after="140"/>
        <w:ind w:left="576" w:hanging="576"/>
      </w:pPr>
      <w:r>
        <w:rPr>
          <w:b/>
          <w:color w:val="263238"/>
          <w:szCs w:val="24"/>
          <w:lang w:val="en-CA" w:eastAsia="en-CA" w:bidi="ar-SA"/>
          <w:rFonts w:ascii="Calibri" w:hAnsi="Calibri" w:eastAsia="Calibri" w:cs="Calibri"/>
          <w:sz w:val="21"/>
        </w:rPr>
        <w:t xml:space="preserve">16A.1  </w:t>
      </w:r>
      <w:r>
        <w:rPr>
          <w:szCs w:val="24"/>
          <w:lang w:val="en-CA" w:eastAsia="en-CA" w:bidi="ar-SA"/>
          <w:rFonts w:ascii="Calibri" w:hAnsi="Calibri" w:eastAsia="Calibri" w:cs="Calibri"/>
          <w:color w:val="263238"/>
          <w:sz w:val="18"/>
        </w:rPr>
        <w:t>Beyond</w:t>
        <w:t xml:space="preserve"> embassies. The normalization bridge continues past the exchange of ambassadors. On Day 365 the participants launch the Comprehensive Economic Cooperation Zone, a standing platform for cooperation in non-sanctioned sectors: energy, technology, tourism, agriculture, and cultural exchange.</w:t>
      </w:r>
    </w:p>
    <w:p>
      <w:pPr>
        <w:pStyle w:val="Normal"/>
        <w:spacing w:after="140"/>
        <w:ind w:left="576" w:hanging="576"/>
      </w:pPr>
      <w:r>
        <w:rPr>
          <w:b/>
          <w:color w:val="263238"/>
          <w:szCs w:val="24"/>
          <w:lang w:val="en-CA" w:eastAsia="en-CA" w:bidi="ar-SA"/>
          <w:rFonts w:ascii="Calibri" w:hAnsi="Calibri" w:eastAsia="Calibri" w:cs="Calibri"/>
          <w:sz w:val="21"/>
        </w:rPr>
        <w:t xml:space="preserve">16A.2  </w:t>
      </w:r>
      <w:r>
        <w:rPr>
          <w:szCs w:val="24"/>
          <w:lang w:val="en-CA" w:eastAsia="en-CA" w:bidi="ar-SA"/>
          <w:rFonts w:ascii="Calibri" w:hAnsi="Calibri" w:eastAsia="Calibri" w:cs="Calibri"/>
          <w:color w:val="263238"/>
          <w:sz w:val="18"/>
        </w:rPr>
        <w:t>Architecture</w:t>
        <w:t>. The Zone operates through a joint secretariat inside the Commission, publishes an open project registry, and admits every signatory and endorsing state on equal terms. The bridge becomes a highway for regional commerce.</w:t>
      </w:r>
    </w:p>
    <w:p>
      <w:pPr>
        <w:pStyle w:val="Normal"/>
        <w:spacing w:after="140"/>
        <w:ind w:left="576" w:hanging="576"/>
      </w:pPr>
      <w:r>
        <w:rPr>
          <w:b/>
          <w:color w:val="263238"/>
          <w:szCs w:val="24"/>
          <w:lang w:val="en-CA" w:eastAsia="en-CA" w:bidi="ar-SA"/>
          <w:rFonts w:ascii="Calibri" w:hAnsi="Calibri" w:eastAsia="Calibri" w:cs="Calibri"/>
          <w:sz w:val="21"/>
        </w:rPr>
        <w:t xml:space="preserve">16A.3  </w:t>
      </w:r>
      <w:r>
        <w:rPr>
          <w:szCs w:val="24"/>
          <w:lang w:val="en-CA" w:eastAsia="en-CA" w:bidi="ar-SA"/>
          <w:rFonts w:ascii="Calibri" w:hAnsi="Calibri" w:eastAsia="Calibri" w:cs="Calibri"/>
          <w:color w:val="263238"/>
          <w:sz w:val="18"/>
        </w:rPr>
        <w:t>Nofade</w:t>
        <w:t>. Zone programs persist at full strength under Article 4: no program lapses by silence, and changes travel only through the joint written instrument of Article 23.3.</w:t>
      </w:r>
    </w:p>
    <w:p>
      <w:pPr>
        <w:pStyle w:val="Heading1"/>
        <w:pBdr>
          <w:bottom w:val="single" w:sz="6" w:space="3" w:color="B8860B"/>
        </w:pBdr>
      </w:pPr>
      <w:r>
        <w:rPr>
          <w:szCs w:val="24"/>
          <w:lang w:val="en-CA" w:eastAsia="en-CA" w:bidi="ar-SA"/>
          <w:rFonts w:ascii="Calibri" w:hAnsi="Calibri" w:eastAsia="Calibri" w:cs="Calibri"/>
          <w:b/>
          <w:color w:val="8FA3AD"/>
          <w:sz w:val="18"/>
        </w:rPr>
        <w:t>PART V: THE COMPLIANCE ENGINE</w:t>
      </w:r>
    </w:p>
    <w:p>
      <w:pPr>
        <w:pStyle w:val="Heading2"/>
      </w:pPr>
      <w:r>
        <w:rPr>
          <w:szCs w:val="24"/>
          <w:lang w:val="en-CA" w:eastAsia="en-CA" w:bidi="ar-SA"/>
          <w:rFonts w:ascii="Calibri" w:hAnsi="Calibri" w:eastAsia="Calibri" w:cs="Calibri"/>
          <w:b/>
          <w:color w:val="B8860B"/>
          <w:sz w:val="19"/>
        </w:rPr>
        <w:t>Article 17: Classification and Step-Back</w:t>
      </w:r>
    </w:p>
    <w:p>
      <w:pPr>
        <w:pStyle w:val="Normal"/>
        <w:spacing w:after="140"/>
        <w:ind w:left="576" w:hanging="576"/>
      </w:pPr>
      <w:r>
        <w:rPr>
          <w:b/>
          <w:color w:val="263238"/>
          <w:szCs w:val="24"/>
          <w:lang w:val="en-CA" w:eastAsia="en-CA" w:bidi="ar-SA"/>
          <w:rFonts w:ascii="Calibri" w:hAnsi="Calibri" w:eastAsia="Calibri" w:cs="Calibri"/>
          <w:sz w:val="21"/>
        </w:rPr>
        <w:t xml:space="preserve">17.1  </w:t>
      </w:r>
      <w:r>
        <w:rPr>
          <w:szCs w:val="24"/>
          <w:lang w:val="en-CA" w:eastAsia="en-CA" w:bidi="ar-SA"/>
          <w:rFonts w:ascii="Calibri" w:hAnsi="Calibri" w:eastAsia="Calibri" w:cs="Calibri"/>
          <w:color w:val="263238"/>
          <w:sz w:val="18"/>
        </w:rPr>
        <w:t>Three</w:t>
        <w:t xml:space="preserve"> tiers. Every compliance event </w:t>
        <w:t>sorts</w:t>
        <w:t xml:space="preserve"> into one of three tiers. The engine replaces snapback with proportion: it breathes, it never collapses.</w:t>
      </w:r>
    </w:p>
    <w:tbl>
      <w:tblPr>
        <w:tblStyle w:val="TableNormal"/>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1505"/>
        <w:gridCol w:w="3309"/>
        <w:gridCol w:w="2507"/>
        <w:gridCol w:w="1905"/>
      </w:tblGrid>
      <w:tr>
        <w:trPr>
          <w:tblHeader w:val="1"/>
        </w:trPr>
        <w:tc>
          <w:tcPr>
            <w:tcW w:w="1505" w:type="dxa"/>
            <w:shd w:val="clear" w:color="auto" w:fill="EDF2F4"/>
          </w:tcPr>
          <w:p>
            <w:pPr>
              <w:pStyle w:val="Normal"/>
              <w:spacing w:before="30" w:after="30" w:line="240" w:lineRule="auto"/>
              <w:jc w:val="left"/>
            </w:pPr>
            <w:r>
              <w:rPr>
                <w:b/>
                <w:color w:val="546E7A"/>
                <w:sz w:val="20"/>
                <w:szCs w:val="24"/>
                <w:lang w:val="en-CA" w:eastAsia="en-CA" w:bidi="ar-SA"/>
                <w:rFonts w:ascii="Calibri" w:hAnsi="Calibri" w:eastAsia="Calibri" w:cs="Calibri"/>
              </w:rPr>
              <w:t>Tier</w:t>
            </w:r>
          </w:p>
        </w:tc>
        <w:tc>
          <w:tcPr>
            <w:tcW w:w="3309" w:type="dxa"/>
            <w:shd w:val="clear" w:color="auto" w:fill="EDF2F4"/>
          </w:tcPr>
          <w:p>
            <w:pPr>
              <w:pStyle w:val="Normal"/>
              <w:spacing w:before="30" w:after="30" w:line="240" w:lineRule="auto"/>
              <w:jc w:val="left"/>
            </w:pPr>
            <w:r>
              <w:rPr>
                <w:b/>
                <w:color w:val="546E7A"/>
                <w:sz w:val="20"/>
                <w:szCs w:val="24"/>
                <w:lang w:val="en-CA" w:eastAsia="en-CA" w:bidi="ar-SA"/>
                <w:rFonts w:ascii="Calibri" w:hAnsi="Calibri" w:eastAsia="Calibri" w:cs="Calibri"/>
              </w:rPr>
              <w:t>Signature</w:t>
            </w:r>
          </w:p>
        </w:tc>
        <w:tc>
          <w:tcPr>
            <w:tcW w:w="2507" w:type="dxa"/>
            <w:shd w:val="clear" w:color="auto" w:fill="EDF2F4"/>
          </w:tcPr>
          <w:p>
            <w:pPr>
              <w:pStyle w:val="Normal"/>
              <w:spacing w:before="30" w:after="30" w:line="240" w:lineRule="auto"/>
              <w:jc w:val="left"/>
            </w:pPr>
            <w:r>
              <w:rPr>
                <w:b/>
                <w:color w:val="546E7A"/>
                <w:sz w:val="20"/>
                <w:szCs w:val="24"/>
                <w:lang w:val="en-CA" w:eastAsia="en-CA" w:bidi="ar-SA"/>
                <w:rFonts w:ascii="Calibri" w:hAnsi="Calibri" w:eastAsia="Calibri" w:cs="Calibri"/>
              </w:rPr>
              <w:t>Response</w:t>
            </w:r>
          </w:p>
        </w:tc>
        <w:tc>
          <w:tcPr>
            <w:tcW w:w="1905" w:type="dxa"/>
            <w:shd w:val="clear" w:color="auto" w:fill="EDF2F4"/>
          </w:tcPr>
          <w:p>
            <w:pPr>
              <w:pStyle w:val="Normal"/>
              <w:spacing w:before="30" w:after="30" w:line="240" w:lineRule="auto"/>
              <w:jc w:val="left"/>
            </w:pPr>
            <w:r>
              <w:rPr>
                <w:b/>
                <w:color w:val="546E7A"/>
                <w:sz w:val="20"/>
                <w:szCs w:val="24"/>
                <w:lang w:val="en-CA" w:eastAsia="en-CA" w:bidi="ar-SA"/>
                <w:rFonts w:ascii="Calibri" w:hAnsi="Calibri" w:eastAsia="Calibri" w:cs="Calibri"/>
              </w:rPr>
              <w:t>Remediation</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Tier 1: Technical</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Minor exceedance under 0.5 percent, administrative delay under 48 hours, single anomalous reading</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No benefit reduction; technical assistance within 72 hours; confidential handling</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14-day engineering window</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Tier 2: Material disruption</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Exceedance above 0.5 percent, access denial over 72 hours, unlawful detention, relief delay</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 xml:space="preserve">10 to 25 percent step-back of non-humanitarian benefits, scaled by duration; 48-hour </w:t>
              <w:t>cooling-off precedes activation</w:t>
            </w:r>
          </w:p>
        </w:tc>
        <w:tc>
          <w:tcPr>
            <w:tcW w:w="1905" w:type="dxa"/>
          </w:tcPr>
          <w:p>
            <w:pPr>
              <w:pStyle w:val="Normal"/>
              <w:spacing w:before="30" w:after="30" w:line="240" w:lineRule="auto"/>
              <w:jc w:val="left"/>
            </w:pPr>
            <w:r>
              <w:rPr>
                <w:szCs w:val="24"/>
                <w:lang w:val="en-CA" w:eastAsia="en-CA" w:bidi="ar-SA"/>
                <w:rFonts w:ascii="Calibri" w:hAnsi="Calibri" w:eastAsia="Calibri" w:cs="Calibri"/>
                <w:color w:val="263238"/>
                <w:sz w:val="21"/>
              </w:rPr>
              <w:t>30-day remediation window</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Tier 3: Deliberate hostile violation</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Weapons activity, diversion, seal tampering, telemetry falsification, attack on inspectors</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25 to 50 percent step-back, scaled by response speed; Council of Friends convenes within 48 hours</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90-day remediation window</w:t>
            </w:r>
          </w:p>
        </w:tc>
      </w:tr>
    </w:tbl>
    <w:p>
      <w:pPr>
        <w:pStyle w:val="Normal"/>
        <w:spacing w:after="140"/>
      </w:pPr>
    </w:p>
    <w:p>
      <w:pPr>
        <w:pStyle w:val="Caption"/>
      </w:pPr>
      <w:r>
        <w:rPr>
          <w:szCs w:val="24"/>
          <w:lang w:val="en-CA" w:eastAsia="en-CA" w:bidi="ar-SA"/>
          <w:rFonts w:ascii="Calibri" w:hAnsi="Calibri" w:eastAsia="Calibri" w:cs="Calibri"/>
          <w:color w:val="263238"/>
          <w:sz w:val="20"/>
          <w:i/>
        </w:rPr>
        <w:t>Table 3: Tier classification</w:t>
      </w:r>
    </w:p>
    <w:p>
      <w:pPr>
        <w:pStyle w:val="Normal"/>
        <w:spacing w:after="140"/>
        <w:ind w:left="576" w:hanging="576"/>
      </w:pPr>
      <w:r>
        <w:rPr>
          <w:b/>
          <w:color w:val="263238"/>
          <w:szCs w:val="24"/>
          <w:lang w:val="en-CA" w:eastAsia="en-CA" w:bidi="ar-SA"/>
          <w:rFonts w:ascii="Calibri" w:hAnsi="Calibri" w:eastAsia="Calibri" w:cs="Calibri"/>
          <w:sz w:val="21"/>
        </w:rPr>
        <w:t xml:space="preserve">17.2  </w:t>
      </w:r>
      <w:r>
        <w:rPr>
          <w:szCs w:val="24"/>
          <w:lang w:val="en-CA" w:eastAsia="en-CA" w:bidi="ar-SA"/>
          <w:rFonts w:ascii="Calibri" w:hAnsi="Calibri" w:eastAsia="Calibri" w:cs="Calibri"/>
          <w:color w:val="263238"/>
          <w:sz w:val="18"/>
        </w:rPr>
        <w:t>The</w:t>
        <w:t xml:space="preserve"> proportionality formula. Consequence equals base tier value, multiplied by duration factor (0.4 for correction within 24 hours up to 1.0 for an uncured window), multiplied by remediation factor (full remediation 0.5, partial 0.75, none 1.0). The Commission applies the formula; no discretion exists beyond it.</w:t>
      </w:r>
    </w:p>
    <w:p>
      <w:pPr>
        <w:pStyle w:val="Normal"/>
        <w:spacing w:after="140"/>
        <w:ind w:left="576" w:hanging="576"/>
      </w:pPr>
      <w:r>
        <w:rPr>
          <w:b/>
          <w:color w:val="263238"/>
          <w:szCs w:val="24"/>
          <w:lang w:val="en-CA" w:eastAsia="en-CA" w:bidi="ar-SA"/>
          <w:rFonts w:ascii="Calibri" w:hAnsi="Calibri" w:eastAsia="Calibri" w:cs="Calibri"/>
          <w:sz w:val="21"/>
        </w:rPr>
        <w:t xml:space="preserve">17.3  </w:t>
      </w:r>
      <w:r>
        <w:rPr>
          <w:szCs w:val="24"/>
          <w:lang w:val="en-CA" w:eastAsia="en-CA" w:bidi="ar-SA"/>
          <w:rFonts w:ascii="Calibri" w:hAnsi="Calibri" w:eastAsia="Calibri" w:cs="Calibri"/>
          <w:color w:val="263238"/>
          <w:sz w:val="18"/>
        </w:rPr>
        <w:t>Sequenced</w:t>
        <w:t xml:space="preserve"> impact. Step-back pauses benefits in this exact order: discretionary measures first, commercial financial benefits second, core relief tranches third. Verification obligations and humanitarian flows never pause.</w:t>
      </w:r>
    </w:p>
    <w:p>
      <w:pPr>
        <w:pStyle w:val="Normal"/>
        <w:spacing w:after="140"/>
        <w:ind w:left="576" w:hanging="576"/>
      </w:pPr>
      <w:r>
        <w:rPr>
          <w:b/>
          <w:color w:val="263238"/>
          <w:szCs w:val="24"/>
          <w:lang w:val="en-CA" w:eastAsia="en-CA" w:bidi="ar-SA"/>
          <w:rFonts w:ascii="Calibri" w:hAnsi="Calibri" w:eastAsia="Calibri" w:cs="Calibri"/>
          <w:sz w:val="21"/>
        </w:rPr>
        <w:t xml:space="preserve">17.4  </w:t>
      </w:r>
      <w:r>
        <w:rPr>
          <w:szCs w:val="24"/>
          <w:lang w:val="en-CA" w:eastAsia="en-CA" w:bidi="ar-SA"/>
          <w:rFonts w:ascii="Calibri" w:hAnsi="Calibri" w:eastAsia="Calibri" w:cs="Calibri"/>
          <w:color w:val="263238"/>
          <w:sz w:val="18"/>
        </w:rPr>
        <w:t>Cooling</w:t>
        <w:t>-off. A 48-hour cooling-off precedes every Tier 2 or Tier 3 activation: senior officials of the concerned participants confer directly, and the Swiss facilitator offers de-escalation options. Joint agreement extends the cooling-off to 72 hours.</w:t>
      </w:r>
    </w:p>
    <w:p>
      <w:pPr>
        <w:pStyle w:val="Normal"/>
        <w:spacing w:after="140"/>
        <w:ind w:left="576" w:hanging="576"/>
      </w:pPr>
      <w:r>
        <w:rPr>
          <w:b/>
          <w:color w:val="263238"/>
          <w:szCs w:val="24"/>
          <w:lang w:val="en-CA" w:eastAsia="en-CA" w:bidi="ar-SA"/>
          <w:rFonts w:ascii="Calibri" w:hAnsi="Calibri" w:eastAsia="Calibri" w:cs="Calibri"/>
          <w:sz w:val="21"/>
        </w:rPr>
        <w:t xml:space="preserve">17.5  </w:t>
      </w:r>
      <w:r>
        <w:rPr>
          <w:szCs w:val="24"/>
          <w:lang w:val="en-CA" w:eastAsia="en-CA" w:bidi="ar-SA"/>
          <w:rFonts w:ascii="Calibri" w:hAnsi="Calibri" w:eastAsia="Calibri" w:cs="Calibri"/>
          <w:color w:val="263238"/>
          <w:sz w:val="18"/>
        </w:rPr>
        <w:t>Human</w:t>
        <w:t xml:space="preserve"> in the loop. Automated systems flag anomalies and assemble evidence packages; human beings classify and decide. An annual audit confirms human review within 24 hours of every automated flag, and any audit failure triggers recalibration of the automated system within 30 days.</w:t>
      </w:r>
    </w:p>
    <w:p>
      <w:pPr>
        <w:pStyle w:val="Normal"/>
        <w:spacing w:after="140"/>
        <w:ind w:left="576" w:hanging="576"/>
      </w:pPr>
      <w:r>
        <w:rPr>
          <w:b/>
          <w:color w:val="263238"/>
          <w:szCs w:val="24"/>
          <w:lang w:val="en-CA" w:eastAsia="en-CA" w:bidi="ar-SA"/>
          <w:rFonts w:ascii="Calibri" w:hAnsi="Calibri" w:eastAsia="Calibri" w:cs="Calibri"/>
          <w:sz w:val="21"/>
        </w:rPr>
        <w:t xml:space="preserve">17.6  </w:t>
      </w:r>
      <w:r>
        <w:rPr>
          <w:szCs w:val="24"/>
          <w:lang w:val="en-CA" w:eastAsia="en-CA" w:bidi="ar-SA"/>
          <w:rFonts w:ascii="Calibri" w:hAnsi="Calibri" w:eastAsia="Calibri" w:cs="Calibri"/>
          <w:color w:val="263238"/>
          <w:sz w:val="18"/>
        </w:rPr>
        <w:t>No</w:t>
        <w:t xml:space="preserve"> snapback. The engine contains no snapback and no collapse mechanism. At 12 active consequence points the maximum graduated response activates: a 30-day suspension of non-humanitarian benefits plus 90-day intensive monitoring, with full earn-back available throughout (Annex B). No threshold authorizes military action, framework termination, or permanent exclusion.</w:t>
      </w:r>
    </w:p>
    <w:p>
      <w:pPr>
        <w:pStyle w:val="Normal"/>
        <w:spacing w:after="140"/>
        <w:ind w:left="576" w:hanging="576"/>
      </w:pPr>
      <w:r>
        <w:rPr>
          <w:b/>
          <w:color w:val="263238"/>
          <w:szCs w:val="24"/>
          <w:lang w:val="en-CA" w:eastAsia="en-CA" w:bidi="ar-SA"/>
          <w:rFonts w:ascii="Calibri" w:hAnsi="Calibri" w:eastAsia="Calibri" w:cs="Calibri"/>
          <w:sz w:val="21"/>
        </w:rPr>
        <w:t xml:space="preserve">17.7  </w:t>
      </w:r>
      <w:r>
        <w:rPr>
          <w:szCs w:val="24"/>
          <w:lang w:val="en-CA" w:eastAsia="en-CA" w:bidi="ar-SA"/>
          <w:rFonts w:ascii="Calibri" w:hAnsi="Calibri" w:eastAsia="Calibri" w:cs="Calibri"/>
          <w:color w:val="263238"/>
          <w:sz w:val="18"/>
        </w:rPr>
        <w:t>Module</w:t>
        <w:t xml:space="preserve"> isolation. A consequence stays inside its module (maritime, nuclear, economic, governance). Cross-module spillover activates only through Commission certification by consensus minus one: where a decision concerns one participant's conduct, that participant's seats stand aside.</w:t>
      </w:r>
    </w:p>
    <w:p>
      <w:pPr>
        <w:pStyle w:val="Normal"/>
        <w:spacing w:after="140"/>
        <w:ind w:left="576" w:hanging="576"/>
      </w:pPr>
      <w:r>
        <w:rPr>
          <w:b/>
          <w:color w:val="263238"/>
          <w:szCs w:val="24"/>
          <w:lang w:val="en-CA" w:eastAsia="en-CA" w:bidi="ar-SA"/>
          <w:rFonts w:ascii="Calibri" w:hAnsi="Calibri" w:eastAsia="Calibri" w:cs="Calibri"/>
          <w:sz w:val="21"/>
        </w:rPr>
        <w:t xml:space="preserve">17.8  </w:t>
      </w:r>
      <w:r>
        <w:rPr>
          <w:szCs w:val="24"/>
          <w:lang w:val="en-CA" w:eastAsia="en-CA" w:bidi="ar-SA"/>
          <w:rFonts w:ascii="Calibri" w:hAnsi="Calibri" w:eastAsia="Calibri" w:cs="Calibri"/>
          <w:color w:val="263238"/>
          <w:sz w:val="18"/>
        </w:rPr>
        <w:t>The</w:t>
        <w:t xml:space="preserve"> Continuous Dialogue Mechanism. The participants convene a standing quarterly review meeting at deputy minister level to surface potential issues before they reach Tier 2 or Tier 3. The meeting reviews the consequence register, the transparency portal data, and upcoming milestones, and its summary publishes on the public dashboard. The mechanism prevents escalation; it classifies nothing and pauses nothing.</w:t>
      </w:r>
    </w:p>
    <w:p>
      <w:pPr>
        <w:pStyle w:val="Heading2"/>
      </w:pPr>
      <w:r>
        <w:rPr>
          <w:szCs w:val="24"/>
          <w:lang w:val="en-CA" w:eastAsia="en-CA" w:bidi="ar-SA"/>
          <w:rFonts w:ascii="Calibri" w:hAnsi="Calibri" w:eastAsia="Calibri" w:cs="Calibri"/>
          <w:b/>
          <w:color w:val="B8860B"/>
          <w:sz w:val="19"/>
        </w:rPr>
        <w:t>Article 18: Earn-Back and Protections</w:t>
      </w:r>
    </w:p>
    <w:p>
      <w:pPr>
        <w:pStyle w:val="Normal"/>
        <w:spacing w:after="140"/>
        <w:ind w:left="576" w:hanging="576"/>
      </w:pPr>
      <w:r>
        <w:rPr>
          <w:b/>
          <w:color w:val="263238"/>
          <w:szCs w:val="24"/>
          <w:lang w:val="en-CA" w:eastAsia="en-CA" w:bidi="ar-SA"/>
          <w:rFonts w:ascii="Calibri" w:hAnsi="Calibri" w:eastAsia="Calibri" w:cs="Calibri"/>
          <w:sz w:val="21"/>
        </w:rPr>
        <w:t xml:space="preserve">18.1  </w:t>
      </w:r>
      <w:r>
        <w:rPr>
          <w:szCs w:val="24"/>
          <w:lang w:val="en-CA" w:eastAsia="en-CA" w:bidi="ar-SA"/>
          <w:rFonts w:ascii="Calibri" w:hAnsi="Calibri" w:eastAsia="Calibri" w:cs="Calibri"/>
          <w:color w:val="263238"/>
          <w:sz w:val="18"/>
        </w:rPr>
        <w:t>Earn</w:t>
        <w:t>-back always exists. No event creates permanent exclusion. Tier 1: resolution restores full status automatically. Tier 2: 14 days of clean compliance after remediation restores all benefits. Tier 3: 90 days of sustained clean compliance, plus IAEA certification, plus Commission majority confirmation, restores all benefits. Over-compliance credits shorten earn-back windows by up to 25 percent.</w:t>
      </w:r>
    </w:p>
    <w:p>
      <w:pPr>
        <w:pStyle w:val="Normal"/>
        <w:spacing w:after="140"/>
        <w:ind w:left="576" w:hanging="576"/>
      </w:pPr>
      <w:r>
        <w:rPr>
          <w:szCs w:val="24"/>
          <w:lang w:val="en-CA" w:eastAsia="en-CA" w:bidi="ar-SA"/>
          <w:rFonts w:ascii="Calibri" w:hAnsi="Calibri" w:eastAsia="Calibri" w:cs="Calibri"/>
          <w:color w:val="263238"/>
          <w:sz w:val="21"/>
        </w:rPr>
        <w:t xml:space="preserve">18.2  </w:t>
      </w:r>
      <w:r>
        <w:rPr>
          <w:szCs w:val="24"/>
          <w:lang w:val="en-CA" w:eastAsia="en-CA" w:bidi="ar-SA"/>
          <w:rFonts w:ascii="Calibri" w:hAnsi="Calibri" w:eastAsia="Calibri" w:cs="Calibri"/>
          <w:color w:val="263238"/>
          <w:sz w:val="18"/>
        </w:rPr>
        <w:t>No</w:t>
        <w:t xml:space="preserve"> confession. Restoration follows verified conduct, without admission of guilt, without penalty payments, without political concessions, and without renegotiation of the underlying commitment.</w:t>
      </w:r>
    </w:p>
    <w:p>
      <w:pPr>
        <w:pStyle w:val="Normal"/>
        <w:spacing w:after="140"/>
        <w:ind w:left="576" w:hanging="576"/>
      </w:pPr>
      <w:r>
        <w:rPr>
          <w:b/>
          <w:color w:val="263238"/>
          <w:szCs w:val="24"/>
          <w:lang w:val="en-CA" w:eastAsia="en-CA" w:bidi="ar-SA"/>
          <w:rFonts w:ascii="Calibri" w:hAnsi="Calibri" w:eastAsia="Calibri" w:cs="Calibri"/>
          <w:sz w:val="21"/>
        </w:rPr>
        <w:t xml:space="preserve">18.3  </w:t>
      </w:r>
      <w:r>
        <w:rPr>
          <w:szCs w:val="24"/>
          <w:lang w:val="en-CA" w:eastAsia="en-CA" w:bidi="ar-SA"/>
          <w:rFonts w:ascii="Calibri" w:hAnsi="Calibri" w:eastAsia="Calibri" w:cs="Calibri"/>
          <w:color w:val="263238"/>
          <w:sz w:val="18"/>
        </w:rPr>
        <w:t>Temporary</w:t>
        <w:t xml:space="preserve"> Operational Suspension (TOS). A Party invokes TOS for up to 14 days per invocation, at most three invocations per calendar year, while preserving verification, the hotline, humanitarian lanes, and the escrow. TOS is a safety valve, not a breach; consequence clocks hold still during TOS.</w:t>
      </w:r>
    </w:p>
    <w:p>
      <w:pPr>
        <w:pStyle w:val="Normal"/>
        <w:spacing w:after="140"/>
        <w:ind w:left="576" w:hanging="576"/>
      </w:pPr>
      <w:r>
        <w:rPr>
          <w:b/>
          <w:color w:val="263238"/>
          <w:szCs w:val="24"/>
          <w:lang w:val="en-CA" w:eastAsia="en-CA" w:bidi="ar-SA"/>
          <w:rFonts w:ascii="Calibri" w:hAnsi="Calibri" w:eastAsia="Calibri" w:cs="Calibri"/>
          <w:sz w:val="21"/>
        </w:rPr>
        <w:t xml:space="preserve">18.4  </w:t>
      </w:r>
      <w:r>
        <w:rPr>
          <w:szCs w:val="24"/>
          <w:lang w:val="en-CA" w:eastAsia="en-CA" w:bidi="ar-SA"/>
          <w:rFonts w:ascii="Calibri" w:hAnsi="Calibri" w:eastAsia="Calibri" w:cs="Calibri"/>
          <w:color w:val="263238"/>
          <w:sz w:val="18"/>
        </w:rPr>
        <w:t>The</w:t>
        <w:t xml:space="preserve"> Council of Friends. Oman, Switzerland, and Qatar form the permanent Council of Friends of the Hormuz Bridge, a standing organ of the architecture rather than an emergency backstop. The Council chair rotates annually among the three members. The Council receives referrals from the Commission and the Review Panel, convenes within 48 hours of a Tier 3 event, and decides technical classifications by majority of three. The Council holds three standing functions: dispute resolution under this article, verification oversight in cooperation with the IAEA and the Observation Mission (Article 13A), and an annual proportionality review of the compliance engine. The Council appoints the Independent Oversight Committee (Article 8.2a) and the Civil Society Advisory Body (Article 13B). Its political findings carry advisory force for heads of government.</w:t>
      </w:r>
    </w:p>
    <w:p>
      <w:pPr>
        <w:pStyle w:val="Normal"/>
        <w:spacing w:after="140"/>
        <w:ind w:left="576" w:hanging="576"/>
      </w:pPr>
      <w:r>
        <w:rPr>
          <w:b/>
          <w:color w:val="263238"/>
          <w:szCs w:val="24"/>
          <w:lang w:val="en-CA" w:eastAsia="en-CA" w:bidi="ar-SA"/>
          <w:rFonts w:ascii="Calibri" w:hAnsi="Calibri" w:eastAsia="Calibri" w:cs="Calibri"/>
          <w:sz w:val="21"/>
        </w:rPr>
        <w:t xml:space="preserve">18.5  </w:t>
      </w:r>
      <w:r>
        <w:rPr>
          <w:szCs w:val="24"/>
          <w:lang w:val="en-CA" w:eastAsia="en-CA" w:bidi="ar-SA"/>
          <w:rFonts w:ascii="Calibri" w:hAnsi="Calibri" w:eastAsia="Calibri" w:cs="Calibri"/>
          <w:color w:val="263238"/>
          <w:sz w:val="18"/>
        </w:rPr>
        <w:t>Force</w:t>
        <w:t xml:space="preserve"> majeure. Regional conflict spillover suspends affected obligations for up to 60 days, upon 48-hour notice and IAEA or UNMAS verification of the impediment. Core obligations </w:t>
        <w:t>survive:</w:t>
        <w:t xml:space="preserve"> custody, hotline, humanitarian lanes.</w:t>
      </w:r>
    </w:p>
    <w:p>
      <w:pPr>
        <w:pStyle w:val="Normal"/>
        <w:spacing w:after="140"/>
        <w:ind w:left="576" w:hanging="576"/>
      </w:pPr>
      <w:r>
        <w:rPr>
          <w:b/>
          <w:color w:val="263238"/>
          <w:szCs w:val="24"/>
          <w:lang w:val="en-CA" w:eastAsia="en-CA" w:bidi="ar-SA"/>
          <w:rFonts w:ascii="Calibri" w:hAnsi="Calibri" w:eastAsia="Calibri" w:cs="Calibri"/>
          <w:sz w:val="21"/>
        </w:rPr>
        <w:t xml:space="preserve">18.5a  </w:t>
      </w:r>
      <w:r>
        <w:rPr>
          <w:szCs w:val="24"/>
          <w:lang w:val="en-CA" w:eastAsia="en-CA" w:bidi="ar-SA"/>
          <w:rFonts w:ascii="Calibri" w:hAnsi="Calibri" w:eastAsia="Calibri" w:cs="Calibri"/>
          <w:color w:val="263238"/>
          <w:sz w:val="18"/>
        </w:rPr>
        <w:t>Regional</w:t>
        <w:t xml:space="preserve"> de-escalation. Every participant refers any regional tension with the potential to threaten the Strait to the Council of Friends at the earliest stage. The Council convenes a de-escalation session within 72 hours and engages the tension before it matures into a force majeure event. This standing obligation operates continuously, independent of any compliance event.</w:t>
      </w:r>
    </w:p>
    <w:p>
      <w:pPr>
        <w:pStyle w:val="Normal"/>
        <w:spacing w:after="140"/>
        <w:ind w:left="576" w:hanging="576"/>
      </w:pPr>
      <w:r>
        <w:rPr>
          <w:b/>
          <w:color w:val="263238"/>
          <w:szCs w:val="24"/>
          <w:lang w:val="en-CA" w:eastAsia="en-CA" w:bidi="ar-SA"/>
          <w:rFonts w:ascii="Calibri" w:hAnsi="Calibri" w:eastAsia="Calibri" w:cs="Calibri"/>
          <w:sz w:val="21"/>
        </w:rPr>
        <w:t xml:space="preserve">18.6  </w:t>
      </w:r>
      <w:r>
        <w:rPr>
          <w:szCs w:val="24"/>
          <w:lang w:val="en-CA" w:eastAsia="en-CA" w:bidi="ar-SA"/>
          <w:rFonts w:ascii="Calibri" w:hAnsi="Calibri" w:eastAsia="Calibri" w:cs="Calibri"/>
          <w:color w:val="263238"/>
          <w:sz w:val="18"/>
        </w:rPr>
        <w:t>The</w:t>
        <w:t xml:space="preserve"> false-flag protocol. Attacks by unknown actors activate a 48-hour attribution deferral, a presumption of good faith, and a joint forensic review before any classification. A Party claiming a rogue-actor or false-flag attack delivers full forensic evidence to the Commission within 24 hours. Where the Council of Friends finds the evidence insufficient by a two-thirds vote, the event classifies automatically as a state-directed Tier 3 event. The evidence standard is preponderance of evidence.</w:t>
      </w:r>
    </w:p>
    <w:p>
      <w:pPr>
        <w:pStyle w:val="Normal"/>
        <w:spacing w:after="140"/>
        <w:ind w:left="576" w:hanging="576"/>
      </w:pPr>
      <w:r>
        <w:rPr>
          <w:b/>
          <w:color w:val="263238"/>
          <w:szCs w:val="24"/>
          <w:lang w:val="en-CA" w:eastAsia="en-CA" w:bidi="ar-SA"/>
          <w:rFonts w:ascii="Calibri" w:hAnsi="Calibri" w:eastAsia="Calibri" w:cs="Calibri"/>
          <w:sz w:val="21"/>
        </w:rPr>
        <w:t xml:space="preserve">18.7  </w:t>
      </w:r>
      <w:r>
        <w:rPr>
          <w:szCs w:val="24"/>
          <w:lang w:val="en-CA" w:eastAsia="en-CA" w:bidi="ar-SA"/>
          <w:rFonts w:ascii="Calibri" w:hAnsi="Calibri" w:eastAsia="Calibri" w:cs="Calibri"/>
          <w:color w:val="263238"/>
          <w:sz w:val="18"/>
        </w:rPr>
        <w:t>Decoupling</w:t>
        <w:t xml:space="preserve"> restated. No compliance event under this Compact authorizes, triggers, or justifies military force (Article 3.5). This separation is absolute and non-waivable.</w:t>
      </w:r>
    </w:p>
    <w:p>
      <w:pPr>
        <w:pStyle w:val="Normal"/>
        <w:spacing w:after="140"/>
        <w:ind w:left="576" w:hanging="576"/>
      </w:pPr>
      <w:r>
        <w:rPr>
          <w:b/>
          <w:color w:val="263238"/>
          <w:szCs w:val="24"/>
          <w:lang w:val="en-CA" w:eastAsia="en-CA" w:bidi="ar-SA"/>
          <w:rFonts w:ascii="Calibri" w:hAnsi="Calibri" w:eastAsia="Calibri" w:cs="Calibri"/>
          <w:sz w:val="21"/>
        </w:rPr>
        <w:t xml:space="preserve">18.8  </w:t>
      </w:r>
      <w:r>
        <w:rPr>
          <w:szCs w:val="24"/>
          <w:lang w:val="en-CA" w:eastAsia="en-CA" w:bidi="ar-SA"/>
          <w:rFonts w:ascii="Calibri" w:hAnsi="Calibri" w:eastAsia="Calibri" w:cs="Calibri"/>
          <w:color w:val="263238"/>
          <w:sz w:val="18"/>
        </w:rPr>
        <w:t>The</w:t>
        <w:t xml:space="preserve"> Good Faith Reset. Distinct from TOS, a Party invokes the Good Faith Reset at most once per 18 months. Activation follows a two-thirds vote of the Council of Friends confirming genuine intent. The reset pauses consequences while the Party demonstrates remediation; it never erases the underlying compliance record.</w:t>
      </w:r>
    </w:p>
    <w:p>
      <w:pPr>
        <w:pStyle w:val="Normal"/>
        <w:spacing w:after="140"/>
        <w:ind w:left="576" w:hanging="576"/>
      </w:pPr>
      <w:r>
        <w:rPr>
          <w:b/>
          <w:color w:val="263238"/>
          <w:szCs w:val="24"/>
          <w:lang w:val="en-CA" w:eastAsia="en-CA" w:bidi="ar-SA"/>
          <w:rFonts w:ascii="Calibri" w:hAnsi="Calibri" w:eastAsia="Calibri" w:cs="Calibri"/>
          <w:sz w:val="21"/>
        </w:rPr>
        <w:t xml:space="preserve">18.9  </w:t>
      </w:r>
      <w:r>
        <w:rPr>
          <w:szCs w:val="24"/>
          <w:lang w:val="en-CA" w:eastAsia="en-CA" w:bidi="ar-SA"/>
          <w:rFonts w:ascii="Calibri" w:hAnsi="Calibri" w:eastAsia="Calibri" w:cs="Calibri"/>
          <w:color w:val="263238"/>
          <w:sz w:val="18"/>
        </w:rPr>
        <w:t>Positive</w:t>
        <w:t xml:space="preserve"> credits. The engine rewards over-compliance. A participant earns positive credits through early completion of milestones, voluntary transparency beyond Article 13, and sustained clean operation. Credits shorten earn-back windows by up to 25 percent (Article 18.1), ease the sampling intensity of ground-truth patrols (Article 6.2), and count as favorable weight in future Trust and Transition Fund allocations. Verification intensity under Article 4.4 never declines. The Commission records credits in the Shared Digital Registry and publishes the balance annually. Credits never offset a Tier 3 event and never purchase passage: transit stays free under Article 10.</w:t>
      </w:r>
    </w:p>
    <w:p>
      <w:pPr>
        <w:pStyle w:val="Heading2"/>
      </w:pPr>
      <w:r>
        <w:rPr>
          <w:szCs w:val="24"/>
          <w:lang w:val="en-CA" w:eastAsia="en-CA" w:bidi="ar-SA"/>
          <w:rFonts w:ascii="Calibri" w:hAnsi="Calibri" w:eastAsia="Calibri" w:cs="Calibri"/>
          <w:b/>
          <w:color w:val="546E7A"/>
          <w:sz w:val="20"/>
        </w:rPr>
        <w:t>Article 18A: The Strait Ombudsman</w:t>
      </w:r>
    </w:p>
    <w:p>
      <w:pPr>
        <w:pStyle w:val="Normal"/>
        <w:spacing w:after="140"/>
        <w:ind w:left="576" w:hanging="576"/>
      </w:pPr>
      <w:r>
        <w:rPr>
          <w:b/>
          <w:color w:val="263238"/>
          <w:szCs w:val="24"/>
          <w:lang w:val="en-CA" w:eastAsia="en-CA" w:bidi="ar-SA"/>
          <w:rFonts w:ascii="Calibri" w:hAnsi="Calibri" w:eastAsia="Calibri" w:cs="Calibri"/>
          <w:sz w:val="21"/>
        </w:rPr>
        <w:t xml:space="preserve">18A.1  </w:t>
      </w:r>
      <w:r>
        <w:rPr>
          <w:szCs w:val="24"/>
          <w:lang w:val="en-CA" w:eastAsia="en-CA" w:bidi="ar-SA"/>
          <w:rFonts w:ascii="Calibri" w:hAnsi="Calibri" w:eastAsia="Calibri" w:cs="Calibri"/>
          <w:color w:val="263238"/>
          <w:sz w:val="18"/>
        </w:rPr>
        <w:t>Appointment</w:t>
        <w:t>. The Council of Friends appoints a Strait Ombudsman, a neutral figure of global standing such as a former United Nations Under-Secretary-General, for a single five-year term. The Ombudsman operates independently of every participant and every organ of the Compact.</w:t>
      </w:r>
    </w:p>
    <w:p>
      <w:pPr>
        <w:pStyle w:val="Normal"/>
        <w:spacing w:after="140"/>
        <w:ind w:left="576" w:hanging="576"/>
      </w:pPr>
      <w:r>
        <w:rPr>
          <w:b/>
          <w:color w:val="263238"/>
          <w:szCs w:val="24"/>
          <w:lang w:val="en-CA" w:eastAsia="en-CA" w:bidi="ar-SA"/>
          <w:rFonts w:ascii="Calibri" w:hAnsi="Calibri" w:eastAsia="Calibri" w:cs="Calibri"/>
          <w:sz w:val="21"/>
        </w:rPr>
        <w:t xml:space="preserve">18A.2  </w:t>
      </w:r>
      <w:r>
        <w:rPr>
          <w:szCs w:val="24"/>
          <w:lang w:val="en-CA" w:eastAsia="en-CA" w:bidi="ar-SA"/>
          <w:rFonts w:ascii="Calibri" w:hAnsi="Calibri" w:eastAsia="Calibri" w:cs="Calibri"/>
          <w:color w:val="263238"/>
          <w:sz w:val="18"/>
        </w:rPr>
        <w:t>Complaints</w:t>
        <w:t>. The Ombudsman receives complaints from any source: shipping companies, mariners, operators, civil society organizations, and participants. Every complaint receives an acknowledgment within 7 days and a published response within 60 days.</w:t>
      </w:r>
    </w:p>
    <w:p>
      <w:pPr>
        <w:pStyle w:val="Normal"/>
        <w:spacing w:after="140"/>
        <w:ind w:left="576" w:hanging="576"/>
      </w:pPr>
      <w:r>
        <w:rPr>
          <w:b/>
          <w:color w:val="263238"/>
          <w:szCs w:val="24"/>
          <w:lang w:val="en-CA" w:eastAsia="en-CA" w:bidi="ar-SA"/>
          <w:rFonts w:ascii="Calibri" w:hAnsi="Calibri" w:eastAsia="Calibri" w:cs="Calibri"/>
          <w:sz w:val="21"/>
        </w:rPr>
        <w:t xml:space="preserve">18A.3  </w:t>
      </w:r>
      <w:r>
        <w:rPr>
          <w:szCs w:val="24"/>
          <w:lang w:val="en-CA" w:eastAsia="en-CA" w:bidi="ar-SA"/>
          <w:rFonts w:ascii="Calibri" w:hAnsi="Calibri" w:eastAsia="Calibri" w:cs="Calibri"/>
          <w:color w:val="263238"/>
          <w:sz w:val="18"/>
        </w:rPr>
        <w:t>Powers</w:t>
        <w:t>. The Ombudsman holds access to all non-classified Registry data, attends Commission sessions as an observer, and issues public findings and recommendations. The Commission answers every finding in its next bulletin. The Ombudsman adds a layer of accountability and transparency beyond the state-centric Commission; the office classifies nothing and enforces nothing.</w:t>
      </w:r>
    </w:p>
    <w:p>
      <w:pPr>
        <w:pStyle w:val="Heading2"/>
      </w:pPr>
      <w:r>
        <w:rPr>
          <w:szCs w:val="24"/>
          <w:lang w:val="en-CA" w:eastAsia="en-CA" w:bidi="ar-SA"/>
          <w:rFonts w:ascii="Calibri" w:hAnsi="Calibri" w:eastAsia="Calibri" w:cs="Calibri"/>
          <w:b/>
          <w:color w:val="546E7A"/>
          <w:sz w:val="20"/>
        </w:rPr>
        <w:t>Article 18B: Standing Arbitration</w:t>
      </w:r>
    </w:p>
    <w:p>
      <w:pPr>
        <w:pStyle w:val="Normal"/>
        <w:spacing w:after="140"/>
        <w:ind w:left="576" w:hanging="576"/>
      </w:pPr>
      <w:r>
        <w:rPr>
          <w:b/>
          <w:color w:val="263238"/>
          <w:szCs w:val="24"/>
          <w:lang w:val="en-CA" w:eastAsia="en-CA" w:bidi="ar-SA"/>
          <w:rFonts w:ascii="Calibri" w:hAnsi="Calibri" w:eastAsia="Calibri" w:cs="Calibri"/>
          <w:sz w:val="21"/>
        </w:rPr>
        <w:t xml:space="preserve">18B.1  </w:t>
      </w:r>
      <w:r>
        <w:rPr>
          <w:szCs w:val="24"/>
          <w:lang w:val="en-CA" w:eastAsia="en-CA" w:bidi="ar-SA"/>
          <w:rFonts w:ascii="Calibri" w:hAnsi="Calibri" w:eastAsia="Calibri" w:cs="Calibri"/>
          <w:color w:val="263238"/>
          <w:sz w:val="18"/>
        </w:rPr>
        <w:t>The</w:t>
        <w:t xml:space="preserve"> arbitration option. Any participant refers a dispute arising under this Compact to a standing arbitration panel administered by the Permanent Court of Arbitration in The Hague. The panel seats three arbitrators: each side of the dispute appoints one, and the two appointed arbitrators select the chair.</w:t>
      </w:r>
    </w:p>
    <w:p>
      <w:pPr>
        <w:pStyle w:val="Normal"/>
        <w:spacing w:after="140"/>
        <w:ind w:left="576" w:hanging="576"/>
      </w:pPr>
      <w:r>
        <w:rPr>
          <w:b/>
          <w:color w:val="263238"/>
          <w:szCs w:val="24"/>
          <w:lang w:val="en-CA" w:eastAsia="en-CA" w:bidi="ar-SA"/>
          <w:rFonts w:ascii="Calibri" w:hAnsi="Calibri" w:eastAsia="Calibri" w:cs="Calibri"/>
          <w:sz w:val="21"/>
        </w:rPr>
        <w:t xml:space="preserve">18B.2  </w:t>
      </w:r>
      <w:r>
        <w:rPr>
          <w:szCs w:val="24"/>
          <w:lang w:val="en-CA" w:eastAsia="en-CA" w:bidi="ar-SA"/>
          <w:rFonts w:ascii="Calibri" w:hAnsi="Calibri" w:eastAsia="Calibri" w:cs="Calibri"/>
          <w:color w:val="263238"/>
          <w:sz w:val="18"/>
        </w:rPr>
        <w:t>Binding</w:t>
        <w:t xml:space="preserve"> effect. The panel's decision binds the disputants as a matter of this Compact. Arbitration runs parallel to the incident ladder and never suspends verification, the hotline, the humanitarian lanes, or the toll-free rule.</w:t>
      </w:r>
    </w:p>
    <w:p>
      <w:pPr>
        <w:pStyle w:val="Normal"/>
        <w:spacing w:after="140"/>
        <w:ind w:left="576" w:hanging="576"/>
      </w:pPr>
      <w:r>
        <w:rPr>
          <w:b/>
          <w:color w:val="263238"/>
          <w:szCs w:val="24"/>
          <w:lang w:val="en-CA" w:eastAsia="en-CA" w:bidi="ar-SA"/>
          <w:rFonts w:ascii="Calibri" w:hAnsi="Calibri" w:eastAsia="Calibri" w:cs="Calibri"/>
          <w:sz w:val="21"/>
        </w:rPr>
        <w:t xml:space="preserve">18B.3  </w:t>
      </w:r>
      <w:r>
        <w:rPr>
          <w:szCs w:val="24"/>
          <w:lang w:val="en-CA" w:eastAsia="en-CA" w:bidi="ar-SA"/>
          <w:rFonts w:ascii="Calibri" w:hAnsi="Calibri" w:eastAsia="Calibri" w:cs="Calibri"/>
          <w:color w:val="263238"/>
          <w:sz w:val="18"/>
        </w:rPr>
        <w:t>Depoliticization</w:t>
        <w:t>. Arbitration moves the most intractable technical disputes out of the political channel and into a rules-based forum, while the Council of Friends continues its political good offices.</w:t>
      </w:r>
    </w:p>
    <w:p>
      <w:pPr>
        <w:pStyle w:val="Heading1"/>
        <w:pBdr>
          <w:bottom w:val="single" w:sz="6" w:space="3" w:color="B8860B"/>
        </w:pBdr>
      </w:pPr>
      <w:r>
        <w:rPr>
          <w:szCs w:val="24"/>
          <w:lang w:val="en-CA" w:eastAsia="en-CA" w:bidi="ar-SA"/>
          <w:rFonts w:ascii="Calibri" w:hAnsi="Calibri" w:eastAsia="Calibri" w:cs="Calibri"/>
          <w:b/>
          <w:color w:val="23445A"/>
          <w:sz w:val="19"/>
        </w:rPr>
        <w:t>PART VI: THE POLITICAL ANNOUNCEMENTS PACKAGE</w:t>
      </w:r>
    </w:p>
    <w:p>
      <w:pPr>
        <w:pStyle w:val="Heading2"/>
      </w:pPr>
      <w:r>
        <w:rPr>
          <w:szCs w:val="24"/>
          <w:lang w:val="en-CA" w:eastAsia="en-CA" w:bidi="ar-SA"/>
          <w:rFonts w:ascii="Calibri" w:hAnsi="Calibri" w:eastAsia="Calibri" w:cs="Calibri"/>
          <w:b/>
          <w:color w:val="546E7A"/>
          <w:sz w:val="20"/>
        </w:rPr>
        <w:t>Article 19: Announcement Architecture and Sequencing</w:t>
      </w:r>
    </w:p>
    <w:p>
      <w:pPr>
        <w:pStyle w:val="Normal"/>
        <w:spacing w:after="140"/>
        <w:ind w:left="576" w:hanging="576"/>
      </w:pPr>
      <w:r>
        <w:rPr>
          <w:b/>
          <w:color w:val="263238"/>
          <w:szCs w:val="24"/>
          <w:lang w:val="en-CA" w:eastAsia="en-CA" w:bidi="ar-SA"/>
          <w:rFonts w:ascii="Calibri" w:hAnsi="Calibri" w:eastAsia="Calibri" w:cs="Calibri"/>
          <w:sz w:val="21"/>
        </w:rPr>
        <w:t xml:space="preserve">19.1  </w:t>
      </w:r>
      <w:r>
        <w:rPr>
          <w:szCs w:val="24"/>
          <w:lang w:val="en-CA" w:eastAsia="en-CA" w:bidi="ar-SA"/>
          <w:rFonts w:ascii="Calibri" w:hAnsi="Calibri" w:eastAsia="Calibri" w:cs="Calibri"/>
          <w:color w:val="263238"/>
          <w:sz w:val="18"/>
        </w:rPr>
        <w:t>The</w:t>
        <w:t xml:space="preserve"> three rules of the package. Rule one, the host speaks first: Oman's announcement envelops both national narratives inside a neutral frame before either capital speaks. Rule two, each capital leads on its own win: Tehran leads on sovereignty, fuel, and the end of strikes; Washington leads on toll-free transit, the end of the permission regime, and the destruction of the dust. Rule three, no collision: statements that approach the same fact from different angles stand at least five hours apart, and no statement quotes or answers another statement; each </w:t>
        <w:t>references</w:t>
        <w:t xml:space="preserve"> only the Compact text.</w:t>
      </w:r>
    </w:p>
    <w:p>
      <w:pPr>
        <w:pStyle w:val="Normal"/>
        <w:spacing w:after="140"/>
        <w:ind w:left="576" w:hanging="576"/>
      </w:pPr>
      <w:r>
        <w:rPr>
          <w:b/>
          <w:color w:val="263238"/>
          <w:szCs w:val="24"/>
          <w:lang w:val="en-CA" w:eastAsia="en-CA" w:bidi="ar-SA"/>
          <w:rFonts w:ascii="Calibri" w:hAnsi="Calibri" w:eastAsia="Calibri" w:cs="Calibri"/>
          <w:sz w:val="21"/>
        </w:rPr>
        <w:t xml:space="preserve">19.2  </w:t>
      </w:r>
      <w:r>
        <w:rPr>
          <w:szCs w:val="24"/>
          <w:lang w:val="en-CA" w:eastAsia="en-CA" w:bidi="ar-SA"/>
          <w:rFonts w:ascii="Calibri" w:hAnsi="Calibri" w:eastAsia="Calibri" w:cs="Calibri"/>
          <w:color w:val="263238"/>
          <w:sz w:val="18"/>
        </w:rPr>
        <w:t>The</w:t>
        <w:t xml:space="preserve"> stagger map. The sequence below anchors Day 0. Muscat time (GST, UTC+4) governs the map; each entry also notes the local time of the acting capital.</w:t>
      </w:r>
    </w:p>
    <w:p>
      <w:pPr>
        <w:pStyle w:val="Normal"/>
        <w:spacing w:after="80"/>
        <w:ind w:left="576" w:hanging="288"/>
      </w:pPr>
      <w:r>
        <w:rPr>
          <w:szCs w:val="24"/>
          <w:lang w:val="en-CA" w:eastAsia="en-CA" w:bidi="ar-SA"/>
          <w:rFonts w:ascii="Calibri" w:hAnsi="Calibri" w:eastAsia="Calibri" w:cs="Calibri"/>
          <w:color w:val="546E7A"/>
          <w:sz w:val="17"/>
        </w:rPr>
        <w:t>▪</w:t>
      </w:r>
      <w:r>
        <w:rPr>
          <w:szCs w:val="24"/>
          <w:lang w:val="en-CA" w:eastAsia="en-CA" w:bidi="ar-SA"/>
          <w:rFonts w:ascii="Calibri" w:hAnsi="Calibri" w:eastAsia="Calibri" w:cs="Calibri"/>
          <w:color w:val="263238"/>
          <w:sz w:val="18"/>
        </w:rPr>
        <w:t>10:00 GST, Muscat (09:30 Tehran, 02:30 Washington): the Omani Foreign Minister reads the Joint Communiqué at the signature ceremony (Statement S-1).</w:t>
      </w:r>
    </w:p>
    <w:p>
      <w:pPr>
        <w:pStyle w:val="Normal"/>
        <w:spacing w:after="80"/>
        <w:ind w:left="576" w:hanging="288"/>
      </w:pPr>
      <w:r>
        <w:rPr>
          <w:b/>
          <w:color w:val="546E7A"/>
          <w:szCs w:val="24"/>
          <w:lang w:val="en-CA" w:eastAsia="en-CA" w:bidi="ar-SA"/>
          <w:rFonts w:ascii="Calibri" w:hAnsi="Calibri" w:eastAsia="Calibri" w:cs="Calibri"/>
          <w:sz w:val="17"/>
        </w:rPr>
        <w:t>▪</w:t>
      </w:r>
      <w:r>
        <w:rPr>
          <w:szCs w:val="24"/>
          <w:lang w:val="en-CA" w:eastAsia="en-CA" w:bidi="ar-SA"/>
          <w:rFonts w:ascii="Calibri" w:hAnsi="Calibri" w:eastAsia="Calibri" w:cs="Calibri"/>
          <w:color w:val="263238"/>
          <w:sz w:val="18"/>
        </w:rPr>
        <w:t>14:00 Tehran time (14:30 GST): the Iranian Foreign Minister delivers the sovereignty statement (S-2). Tehran's domestic audience hears Iran's frame first, four and a half hours before Washington speaks.</w:t>
      </w:r>
    </w:p>
    <w:p>
      <w:pPr>
        <w:pStyle w:val="Normal"/>
        <w:spacing w:after="80"/>
        <w:ind w:left="576" w:hanging="288"/>
      </w:pPr>
      <w:r>
        <w:rPr>
          <w:b/>
          <w:color w:val="546E7A"/>
          <w:szCs w:val="24"/>
          <w:lang w:val="en-CA" w:eastAsia="en-CA" w:bidi="ar-SA"/>
          <w:rFonts w:ascii="Calibri" w:hAnsi="Calibri" w:eastAsia="Calibri" w:cs="Calibri"/>
          <w:sz w:val="17"/>
        </w:rPr>
        <w:t>▪</w:t>
      </w:r>
      <w:r>
        <w:rPr>
          <w:szCs w:val="24"/>
          <w:lang w:val="en-CA" w:eastAsia="en-CA" w:bidi="ar-SA"/>
          <w:rFonts w:ascii="Calibri" w:hAnsi="Calibri" w:eastAsia="Calibri" w:cs="Calibri"/>
          <w:color w:val="263238"/>
          <w:sz w:val="18"/>
        </w:rPr>
        <w:t>19:00 GST (11:00 Washington time): the United States Secretary of State delivers the requirements statement (S-3), followed by the White House briefing (S-4). By this hour the Strait already operates under the new regime, so every American claim rests on visible fact.</w:t>
      </w:r>
    </w:p>
    <w:p>
      <w:pPr>
        <w:pStyle w:val="Normal"/>
        <w:spacing w:after="80"/>
        <w:ind w:left="576" w:hanging="288"/>
      </w:pPr>
      <w:r>
        <w:rPr>
          <w:b/>
          <w:color w:val="546E7A"/>
          <w:szCs w:val="24"/>
          <w:lang w:val="en-CA" w:eastAsia="en-CA" w:bidi="ar-SA"/>
          <w:rFonts w:ascii="Calibri" w:hAnsi="Calibri" w:eastAsia="Calibri" w:cs="Calibri"/>
          <w:sz w:val="17"/>
        </w:rPr>
        <w:t>▪</w:t>
      </w:r>
      <w:r>
        <w:rPr>
          <w:szCs w:val="24"/>
          <w:lang w:val="en-CA" w:eastAsia="en-CA" w:bidi="ar-SA"/>
          <w:rFonts w:ascii="Calibri" w:hAnsi="Calibri" w:eastAsia="Calibri" w:cs="Calibri"/>
          <w:color w:val="263238"/>
          <w:sz w:val="18"/>
        </w:rPr>
        <w:t>12:30 Washington time (20:30 GST): the President's public post (S-5).</w:t>
      </w:r>
    </w:p>
    <w:p>
      <w:pPr>
        <w:pStyle w:val="Normal"/>
        <w:spacing w:after="80"/>
        <w:ind w:left="576" w:hanging="288"/>
      </w:pPr>
      <w:r>
        <w:rPr>
          <w:b/>
          <w:color w:val="546E7A"/>
          <w:szCs w:val="24"/>
          <w:lang w:val="en-CA" w:eastAsia="en-CA" w:bidi="ar-SA"/>
          <w:rFonts w:ascii="Calibri" w:hAnsi="Calibri" w:eastAsia="Calibri" w:cs="Calibri"/>
          <w:sz w:val="17"/>
        </w:rPr>
        <w:t>▪</w:t>
      </w:r>
      <w:r>
        <w:rPr>
          <w:szCs w:val="24"/>
          <w:lang w:val="en-CA" w:eastAsia="en-CA" w:bidi="ar-SA"/>
          <w:rFonts w:ascii="Calibri" w:hAnsi="Calibri" w:eastAsia="Calibri" w:cs="Calibri"/>
          <w:color w:val="263238"/>
          <w:sz w:val="18"/>
        </w:rPr>
        <w:t>Evening: the IMO and the JMIC issue the technical circular confirming the Southern Guarantee Corridor open.</w:t>
      </w:r>
    </w:p>
    <w:p>
      <w:pPr>
        <w:pStyle w:val="Normal"/>
        <w:spacing w:after="140"/>
        <w:ind w:left="576" w:hanging="576"/>
      </w:pPr>
      <w:r>
        <w:rPr>
          <w:b/>
          <w:color w:val="263238"/>
          <w:szCs w:val="24"/>
          <w:lang w:val="en-CA" w:eastAsia="en-CA" w:bidi="ar-SA"/>
          <w:rFonts w:ascii="Calibri" w:hAnsi="Calibri" w:eastAsia="Calibri" w:cs="Calibri"/>
          <w:sz w:val="21"/>
        </w:rPr>
        <w:t xml:space="preserve">19.3  </w:t>
      </w:r>
      <w:r>
        <w:rPr>
          <w:szCs w:val="24"/>
          <w:lang w:val="en-CA" w:eastAsia="en-CA" w:bidi="ar-SA"/>
          <w:rFonts w:ascii="Calibri" w:hAnsi="Calibri" w:eastAsia="Calibri" w:cs="Calibri"/>
          <w:color w:val="263238"/>
          <w:sz w:val="18"/>
        </w:rPr>
        <w:t>The</w:t>
        <w:t xml:space="preserve"> truth table. Every public claim </w:t>
        <w:t>maps</w:t>
        <w:t xml:space="preserve"> to one physical reality (Article 3.7). The table below is the package's master reference; spokespeople answer every question from this table and nothing else.</w:t>
      </w:r>
    </w:p>
    <w:tbl>
      <w:tblPr>
        <w:tblStyle w:val="TableNormal"/>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2908"/>
        <w:gridCol w:w="2908"/>
        <w:gridCol w:w="3410"/>
      </w:tblGrid>
      <w:tr>
        <w:trPr>
          <w:tblHeader w:val="1"/>
        </w:trPr>
        <w:tc>
          <w:tcPr>
            <w:tcW w:w="2908"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Washington claims</w:t>
            </w:r>
          </w:p>
        </w:tc>
        <w:tc>
          <w:tcPr>
            <w:tcW w:w="2908"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Tehran claims</w:t>
            </w:r>
          </w:p>
        </w:tc>
        <w:tc>
          <w:tcPr>
            <w:tcW w:w="3410"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The single fact beneath both</w:t>
            </w:r>
          </w:p>
        </w:tc>
      </w:tr>
      <w:tr>
        <w:tc>
          <w:tcPr>
            <w:tcW w:w="2908" w:type="dxa"/>
          </w:tcPr>
          <w:p>
            <w:pPr>
              <w:pStyle w:val="Normal"/>
              <w:spacing w:before="30" w:after="30" w:line="240" w:lineRule="auto"/>
              <w:jc w:val="left"/>
            </w:pPr>
            <w:r>
              <w:rPr>
                <w:sz w:val="21"/>
                <w:szCs w:val="24"/>
                <w:lang w:val="en-CA" w:eastAsia="en-CA" w:bidi="ar-SA"/>
                <w:rFonts w:ascii="Calibri" w:hAnsi="Calibri" w:eastAsia="Calibri" w:cs="Calibri"/>
                <w:color w:val="263238"/>
              </w:rPr>
              <w:t>The Nuclear Dust faces destruction in place, under witness</w:t>
            </w:r>
          </w:p>
        </w:tc>
        <w:tc>
          <w:tcPr>
            <w:tcW w:w="2908" w:type="dxa"/>
          </w:tcPr>
          <w:p>
            <w:pPr>
              <w:pStyle w:val="Normal"/>
              <w:spacing w:before="30" w:after="30" w:line="240" w:lineRule="auto"/>
              <w:jc w:val="left"/>
            </w:pPr>
            <w:r>
              <w:rPr>
                <w:sz w:val="21"/>
                <w:szCs w:val="24"/>
                <w:lang w:val="en-CA" w:eastAsia="en-CA" w:bidi="ar-SA"/>
                <w:rFonts w:ascii="Calibri" w:hAnsi="Calibri" w:eastAsia="Calibri" w:cs="Calibri"/>
                <w:color w:val="263238"/>
              </w:rPr>
              <w:t>The material transforms into reactor fuel on Iranian soil (Fuel from Dust)</w:t>
            </w:r>
          </w:p>
        </w:tc>
        <w:tc>
          <w:tcPr>
            <w:tcW w:w="3410" w:type="dxa"/>
          </w:tcPr>
          <w:p>
            <w:pPr>
              <w:pStyle w:val="Normal"/>
              <w:spacing w:before="30" w:after="30" w:line="240" w:lineRule="auto"/>
              <w:jc w:val="left"/>
            </w:pPr>
            <w:r>
              <w:rPr>
                <w:sz w:val="21"/>
                <w:szCs w:val="24"/>
                <w:lang w:val="en-CA" w:eastAsia="en-CA" w:bidi="ar-SA"/>
                <w:rFonts w:ascii="Calibri" w:hAnsi="Calibri" w:eastAsia="Calibri" w:cs="Calibri"/>
                <w:color w:val="263238"/>
              </w:rPr>
              <w:t>Downblending</w:t>
              <w:t xml:space="preserve"> to 3.67 percent plus fuel conversion plus reactor burn ends weapons usability; no gram leaves Iran</w:t>
            </w:r>
          </w:p>
        </w:tc>
      </w:tr>
      <w:tr>
        <w:tc>
          <w:tcPr>
            <w:tcW w:w="2908" w:type="dxa"/>
          </w:tcPr>
          <w:p>
            <w:pPr>
              <w:pStyle w:val="Normal"/>
              <w:spacing w:before="30" w:after="30" w:line="240" w:lineRule="auto"/>
              <w:jc w:val="left"/>
            </w:pPr>
            <w:r>
              <w:rPr>
                <w:sz w:val="21"/>
                <w:szCs w:val="24"/>
                <w:lang w:val="en-CA" w:eastAsia="en-CA" w:bidi="ar-SA"/>
                <w:rFonts w:ascii="Calibri" w:hAnsi="Calibri" w:eastAsia="Calibri" w:cs="Calibri"/>
                <w:color w:val="263238"/>
              </w:rPr>
              <w:t>No tolls, ever</w:t>
            </w:r>
          </w:p>
        </w:tc>
        <w:tc>
          <w:tcPr>
            <w:tcW w:w="2908" w:type="dxa"/>
          </w:tcPr>
          <w:p>
            <w:pPr>
              <w:pStyle w:val="Normal"/>
              <w:spacing w:before="30" w:after="30" w:line="240" w:lineRule="auto"/>
              <w:jc w:val="left"/>
            </w:pPr>
            <w:r>
              <w:rPr>
                <w:sz w:val="21"/>
                <w:szCs w:val="24"/>
                <w:lang w:val="en-CA" w:eastAsia="en-CA" w:bidi="ar-SA"/>
                <w:rFonts w:ascii="Calibri" w:hAnsi="Calibri" w:eastAsia="Calibri" w:cs="Calibri"/>
                <w:color w:val="263238"/>
              </w:rPr>
              <w:t>Iran claims no passage fees; services receive reimbursement</w:t>
            </w:r>
          </w:p>
        </w:tc>
        <w:tc>
          <w:tcPr>
            <w:tcW w:w="3410" w:type="dxa"/>
          </w:tcPr>
          <w:p>
            <w:pPr>
              <w:pStyle w:val="Normal"/>
              <w:spacing w:before="30" w:after="30" w:line="240" w:lineRule="auto"/>
              <w:jc w:val="left"/>
            </w:pPr>
            <w:r>
              <w:rPr>
                <w:sz w:val="21"/>
                <w:szCs w:val="24"/>
                <w:lang w:val="en-CA" w:eastAsia="en-CA" w:bidi="ar-SA"/>
                <w:rFonts w:ascii="Calibri" w:hAnsi="Calibri" w:eastAsia="Calibri" w:cs="Calibri"/>
                <w:color w:val="263238"/>
              </w:rPr>
              <w:t>Passage is free in both corridors; the Trust reimburses audited services only</w:t>
            </w:r>
          </w:p>
        </w:tc>
      </w:tr>
      <w:tr>
        <w:tc>
          <w:tcPr>
            <w:tcW w:w="2908" w:type="dxa"/>
          </w:tcPr>
          <w:p>
            <w:pPr>
              <w:pStyle w:val="Normal"/>
              <w:spacing w:before="30" w:after="30" w:line="240" w:lineRule="auto"/>
              <w:jc w:val="left"/>
            </w:pPr>
            <w:r>
              <w:rPr>
                <w:sz w:val="21"/>
                <w:szCs w:val="24"/>
                <w:lang w:val="en-CA" w:eastAsia="en-CA" w:bidi="ar-SA"/>
                <w:rFonts w:ascii="Calibri" w:hAnsi="Calibri" w:eastAsia="Calibri" w:cs="Calibri"/>
                <w:color w:val="263238"/>
              </w:rPr>
              <w:t>No permission regime survives</w:t>
            </w:r>
          </w:p>
        </w:tc>
        <w:tc>
          <w:tcPr>
            <w:tcW w:w="2908" w:type="dxa"/>
          </w:tcPr>
          <w:p>
            <w:pPr>
              <w:pStyle w:val="Normal"/>
              <w:spacing w:before="30" w:after="30" w:line="240" w:lineRule="auto"/>
              <w:jc w:val="left"/>
            </w:pPr>
            <w:r>
              <w:rPr>
                <w:sz w:val="21"/>
                <w:szCs w:val="24"/>
                <w:lang w:val="en-CA" w:eastAsia="en-CA" w:bidi="ar-SA"/>
                <w:rFonts w:ascii="Calibri" w:hAnsi="Calibri" w:eastAsia="Calibri" w:cs="Calibri"/>
                <w:color w:val="263238"/>
              </w:rPr>
              <w:t>Iran co-governs the Strait and receives transit notices</w:t>
            </w:r>
          </w:p>
        </w:tc>
        <w:tc>
          <w:tcPr>
            <w:tcW w:w="3410" w:type="dxa"/>
          </w:tcPr>
          <w:p>
            <w:pPr>
              <w:pStyle w:val="Normal"/>
              <w:spacing w:before="30" w:after="30" w:line="240" w:lineRule="auto"/>
              <w:jc w:val="left"/>
            </w:pPr>
            <w:r>
              <w:rPr>
                <w:sz w:val="21"/>
                <w:szCs w:val="24"/>
                <w:lang w:val="en-CA" w:eastAsia="en-CA" w:bidi="ar-SA"/>
                <w:rFonts w:ascii="Calibri" w:hAnsi="Calibri" w:eastAsia="Calibri" w:cs="Calibri"/>
                <w:color w:val="263238"/>
              </w:rPr>
              <w:t>The Acknowledgment is automatic; the Desk grants no permits; the Southern Corridor needs no notice at all</w:t>
            </w:r>
          </w:p>
        </w:tc>
      </w:tr>
      <w:tr>
        <w:tc>
          <w:tcPr>
            <w:tcW w:w="2908" w:type="dxa"/>
          </w:tcPr>
          <w:p>
            <w:pPr>
              <w:pStyle w:val="Normal"/>
              <w:spacing w:before="30" w:after="30" w:line="240" w:lineRule="auto"/>
              <w:jc w:val="left"/>
            </w:pPr>
            <w:r>
              <w:rPr>
                <w:sz w:val="21"/>
                <w:szCs w:val="24"/>
                <w:lang w:val="en-CA" w:eastAsia="en-CA" w:bidi="ar-SA"/>
                <w:rFonts w:ascii="Calibri" w:hAnsi="Calibri" w:eastAsia="Calibri" w:cs="Calibri"/>
                <w:color w:val="263238"/>
              </w:rPr>
              <w:t>The PGSA is gone</w:t>
            </w:r>
          </w:p>
        </w:tc>
        <w:tc>
          <w:tcPr>
            <w:tcW w:w="2908" w:type="dxa"/>
          </w:tcPr>
          <w:p>
            <w:pPr>
              <w:pStyle w:val="Normal"/>
              <w:spacing w:before="30" w:after="30" w:line="240" w:lineRule="auto"/>
              <w:jc w:val="left"/>
            </w:pPr>
            <w:r>
              <w:rPr>
                <w:sz w:val="21"/>
                <w:szCs w:val="24"/>
                <w:lang w:val="en-CA" w:eastAsia="en-CA" w:bidi="ar-SA"/>
                <w:rFonts w:ascii="Calibri" w:hAnsi="Calibri" w:eastAsia="Calibri" w:cs="Calibri"/>
                <w:color w:val="263238"/>
              </w:rPr>
              <w:t>The PGSA internationalizes into the Commission</w:t>
            </w:r>
          </w:p>
        </w:tc>
        <w:tc>
          <w:tcPr>
            <w:tcW w:w="3410" w:type="dxa"/>
          </w:tcPr>
          <w:p>
            <w:pPr>
              <w:pStyle w:val="Normal"/>
              <w:spacing w:before="30" w:after="30" w:line="240" w:lineRule="auto"/>
              <w:jc w:val="left"/>
            </w:pPr>
            <w:r>
              <w:rPr>
                <w:sz w:val="21"/>
                <w:szCs w:val="24"/>
                <w:lang w:val="en-CA" w:eastAsia="en-CA" w:bidi="ar-SA"/>
                <w:rFonts w:ascii="Calibri" w:hAnsi="Calibri" w:eastAsia="Calibri" w:cs="Calibri"/>
                <w:color w:val="263238"/>
              </w:rPr>
              <w:t>The permission function dissolves; staff, data, and portal continue as a civilian desk</w:t>
            </w:r>
          </w:p>
        </w:tc>
      </w:tr>
      <w:tr>
        <w:tc>
          <w:tcPr>
            <w:tcW w:w="2908" w:type="dxa"/>
          </w:tcPr>
          <w:p>
            <w:pPr>
              <w:pStyle w:val="Normal"/>
              <w:spacing w:before="30" w:after="30" w:line="240" w:lineRule="auto"/>
              <w:jc w:val="left"/>
            </w:pPr>
            <w:r>
              <w:rPr>
                <w:sz w:val="21"/>
                <w:szCs w:val="24"/>
                <w:lang w:val="en-CA" w:eastAsia="en-CA" w:bidi="ar-SA"/>
                <w:rFonts w:ascii="Calibri" w:hAnsi="Calibri" w:eastAsia="Calibri" w:cs="Calibri"/>
                <w:color w:val="263238"/>
              </w:rPr>
              <w:t>Strikes end because Iran complies</w:t>
            </w:r>
          </w:p>
        </w:tc>
        <w:tc>
          <w:tcPr>
            <w:tcW w:w="2908" w:type="dxa"/>
          </w:tcPr>
          <w:p>
            <w:pPr>
              <w:pStyle w:val="Normal"/>
              <w:spacing w:before="30" w:after="30" w:line="240" w:lineRule="auto"/>
              <w:jc w:val="left"/>
            </w:pPr>
            <w:r>
              <w:rPr>
                <w:sz w:val="21"/>
                <w:szCs w:val="24"/>
                <w:lang w:val="en-CA" w:eastAsia="en-CA" w:bidi="ar-SA"/>
                <w:rFonts w:ascii="Calibri" w:hAnsi="Calibri" w:eastAsia="Calibri" w:cs="Calibri"/>
                <w:color w:val="263238"/>
              </w:rPr>
              <w:t>Strikes end because the Compact restores respect</w:t>
            </w:r>
          </w:p>
        </w:tc>
        <w:tc>
          <w:tcPr>
            <w:tcW w:w="3410" w:type="dxa"/>
          </w:tcPr>
          <w:p>
            <w:pPr>
              <w:pStyle w:val="Normal"/>
              <w:spacing w:before="30" w:after="30" w:line="240" w:lineRule="auto"/>
              <w:jc w:val="left"/>
            </w:pPr>
            <w:r>
              <w:rPr>
                <w:sz w:val="21"/>
                <w:szCs w:val="24"/>
                <w:lang w:val="en-CA" w:eastAsia="en-CA" w:bidi="ar-SA"/>
                <w:rFonts w:ascii="Calibri" w:hAnsi="Calibri" w:eastAsia="Calibri" w:cs="Calibri"/>
                <w:color w:val="263238"/>
              </w:rPr>
              <w:t>The standstill of Day minus 1 converts into a standing cessation on Day 0</w:t>
            </w:r>
          </w:p>
        </w:tc>
      </w:tr>
      <w:tr>
        <w:tc>
          <w:tcPr>
            <w:tcW w:w="2908" w:type="dxa"/>
          </w:tcPr>
          <w:p>
            <w:pPr>
              <w:pStyle w:val="Normal"/>
              <w:spacing w:before="30" w:after="30" w:line="240" w:lineRule="auto"/>
              <w:jc w:val="left"/>
            </w:pPr>
            <w:r>
              <w:rPr>
                <w:sz w:val="21"/>
                <w:szCs w:val="24"/>
                <w:lang w:val="en-CA" w:eastAsia="en-CA" w:bidi="ar-SA"/>
                <w:rFonts w:ascii="Calibri" w:hAnsi="Calibri" w:eastAsia="Calibri" w:cs="Calibri"/>
                <w:color w:val="263238"/>
              </w:rPr>
              <w:t>Iran never enriches above 3.67 percent again</w:t>
            </w:r>
          </w:p>
        </w:tc>
        <w:tc>
          <w:tcPr>
            <w:tcW w:w="2908" w:type="dxa"/>
          </w:tcPr>
          <w:p>
            <w:pPr>
              <w:pStyle w:val="Normal"/>
              <w:spacing w:before="30" w:after="30" w:line="240" w:lineRule="auto"/>
              <w:jc w:val="left"/>
            </w:pPr>
            <w:r>
              <w:rPr>
                <w:sz w:val="21"/>
                <w:szCs w:val="24"/>
                <w:lang w:val="en-CA" w:eastAsia="en-CA" w:bidi="ar-SA"/>
                <w:rFonts w:ascii="Calibri" w:hAnsi="Calibri" w:eastAsia="Calibri" w:cs="Calibri"/>
                <w:color w:val="263238"/>
              </w:rPr>
              <w:t>Iran keeps its program, its knowledge, and its fuel</w:t>
            </w:r>
          </w:p>
        </w:tc>
        <w:tc>
          <w:tcPr>
            <w:tcW w:w="3410" w:type="dxa"/>
          </w:tcPr>
          <w:p>
            <w:pPr>
              <w:pStyle w:val="Normal"/>
              <w:spacing w:before="30" w:after="30" w:line="240" w:lineRule="auto"/>
              <w:jc w:val="left"/>
            </w:pPr>
            <w:r>
              <w:rPr>
                <w:sz w:val="21"/>
                <w:szCs w:val="24"/>
                <w:lang w:val="en-CA" w:eastAsia="en-CA" w:bidi="ar-SA"/>
                <w:rFonts w:ascii="Calibri" w:hAnsi="Calibri" w:eastAsia="Calibri" w:cs="Calibri"/>
                <w:color w:val="263238"/>
              </w:rPr>
              <w:t>The ceiling caps assay at 3.67 percent; the fuel cycle continues at and below it</w:t>
            </w:r>
          </w:p>
        </w:tc>
      </w:tr>
    </w:tbl>
    <w:p>
      <w:pPr>
        <w:pStyle w:val="Normal"/>
        <w:spacing w:after="140"/>
      </w:pPr>
    </w:p>
    <w:p>
      <w:pPr>
        <w:pStyle w:val="Caption"/>
      </w:pPr>
      <w:r>
        <w:rPr>
          <w:szCs w:val="24"/>
          <w:lang w:val="en-CA" w:eastAsia="en-CA" w:bidi="ar-SA"/>
          <w:rFonts w:ascii="Calibri" w:hAnsi="Calibri" w:eastAsia="Calibri" w:cs="Calibri"/>
          <w:color w:val="23445A"/>
          <w:sz w:val="18"/>
          <w:b/>
        </w:rPr>
        <w:t>Table 4: Truthful duality, master reference</w:t>
      </w:r>
    </w:p>
    <w:p>
      <w:pPr>
        <w:pStyle w:val="Normal"/>
        <w:spacing w:after="140"/>
        <w:ind w:left="576" w:hanging="576"/>
      </w:pPr>
      <w:r>
        <w:rPr>
          <w:b/>
          <w:color w:val="263238"/>
          <w:szCs w:val="24"/>
          <w:lang w:val="en-CA" w:eastAsia="en-CA" w:bidi="ar-SA"/>
          <w:rFonts w:ascii="Calibri" w:hAnsi="Calibri" w:eastAsia="Calibri" w:cs="Calibri"/>
          <w:sz w:val="21"/>
        </w:rPr>
        <w:t xml:space="preserve">19.4  </w:t>
      </w:r>
      <w:r>
        <w:rPr>
          <w:szCs w:val="24"/>
          <w:lang w:val="en-CA" w:eastAsia="en-CA" w:bidi="ar-SA"/>
          <w:rFonts w:ascii="Calibri" w:hAnsi="Calibri" w:eastAsia="Calibri" w:cs="Calibri"/>
          <w:color w:val="263238"/>
          <w:sz w:val="18"/>
        </w:rPr>
        <w:t>The</w:t>
        <w:t xml:space="preserve"> echo week. For seven days after Day 0, neither capital contradicts the other's framing. Every question receives the standard answers of Article 22.3. The Commission, not the capitals, handles technical disputes during the echo week.</w:t>
      </w:r>
    </w:p>
    <w:p>
      <w:pPr>
        <w:pStyle w:val="Heading2"/>
      </w:pPr>
      <w:r>
        <w:rPr>
          <w:szCs w:val="24"/>
          <w:lang w:val="en-CA" w:eastAsia="en-CA" w:bidi="ar-SA"/>
          <w:rFonts w:ascii="Calibri" w:hAnsi="Calibri" w:eastAsia="Calibri" w:cs="Calibri"/>
          <w:b/>
          <w:color w:val="546E7A"/>
          <w:sz w:val="20"/>
        </w:rPr>
        <w:t>Article 20: Master Announcement Timeline</w:t>
      </w:r>
    </w:p>
    <w:p>
      <w:pPr>
        <w:pStyle w:val="Normal"/>
      </w:pPr>
      <w:r>
        <w:rPr>
          <w:szCs w:val="24"/>
          <w:lang w:val="en-CA" w:eastAsia="en-CA" w:bidi="ar-SA"/>
          <w:rFonts w:ascii="Calibri" w:hAnsi="Calibri" w:eastAsia="Calibri" w:cs="Calibri"/>
          <w:color w:val="263238"/>
          <w:sz w:val="18"/>
        </w:rPr>
        <w:t>The timeline below fixes every public action from Day minus 2 to Day 180. Times state the local time of the acting capital, with Muscat time in parentheses where the two differ. Signature Day (Day 0) is Sunday, 26 July 2026.</w:t>
      </w:r>
    </w:p>
    <w:tbl>
      <w:tblPr>
        <w:tblStyle w:val="TableNormal"/>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1505"/>
        <w:gridCol w:w="1905"/>
        <w:gridCol w:w="2507"/>
        <w:gridCol w:w="3309"/>
      </w:tblGrid>
      <w:tr>
        <w:trPr>
          <w:tblHeader w:val="1"/>
        </w:trPr>
        <w:tc>
          <w:tcPr>
            <w:tcW w:w="1505" w:type="dxa"/>
            <w:shd w:val="clear" w:color="auto" w:fill="EDF2F4"/>
          </w:tcPr>
          <w:p>
            <w:pPr>
              <w:pStyle w:val="Normal"/>
              <w:spacing w:before="30" w:after="30" w:line="240" w:lineRule="auto"/>
              <w:jc w:val="left"/>
            </w:pPr>
            <w:r>
              <w:rPr>
                <w:szCs w:val="24"/>
                <w:lang w:val="en-CA" w:eastAsia="en-CA" w:bidi="ar-SA"/>
                <w:rFonts w:ascii="Calibri" w:hAnsi="Calibri" w:eastAsia="Calibri" w:cs="Calibri"/>
                <w:color w:val="263238"/>
                <w:sz w:val="21"/>
                <w:b/>
              </w:rPr>
              <w:t>Date</w:t>
            </w:r>
          </w:p>
        </w:tc>
        <w:tc>
          <w:tcPr>
            <w:tcW w:w="1905"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Time (local)</w:t>
            </w:r>
          </w:p>
        </w:tc>
        <w:tc>
          <w:tcPr>
            <w:tcW w:w="2507"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Actor</w:t>
            </w:r>
          </w:p>
        </w:tc>
        <w:tc>
          <w:tcPr>
            <w:tcW w:w="3309"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Action</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Fri 24 Jul (D-2)</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18:00 Muscat</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Omani Foreign Ministry</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Quiet confirmations to both capitals; IAEA advance team deploys to Esfahan; escrow pre-positions; hotline tests twice</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Sat 25 Jul (D-1)</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00:01 Muscat</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Framework, automatic</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 xml:space="preserve">Standstill </w:t>
              <w:t>begins:</w:t>
              <w:t xml:space="preserve"> strikes, interdiction, and mine-laying pause on all sides</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Sat 25 Jul (D-1)</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10:00 Muscat</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Omani Foreign Ministry</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Public note: standstill in effect; JMIC bulletin resumes</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Sun 26 Jul (D0)</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10:00 Muscat</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Omani Foreign Minister</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Signature ceremony; reads the Joint Communiqué (S-1)</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Sun 26 Jul (D0)</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14:00 Tehran</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Iranian Foreign Minister</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Sovereignty statement (S-2)</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Sun 26 Jul (D0)</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11:00 Washington</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Secretary of State; White House Press Secretary</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Requirements statement (S-3) and briefing (S-4)</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Sun 26 Jul (D0)</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12:30 Washington</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President of the United States</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Public post (S-5)</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Sun 26 Jul (D0)</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20:30 Muscat</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IMO and JMIC</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Technical circular: Southern Guarantee Corridor open</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Mon 27 Jul (D1)</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10:00 Vienna</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IAEA Director General</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Statement (S-6): dual-custody seals applied; continuous presence begins</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Mon 27 Jul (D1)</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14:00 UTC</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US CENTCOM</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Operational update: pause confirmed; stand-off posture in effect</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Wed 29 Jul (D3)</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06:00 Muscat</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Commission</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First daylight convoy transits the Southern Guarantee Corridor</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Wed 29 Jul (D3)</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12:00 Tehran</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President of Iran</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Fuel sovereignty statement (S-7)</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Sun 2 Aug (D7)</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10:00 Muscat</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IAEA; US Treasury</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 xml:space="preserve">Consolidation confirmed; </w:t>
              <w:t>downblending</w:t>
              <w:t xml:space="preserve"> begins; first escrow tranche releases; OFAC general license; PGSA de-designation (S-8)</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Sun 9 Aug (D14)</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10:00 Vienna</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IAEA</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Consolidation certificate</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Sun 9 Aug (D14)</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10:00 Washington, then 16:00 Tehran</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Pentagon; Iranian ports authority</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Twin notices, six hours apart: blockade removal complete</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Sun 16 Aug (D21)</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10:00 Muscat</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UNMAS; IMO</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All zones certified clear; night transit resumes; joint safety certification to the P&amp;I clubs</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Tue 25 Aug (D30)</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10:00 Muscat</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Commission</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Full restoration at or above baseline; SWIFT Phase 1; first monthly bulletin; Trust reimbursement cycle opens</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Thu 24 Sep (D60)</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10:00 Muscat</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Commission, joint statement (S-9)</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 xml:space="preserve">MOU absorption complete; </w:t>
              <w:t>interests</w:t>
              <w:t xml:space="preserve"> sections open; SWIFT Phase 2</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Sat 24 Oct (D90)</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10:00 Vienna</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IAEA Director General</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Disposition Certificate (S-10)</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Sat 24 Oct (D90)</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14:00 Tehran</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Iranian Foreign Ministry</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Completion statement (S-11)</w:t>
            </w:r>
          </w:p>
        </w:tc>
      </w:tr>
      <w:tr>
        <w:tc>
          <w:tcPr>
            <w:tcW w:w="1505" w:type="dxa"/>
          </w:tcPr>
          <w:p>
            <w:pPr>
              <w:pStyle w:val="Normal"/>
              <w:spacing w:before="30" w:after="30" w:line="240" w:lineRule="auto"/>
              <w:jc w:val="left"/>
            </w:pPr>
            <w:r>
              <w:rPr>
                <w:sz w:val="21"/>
                <w:szCs w:val="24"/>
                <w:lang w:val="en-CA" w:eastAsia="en-CA" w:bidi="ar-SA"/>
                <w:rFonts w:ascii="Calibri" w:hAnsi="Calibri" w:eastAsia="Calibri" w:cs="Calibri"/>
                <w:color w:val="263238"/>
              </w:rPr>
              <w:t>Sat 24 Oct (D90)</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11:00 Washington</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White House</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Completion statement (S-12), five hours clear of Tehran</w:t>
            </w:r>
          </w:p>
        </w:tc>
      </w:tr>
      <w:tr>
        <w:tc>
          <w:tcPr>
            <w:tcW w:w="1505" w:type="dxa"/>
          </w:tcPr>
          <w:p>
            <w:pPr>
              <w:pStyle w:val="Normal"/>
              <w:spacing w:before="30" w:after="30" w:line="240" w:lineRule="auto"/>
              <w:jc w:val="left"/>
            </w:pPr>
            <w:r>
              <w:rPr>
                <w:szCs w:val="24"/>
                <w:lang w:val="en-CA" w:eastAsia="en-CA" w:bidi="ar-SA"/>
                <w:rFonts w:ascii="Calibri" w:hAnsi="Calibri" w:eastAsia="Calibri" w:cs="Calibri"/>
                <w:color w:val="263238"/>
                <w:sz w:val="21"/>
              </w:rPr>
              <w:t>Fri 22 Jan 2027 (D180)</w:t>
            </w:r>
          </w:p>
        </w:tc>
        <w:tc>
          <w:tcPr>
            <w:tcW w:w="1905" w:type="dxa"/>
          </w:tcPr>
          <w:p>
            <w:pPr>
              <w:pStyle w:val="Normal"/>
              <w:spacing w:before="30" w:after="30" w:line="240" w:lineRule="auto"/>
              <w:jc w:val="left"/>
            </w:pPr>
            <w:r>
              <w:rPr>
                <w:sz w:val="21"/>
                <w:szCs w:val="24"/>
                <w:lang w:val="en-CA" w:eastAsia="en-CA" w:bidi="ar-SA"/>
                <w:rFonts w:ascii="Calibri" w:hAnsi="Calibri" w:eastAsia="Calibri" w:cs="Calibri"/>
                <w:color w:val="263238"/>
              </w:rPr>
              <w:t>10:00 both capitals</w:t>
            </w:r>
          </w:p>
        </w:tc>
        <w:tc>
          <w:tcPr>
            <w:tcW w:w="2507" w:type="dxa"/>
          </w:tcPr>
          <w:p>
            <w:pPr>
              <w:pStyle w:val="Normal"/>
              <w:spacing w:before="30" w:after="30" w:line="240" w:lineRule="auto"/>
              <w:jc w:val="left"/>
            </w:pPr>
            <w:r>
              <w:rPr>
                <w:sz w:val="21"/>
                <w:szCs w:val="24"/>
                <w:lang w:val="en-CA" w:eastAsia="en-CA" w:bidi="ar-SA"/>
                <w:rFonts w:ascii="Calibri" w:hAnsi="Calibri" w:eastAsia="Calibri" w:cs="Calibri"/>
                <w:color w:val="263238"/>
              </w:rPr>
              <w:t>Foreign ministries</w:t>
            </w:r>
          </w:p>
        </w:tc>
        <w:tc>
          <w:tcPr>
            <w:tcW w:w="3309" w:type="dxa"/>
          </w:tcPr>
          <w:p>
            <w:pPr>
              <w:pStyle w:val="Normal"/>
              <w:spacing w:before="30" w:after="30" w:line="240" w:lineRule="auto"/>
              <w:jc w:val="left"/>
            </w:pPr>
            <w:r>
              <w:rPr>
                <w:sz w:val="21"/>
                <w:szCs w:val="24"/>
                <w:lang w:val="en-CA" w:eastAsia="en-CA" w:bidi="ar-SA"/>
                <w:rFonts w:ascii="Calibri" w:hAnsi="Calibri" w:eastAsia="Calibri" w:cs="Calibri"/>
                <w:color w:val="263238"/>
              </w:rPr>
              <w:t>Ambassadors exchanged; normalization complete; Compact standing review convenes</w:t>
            </w:r>
          </w:p>
        </w:tc>
      </w:tr>
    </w:tbl>
    <w:p>
      <w:pPr>
        <w:pStyle w:val="Normal"/>
        <w:spacing w:after="140"/>
      </w:pPr>
    </w:p>
    <w:p>
      <w:pPr>
        <w:pStyle w:val="Caption"/>
      </w:pPr>
      <w:r>
        <w:rPr>
          <w:szCs w:val="24"/>
          <w:lang w:val="en-CA" w:eastAsia="en-CA" w:bidi="ar-SA"/>
          <w:rFonts w:ascii="Calibri" w:hAnsi="Calibri" w:eastAsia="Calibri" w:cs="Calibri"/>
          <w:color w:val="23445A"/>
          <w:sz w:val="18"/>
          <w:b/>
        </w:rPr>
        <w:t>Table 5: Master announcement and milestone timeline</w:t>
      </w:r>
    </w:p>
    <w:p>
      <w:pPr>
        <w:pStyle w:val="Heading2"/>
      </w:pPr>
      <w:r>
        <w:rPr>
          <w:szCs w:val="24"/>
          <w:lang w:val="en-CA" w:eastAsia="en-CA" w:bidi="ar-SA"/>
          <w:rFonts w:ascii="Calibri" w:hAnsi="Calibri" w:eastAsia="Calibri" w:cs="Calibri"/>
          <w:b/>
          <w:color w:val="546E7A"/>
          <w:sz w:val="20"/>
        </w:rPr>
        <w:t>Article 21: Pre-Cleared Public Statements</w:t>
      </w:r>
    </w:p>
    <w:p>
      <w:pPr>
        <w:pStyle w:val="Normal"/>
      </w:pPr>
      <w:r>
        <w:rPr>
          <w:szCs w:val="24"/>
          <w:lang w:val="en-CA" w:eastAsia="en-CA" w:bidi="ar-SA"/>
          <w:rFonts w:ascii="Calibri" w:hAnsi="Calibri" w:eastAsia="Calibri" w:cs="Calibri"/>
          <w:color w:val="263238"/>
          <w:sz w:val="18"/>
        </w:rPr>
        <w:t xml:space="preserve">The twelve statements below are pre-cleared by all participants. Each speaker reads the assigned text. No statement quotes or answers another; each </w:t>
        <w:t>references</w:t>
        <w:t xml:space="preserve"> only the Compact and verifiable fact.</w:t>
      </w:r>
    </w:p>
    <w:tbl>
      <w:tblPr>
        <w:tblStyle w:val="TableNormal"/>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tc>
          <w:tcPr>
            <w:tcW w:w="9406" w:type="dxa"/>
            <w:shd w:val="clear" w:color="auto" w:fill="F5F1E6"/>
          </w:tcPr>
          <w:p>
            <w:pPr>
              <w:pStyle w:val="Normal"/>
              <w:spacing w:after="60" w:line="260" w:lineRule="auto"/>
              <w:jc w:val="left"/>
            </w:pPr>
            <w:r>
              <w:rPr>
                <w:b/>
                <w:color w:val="263238"/>
                <w:sz w:val="18"/>
                <w:szCs w:val="24"/>
                <w:lang w:val="en-CA" w:eastAsia="en-CA" w:bidi="ar-SA"/>
                <w:rFonts w:ascii="Calibri" w:hAnsi="Calibri" w:eastAsia="Calibri" w:cs="Calibri"/>
              </w:rPr>
              <w:t>STATEMENT S-</w:t>
              <w:t xml:space="preserve">1  |</w:t>
              <w:t xml:space="preserve">  </w:t>
            </w:r>
            <w:r>
              <w:rPr>
                <w:b/>
                <w:color w:val="263238"/>
                <w:sz w:val="20"/>
                <w:szCs w:val="24"/>
                <w:lang w:val="en-CA" w:eastAsia="en-CA" w:bidi="ar-SA"/>
                <w:rFonts w:ascii="Calibri" w:hAnsi="Calibri" w:eastAsia="Calibri" w:cs="Calibri"/>
              </w:rPr>
              <w:t>Foreign Minister of the Sultanate of Oman</w:t>
            </w:r>
          </w:p>
          <w:p>
            <w:pPr>
              <w:pStyle w:val="Normal"/>
              <w:spacing w:after="100" w:line="240" w:lineRule="auto"/>
              <w:jc w:val="left"/>
            </w:pPr>
            <w:r>
              <w:rPr>
                <w:color w:val="263238"/>
                <w:sz w:val="20"/>
                <w:szCs w:val="24"/>
                <w:lang w:val="en-CA" w:eastAsia="en-CA" w:bidi="ar-SA"/>
                <w:rFonts w:ascii="Calibri" w:hAnsi="Calibri" w:eastAsia="Calibri" w:cs="Calibri"/>
                <w:i/>
              </w:rPr>
              <w:t>Signature ceremony, Muscat, Day 0, 10:00 GST</w:t>
            </w:r>
          </w:p>
          <w:p>
            <w:pPr>
              <w:pStyle w:val="Normal"/>
              <w:spacing w:after="80" w:line="280" w:lineRule="auto"/>
            </w:pPr>
            <w:r>
              <w:rPr>
                <w:i/>
                <w:sz w:val="21"/>
                <w:szCs w:val="24"/>
                <w:lang w:val="en-CA" w:eastAsia="en-CA" w:bidi="ar-SA"/>
                <w:rFonts w:ascii="Calibri" w:hAnsi="Calibri" w:eastAsia="Calibri" w:cs="Calibri"/>
                <w:color w:val="2F5670"/>
                <w:b/>
              </w:rPr>
              <w:t>“The Sultanate of Oman announces that the Islamic Republic of Iran and the Sultanate of Oman today sign the Triad Bridge Compact, with the endorsement of the United States of America and the technical support of the International Maritime Organization and the International Atomic Energy Agency. The Strait of Hormuz reopens to full commercial traffic, toll-free, permanently. The two Strait States govern their shared waterway together, as sovereign equals, through the Hormuz Bridge Commission. The Compact answers the nuclear question in place, on Iranian soil, under international witness. Oman thanks the United States and the Islamic Republic of Iran for choosing the bridge over the blockade.”</w:t>
            </w:r>
          </w:p>
        </w:tc>
      </w:tr>
    </w:tbl>
    <w:p>
      <w:pPr>
        <w:pStyle w:val="Normal"/>
      </w:pPr>
    </w:p>
    <w:tbl>
      <w:tblPr>
        <w:tblStyle w:val="TableNormal"/>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tc>
          <w:tcPr>
            <w:tcW w:w="9406" w:type="dxa"/>
            <w:shd w:val="clear" w:color="auto" w:fill="F5F1E6"/>
          </w:tcPr>
          <w:p>
            <w:pPr>
              <w:pStyle w:val="Normal"/>
              <w:spacing w:after="60" w:line="260" w:lineRule="auto"/>
              <w:jc w:val="left"/>
            </w:pPr>
            <w:r>
              <w:rPr>
                <w:b/>
                <w:color w:val="263238"/>
                <w:sz w:val="18"/>
                <w:szCs w:val="24"/>
                <w:lang w:val="en-CA" w:eastAsia="en-CA" w:bidi="ar-SA"/>
                <w:rFonts w:ascii="Calibri" w:hAnsi="Calibri" w:eastAsia="Calibri" w:cs="Calibri"/>
              </w:rPr>
              <w:t>STATEMENT S-</w:t>
              <w:t xml:space="preserve">2  |</w:t>
              <w:t xml:space="preserve">  </w:t>
            </w:r>
            <w:r>
              <w:rPr>
                <w:b/>
                <w:color w:val="263238"/>
                <w:sz w:val="20"/>
                <w:szCs w:val="24"/>
                <w:lang w:val="en-CA" w:eastAsia="en-CA" w:bidi="ar-SA"/>
                <w:rFonts w:ascii="Calibri" w:hAnsi="Calibri" w:eastAsia="Calibri" w:cs="Calibri"/>
              </w:rPr>
              <w:t>Foreign Minister of the Islamic Republic of Iran</w:t>
            </w:r>
          </w:p>
          <w:p>
            <w:pPr>
              <w:pStyle w:val="Normal"/>
              <w:spacing w:after="100" w:line="240" w:lineRule="auto"/>
              <w:jc w:val="left"/>
            </w:pPr>
            <w:r>
              <w:rPr>
                <w:color w:val="263238"/>
                <w:sz w:val="20"/>
                <w:szCs w:val="24"/>
                <w:lang w:val="en-CA" w:eastAsia="en-CA" w:bidi="ar-SA"/>
                <w:rFonts w:ascii="Calibri" w:hAnsi="Calibri" w:eastAsia="Calibri" w:cs="Calibri"/>
                <w:i/>
              </w:rPr>
              <w:t>Tehran, Day 0, 14:00 IRST</w:t>
            </w:r>
          </w:p>
          <w:p>
            <w:pPr>
              <w:pStyle w:val="Normal"/>
              <w:spacing w:after="80" w:line="280" w:lineRule="auto"/>
            </w:pPr>
            <w:r>
              <w:rPr>
                <w:i/>
                <w:sz w:val="21"/>
                <w:szCs w:val="24"/>
                <w:lang w:val="en-CA" w:eastAsia="en-CA" w:bidi="ar-SA"/>
                <w:rFonts w:ascii="Calibri" w:hAnsi="Calibri" w:eastAsia="Calibri" w:cs="Calibri"/>
                <w:color w:val="2F5670"/>
                <w:b/>
              </w:rPr>
              <w:t>“The Islamic Republic of Iran signs the Triad Bridge Compact as a sovereign Strait State and co-governor of the Strait of Hormuz. Not one gram of Iranian uranium leaves Iranian soil. Our nuclear knowledge remains, our fuel program endures, and our right to peaceful nuclear technology stands affirmed in writing. The Strait's new administration operates with Iranian participation at its core, through the Hormuz Bridge Commission and the Transit Coordination Desk that succeeds the PGSA. Iran accepts no tolls because Iran claims no tolls: the world reimburses documented services, and passage stays free. The blockade ends. The strikes end. Iran emerges with its sovereignty intact and its economy reopening.”</w:t>
            </w:r>
          </w:p>
        </w:tc>
      </w:tr>
    </w:tbl>
    <w:p>
      <w:pPr>
        <w:pStyle w:val="Normal"/>
      </w:pPr>
    </w:p>
    <w:tbl>
      <w:tblPr>
        <w:tblStyle w:val="TableNormal"/>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tc>
          <w:tcPr>
            <w:tcW w:w="9406" w:type="dxa"/>
            <w:shd w:val="clear" w:color="auto" w:fill="F5F1E6"/>
          </w:tcPr>
          <w:p>
            <w:pPr>
              <w:pStyle w:val="Normal"/>
              <w:spacing w:after="60" w:line="260" w:lineRule="auto"/>
              <w:jc w:val="left"/>
            </w:pPr>
            <w:r>
              <w:rPr>
                <w:b/>
                <w:color w:val="263238"/>
                <w:sz w:val="18"/>
                <w:szCs w:val="24"/>
                <w:lang w:val="en-CA" w:eastAsia="en-CA" w:bidi="ar-SA"/>
                <w:rFonts w:ascii="Calibri" w:hAnsi="Calibri" w:eastAsia="Calibri" w:cs="Calibri"/>
              </w:rPr>
              <w:t>STATEMENT S-</w:t>
              <w:t xml:space="preserve">3  |</w:t>
              <w:t xml:space="preserve">  </w:t>
            </w:r>
            <w:r>
              <w:rPr>
                <w:b/>
                <w:color w:val="263238"/>
                <w:sz w:val="20"/>
                <w:szCs w:val="24"/>
                <w:lang w:val="en-CA" w:eastAsia="en-CA" w:bidi="ar-SA"/>
                <w:rFonts w:ascii="Calibri" w:hAnsi="Calibri" w:eastAsia="Calibri" w:cs="Calibri"/>
              </w:rPr>
              <w:t>Secretary of State of the United States</w:t>
            </w:r>
          </w:p>
          <w:p>
            <w:pPr>
              <w:pStyle w:val="Normal"/>
              <w:spacing w:after="100" w:line="240" w:lineRule="auto"/>
              <w:jc w:val="left"/>
            </w:pPr>
            <w:r>
              <w:rPr>
                <w:color w:val="263238"/>
                <w:sz w:val="20"/>
                <w:szCs w:val="24"/>
                <w:lang w:val="en-CA" w:eastAsia="en-CA" w:bidi="ar-SA"/>
                <w:rFonts w:ascii="Calibri" w:hAnsi="Calibri" w:eastAsia="Calibri" w:cs="Calibri"/>
                <w:i/>
              </w:rPr>
              <w:t>Washington, Day 0, 11:00 EDT</w:t>
            </w:r>
          </w:p>
          <w:p>
            <w:pPr>
              <w:pStyle w:val="Normal"/>
              <w:spacing w:after="80" w:line="280" w:lineRule="auto"/>
            </w:pPr>
            <w:r>
              <w:rPr>
                <w:i/>
                <w:sz w:val="21"/>
                <w:szCs w:val="24"/>
                <w:lang w:val="en-CA" w:eastAsia="en-CA" w:bidi="ar-SA"/>
                <w:rFonts w:ascii="Calibri" w:hAnsi="Calibri" w:eastAsia="Calibri" w:cs="Calibri"/>
                <w:color w:val="2F5670"/>
                <w:b/>
              </w:rPr>
              <w:t>“The United States endorses the Triad Bridge Compact because it delivers every core American requirement. The Strait of Hormuz reopens, toll-free, permanently, with no permission regime for commercial transit. The Persian Gulf Strait Authority ceases to exist as a permission body and dissolves into a civilian coordination desk under joint Iran-Oman control. Iran's enriched uranium stockpile, the Nuclear Dust, faces destruction in place under continuous IAEA witness, precisely the outcome the President designated as preferable. Under this architecture Iran never enriches above 3.67 percent again. America pays no tolls, signs no blank check, and verifies every step.”</w:t>
            </w:r>
          </w:p>
        </w:tc>
      </w:tr>
    </w:tbl>
    <w:p>
      <w:pPr>
        <w:pStyle w:val="Normal"/>
      </w:pPr>
    </w:p>
    <w:tbl>
      <w:tblPr>
        <w:tblStyle w:val="TableNormal"/>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tc>
          <w:tcPr>
            <w:tcW w:w="9406" w:type="dxa"/>
            <w:shd w:val="clear" w:color="auto" w:fill="F5F1E6"/>
          </w:tcPr>
          <w:p>
            <w:pPr>
              <w:pStyle w:val="Normal"/>
              <w:spacing w:after="60" w:line="260" w:lineRule="auto"/>
              <w:jc w:val="left"/>
            </w:pPr>
            <w:r>
              <w:rPr>
                <w:b/>
                <w:color w:val="263238"/>
                <w:sz w:val="18"/>
                <w:szCs w:val="24"/>
                <w:lang w:val="en-CA" w:eastAsia="en-CA" w:bidi="ar-SA"/>
                <w:rFonts w:ascii="Calibri" w:hAnsi="Calibri" w:eastAsia="Calibri" w:cs="Calibri"/>
              </w:rPr>
              <w:t>STATEMENT S-</w:t>
              <w:t xml:space="preserve">4  |</w:t>
              <w:t xml:space="preserve">  </w:t>
            </w:r>
            <w:r>
              <w:rPr>
                <w:b/>
                <w:color w:val="263238"/>
                <w:sz w:val="20"/>
                <w:szCs w:val="24"/>
                <w:lang w:val="en-CA" w:eastAsia="en-CA" w:bidi="ar-SA"/>
                <w:rFonts w:ascii="Calibri" w:hAnsi="Calibri" w:eastAsia="Calibri" w:cs="Calibri"/>
              </w:rPr>
              <w:t>White House Press Secretary</w:t>
            </w:r>
          </w:p>
          <w:p>
            <w:pPr>
              <w:pStyle w:val="Normal"/>
              <w:spacing w:after="100" w:line="240" w:lineRule="auto"/>
              <w:jc w:val="left"/>
            </w:pPr>
            <w:r>
              <w:rPr>
                <w:color w:val="263238"/>
                <w:sz w:val="20"/>
                <w:szCs w:val="24"/>
                <w:lang w:val="en-CA" w:eastAsia="en-CA" w:bidi="ar-SA"/>
                <w:rFonts w:ascii="Calibri" w:hAnsi="Calibri" w:eastAsia="Calibri" w:cs="Calibri"/>
                <w:i/>
              </w:rPr>
              <w:t>Washington, Day 0, 11:20 EDT</w:t>
            </w:r>
          </w:p>
          <w:p>
            <w:pPr>
              <w:pStyle w:val="Normal"/>
              <w:spacing w:after="80" w:line="280" w:lineRule="auto"/>
            </w:pPr>
            <w:r>
              <w:rPr>
                <w:i/>
                <w:sz w:val="21"/>
                <w:szCs w:val="24"/>
                <w:lang w:val="en-CA" w:eastAsia="en-CA" w:bidi="ar-SA"/>
                <w:rFonts w:ascii="Calibri" w:hAnsi="Calibri" w:eastAsia="Calibri" w:cs="Calibri"/>
                <w:color w:val="2F5670"/>
                <w:b/>
              </w:rPr>
              <w:t>“Today the President's strategy delivers: the Strait opens toll-free, the permission regime ends, and the Nuclear Dust faces destruction in place under international witness. The pause in strikes becomes a standing cessation as the Compact takes effect. The United States pays no tolls, signs no blank check, and verifies every step. Operational questions go to the Pentagon briefing this afternoon.”</w:t>
            </w:r>
          </w:p>
        </w:tc>
      </w:tr>
    </w:tbl>
    <w:p>
      <w:pPr>
        <w:pStyle w:val="Normal"/>
      </w:pPr>
    </w:p>
    <w:tbl>
      <w:tblPr>
        <w:tblStyle w:val="TableNormal"/>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tc>
          <w:tcPr>
            <w:tcW w:w="9406" w:type="dxa"/>
            <w:shd w:val="clear" w:color="auto" w:fill="F5F1E6"/>
          </w:tcPr>
          <w:p>
            <w:pPr>
              <w:pStyle w:val="Normal"/>
              <w:spacing w:after="60" w:line="260" w:lineRule="auto"/>
              <w:jc w:val="left"/>
            </w:pPr>
            <w:r>
              <w:rPr>
                <w:b/>
                <w:color w:val="263238"/>
                <w:sz w:val="18"/>
                <w:szCs w:val="24"/>
                <w:lang w:val="en-CA" w:eastAsia="en-CA" w:bidi="ar-SA"/>
                <w:rFonts w:ascii="Calibri" w:hAnsi="Calibri" w:eastAsia="Calibri" w:cs="Calibri"/>
              </w:rPr>
              <w:t>STATEMENT S-</w:t>
              <w:t xml:space="preserve">5  |</w:t>
              <w:t xml:space="preserve">  </w:t>
            </w:r>
            <w:r>
              <w:rPr>
                <w:b/>
                <w:color w:val="263238"/>
                <w:sz w:val="20"/>
                <w:szCs w:val="24"/>
                <w:lang w:val="en-CA" w:eastAsia="en-CA" w:bidi="ar-SA"/>
                <w:rFonts w:ascii="Calibri" w:hAnsi="Calibri" w:eastAsia="Calibri" w:cs="Calibri"/>
              </w:rPr>
              <w:t>President of the United States</w:t>
            </w:r>
          </w:p>
          <w:p>
            <w:pPr>
              <w:pStyle w:val="Normal"/>
              <w:spacing w:after="100" w:line="240" w:lineRule="auto"/>
              <w:jc w:val="left"/>
            </w:pPr>
            <w:r>
              <w:rPr>
                <w:color w:val="263238"/>
                <w:sz w:val="20"/>
                <w:szCs w:val="24"/>
                <w:lang w:val="en-CA" w:eastAsia="en-CA" w:bidi="ar-SA"/>
                <w:rFonts w:ascii="Calibri" w:hAnsi="Calibri" w:eastAsia="Calibri" w:cs="Calibri"/>
                <w:i/>
              </w:rPr>
              <w:t>Public post, Day 0, 12:30 EDT</w:t>
            </w:r>
          </w:p>
          <w:p>
            <w:pPr>
              <w:pStyle w:val="Normal"/>
              <w:spacing w:after="80" w:line="280" w:lineRule="auto"/>
            </w:pPr>
            <w:r>
              <w:rPr>
                <w:i/>
                <w:sz w:val="21"/>
                <w:szCs w:val="24"/>
                <w:lang w:val="en-CA" w:eastAsia="en-CA" w:bidi="ar-SA"/>
                <w:rFonts w:ascii="Calibri" w:hAnsi="Calibri" w:eastAsia="Calibri" w:cs="Calibri"/>
                <w:color w:val="2F5670"/>
                <w:b/>
              </w:rPr>
              <w:t>“THE NUCLEAR DUST DIES IN PLACE, RIGHT THERE ON IRANIAN SOIL, UNDER FULL INTERNATIONAL WITNESS, EXACTLY THE PATH I CALLED PREFERABLE. THE STRAIT OF HORMUZ OPENS TOLL-FREE, PERMANENTLY. NO TOLLS, NO PERMISSION SLIPS, NO NUCLEAR WEAPON, EVER. INTERNATIONAL INSPECTORS WATCH EVERY GRAM. A TOTAL AND COMPLETE VICTORY FOR THE UNITED STATES, AND FRANKLY A FAIR ONE FOR IRAN AND OMAN. NOBODY ELSE COULD MAKE THIS DEAL!”</w:t>
            </w:r>
          </w:p>
        </w:tc>
      </w:tr>
    </w:tbl>
    <w:p>
      <w:pPr>
        <w:pStyle w:val="Normal"/>
      </w:pPr>
    </w:p>
    <w:tbl>
      <w:tblPr>
        <w:tblStyle w:val="TableNormal"/>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tc>
          <w:tcPr>
            <w:tcW w:w="9406" w:type="dxa"/>
            <w:shd w:val="clear" w:color="auto" w:fill="F5F1E6"/>
          </w:tcPr>
          <w:p>
            <w:pPr>
              <w:pStyle w:val="Normal"/>
              <w:spacing w:after="60" w:line="260" w:lineRule="auto"/>
              <w:jc w:val="left"/>
            </w:pPr>
            <w:r>
              <w:rPr>
                <w:b/>
                <w:color w:val="263238"/>
                <w:sz w:val="18"/>
                <w:szCs w:val="24"/>
                <w:lang w:val="en-CA" w:eastAsia="en-CA" w:bidi="ar-SA"/>
                <w:rFonts w:ascii="Calibri" w:hAnsi="Calibri" w:eastAsia="Calibri" w:cs="Calibri"/>
              </w:rPr>
              <w:t>STATEMENT S-</w:t>
              <w:t xml:space="preserve">6  |</w:t>
              <w:t xml:space="preserve">  </w:t>
            </w:r>
            <w:r>
              <w:rPr>
                <w:b/>
                <w:color w:val="263238"/>
                <w:sz w:val="20"/>
                <w:szCs w:val="24"/>
                <w:lang w:val="en-CA" w:eastAsia="en-CA" w:bidi="ar-SA"/>
                <w:rFonts w:ascii="Calibri" w:hAnsi="Calibri" w:eastAsia="Calibri" w:cs="Calibri"/>
              </w:rPr>
              <w:t>Director General of the IAEA</w:t>
            </w:r>
          </w:p>
          <w:p>
            <w:pPr>
              <w:pStyle w:val="Normal"/>
              <w:spacing w:after="100" w:line="240" w:lineRule="auto"/>
              <w:jc w:val="left"/>
            </w:pPr>
            <w:r>
              <w:rPr>
                <w:color w:val="263238"/>
                <w:sz w:val="20"/>
                <w:szCs w:val="24"/>
                <w:lang w:val="en-CA" w:eastAsia="en-CA" w:bidi="ar-SA"/>
                <w:rFonts w:ascii="Calibri" w:hAnsi="Calibri" w:eastAsia="Calibri" w:cs="Calibri"/>
                <w:i/>
              </w:rPr>
              <w:t>Vienna, Day 1, 10:00 CET</w:t>
            </w:r>
          </w:p>
          <w:p>
            <w:pPr>
              <w:pStyle w:val="Normal"/>
              <w:spacing w:after="80" w:line="280" w:lineRule="auto"/>
            </w:pPr>
            <w:r>
              <w:rPr>
                <w:i/>
                <w:sz w:val="21"/>
                <w:szCs w:val="24"/>
                <w:lang w:val="en-CA" w:eastAsia="en-CA" w:bidi="ar-SA"/>
                <w:rFonts w:ascii="Calibri" w:hAnsi="Calibri" w:eastAsia="Calibri" w:cs="Calibri"/>
                <w:color w:val="2F5670"/>
                <w:b/>
              </w:rPr>
              <w:t>“Agency inspectors today apply dual-custody seals at the Esfahan disposition facility and begin continuous presence. From this day forward the Agency verifies every gram, witnesses every blend, and reports the facts exactly as they are, to all participants at the same time.”</w:t>
            </w:r>
          </w:p>
        </w:tc>
      </w:tr>
    </w:tbl>
    <w:p>
      <w:pPr>
        <w:pStyle w:val="Normal"/>
      </w:pPr>
    </w:p>
    <w:tbl>
      <w:tblPr>
        <w:tblStyle w:val="TableNormal"/>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tc>
          <w:tcPr>
            <w:tcW w:w="9406" w:type="dxa"/>
            <w:shd w:val="clear" w:color="auto" w:fill="F5F1E6"/>
          </w:tcPr>
          <w:p>
            <w:pPr>
              <w:pStyle w:val="Normal"/>
              <w:spacing w:after="60" w:line="260" w:lineRule="auto"/>
              <w:jc w:val="left"/>
            </w:pPr>
            <w:r>
              <w:rPr>
                <w:b/>
                <w:color w:val="263238"/>
                <w:sz w:val="18"/>
                <w:szCs w:val="24"/>
                <w:lang w:val="en-CA" w:eastAsia="en-CA" w:bidi="ar-SA"/>
                <w:rFonts w:ascii="Calibri" w:hAnsi="Calibri" w:eastAsia="Calibri" w:cs="Calibri"/>
              </w:rPr>
              <w:t>STATEMENT S-</w:t>
              <w:t xml:space="preserve">7  |</w:t>
              <w:t xml:space="preserve">  </w:t>
            </w:r>
            <w:r>
              <w:rPr>
                <w:b/>
                <w:color w:val="263238"/>
                <w:sz w:val="20"/>
                <w:szCs w:val="24"/>
                <w:lang w:val="en-CA" w:eastAsia="en-CA" w:bidi="ar-SA"/>
                <w:rFonts w:ascii="Calibri" w:hAnsi="Calibri" w:eastAsia="Calibri" w:cs="Calibri"/>
              </w:rPr>
              <w:t>President of the Islamic Republic of Iran</w:t>
            </w:r>
          </w:p>
          <w:p>
            <w:pPr>
              <w:pStyle w:val="Normal"/>
              <w:spacing w:after="100" w:line="240" w:lineRule="auto"/>
              <w:jc w:val="left"/>
            </w:pPr>
            <w:r>
              <w:rPr>
                <w:color w:val="263238"/>
                <w:sz w:val="20"/>
                <w:szCs w:val="24"/>
                <w:lang w:val="en-CA" w:eastAsia="en-CA" w:bidi="ar-SA"/>
                <w:rFonts w:ascii="Calibri" w:hAnsi="Calibri" w:eastAsia="Calibri" w:cs="Calibri"/>
                <w:i/>
              </w:rPr>
              <w:t>Tehran, Day 3, 12:00 IRST</w:t>
            </w:r>
          </w:p>
          <w:p>
            <w:pPr>
              <w:pStyle w:val="Normal"/>
              <w:spacing w:after="80" w:line="280" w:lineRule="auto"/>
            </w:pPr>
            <w:r>
              <w:rPr>
                <w:i/>
                <w:sz w:val="21"/>
                <w:szCs w:val="24"/>
                <w:lang w:val="en-CA" w:eastAsia="en-CA" w:bidi="ar-SA"/>
                <w:rFonts w:ascii="Calibri" w:hAnsi="Calibri" w:eastAsia="Calibri" w:cs="Calibri"/>
                <w:color w:val="2F5670"/>
                <w:b/>
              </w:rPr>
              <w:t>“The Strait reopens as a bridge of dignity. Iranian uranium stays on Iranian soil and becomes Iranian electricity. Our scientists keep their knowledge, our reactors gain their fuel, and our people regain their economy. Iran honors the Compact because the Compact honors Iran.”</w:t>
            </w:r>
          </w:p>
        </w:tc>
      </w:tr>
    </w:tbl>
    <w:p>
      <w:pPr>
        <w:pStyle w:val="Normal"/>
      </w:pPr>
    </w:p>
    <w:tbl>
      <w:tblPr>
        <w:tblStyle w:val="TableNormal"/>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tc>
          <w:tcPr>
            <w:tcW w:w="9406" w:type="dxa"/>
            <w:shd w:val="clear" w:color="auto" w:fill="F5F1E6"/>
          </w:tcPr>
          <w:p>
            <w:pPr>
              <w:pStyle w:val="Normal"/>
              <w:spacing w:after="60" w:line="260" w:lineRule="auto"/>
              <w:jc w:val="left"/>
            </w:pPr>
            <w:r>
              <w:rPr>
                <w:b/>
                <w:color w:val="263238"/>
                <w:sz w:val="18"/>
                <w:szCs w:val="24"/>
                <w:lang w:val="en-CA" w:eastAsia="en-CA" w:bidi="ar-SA"/>
                <w:rFonts w:ascii="Calibri" w:hAnsi="Calibri" w:eastAsia="Calibri" w:cs="Calibri"/>
              </w:rPr>
              <w:t>STATEMENT S-</w:t>
              <w:t xml:space="preserve">8  |</w:t>
              <w:t xml:space="preserve">  </w:t>
            </w:r>
            <w:r>
              <w:rPr>
                <w:b/>
                <w:color w:val="263238"/>
                <w:sz w:val="20"/>
                <w:szCs w:val="24"/>
                <w:lang w:val="en-CA" w:eastAsia="en-CA" w:bidi="ar-SA"/>
                <w:rFonts w:ascii="Calibri" w:hAnsi="Calibri" w:eastAsia="Calibri" w:cs="Calibri"/>
              </w:rPr>
              <w:t>United States Department of the Treasury</w:t>
            </w:r>
          </w:p>
          <w:p>
            <w:pPr>
              <w:pStyle w:val="Normal"/>
              <w:spacing w:after="100" w:line="240" w:lineRule="auto"/>
              <w:jc w:val="left"/>
            </w:pPr>
            <w:r>
              <w:rPr>
                <w:color w:val="263238"/>
                <w:sz w:val="20"/>
                <w:szCs w:val="24"/>
                <w:lang w:val="en-CA" w:eastAsia="en-CA" w:bidi="ar-SA"/>
                <w:rFonts w:ascii="Calibri" w:hAnsi="Calibri" w:eastAsia="Calibri" w:cs="Calibri"/>
                <w:i/>
              </w:rPr>
              <w:t>Washington, Day 7</w:t>
            </w:r>
          </w:p>
          <w:p>
            <w:pPr>
              <w:pStyle w:val="Normal"/>
              <w:spacing w:after="80" w:line="280" w:lineRule="auto"/>
            </w:pPr>
            <w:r>
              <w:rPr>
                <w:i/>
                <w:sz w:val="21"/>
                <w:szCs w:val="24"/>
                <w:lang w:val="en-CA" w:eastAsia="en-CA" w:bidi="ar-SA"/>
                <w:rFonts w:ascii="Calibri" w:hAnsi="Calibri" w:eastAsia="Calibri" w:cs="Calibri"/>
                <w:color w:val="2F5670"/>
                <w:b/>
              </w:rPr>
              <w:t>“Following verified consolidation and the activation of the Hormuz Bridge Commission, Treasury removes the PGSA designation and issues a general license for Commission transactions. The designated permission body no longer exists; the civilian coordination desk that replaces it operates outside sanctions scope.”</w:t>
            </w:r>
          </w:p>
        </w:tc>
      </w:tr>
    </w:tbl>
    <w:p>
      <w:pPr>
        <w:pStyle w:val="Normal"/>
      </w:pPr>
    </w:p>
    <w:tbl>
      <w:tblPr>
        <w:tblStyle w:val="TableNormal"/>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tc>
          <w:tcPr>
            <w:tcW w:w="9406" w:type="dxa"/>
            <w:shd w:val="clear" w:color="auto" w:fill="F5F1E6"/>
          </w:tcPr>
          <w:p>
            <w:pPr>
              <w:pStyle w:val="Normal"/>
              <w:spacing w:after="60" w:line="260" w:lineRule="auto"/>
              <w:jc w:val="left"/>
            </w:pPr>
            <w:r>
              <w:rPr>
                <w:b/>
                <w:color w:val="263238"/>
                <w:sz w:val="18"/>
                <w:szCs w:val="24"/>
                <w:lang w:val="en-CA" w:eastAsia="en-CA" w:bidi="ar-SA"/>
                <w:rFonts w:ascii="Calibri" w:hAnsi="Calibri" w:eastAsia="Calibri" w:cs="Calibri"/>
              </w:rPr>
              <w:t>STATEMENT S-</w:t>
              <w:t xml:space="preserve">9  |</w:t>
              <w:t xml:space="preserve">  </w:t>
            </w:r>
            <w:r>
              <w:rPr>
                <w:b/>
                <w:color w:val="263238"/>
                <w:sz w:val="20"/>
                <w:szCs w:val="24"/>
                <w:lang w:val="en-CA" w:eastAsia="en-CA" w:bidi="ar-SA"/>
                <w:rFonts w:ascii="Calibri" w:hAnsi="Calibri" w:eastAsia="Calibri" w:cs="Calibri"/>
              </w:rPr>
              <w:t>Hormuz Bridge Commission, joint statement</w:t>
            </w:r>
          </w:p>
          <w:p>
            <w:pPr>
              <w:pStyle w:val="Normal"/>
              <w:spacing w:after="100" w:line="240" w:lineRule="auto"/>
              <w:jc w:val="left"/>
            </w:pPr>
            <w:r>
              <w:rPr>
                <w:szCs w:val="24"/>
                <w:lang w:val="en-CA" w:eastAsia="en-CA" w:bidi="ar-SA"/>
                <w:rFonts w:ascii="Calibri" w:hAnsi="Calibri" w:eastAsia="Calibri" w:cs="Calibri"/>
                <w:color w:val="263238"/>
                <w:sz w:val="20"/>
                <w:i/>
              </w:rPr>
              <w:t>Muscat, Day 60</w:t>
            </w:r>
          </w:p>
          <w:p>
            <w:pPr>
              <w:pStyle w:val="Normal"/>
              <w:spacing w:after="80" w:line="280" w:lineRule="auto"/>
            </w:pPr>
            <w:r>
              <w:rPr>
                <w:i/>
                <w:sz w:val="21"/>
                <w:szCs w:val="24"/>
                <w:lang w:val="en-CA" w:eastAsia="en-CA" w:bidi="ar-SA"/>
                <w:rFonts w:ascii="Calibri" w:hAnsi="Calibri" w:eastAsia="Calibri" w:cs="Calibri"/>
                <w:color w:val="2F5670"/>
                <w:b/>
              </w:rPr>
              <w:t xml:space="preserve">“The Islamabad Memorandum of Understanding completes its purpose and merges into the Triad Bridge Compact. The Strait operates at full capacity, toll-free, in both corridors. </w:t>
              <w:t>Interests</w:t>
              <w:t xml:space="preserve"> sections open in Tehran and Washington. The bridge holds.”</w:t>
            </w:r>
          </w:p>
        </w:tc>
      </w:tr>
    </w:tbl>
    <w:p>
      <w:pPr>
        <w:pStyle w:val="Normal"/>
      </w:pPr>
    </w:p>
    <w:tbl>
      <w:tblPr>
        <w:tblStyle w:val="TableNormal"/>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tc>
          <w:tcPr>
            <w:tcW w:w="9406" w:type="dxa"/>
            <w:shd w:val="clear" w:color="auto" w:fill="F5F1E6"/>
          </w:tcPr>
          <w:p>
            <w:pPr>
              <w:pStyle w:val="Normal"/>
              <w:spacing w:after="60" w:line="260" w:lineRule="auto"/>
              <w:jc w:val="left"/>
            </w:pPr>
            <w:r>
              <w:rPr>
                <w:b/>
                <w:color w:val="263238"/>
                <w:sz w:val="18"/>
                <w:szCs w:val="24"/>
                <w:lang w:val="en-CA" w:eastAsia="en-CA" w:bidi="ar-SA"/>
                <w:rFonts w:ascii="Calibri" w:hAnsi="Calibri" w:eastAsia="Calibri" w:cs="Calibri"/>
              </w:rPr>
              <w:t>STATEMENT S-</w:t>
              <w:t xml:space="preserve">10  |</w:t>
              <w:t xml:space="preserve">  </w:t>
            </w:r>
            <w:r>
              <w:rPr>
                <w:b/>
                <w:color w:val="263238"/>
                <w:sz w:val="20"/>
                <w:szCs w:val="24"/>
                <w:lang w:val="en-CA" w:eastAsia="en-CA" w:bidi="ar-SA"/>
                <w:rFonts w:ascii="Calibri" w:hAnsi="Calibri" w:eastAsia="Calibri" w:cs="Calibri"/>
              </w:rPr>
              <w:t>IAEA Disposition Certificate</w:t>
            </w:r>
          </w:p>
          <w:p>
            <w:pPr>
              <w:pStyle w:val="Normal"/>
              <w:spacing w:after="100" w:line="240" w:lineRule="auto"/>
              <w:jc w:val="left"/>
            </w:pPr>
            <w:r>
              <w:rPr>
                <w:color w:val="263238"/>
                <w:sz w:val="20"/>
                <w:szCs w:val="24"/>
                <w:lang w:val="en-CA" w:eastAsia="en-CA" w:bidi="ar-SA"/>
                <w:rFonts w:ascii="Calibri" w:hAnsi="Calibri" w:eastAsia="Calibri" w:cs="Calibri"/>
                <w:i/>
              </w:rPr>
              <w:t>Vienna, Day 90</w:t>
            </w:r>
          </w:p>
          <w:p>
            <w:pPr>
              <w:pStyle w:val="Normal"/>
              <w:spacing w:after="80" w:line="280" w:lineRule="auto"/>
            </w:pPr>
            <w:r>
              <w:rPr>
                <w:i/>
                <w:sz w:val="21"/>
                <w:szCs w:val="24"/>
                <w:lang w:val="en-CA" w:eastAsia="en-CA" w:bidi="ar-SA"/>
                <w:rFonts w:ascii="Calibri" w:hAnsi="Calibri" w:eastAsia="Calibri" w:cs="Calibri"/>
                <w:color w:val="2F5670"/>
                <w:b/>
              </w:rPr>
              <w:t xml:space="preserve">“The Agency certifies that all uranium previously enriched above 3.67 percent now exists at or below 3.67 percent through irreversible </w:t>
              <w:t>downblending</w:t>
              <w:t>, that the weapons usability of this material stands destroyed in place under continuous Agency witness, and that material accountancy closes with zero discrepancy.”</w:t>
            </w:r>
          </w:p>
        </w:tc>
      </w:tr>
    </w:tbl>
    <w:p>
      <w:pPr>
        <w:pStyle w:val="Normal"/>
      </w:pPr>
    </w:p>
    <w:tbl>
      <w:tblPr>
        <w:tblStyle w:val="TableNormal"/>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tc>
          <w:tcPr>
            <w:tcW w:w="9406" w:type="dxa"/>
            <w:shd w:val="clear" w:color="auto" w:fill="F5F1E6"/>
          </w:tcPr>
          <w:p>
            <w:pPr>
              <w:pStyle w:val="Normal"/>
              <w:spacing w:after="60" w:line="260" w:lineRule="auto"/>
              <w:jc w:val="left"/>
            </w:pPr>
            <w:r>
              <w:rPr>
                <w:b/>
                <w:color w:val="263238"/>
                <w:sz w:val="18"/>
                <w:szCs w:val="24"/>
                <w:lang w:val="en-CA" w:eastAsia="en-CA" w:bidi="ar-SA"/>
                <w:rFonts w:ascii="Calibri" w:hAnsi="Calibri" w:eastAsia="Calibri" w:cs="Calibri"/>
              </w:rPr>
              <w:t>STATEMENT S-</w:t>
              <w:t xml:space="preserve">11  |</w:t>
              <w:t xml:space="preserve">  </w:t>
            </w:r>
            <w:r>
              <w:rPr>
                <w:b/>
                <w:color w:val="263238"/>
                <w:sz w:val="20"/>
                <w:szCs w:val="24"/>
                <w:lang w:val="en-CA" w:eastAsia="en-CA" w:bidi="ar-SA"/>
                <w:rFonts w:ascii="Calibri" w:hAnsi="Calibri" w:eastAsia="Calibri" w:cs="Calibri"/>
              </w:rPr>
              <w:t>Foreign Ministry of the Islamic Republic of Iran</w:t>
            </w:r>
          </w:p>
          <w:p>
            <w:pPr>
              <w:pStyle w:val="Normal"/>
              <w:spacing w:after="100" w:line="240" w:lineRule="auto"/>
              <w:jc w:val="left"/>
            </w:pPr>
            <w:r>
              <w:rPr>
                <w:color w:val="263238"/>
                <w:sz w:val="20"/>
                <w:szCs w:val="24"/>
                <w:lang w:val="en-CA" w:eastAsia="en-CA" w:bidi="ar-SA"/>
                <w:rFonts w:ascii="Calibri" w:hAnsi="Calibri" w:eastAsia="Calibri" w:cs="Calibri"/>
                <w:i/>
              </w:rPr>
              <w:t>Tehran, Day 90, 14:00 IRST</w:t>
            </w:r>
          </w:p>
          <w:p>
            <w:pPr>
              <w:pStyle w:val="Normal"/>
              <w:spacing w:after="80" w:line="280" w:lineRule="auto"/>
            </w:pPr>
            <w:r>
              <w:rPr>
                <w:i/>
                <w:sz w:val="21"/>
                <w:szCs w:val="24"/>
                <w:lang w:val="en-CA" w:eastAsia="en-CA" w:bidi="ar-SA"/>
                <w:rFonts w:ascii="Calibri" w:hAnsi="Calibri" w:eastAsia="Calibri" w:cs="Calibri"/>
                <w:color w:val="2F5670"/>
                <w:b/>
              </w:rPr>
              <w:t>“Today the certificate confirms what Iran promised. Every gram remains on Iranian soil, transformed into fuel for Iranian reactors, under Iranian custody. Iran records this achievement as Fuel from Dust: a strategic concern converted into civilian energy. Iran's program stands, Iran's sovereignty stands, and the Strait stands open. Iran kept its word, and the world kept its word to Iran.”</w:t>
            </w:r>
          </w:p>
        </w:tc>
      </w:tr>
    </w:tbl>
    <w:p>
      <w:pPr>
        <w:pStyle w:val="Normal"/>
      </w:pPr>
    </w:p>
    <w:tbl>
      <w:tblPr>
        <w:tblStyle w:val="TableNormal"/>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tc>
          <w:tcPr>
            <w:tcW w:w="9406" w:type="dxa"/>
            <w:shd w:val="clear" w:color="auto" w:fill="F5F1E6"/>
          </w:tcPr>
          <w:p>
            <w:pPr>
              <w:pStyle w:val="Normal"/>
              <w:spacing w:after="60" w:line="260" w:lineRule="auto"/>
              <w:jc w:val="left"/>
            </w:pPr>
            <w:r>
              <w:rPr>
                <w:b/>
                <w:color w:val="263238"/>
                <w:sz w:val="18"/>
                <w:szCs w:val="24"/>
                <w:lang w:val="en-CA" w:eastAsia="en-CA" w:bidi="ar-SA"/>
                <w:rFonts w:ascii="Calibri" w:hAnsi="Calibri" w:eastAsia="Calibri" w:cs="Calibri"/>
              </w:rPr>
              <w:t>STATEMENT S-</w:t>
              <w:t xml:space="preserve">12  |</w:t>
              <w:t xml:space="preserve">  </w:t>
            </w:r>
            <w:r>
              <w:rPr>
                <w:b/>
                <w:color w:val="263238"/>
                <w:sz w:val="20"/>
                <w:szCs w:val="24"/>
                <w:lang w:val="en-CA" w:eastAsia="en-CA" w:bidi="ar-SA"/>
                <w:rFonts w:ascii="Calibri" w:hAnsi="Calibri" w:eastAsia="Calibri" w:cs="Calibri"/>
              </w:rPr>
              <w:t>The White House</w:t>
            </w:r>
          </w:p>
          <w:p>
            <w:pPr>
              <w:pStyle w:val="Normal"/>
              <w:spacing w:after="100" w:line="240" w:lineRule="auto"/>
              <w:jc w:val="left"/>
            </w:pPr>
            <w:r>
              <w:rPr>
                <w:color w:val="263238"/>
                <w:sz w:val="20"/>
                <w:szCs w:val="24"/>
                <w:lang w:val="en-CA" w:eastAsia="en-CA" w:bidi="ar-SA"/>
                <w:rFonts w:ascii="Calibri" w:hAnsi="Calibri" w:eastAsia="Calibri" w:cs="Calibri"/>
                <w:i/>
              </w:rPr>
              <w:t>Washington, Day 90, 11:00 EDT</w:t>
            </w:r>
          </w:p>
          <w:p>
            <w:pPr>
              <w:pStyle w:val="Normal"/>
              <w:spacing w:after="80" w:line="280" w:lineRule="auto"/>
            </w:pPr>
            <w:r>
              <w:rPr>
                <w:i/>
                <w:sz w:val="21"/>
                <w:szCs w:val="24"/>
                <w:lang w:val="en-CA" w:eastAsia="en-CA" w:bidi="ar-SA"/>
                <w:rFonts w:ascii="Calibri" w:hAnsi="Calibri" w:eastAsia="Calibri" w:cs="Calibri"/>
                <w:color w:val="2F5670"/>
                <w:b/>
              </w:rPr>
              <w:t xml:space="preserve">“Ninety days </w:t>
              <w:t>ago</w:t>
              <w:t xml:space="preserve"> the President designated the preferable path: destroy the Nuclear Dust in place, with coordination, under witness. Today the IAEA certifies exactly that: destroyed, in place, verified, with zero discrepancy. The Strait operates at full capacity, toll-free, and the United States never paid a cent in tolls. Total victory, and a fair one.”</w:t>
            </w:r>
          </w:p>
        </w:tc>
      </w:tr>
    </w:tbl>
    <w:p>
      <w:pPr>
        <w:pStyle w:val="Normal"/>
      </w:pPr>
    </w:p>
    <w:p>
      <w:pPr>
        <w:pStyle w:val="Heading2"/>
      </w:pPr>
      <w:r>
        <w:rPr>
          <w:szCs w:val="24"/>
          <w:lang w:val="en-CA" w:eastAsia="en-CA" w:bidi="ar-SA"/>
          <w:rFonts w:ascii="Calibri" w:hAnsi="Calibri" w:eastAsia="Calibri" w:cs="Calibri"/>
          <w:b/>
          <w:color w:val="546E7A"/>
          <w:sz w:val="20"/>
        </w:rPr>
        <w:t>Article 22: Contingency Scenarios and Media Guidance</w:t>
      </w:r>
    </w:p>
    <w:p>
      <w:pPr>
        <w:pStyle w:val="Normal"/>
        <w:spacing w:after="140"/>
        <w:ind w:left="576" w:hanging="576"/>
      </w:pPr>
      <w:r>
        <w:rPr>
          <w:b/>
          <w:color w:val="263238"/>
          <w:szCs w:val="24"/>
          <w:lang w:val="en-CA" w:eastAsia="en-CA" w:bidi="ar-SA"/>
          <w:rFonts w:ascii="Calibri" w:hAnsi="Calibri" w:eastAsia="Calibri" w:cs="Calibri"/>
          <w:sz w:val="21"/>
        </w:rPr>
        <w:t xml:space="preserve">22.1  </w:t>
      </w:r>
      <w:r>
        <w:rPr>
          <w:szCs w:val="24"/>
          <w:lang w:val="en-CA" w:eastAsia="en-CA" w:bidi="ar-SA"/>
          <w:rFonts w:ascii="Calibri" w:hAnsi="Calibri" w:eastAsia="Calibri" w:cs="Calibri"/>
          <w:color w:val="263238"/>
          <w:sz w:val="18"/>
        </w:rPr>
        <w:t>Scenario</w:t>
        <w:t xml:space="preserve"> B: signature delay. If internal review in Tehran extends past 18:00 GST on Day 0, the standstill continues hour by hour; Oman issues a holding note within 30 minutes; Washington issues nothing beyond the pre-cleared line, the window remains open tonight; a new signature window opens at 10:00 GST on Day 1, and the full stagger shifts by 24 hours with zero content change. If Day 1 closes without signature, Scenario C activates.</w:t>
      </w:r>
    </w:p>
    <w:p>
      <w:pPr>
        <w:pStyle w:val="Normal"/>
        <w:spacing w:after="140"/>
        <w:ind w:left="576" w:hanging="576"/>
      </w:pPr>
      <w:r>
        <w:rPr>
          <w:b/>
          <w:color w:val="263238"/>
          <w:szCs w:val="24"/>
          <w:lang w:val="en-CA" w:eastAsia="en-CA" w:bidi="ar-SA"/>
          <w:rFonts w:ascii="Calibri" w:hAnsi="Calibri" w:eastAsia="Calibri" w:cs="Calibri"/>
          <w:sz w:val="18"/>
        </w:rPr>
        <w:t xml:space="preserve">22.2  </w:t>
      </w:r>
      <w:r>
        <w:rPr>
          <w:szCs w:val="24"/>
          <w:lang w:val="en-CA" w:eastAsia="en-CA" w:bidi="ar-SA"/>
          <w:rFonts w:ascii="Calibri" w:hAnsi="Calibri" w:eastAsia="Calibri" w:cs="Calibri"/>
          <w:color w:val="263238"/>
          <w:sz w:val="21"/>
        </w:rPr>
        <w:t>Scenario</w:t>
        <w:t xml:space="preserve"> C: breakdown. The standstill holds for 72 hours regardless of signature status. Both capitals issue only the pre-cleared holding line: technical work continues. The Council of Friends convenes in Muscat. Military posture reverts only by head-of-government decision outside this Compact, and nothing in the compliance engine activates automatically. This package contains no escalation script; escalation needs no script.</w:t>
      </w:r>
    </w:p>
    <w:p>
      <w:pPr>
        <w:pStyle w:val="Normal"/>
        <w:spacing w:after="140"/>
        <w:ind w:left="576" w:hanging="576"/>
      </w:pPr>
      <w:r>
        <w:rPr>
          <w:szCs w:val="24"/>
          <w:lang w:val="en-CA" w:eastAsia="en-CA" w:bidi="ar-SA"/>
          <w:rFonts w:ascii="Calibri" w:hAnsi="Calibri" w:eastAsia="Calibri" w:cs="Calibri"/>
          <w:color w:val="263238"/>
          <w:sz w:val="18"/>
        </w:rPr>
        <w:t xml:space="preserve">22.3  </w:t>
      </w:r>
      <w:r>
        <w:rPr>
          <w:szCs w:val="24"/>
          <w:lang w:val="en-CA" w:eastAsia="en-CA" w:bidi="ar-SA"/>
          <w:rFonts w:ascii="Calibri" w:hAnsi="Calibri" w:eastAsia="Calibri" w:cs="Calibri"/>
          <w:color w:val="263238"/>
          <w:sz w:val="21"/>
        </w:rPr>
        <w:t>Media</w:t>
        <w:t xml:space="preserve"> guidance. Spokespeople answer questions from this table and from Table 4, and nothing else.</w:t>
      </w:r>
    </w:p>
    <w:tbl>
      <w:tblPr>
        <w:tblStyle w:val="TableNormal"/>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2708"/>
        <w:gridCol w:w="6518"/>
      </w:tblGrid>
      <w:tr>
        <w:trPr>
          <w:tblHeader w:val="1"/>
        </w:trPr>
        <w:tc>
          <w:tcPr>
            <w:tcW w:w="2708"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Question</w:t>
            </w:r>
          </w:p>
        </w:tc>
        <w:tc>
          <w:tcPr>
            <w:tcW w:w="6518"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Pre-cleared answer</w:t>
            </w:r>
          </w:p>
        </w:tc>
      </w:tr>
      <w:tr>
        <w:tc>
          <w:tcPr>
            <w:tcW w:w="2708" w:type="dxa"/>
          </w:tcPr>
          <w:p>
            <w:pPr>
              <w:pStyle w:val="Normal"/>
              <w:spacing w:before="30" w:after="30" w:line="240" w:lineRule="auto"/>
              <w:jc w:val="left"/>
            </w:pPr>
            <w:r>
              <w:rPr>
                <w:sz w:val="18"/>
                <w:szCs w:val="24"/>
                <w:lang w:val="en-CA" w:eastAsia="en-CA" w:bidi="ar-SA"/>
                <w:rFonts w:ascii="Calibri" w:hAnsi="Calibri" w:eastAsia="Calibri" w:cs="Calibri"/>
                <w:color w:val="263238"/>
              </w:rPr>
              <w:t>Did Iran capitulate?</w:t>
            </w:r>
          </w:p>
        </w:tc>
        <w:tc>
          <w:tcPr>
            <w:tcW w:w="6518" w:type="dxa"/>
          </w:tcPr>
          <w:p>
            <w:pPr>
              <w:pStyle w:val="Normal"/>
              <w:spacing w:before="30" w:after="30" w:line="240" w:lineRule="auto"/>
              <w:jc w:val="left"/>
            </w:pPr>
            <w:r>
              <w:rPr>
                <w:sz w:val="18"/>
                <w:szCs w:val="24"/>
                <w:lang w:val="en-CA" w:eastAsia="en-CA" w:bidi="ar-SA"/>
                <w:rFonts w:ascii="Calibri" w:hAnsi="Calibri" w:eastAsia="Calibri" w:cs="Calibri"/>
                <w:color w:val="263238"/>
              </w:rPr>
              <w:t>Washington: Iran accepted verified terms that meet every American requirement; the President's strategy delivered. Tehran: Iran signed as a sovereign equal and co-governor; the Compact respects every Iranian red line.</w:t>
            </w:r>
          </w:p>
        </w:tc>
      </w:tr>
      <w:tr>
        <w:tc>
          <w:tcPr>
            <w:tcW w:w="2708" w:type="dxa"/>
          </w:tcPr>
          <w:p>
            <w:pPr>
              <w:pStyle w:val="Normal"/>
              <w:spacing w:before="30" w:after="30" w:line="240" w:lineRule="auto"/>
              <w:jc w:val="left"/>
            </w:pPr>
            <w:r>
              <w:rPr>
                <w:sz w:val="18"/>
                <w:szCs w:val="24"/>
                <w:lang w:val="en-CA" w:eastAsia="en-CA" w:bidi="ar-SA"/>
                <w:rFonts w:ascii="Calibri" w:hAnsi="Calibri" w:eastAsia="Calibri" w:cs="Calibri"/>
                <w:color w:val="263238"/>
              </w:rPr>
              <w:t>Is the toll-free rule permanent?</w:t>
            </w:r>
          </w:p>
        </w:tc>
        <w:tc>
          <w:tcPr>
            <w:tcW w:w="6518" w:type="dxa"/>
          </w:tcPr>
          <w:p>
            <w:pPr>
              <w:pStyle w:val="Normal"/>
              <w:spacing w:before="30" w:after="30" w:line="240" w:lineRule="auto"/>
              <w:jc w:val="left"/>
            </w:pPr>
            <w:r>
              <w:rPr>
                <w:sz w:val="18"/>
                <w:szCs w:val="24"/>
                <w:lang w:val="en-CA" w:eastAsia="en-CA" w:bidi="ar-SA"/>
                <w:rFonts w:ascii="Calibri" w:hAnsi="Calibri" w:eastAsia="Calibri" w:cs="Calibri"/>
                <w:color w:val="263238"/>
              </w:rPr>
              <w:t>Permanent. The Compact contains no sunset on toll-free passage (Articles 4.5 and 10.1).</w:t>
            </w:r>
          </w:p>
        </w:tc>
      </w:tr>
      <w:tr>
        <w:tc>
          <w:tcPr>
            <w:tcW w:w="2708" w:type="dxa"/>
          </w:tcPr>
          <w:p>
            <w:pPr>
              <w:pStyle w:val="Normal"/>
              <w:spacing w:before="30" w:after="30" w:line="240" w:lineRule="auto"/>
              <w:jc w:val="left"/>
            </w:pPr>
            <w:r>
              <w:rPr>
                <w:sz w:val="18"/>
                <w:szCs w:val="24"/>
                <w:lang w:val="en-CA" w:eastAsia="en-CA" w:bidi="ar-SA"/>
                <w:rFonts w:ascii="Calibri" w:hAnsi="Calibri" w:eastAsia="Calibri" w:cs="Calibri"/>
                <w:color w:val="263238"/>
              </w:rPr>
              <w:t>Who controls the Strait now?</w:t>
            </w:r>
          </w:p>
        </w:tc>
        <w:tc>
          <w:tcPr>
            <w:tcW w:w="6518" w:type="dxa"/>
          </w:tcPr>
          <w:p>
            <w:pPr>
              <w:pStyle w:val="Normal"/>
              <w:spacing w:before="30" w:after="30" w:line="240" w:lineRule="auto"/>
              <w:jc w:val="left"/>
            </w:pPr>
            <w:r>
              <w:rPr>
                <w:sz w:val="18"/>
                <w:szCs w:val="24"/>
                <w:lang w:val="en-CA" w:eastAsia="en-CA" w:bidi="ar-SA"/>
                <w:rFonts w:ascii="Calibri" w:hAnsi="Calibri" w:eastAsia="Calibri" w:cs="Calibri"/>
                <w:color w:val="263238"/>
              </w:rPr>
              <w:t>The two Strait States co-govern through the Commission, with the IMO at the table. No single state controls the Strait; two states steward it.</w:t>
            </w:r>
          </w:p>
        </w:tc>
      </w:tr>
      <w:tr>
        <w:tc>
          <w:tcPr>
            <w:tcW w:w="2708" w:type="dxa"/>
          </w:tcPr>
          <w:p>
            <w:pPr>
              <w:pStyle w:val="Normal"/>
              <w:spacing w:before="30" w:after="30" w:line="240" w:lineRule="auto"/>
              <w:jc w:val="left"/>
            </w:pPr>
            <w:r>
              <w:rPr>
                <w:sz w:val="18"/>
                <w:szCs w:val="24"/>
                <w:lang w:val="en-CA" w:eastAsia="en-CA" w:bidi="ar-SA"/>
                <w:rFonts w:ascii="Calibri" w:hAnsi="Calibri" w:eastAsia="Calibri" w:cs="Calibri"/>
                <w:color w:val="263238"/>
              </w:rPr>
              <w:t>What happens to the dust?</w:t>
            </w:r>
          </w:p>
        </w:tc>
        <w:tc>
          <w:tcPr>
            <w:tcW w:w="6518" w:type="dxa"/>
          </w:tcPr>
          <w:p>
            <w:pPr>
              <w:pStyle w:val="Normal"/>
              <w:spacing w:before="30" w:after="30" w:line="240" w:lineRule="auto"/>
              <w:jc w:val="left"/>
            </w:pPr>
            <w:r>
              <w:rPr>
                <w:sz w:val="18"/>
                <w:szCs w:val="24"/>
                <w:lang w:val="en-CA" w:eastAsia="en-CA" w:bidi="ar-SA"/>
                <w:rFonts w:ascii="Calibri" w:hAnsi="Calibri" w:eastAsia="Calibri" w:cs="Calibri"/>
                <w:color w:val="263238"/>
              </w:rPr>
              <w:t xml:space="preserve">It </w:t>
              <w:t>downblends</w:t>
              <w:t xml:space="preserve"> to fuel assay in place, under continuous IAEA witness, converts into fuel assemblies, and burns in reactors as electricity. Tehran names the same process Fuel from Dust.</w:t>
            </w:r>
          </w:p>
        </w:tc>
      </w:tr>
      <w:tr>
        <w:tc>
          <w:tcPr>
            <w:tcW w:w="2708" w:type="dxa"/>
          </w:tcPr>
          <w:p>
            <w:pPr>
              <w:pStyle w:val="Normal"/>
              <w:spacing w:before="30" w:after="30" w:line="240" w:lineRule="auto"/>
              <w:jc w:val="left"/>
            </w:pPr>
            <w:r>
              <w:rPr>
                <w:sz w:val="18"/>
                <w:szCs w:val="24"/>
                <w:lang w:val="en-CA" w:eastAsia="en-CA" w:bidi="ar-SA"/>
                <w:rFonts w:ascii="Calibri" w:hAnsi="Calibri" w:eastAsia="Calibri" w:cs="Calibri"/>
                <w:color w:val="263238"/>
              </w:rPr>
              <w:t>Did the United States pay Iran?</w:t>
            </w:r>
          </w:p>
        </w:tc>
        <w:tc>
          <w:tcPr>
            <w:tcW w:w="6518" w:type="dxa"/>
          </w:tcPr>
          <w:p>
            <w:pPr>
              <w:pStyle w:val="Normal"/>
              <w:spacing w:before="30" w:after="30" w:line="240" w:lineRule="auto"/>
              <w:jc w:val="left"/>
            </w:pPr>
            <w:r>
              <w:rPr>
                <w:sz w:val="18"/>
                <w:szCs w:val="24"/>
                <w:lang w:val="en-CA" w:eastAsia="en-CA" w:bidi="ar-SA"/>
                <w:rFonts w:ascii="Calibri" w:hAnsi="Calibri" w:eastAsia="Calibri" w:cs="Calibri"/>
                <w:color w:val="263238"/>
              </w:rPr>
              <w:t>The United States contributes to a Swiss-administered fund that reimburses IAEA-certified disposition costs, and to an IMO trust that reimburses audited maritime services. No payment purchases passage; passage is free.</w:t>
            </w:r>
          </w:p>
        </w:tc>
      </w:tr>
      <w:tr>
        <w:tc>
          <w:tcPr>
            <w:tcW w:w="2708" w:type="dxa"/>
          </w:tcPr>
          <w:p>
            <w:pPr>
              <w:pStyle w:val="Normal"/>
              <w:spacing w:before="30" w:after="30" w:line="240" w:lineRule="auto"/>
              <w:jc w:val="left"/>
            </w:pPr>
            <w:r>
              <w:rPr>
                <w:sz w:val="18"/>
                <w:szCs w:val="24"/>
                <w:lang w:val="en-CA" w:eastAsia="en-CA" w:bidi="ar-SA"/>
                <w:rFonts w:ascii="Calibri" w:hAnsi="Calibri" w:eastAsia="Calibri" w:cs="Calibri"/>
                <w:color w:val="263238"/>
              </w:rPr>
              <w:t>What if one side cheats?</w:t>
            </w:r>
          </w:p>
        </w:tc>
        <w:tc>
          <w:tcPr>
            <w:tcW w:w="6518" w:type="dxa"/>
          </w:tcPr>
          <w:p>
            <w:pPr>
              <w:pStyle w:val="Normal"/>
              <w:spacing w:before="30" w:after="30" w:line="240" w:lineRule="auto"/>
              <w:jc w:val="left"/>
            </w:pPr>
            <w:r>
              <w:rPr>
                <w:sz w:val="18"/>
                <w:szCs w:val="24"/>
                <w:lang w:val="en-CA" w:eastAsia="en-CA" w:bidi="ar-SA"/>
                <w:rFonts w:ascii="Calibri" w:hAnsi="Calibri" w:eastAsia="Calibri" w:cs="Calibri"/>
                <w:color w:val="263238"/>
              </w:rPr>
              <w:t>The compliance engine answers proportionately, reversibly, and economically; military force stays outside the Compact entirely (Article 3.5).</w:t>
            </w:r>
          </w:p>
        </w:tc>
      </w:tr>
      <w:tr>
        <w:tc>
          <w:tcPr>
            <w:tcW w:w="2708" w:type="dxa"/>
          </w:tcPr>
          <w:p>
            <w:pPr>
              <w:pStyle w:val="Normal"/>
              <w:spacing w:before="30" w:after="30" w:line="240" w:lineRule="auto"/>
              <w:jc w:val="left"/>
            </w:pPr>
            <w:r>
              <w:rPr>
                <w:sz w:val="18"/>
                <w:szCs w:val="24"/>
                <w:lang w:val="en-CA" w:eastAsia="en-CA" w:bidi="ar-SA"/>
                <w:rFonts w:ascii="Calibri" w:hAnsi="Calibri" w:eastAsia="Calibri" w:cs="Calibri"/>
                <w:color w:val="263238"/>
              </w:rPr>
              <w:t>What about rogue actors or false flags?</w:t>
            </w:r>
          </w:p>
        </w:tc>
        <w:tc>
          <w:tcPr>
            <w:tcW w:w="6518" w:type="dxa"/>
          </w:tcPr>
          <w:p>
            <w:pPr>
              <w:pStyle w:val="Normal"/>
              <w:spacing w:before="30" w:after="30" w:line="240" w:lineRule="auto"/>
              <w:jc w:val="left"/>
            </w:pPr>
            <w:r>
              <w:rPr>
                <w:sz w:val="18"/>
                <w:szCs w:val="24"/>
                <w:lang w:val="en-CA" w:eastAsia="en-CA" w:bidi="ar-SA"/>
                <w:rFonts w:ascii="Calibri" w:hAnsi="Calibri" w:eastAsia="Calibri" w:cs="Calibri"/>
                <w:color w:val="263238"/>
              </w:rPr>
              <w:t>Attribution follows evidence on the 12-hour and 24-hour ladders of Articles 11.3a and 18.6. Claims without delivered evidence classify as state-directed automatically; nobody hides behind a rogue.</w:t>
            </w:r>
          </w:p>
        </w:tc>
      </w:tr>
    </w:tbl>
    <w:p>
      <w:pPr>
        <w:pStyle w:val="Normal"/>
        <w:spacing w:after="140"/>
      </w:pPr>
    </w:p>
    <w:p>
      <w:pPr>
        <w:pStyle w:val="Caption"/>
      </w:pPr>
      <w:r>
        <w:rPr>
          <w:szCs w:val="24"/>
          <w:lang w:val="en-CA" w:eastAsia="en-CA" w:bidi="ar-SA"/>
          <w:rFonts w:ascii="Calibri" w:hAnsi="Calibri" w:eastAsia="Calibri" w:cs="Calibri"/>
          <w:color w:val="23445A"/>
          <w:sz w:val="18"/>
          <w:b/>
        </w:rPr>
        <w:t>Table 6: Media guidance</w:t>
      </w:r>
    </w:p>
    <w:p>
      <w:pPr>
        <w:pStyle w:val="Heading1"/>
        <w:pBdr>
          <w:bottom w:val="single" w:sz="6" w:space="3" w:color="B8860B"/>
        </w:pBdr>
      </w:pPr>
      <w:r>
        <w:rPr>
          <w:szCs w:val="24"/>
          <w:lang w:val="en-CA" w:eastAsia="en-CA" w:bidi="ar-SA"/>
          <w:rFonts w:ascii="Calibri" w:hAnsi="Calibri" w:eastAsia="Calibri" w:cs="Calibri"/>
          <w:b/>
          <w:color w:val="546E7A"/>
          <w:sz w:val="20"/>
        </w:rPr>
        <w:t>PART VII: FINAL PROVISIONS AND SIGNATURE</w:t>
      </w:r>
    </w:p>
    <w:p>
      <w:pPr>
        <w:pStyle w:val="Heading2"/>
      </w:pPr>
      <w:r>
        <w:rPr>
          <w:szCs w:val="24"/>
          <w:lang w:val="en-CA" w:eastAsia="en-CA" w:bidi="ar-SA"/>
          <w:rFonts w:ascii="Calibri" w:hAnsi="Calibri" w:eastAsia="Calibri" w:cs="Calibri"/>
          <w:b/>
          <w:color w:val="546E7A"/>
          <w:sz w:val="20"/>
        </w:rPr>
        <w:t>Article 23: Final Provisions</w:t>
      </w:r>
    </w:p>
    <w:p>
      <w:pPr>
        <w:pStyle w:val="Normal"/>
        <w:spacing w:after="140"/>
        <w:ind w:left="576" w:hanging="576"/>
      </w:pPr>
      <w:r>
        <w:rPr>
          <w:b/>
          <w:color w:val="263238"/>
          <w:szCs w:val="24"/>
          <w:lang w:val="en-CA" w:eastAsia="en-CA" w:bidi="ar-SA"/>
          <w:rFonts w:ascii="Calibri" w:hAnsi="Calibri" w:eastAsia="Calibri" w:cs="Calibri"/>
          <w:sz w:val="18"/>
        </w:rPr>
        <w:t xml:space="preserve">23.1  </w:t>
      </w:r>
      <w:r>
        <w:rPr>
          <w:szCs w:val="24"/>
          <w:lang w:val="en-CA" w:eastAsia="en-CA" w:bidi="ar-SA"/>
          <w:rFonts w:ascii="Calibri" w:hAnsi="Calibri" w:eastAsia="Calibri" w:cs="Calibri"/>
          <w:color w:val="263238"/>
          <w:sz w:val="21"/>
        </w:rPr>
        <w:t>Signature</w:t>
        <w:t xml:space="preserve"> and provisional application. Signature by the two Strait States activates this Compact provisionally on Day 0, in full, across every article.</w:t>
      </w:r>
    </w:p>
    <w:p>
      <w:pPr>
        <w:pStyle w:val="Normal"/>
        <w:spacing w:after="140"/>
        <w:ind w:left="576" w:hanging="576"/>
      </w:pPr>
      <w:r>
        <w:rPr>
          <w:b/>
          <w:color w:val="263238"/>
          <w:szCs w:val="24"/>
          <w:lang w:val="en-CA" w:eastAsia="en-CA" w:bidi="ar-SA"/>
          <w:rFonts w:ascii="Calibri" w:hAnsi="Calibri" w:eastAsia="Calibri" w:cs="Calibri"/>
          <w:sz w:val="18"/>
        </w:rPr>
        <w:t xml:space="preserve">23.2  </w:t>
      </w:r>
      <w:r>
        <w:rPr>
          <w:szCs w:val="24"/>
          <w:lang w:val="en-CA" w:eastAsia="en-CA" w:bidi="ar-SA"/>
          <w:rFonts w:ascii="Calibri" w:hAnsi="Calibri" w:eastAsia="Calibri" w:cs="Calibri"/>
          <w:color w:val="263238"/>
          <w:sz w:val="21"/>
        </w:rPr>
        <w:t>Ratification</w:t>
        <w:t>. Each Party completes its domestic ratification within 30 days. Provisional application continues throughout the ratification period without interruption (</w:t>
        <w:t>Nofade</w:t>
        <w:t>, Article 4).</w:t>
      </w:r>
    </w:p>
    <w:p>
      <w:pPr>
        <w:pStyle w:val="Normal"/>
        <w:spacing w:after="140"/>
        <w:ind w:left="576" w:hanging="576"/>
      </w:pPr>
      <w:r>
        <w:rPr>
          <w:b/>
          <w:color w:val="263238"/>
          <w:szCs w:val="24"/>
          <w:lang w:val="en-CA" w:eastAsia="en-CA" w:bidi="ar-SA"/>
          <w:rFonts w:ascii="Calibri" w:hAnsi="Calibri" w:eastAsia="Calibri" w:cs="Calibri"/>
          <w:sz w:val="18"/>
        </w:rPr>
        <w:t xml:space="preserve">23.3  </w:t>
      </w:r>
      <w:r>
        <w:rPr>
          <w:szCs w:val="24"/>
          <w:lang w:val="en-CA" w:eastAsia="en-CA" w:bidi="ar-SA"/>
          <w:rFonts w:ascii="Calibri" w:hAnsi="Calibri" w:eastAsia="Calibri" w:cs="Calibri"/>
          <w:color w:val="263238"/>
          <w:sz w:val="21"/>
        </w:rPr>
        <w:t>Amendment</w:t>
        <w:t>. Amendments take effect only through a joint written instrument signed by both Strait States, with notice to the Endorsing Stakeholder and the IMO. Amendment is the only door through which any obligation changes.</w:t>
      </w:r>
    </w:p>
    <w:p>
      <w:pPr>
        <w:pStyle w:val="Normal"/>
        <w:spacing w:after="140"/>
        <w:ind w:left="576" w:hanging="576"/>
      </w:pPr>
      <w:r>
        <w:rPr>
          <w:b/>
          <w:color w:val="263238"/>
          <w:szCs w:val="24"/>
          <w:lang w:val="en-CA" w:eastAsia="en-CA" w:bidi="ar-SA"/>
          <w:rFonts w:ascii="Calibri" w:hAnsi="Calibri" w:eastAsia="Calibri" w:cs="Calibri"/>
          <w:sz w:val="18"/>
        </w:rPr>
        <w:t xml:space="preserve">23.3a  </w:t>
      </w:r>
      <w:r>
        <w:rPr>
          <w:szCs w:val="24"/>
          <w:lang w:val="en-CA" w:eastAsia="en-CA" w:bidi="ar-SA"/>
          <w:rFonts w:ascii="Calibri" w:hAnsi="Calibri" w:eastAsia="Calibri" w:cs="Calibri"/>
          <w:color w:val="263238"/>
          <w:sz w:val="21"/>
        </w:rPr>
        <w:t>Fast-track</w:t>
        <w:t xml:space="preserve"> annex procedure. Technical annexes (Annexes A, B, C, and F) update through Commission consensus minus one, with notice to both Strait States and the Endorsing Stakeholder. An update takes effect 30 days after the vote absent objection from either Strait State. Core articles and Annexes D and E travel only through the joint written instrument of Article 23.3. The Compact adapts to new technology and shipping practice without reopening its political core.</w:t>
      </w:r>
    </w:p>
    <w:p>
      <w:pPr>
        <w:pStyle w:val="Normal"/>
        <w:spacing w:after="140"/>
        <w:ind w:left="576" w:hanging="576"/>
      </w:pPr>
      <w:r>
        <w:rPr>
          <w:b/>
          <w:color w:val="263238"/>
          <w:szCs w:val="24"/>
          <w:lang w:val="en-CA" w:eastAsia="en-CA" w:bidi="ar-SA"/>
          <w:rFonts w:ascii="Calibri" w:hAnsi="Calibri" w:eastAsia="Calibri" w:cs="Calibri"/>
          <w:sz w:val="18"/>
        </w:rPr>
        <w:t xml:space="preserve">23.4  </w:t>
      </w:r>
      <w:r>
        <w:rPr>
          <w:szCs w:val="24"/>
          <w:lang w:val="en-CA" w:eastAsia="en-CA" w:bidi="ar-SA"/>
          <w:rFonts w:ascii="Calibri" w:hAnsi="Calibri" w:eastAsia="Calibri" w:cs="Calibri"/>
          <w:color w:val="263238"/>
          <w:sz w:val="21"/>
        </w:rPr>
        <w:t>Withdrawal</w:t>
        <w:t>. A Party withdraws through 90 days' written notice to the Depositary. During the notice period every obligation continues at full force, including verification, the hotline, the humanitarian lanes, and the toll-free rule. Withdrawal ends future obligations; it never erases completed dispositions, certified milestones, or funds already disbursed. Exit is an act, not a fade (Article 4.6).</w:t>
      </w:r>
    </w:p>
    <w:p>
      <w:pPr>
        <w:pStyle w:val="Normal"/>
        <w:spacing w:after="140"/>
        <w:ind w:left="576" w:hanging="576"/>
      </w:pPr>
      <w:r>
        <w:rPr>
          <w:b/>
          <w:color w:val="263238"/>
          <w:szCs w:val="24"/>
          <w:lang w:val="en-CA" w:eastAsia="en-CA" w:bidi="ar-SA"/>
          <w:rFonts w:ascii="Calibri" w:hAnsi="Calibri" w:eastAsia="Calibri" w:cs="Calibri"/>
          <w:sz w:val="18"/>
        </w:rPr>
        <w:t xml:space="preserve">23.5  </w:t>
      </w:r>
      <w:r>
        <w:rPr>
          <w:szCs w:val="24"/>
          <w:lang w:val="en-CA" w:eastAsia="en-CA" w:bidi="ar-SA"/>
          <w:rFonts w:ascii="Calibri" w:hAnsi="Calibri" w:eastAsia="Calibri" w:cs="Calibri"/>
          <w:color w:val="263238"/>
          <w:sz w:val="21"/>
        </w:rPr>
        <w:t>Depositary</w:t>
        <w:t xml:space="preserve"> and languages. The Sultanate of Oman serves as Depositary. The Compact exists in Persian, Arabic, and English, each text equally authentic.</w:t>
      </w:r>
    </w:p>
    <w:p>
      <w:pPr>
        <w:pStyle w:val="Normal"/>
        <w:spacing w:after="140"/>
        <w:ind w:left="576" w:hanging="576"/>
      </w:pPr>
      <w:r>
        <w:rPr>
          <w:szCs w:val="24"/>
          <w:lang w:val="en-CA" w:eastAsia="en-CA" w:bidi="ar-SA"/>
          <w:rFonts w:ascii="Calibri" w:hAnsi="Calibri" w:eastAsia="Calibri" w:cs="Calibri"/>
          <w:color w:val="263238"/>
          <w:sz w:val="18"/>
        </w:rPr>
        <w:t xml:space="preserve">23.6  </w:t>
      </w:r>
      <w:r>
        <w:rPr>
          <w:szCs w:val="24"/>
          <w:lang w:val="en-CA" w:eastAsia="en-CA" w:bidi="ar-SA"/>
          <w:rFonts w:ascii="Calibri" w:hAnsi="Calibri" w:eastAsia="Calibri" w:cs="Calibri"/>
          <w:color w:val="263238"/>
          <w:sz w:val="21"/>
        </w:rPr>
        <w:t>Relationship</w:t>
        <w:t xml:space="preserve"> to other instruments. The Compact absorbs the Islamabad MOU on Day 60 (Article 1.4). The United Nations Convention on the Law of the Sea, the IMO instruments, and the Treaty on the Non-Proliferation of </w:t>
        <w:t>Nuclear Weapons</w:t>
        <w:t xml:space="preserve"> continue to apply according to their terms.</w:t>
      </w:r>
    </w:p>
    <w:p>
      <w:pPr>
        <w:pStyle w:val="Heading2"/>
      </w:pPr>
      <w:r>
        <w:rPr>
          <w:szCs w:val="24"/>
          <w:lang w:val="en-CA" w:eastAsia="en-CA" w:bidi="ar-SA"/>
          <w:rFonts w:ascii="Calibri" w:hAnsi="Calibri" w:eastAsia="Calibri" w:cs="Calibri"/>
          <w:b/>
          <w:color w:val="546E7A"/>
          <w:sz w:val="20"/>
        </w:rPr>
        <w:t>Article 23A: The Five-Year Review Summit</w:t>
      </w:r>
    </w:p>
    <w:p>
      <w:pPr>
        <w:pStyle w:val="Normal"/>
        <w:spacing w:after="140"/>
        <w:ind w:left="576" w:hanging="576"/>
      </w:pPr>
      <w:r>
        <w:rPr>
          <w:b/>
          <w:color w:val="263238"/>
          <w:szCs w:val="24"/>
          <w:lang w:val="en-CA" w:eastAsia="en-CA" w:bidi="ar-SA"/>
          <w:rFonts w:ascii="Calibri" w:hAnsi="Calibri" w:eastAsia="Calibri" w:cs="Calibri"/>
          <w:sz w:val="18"/>
        </w:rPr>
        <w:t xml:space="preserve">23A.1  </w:t>
      </w:r>
      <w:r>
        <w:rPr>
          <w:szCs w:val="24"/>
          <w:lang w:val="en-CA" w:eastAsia="en-CA" w:bidi="ar-SA"/>
          <w:rFonts w:ascii="Calibri" w:hAnsi="Calibri" w:eastAsia="Calibri" w:cs="Calibri"/>
          <w:color w:val="263238"/>
          <w:sz w:val="21"/>
        </w:rPr>
        <w:t>The</w:t>
        <w:t xml:space="preserve"> summit. A high-level Review Summit of all signatories and endorsing participants convenes every five years, chaired by the Depositary. The first Summit convenes in 2031.</w:t>
      </w:r>
    </w:p>
    <w:p>
      <w:pPr>
        <w:pStyle w:val="Normal"/>
        <w:spacing w:after="140"/>
        <w:ind w:left="576" w:hanging="576"/>
      </w:pPr>
      <w:r>
        <w:rPr>
          <w:b/>
          <w:color w:val="263238"/>
          <w:szCs w:val="24"/>
          <w:lang w:val="en-CA" w:eastAsia="en-CA" w:bidi="ar-SA"/>
          <w:rFonts w:ascii="Calibri" w:hAnsi="Calibri" w:eastAsia="Calibri" w:cs="Calibri"/>
          <w:sz w:val="18"/>
        </w:rPr>
        <w:t xml:space="preserve">23A.2  </w:t>
      </w:r>
      <w:r>
        <w:rPr>
          <w:szCs w:val="24"/>
          <w:lang w:val="en-CA" w:eastAsia="en-CA" w:bidi="ar-SA"/>
          <w:rFonts w:ascii="Calibri" w:hAnsi="Calibri" w:eastAsia="Calibri" w:cs="Calibri"/>
          <w:color w:val="263238"/>
          <w:sz w:val="21"/>
        </w:rPr>
        <w:t>Mandate</w:t>
        <w:t>. The Summit reviews the operation of every module, incorporates technological updates, addresses new challenges to the Strait, and confirms the continuing force of the Nofade Guarantee. The Summit adopts updates only through the mechanisms of Articles 23.3 and 23.3a.</w:t>
      </w:r>
    </w:p>
    <w:p>
      <w:pPr>
        <w:pStyle w:val="Normal"/>
        <w:spacing w:after="140"/>
        <w:ind w:left="576" w:hanging="576"/>
      </w:pPr>
      <w:r>
        <w:rPr>
          <w:b/>
          <w:color w:val="263238"/>
          <w:szCs w:val="24"/>
          <w:lang w:val="en-CA" w:eastAsia="en-CA" w:bidi="ar-SA"/>
          <w:rFonts w:ascii="Calibri" w:hAnsi="Calibri" w:eastAsia="Calibri" w:cs="Calibri"/>
          <w:sz w:val="18"/>
        </w:rPr>
        <w:t xml:space="preserve">23A.3  </w:t>
      </w:r>
      <w:r>
        <w:rPr>
          <w:szCs w:val="24"/>
          <w:lang w:val="en-CA" w:eastAsia="en-CA" w:bidi="ar-SA"/>
          <w:rFonts w:ascii="Calibri" w:hAnsi="Calibri" w:eastAsia="Calibri" w:cs="Calibri"/>
          <w:color w:val="263238"/>
          <w:sz w:val="21"/>
        </w:rPr>
        <w:t>Active</w:t>
        <w:t xml:space="preserve"> maintenance. The Summit prevents stagnation: the Compact renews itself through scheduled, deliberate review rather than drifting with events. The Nofade principle strengthens through maintenance, never through amendment by stealth.</w:t>
      </w:r>
    </w:p>
    <w:p>
      <w:pPr>
        <w:pStyle w:val="Heading2"/>
      </w:pPr>
      <w:r>
        <w:rPr>
          <w:szCs w:val="24"/>
          <w:lang w:val="en-CA" w:eastAsia="en-CA" w:bidi="ar-SA"/>
          <w:rFonts w:ascii="Calibri" w:hAnsi="Calibri" w:eastAsia="Calibri" w:cs="Calibri"/>
          <w:b/>
          <w:color w:val="546E7A"/>
          <w:sz w:val="20"/>
        </w:rPr>
        <w:t>Article 23B: The Youth and Future Generations Council</w:t>
      </w:r>
    </w:p>
    <w:p>
      <w:pPr>
        <w:pStyle w:val="Normal"/>
        <w:spacing w:after="140"/>
        <w:ind w:left="576" w:hanging="576"/>
      </w:pPr>
      <w:r>
        <w:rPr>
          <w:b/>
          <w:color w:val="263238"/>
          <w:szCs w:val="24"/>
          <w:lang w:val="en-CA" w:eastAsia="en-CA" w:bidi="ar-SA"/>
          <w:rFonts w:ascii="Calibri" w:hAnsi="Calibri" w:eastAsia="Calibri" w:cs="Calibri"/>
          <w:sz w:val="18"/>
        </w:rPr>
        <w:t xml:space="preserve">23B.1  </w:t>
      </w:r>
      <w:r>
        <w:rPr>
          <w:szCs w:val="24"/>
          <w:lang w:val="en-CA" w:eastAsia="en-CA" w:bidi="ar-SA"/>
          <w:rFonts w:ascii="Calibri" w:hAnsi="Calibri" w:eastAsia="Calibri" w:cs="Calibri"/>
          <w:color w:val="263238"/>
          <w:sz w:val="21"/>
        </w:rPr>
        <w:t>Establishment</w:t>
        <w:t>. A Youth and Future Generations Council of young professionals from the region advises the Commission on the long-term sustainability of the Compact. Members serve staggered two-year terms, and the Council of Friends appoints them from open nominations.</w:t>
      </w:r>
    </w:p>
    <w:p>
      <w:pPr>
        <w:pStyle w:val="Normal"/>
        <w:spacing w:after="140"/>
        <w:ind w:left="576" w:hanging="576"/>
      </w:pPr>
      <w:r>
        <w:rPr>
          <w:b/>
          <w:color w:val="263238"/>
          <w:szCs w:val="24"/>
          <w:lang w:val="en-CA" w:eastAsia="en-CA" w:bidi="ar-SA"/>
          <w:rFonts w:ascii="Calibri" w:hAnsi="Calibri" w:eastAsia="Calibri" w:cs="Calibri"/>
          <w:sz w:val="18"/>
        </w:rPr>
        <w:t xml:space="preserve">23B.2  </w:t>
      </w:r>
      <w:r>
        <w:rPr>
          <w:szCs w:val="24"/>
          <w:lang w:val="en-CA" w:eastAsia="en-CA" w:bidi="ar-SA"/>
          <w:rFonts w:ascii="Calibri" w:hAnsi="Calibri" w:eastAsia="Calibri" w:cs="Calibri"/>
          <w:color w:val="263238"/>
          <w:sz w:val="21"/>
        </w:rPr>
        <w:t>Voice</w:t>
        <w:t>. The Youth Council addresses every annual session of the Commission and every Review Summit, and its recommendations publish on the public transparency portal. The Compact speaks to the next generation in its own voice.</w:t>
      </w:r>
    </w:p>
    <w:p>
      <w:pPr>
        <w:pStyle w:val="Heading2"/>
      </w:pPr>
      <w:r>
        <w:rPr>
          <w:szCs w:val="24"/>
          <w:lang w:val="en-CA" w:eastAsia="en-CA" w:bidi="ar-SA"/>
          <w:rFonts w:ascii="Calibri" w:hAnsi="Calibri" w:eastAsia="Calibri" w:cs="Calibri"/>
          <w:b/>
          <w:color w:val="546E7A"/>
          <w:sz w:val="20"/>
        </w:rPr>
        <w:t>Article 23C: The Public Trust Charter</w:t>
      </w:r>
    </w:p>
    <w:p>
      <w:pPr>
        <w:pStyle w:val="Normal"/>
        <w:spacing w:after="140"/>
        <w:ind w:left="576" w:hanging="576"/>
      </w:pPr>
      <w:r>
        <w:rPr>
          <w:b/>
          <w:color w:val="263238"/>
          <w:szCs w:val="24"/>
          <w:lang w:val="en-CA" w:eastAsia="en-CA" w:bidi="ar-SA"/>
          <w:rFonts w:ascii="Calibri" w:hAnsi="Calibri" w:eastAsia="Calibri" w:cs="Calibri"/>
          <w:sz w:val="18"/>
        </w:rPr>
        <w:t xml:space="preserve">23C.1  </w:t>
      </w:r>
      <w:r>
        <w:rPr>
          <w:szCs w:val="24"/>
          <w:lang w:val="en-CA" w:eastAsia="en-CA" w:bidi="ar-SA"/>
          <w:rFonts w:ascii="Calibri" w:hAnsi="Calibri" w:eastAsia="Calibri" w:cs="Calibri"/>
          <w:color w:val="263238"/>
          <w:sz w:val="21"/>
        </w:rPr>
        <w:t>The</w:t>
        <w:t xml:space="preserve"> charter. The participants adopt a Public Trust Charter: each signatory and endorsing state runs a standing public information program that explains the Compact's benefits, publishes the Compact in national languages, and counters disinformation about its terms.</w:t>
      </w:r>
    </w:p>
    <w:p>
      <w:pPr>
        <w:pStyle w:val="Normal"/>
        <w:spacing w:after="140"/>
        <w:ind w:left="576" w:hanging="576"/>
      </w:pPr>
      <w:r>
        <w:rPr>
          <w:b/>
          <w:color w:val="263238"/>
          <w:szCs w:val="24"/>
          <w:lang w:val="en-CA" w:eastAsia="en-CA" w:bidi="ar-SA"/>
          <w:rFonts w:ascii="Calibri" w:hAnsi="Calibri" w:eastAsia="Calibri" w:cs="Calibri"/>
          <w:sz w:val="18"/>
        </w:rPr>
        <w:t xml:space="preserve">23C.2  </w:t>
      </w:r>
      <w:r>
        <w:rPr>
          <w:szCs w:val="24"/>
          <w:lang w:val="en-CA" w:eastAsia="en-CA" w:bidi="ar-SA"/>
          <w:rFonts w:ascii="Calibri" w:hAnsi="Calibri" w:eastAsia="Calibri" w:cs="Calibri"/>
          <w:color w:val="263238"/>
          <w:sz w:val="21"/>
        </w:rPr>
        <w:t>Shared</w:t>
        <w:t xml:space="preserve"> stake. The Charter builds a shared public stake in the success of the bridge. The Commission publishes an annual summary of Charter activities, and the transparency portal carries the full public record.</w:t>
      </w:r>
    </w:p>
    <w:p>
      <w:pPr>
        <w:pStyle w:val="Heading2"/>
      </w:pPr>
      <w:r>
        <w:rPr>
          <w:szCs w:val="24"/>
          <w:lang w:val="en-CA" w:eastAsia="en-CA" w:bidi="ar-SA"/>
          <w:rFonts w:ascii="Calibri" w:hAnsi="Calibri" w:eastAsia="Calibri" w:cs="Calibri"/>
          <w:b/>
          <w:color w:val="546E7A"/>
          <w:sz w:val="20"/>
        </w:rPr>
        <w:t>Signature and Endorsement</w:t>
      </w:r>
    </w:p>
    <w:p>
      <w:pPr>
        <w:pStyle w:val="Normal"/>
      </w:pPr>
      <w:r>
        <w:rPr>
          <w:szCs w:val="24"/>
          <w:lang w:val="en-CA" w:eastAsia="en-CA" w:bidi="ar-SA"/>
          <w:rFonts w:ascii="Calibri" w:hAnsi="Calibri" w:eastAsia="Calibri" w:cs="Calibri"/>
          <w:color w:val="263238"/>
          <w:sz w:val="21"/>
        </w:rPr>
        <w:t>Signed at Muscat on Sunday, 26 July 2026, in three originals in the Persian, Arabic, and English languages.</w:t>
      </w:r>
    </w:p>
    <w:tbl>
      <w:tblPr>
        <w:tblStyle w:val="TableNormal"/>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4613"/>
        <w:gridCol w:w="4613"/>
      </w:tblGrid>
      <w:tr>
        <w:trPr>
          <w:tblHeader w:val="1"/>
        </w:trPr>
        <w:tc>
          <w:tcPr>
            <w:tcW w:w="4613"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FOR THE ISLAMIC REPUBLIC OF IRAN</w:t>
            </w:r>
          </w:p>
        </w:tc>
        <w:tc>
          <w:tcPr>
            <w:tcW w:w="4613"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FOR THE SULTANATE OF OMAN</w:t>
            </w:r>
          </w:p>
        </w:tc>
      </w:tr>
      <w:tr>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Name: ____________________________</w:t>
            </w:r>
          </w:p>
        </w:tc>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Name: ____________________________</w:t>
            </w:r>
          </w:p>
        </w:tc>
      </w:tr>
      <w:tr>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Title: _____________________________</w:t>
            </w:r>
          </w:p>
        </w:tc>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Title: _____________________________</w:t>
            </w:r>
          </w:p>
        </w:tc>
      </w:tr>
      <w:tr>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Date: _____________________________</w:t>
            </w:r>
          </w:p>
        </w:tc>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Date: _____________________________</w:t>
            </w:r>
          </w:p>
        </w:tc>
      </w:tr>
    </w:tbl>
    <w:p>
      <w:pPr>
        <w:pStyle w:val="Normal"/>
        <w:spacing w:after="140"/>
      </w:pPr>
    </w:p>
    <w:tbl>
      <w:tblPr>
        <w:tblStyle w:val="TableNormal"/>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4613"/>
        <w:gridCol w:w="4613"/>
      </w:tblGrid>
      <w:tr>
        <w:trPr>
          <w:tblHeader w:val="1"/>
        </w:trPr>
        <w:tc>
          <w:tcPr>
            <w:tcW w:w="4613"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ENDORSED: FOR THE UNITED STATES OF AMERICA</w:t>
            </w:r>
          </w:p>
        </w:tc>
        <w:tc>
          <w:tcPr>
            <w:tcW w:w="4613"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WITNESSED: FOR THE STATE OF QATAR</w:t>
            </w:r>
          </w:p>
        </w:tc>
      </w:tr>
      <w:tr>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Name: ____________________________</w:t>
            </w:r>
          </w:p>
        </w:tc>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Name: ____________________________</w:t>
            </w:r>
          </w:p>
        </w:tc>
      </w:tr>
      <w:tr>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Title: _____________________________</w:t>
            </w:r>
          </w:p>
        </w:tc>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Title: _____________________________</w:t>
            </w:r>
          </w:p>
        </w:tc>
      </w:tr>
      <w:tr>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Date: _____________________________</w:t>
            </w:r>
          </w:p>
        </w:tc>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Date: _____________________________</w:t>
            </w:r>
          </w:p>
        </w:tc>
      </w:tr>
    </w:tbl>
    <w:p>
      <w:pPr>
        <w:pStyle w:val="Normal"/>
        <w:spacing w:after="140"/>
      </w:pPr>
    </w:p>
    <w:tbl>
      <w:tblPr>
        <w:tblStyle w:val="TableNormal"/>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4613"/>
        <w:gridCol w:w="4613"/>
      </w:tblGrid>
      <w:tr>
        <w:trPr>
          <w:tblHeader w:val="1"/>
        </w:trPr>
        <w:tc>
          <w:tcPr>
            <w:tcW w:w="4613"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WITNESSED: FOR THE SWISS CONFEDERATION</w:t>
            </w:r>
          </w:p>
        </w:tc>
        <w:tc>
          <w:tcPr>
            <w:tcW w:w="4613"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TECHNICAL CONCURRENCE: IMO AND IAEA</w:t>
            </w:r>
          </w:p>
        </w:tc>
      </w:tr>
      <w:tr>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Name: ____________________________</w:t>
            </w:r>
          </w:p>
        </w:tc>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Name: ____________________________</w:t>
            </w:r>
          </w:p>
        </w:tc>
      </w:tr>
      <w:tr>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Title: _____________________________</w:t>
            </w:r>
          </w:p>
        </w:tc>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Title: _____________________________</w:t>
            </w:r>
          </w:p>
        </w:tc>
      </w:tr>
      <w:tr>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Date: _____________________________</w:t>
            </w:r>
          </w:p>
        </w:tc>
        <w:tc>
          <w:tcPr>
            <w:tcW w:w="4613" w:type="dxa"/>
          </w:tcPr>
          <w:p>
            <w:pPr>
              <w:pStyle w:val="Normal"/>
              <w:spacing w:before="30" w:after="30" w:line="240" w:lineRule="auto"/>
              <w:jc w:val="left"/>
            </w:pPr>
            <w:r>
              <w:rPr>
                <w:sz w:val="18"/>
                <w:szCs w:val="24"/>
                <w:lang w:val="en-CA" w:eastAsia="en-CA" w:bidi="ar-SA"/>
                <w:rFonts w:ascii="Calibri" w:hAnsi="Calibri" w:eastAsia="Calibri" w:cs="Calibri"/>
                <w:color w:val="263238"/>
              </w:rPr>
              <w:t>Date: _____________________________</w:t>
            </w:r>
          </w:p>
        </w:tc>
      </w:tr>
    </w:tbl>
    <w:p>
      <w:pPr>
        <w:pStyle w:val="Normal"/>
        <w:spacing w:after="140"/>
      </w:pPr>
    </w:p>
    <w:p>
      <w:pPr>
        <w:pStyle w:val="Heading1"/>
        <w:pBdr>
          <w:bottom w:val="single" w:sz="6" w:space="3" w:color="B8860B"/>
        </w:pBdr>
      </w:pPr>
      <w:r>
        <w:rPr>
          <w:szCs w:val="24"/>
          <w:lang w:val="en-CA" w:eastAsia="en-CA" w:bidi="ar-SA"/>
          <w:rFonts w:ascii="Calibri" w:hAnsi="Calibri" w:eastAsia="Calibri" w:cs="Calibri"/>
          <w:b/>
          <w:color w:val="546E7A"/>
          <w:sz w:val="20"/>
        </w:rPr>
        <w:t>ANNEXES</w:t>
      </w:r>
    </w:p>
    <w:p>
      <w:pPr>
        <w:pStyle w:val="Heading2"/>
      </w:pPr>
      <w:r>
        <w:rPr>
          <w:szCs w:val="24"/>
          <w:lang w:val="en-CA" w:eastAsia="en-CA" w:bidi="ar-SA"/>
          <w:rFonts w:ascii="Calibri" w:hAnsi="Calibri" w:eastAsia="Calibri" w:cs="Calibri"/>
          <w:b/>
          <w:color w:val="546E7A"/>
          <w:sz w:val="20"/>
        </w:rPr>
        <w:t>Annex A: Corridor Technical Description</w:t>
      </w:r>
    </w:p>
    <w:p>
      <w:pPr>
        <w:pStyle w:val="Normal"/>
        <w:spacing w:after="140"/>
        <w:ind w:left="576" w:hanging="576"/>
      </w:pPr>
      <w:r>
        <w:rPr>
          <w:b/>
          <w:color w:val="263238"/>
          <w:szCs w:val="24"/>
          <w:lang w:val="en-CA" w:eastAsia="en-CA" w:bidi="ar-SA"/>
          <w:rFonts w:ascii="Calibri" w:hAnsi="Calibri" w:eastAsia="Calibri" w:cs="Calibri"/>
          <w:sz w:val="18"/>
        </w:rPr>
        <w:t xml:space="preserve">A.1  </w:t>
      </w:r>
      <w:r>
        <w:rPr>
          <w:szCs w:val="24"/>
          <w:lang w:val="en-CA" w:eastAsia="en-CA" w:bidi="ar-SA"/>
          <w:rFonts w:ascii="Calibri" w:hAnsi="Calibri" w:eastAsia="Calibri" w:cs="Calibri"/>
          <w:color w:val="263238"/>
          <w:sz w:val="21"/>
        </w:rPr>
        <w:t>Southern</w:t>
        <w:t xml:space="preserve"> Guarantee Corridor. The inbound and outbound lanes of the IMO Traffic Separation Scheme lying within Omani territorial waters south of the separation zone, between approximately 56.15 E and 56.60 E, with eastern joining points near 26.55 N, 56.60 E and western joining points near 26.20 N, 56.15 E. The Commission publishes the precise </w:t>
        <w:t>chartlet</w:t>
        <w:t xml:space="preserve"> within 14 days of Day 0.</w:t>
      </w:r>
    </w:p>
    <w:p>
      <w:pPr>
        <w:pStyle w:val="Normal"/>
        <w:spacing w:after="140"/>
        <w:ind w:left="576" w:hanging="576"/>
      </w:pPr>
      <w:r>
        <w:rPr>
          <w:b/>
          <w:color w:val="263238"/>
          <w:szCs w:val="24"/>
          <w:lang w:val="en-CA" w:eastAsia="en-CA" w:bidi="ar-SA"/>
          <w:rFonts w:ascii="Calibri" w:hAnsi="Calibri" w:eastAsia="Calibri" w:cs="Calibri"/>
          <w:sz w:val="18"/>
        </w:rPr>
        <w:t xml:space="preserve">A.2  </w:t>
      </w:r>
      <w:r>
        <w:rPr>
          <w:szCs w:val="24"/>
          <w:lang w:val="en-CA" w:eastAsia="en-CA" w:bidi="ar-SA"/>
          <w:rFonts w:ascii="Calibri" w:hAnsi="Calibri" w:eastAsia="Calibri" w:cs="Calibri"/>
          <w:color w:val="263238"/>
          <w:sz w:val="21"/>
        </w:rPr>
        <w:t>Northern</w:t>
        <w:t xml:space="preserve"> Coordinated Corridor. The TSS northern inshore traffic zone adjacent to the Iranian coast, Larak Island, and </w:t>
        <w:t>Qeshm</w:t>
        <w:t xml:space="preserve"> Island, with joining points mirroring Annex A.1. The Commission publishes the precise </w:t>
        <w:t>chartlet</w:t>
        <w:t xml:space="preserve"> within 14 days of Day 0.</w:t>
      </w:r>
    </w:p>
    <w:p>
      <w:pPr>
        <w:pStyle w:val="Normal"/>
        <w:spacing w:after="140"/>
        <w:ind w:left="576" w:hanging="576"/>
      </w:pPr>
      <w:r>
        <w:rPr>
          <w:b/>
          <w:color w:val="263238"/>
          <w:szCs w:val="24"/>
          <w:lang w:val="en-CA" w:eastAsia="en-CA" w:bidi="ar-SA"/>
          <w:rFonts w:ascii="Calibri" w:hAnsi="Calibri" w:eastAsia="Calibri" w:cs="Calibri"/>
          <w:sz w:val="18"/>
        </w:rPr>
        <w:t xml:space="preserve">A.3  </w:t>
      </w:r>
      <w:r>
        <w:rPr>
          <w:szCs w:val="24"/>
          <w:lang w:val="en-CA" w:eastAsia="en-CA" w:bidi="ar-SA"/>
          <w:rFonts w:ascii="Calibri" w:hAnsi="Calibri" w:eastAsia="Calibri" w:cs="Calibri"/>
          <w:color w:val="263238"/>
          <w:sz w:val="21"/>
        </w:rPr>
        <w:t>The</w:t>
        <w:t xml:space="preserve"> 12-field Transit Notice. Field one, vessel name; two, IMO number; three, flag state; four, call sign; five, registered owner; six, commercial operator; seven, cargo type; eight, last port of call; nine, </w:t>
        <w:t>next port of call; ten, estimated corridor entry time; eleven, transit speed; twelve, contact channel. Filing takes under ten minutes through the public portal; the Acknowledgment returns automatically within 30 minutes.</w:t>
      </w:r>
    </w:p>
    <w:p>
      <w:pPr>
        <w:pStyle w:val="Normal"/>
        <w:spacing w:after="140"/>
        <w:ind w:left="576" w:hanging="576"/>
      </w:pPr>
      <w:r>
        <w:rPr>
          <w:b/>
          <w:color w:val="263238"/>
          <w:szCs w:val="24"/>
          <w:lang w:val="en-CA" w:eastAsia="en-CA" w:bidi="ar-SA"/>
          <w:rFonts w:ascii="Calibri" w:hAnsi="Calibri" w:eastAsia="Calibri" w:cs="Calibri"/>
          <w:sz w:val="18"/>
        </w:rPr>
        <w:t xml:space="preserve">A.4  </w:t>
      </w:r>
      <w:r>
        <w:rPr>
          <w:szCs w:val="24"/>
          <w:lang w:val="en-CA" w:eastAsia="en-CA" w:bidi="ar-SA"/>
          <w:rFonts w:ascii="Calibri" w:hAnsi="Calibri" w:eastAsia="Calibri" w:cs="Calibri"/>
          <w:color w:val="263238"/>
          <w:sz w:val="21"/>
        </w:rPr>
        <w:t>Anchorages</w:t>
        <w:t>. Anchorage Alpha at 26.0 N, 56.6 E, east of the corridor; Anchorage Muscat West per the Omani chart. Both operate under Commission notice and humanitarian lane protection.</w:t>
      </w:r>
    </w:p>
    <w:p>
      <w:pPr>
        <w:pStyle w:val="Heading2"/>
      </w:pPr>
      <w:r>
        <w:rPr>
          <w:szCs w:val="24"/>
          <w:lang w:val="en-CA" w:eastAsia="en-CA" w:bidi="ar-SA"/>
          <w:rFonts w:ascii="Calibri" w:hAnsi="Calibri" w:eastAsia="Calibri" w:cs="Calibri"/>
          <w:b/>
          <w:color w:val="546E7A"/>
          <w:sz w:val="20"/>
        </w:rPr>
        <w:t>Annex B: Simplified Consequence Schedule</w:t>
      </w:r>
    </w:p>
    <w:p>
      <w:pPr>
        <w:pStyle w:val="Normal"/>
      </w:pPr>
      <w:r>
        <w:rPr>
          <w:szCs w:val="24"/>
          <w:lang w:val="en-CA" w:eastAsia="en-CA" w:bidi="ar-SA"/>
          <w:rFonts w:ascii="Calibri" w:hAnsi="Calibri" w:eastAsia="Calibri" w:cs="Calibri"/>
          <w:color w:val="263238"/>
          <w:sz w:val="21"/>
        </w:rPr>
        <w:t>The schedule below is exhaustive for this Compact. The Commission assesses points only for the events listed here, at the thresholds stated here. Points expire after 180 clean days. A single event scores once, under the most severe applicable row.</w:t>
      </w:r>
    </w:p>
    <w:tbl>
      <w:tblPr>
        <w:tblStyle w:val="TableNormal"/>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4354"/>
        <w:gridCol w:w="2177"/>
        <w:gridCol w:w="933"/>
        <w:gridCol w:w="1762"/>
      </w:tblGrid>
      <w:tr>
        <w:trPr>
          <w:tblHeader w:val="1"/>
        </w:trPr>
        <w:tc>
          <w:tcPr>
            <w:tcW w:w="4354"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Event</w:t>
            </w:r>
          </w:p>
        </w:tc>
        <w:tc>
          <w:tcPr>
            <w:tcW w:w="2177"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Threshold</w:t>
            </w:r>
          </w:p>
        </w:tc>
        <w:tc>
          <w:tcPr>
            <w:tcW w:w="933"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Points</w:t>
            </w:r>
          </w:p>
        </w:tc>
        <w:tc>
          <w:tcPr>
            <w:tcW w:w="1762"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Tier and earn-back</w:t>
            </w:r>
          </w:p>
        </w:tc>
      </w:tr>
      <w:tr>
        <w:tc>
          <w:tcPr>
            <w:tcW w:w="4354" w:type="dxa"/>
          </w:tcPr>
          <w:p>
            <w:pPr>
              <w:pStyle w:val="Normal"/>
              <w:spacing w:before="30" w:after="30" w:line="240" w:lineRule="auto"/>
              <w:jc w:val="left"/>
            </w:pPr>
            <w:r>
              <w:rPr>
                <w:sz w:val="18"/>
                <w:szCs w:val="24"/>
                <w:lang w:val="en-CA" w:eastAsia="en-CA" w:bidi="ar-SA"/>
                <w:rFonts w:ascii="Calibri" w:hAnsi="Calibri" w:eastAsia="Calibri" w:cs="Calibri"/>
                <w:color w:val="263238"/>
              </w:rPr>
              <w:t>Enrichment ceiling exceedance, minor</w:t>
            </w:r>
          </w:p>
        </w:tc>
        <w:tc>
          <w:tcPr>
            <w:tcW w:w="2177" w:type="dxa"/>
          </w:tcPr>
          <w:p>
            <w:pPr>
              <w:pStyle w:val="Normal"/>
              <w:spacing w:before="30" w:after="30" w:line="240" w:lineRule="auto"/>
              <w:jc w:val="left"/>
            </w:pPr>
            <w:r>
              <w:rPr>
                <w:sz w:val="18"/>
                <w:szCs w:val="24"/>
                <w:lang w:val="en-CA" w:eastAsia="en-CA" w:bidi="ar-SA"/>
                <w:rFonts w:ascii="Calibri" w:hAnsi="Calibri" w:eastAsia="Calibri" w:cs="Calibri"/>
                <w:color w:val="263238"/>
              </w:rPr>
              <w:t>3.67 to 4.17 percent, under 72 hours</w:t>
            </w:r>
          </w:p>
        </w:tc>
        <w:tc>
          <w:tcPr>
            <w:tcW w:w="933" w:type="dxa"/>
          </w:tcPr>
          <w:p>
            <w:pPr>
              <w:pStyle w:val="Normal"/>
              <w:spacing w:before="30" w:after="30" w:line="240" w:lineRule="auto"/>
              <w:jc w:val="left"/>
            </w:pPr>
            <w:r>
              <w:rPr>
                <w:sz w:val="18"/>
                <w:szCs w:val="24"/>
                <w:lang w:val="en-CA" w:eastAsia="en-CA" w:bidi="ar-SA"/>
                <w:rFonts w:ascii="Calibri" w:hAnsi="Calibri" w:eastAsia="Calibri" w:cs="Calibri"/>
                <w:color w:val="263238"/>
              </w:rPr>
              <w:t>1</w:t>
            </w:r>
          </w:p>
        </w:tc>
        <w:tc>
          <w:tcPr>
            <w:tcW w:w="1762" w:type="dxa"/>
          </w:tcPr>
          <w:p>
            <w:pPr>
              <w:pStyle w:val="Normal"/>
              <w:spacing w:before="30" w:after="30" w:line="240" w:lineRule="auto"/>
              <w:jc w:val="left"/>
            </w:pPr>
            <w:r>
              <w:rPr>
                <w:sz w:val="18"/>
                <w:szCs w:val="24"/>
                <w:lang w:val="en-CA" w:eastAsia="en-CA" w:bidi="ar-SA"/>
                <w:rFonts w:ascii="Calibri" w:hAnsi="Calibri" w:eastAsia="Calibri" w:cs="Calibri"/>
                <w:color w:val="263238"/>
              </w:rPr>
              <w:t>T1; automatic on resolution</w:t>
            </w:r>
          </w:p>
        </w:tc>
      </w:tr>
      <w:tr>
        <w:tc>
          <w:tcPr>
            <w:tcW w:w="4354" w:type="dxa"/>
          </w:tcPr>
          <w:p>
            <w:pPr>
              <w:pStyle w:val="Normal"/>
              <w:spacing w:before="30" w:after="30" w:line="240" w:lineRule="auto"/>
              <w:jc w:val="left"/>
            </w:pPr>
            <w:r>
              <w:rPr>
                <w:sz w:val="18"/>
                <w:szCs w:val="24"/>
                <w:lang w:val="en-CA" w:eastAsia="en-CA" w:bidi="ar-SA"/>
                <w:rFonts w:ascii="Calibri" w:hAnsi="Calibri" w:eastAsia="Calibri" w:cs="Calibri"/>
                <w:color w:val="263238"/>
              </w:rPr>
              <w:t>Enrichment ceiling exceedance, moderate</w:t>
            </w:r>
          </w:p>
        </w:tc>
        <w:tc>
          <w:tcPr>
            <w:tcW w:w="2177" w:type="dxa"/>
          </w:tcPr>
          <w:p>
            <w:pPr>
              <w:pStyle w:val="Normal"/>
              <w:spacing w:before="30" w:after="30" w:line="240" w:lineRule="auto"/>
              <w:jc w:val="left"/>
            </w:pPr>
            <w:r>
              <w:rPr>
                <w:sz w:val="18"/>
                <w:szCs w:val="24"/>
                <w:lang w:val="en-CA" w:eastAsia="en-CA" w:bidi="ar-SA"/>
                <w:rFonts w:ascii="Calibri" w:hAnsi="Calibri" w:eastAsia="Calibri" w:cs="Calibri"/>
                <w:color w:val="263238"/>
              </w:rPr>
              <w:t>4.17 to 5.17 percent</w:t>
            </w:r>
          </w:p>
        </w:tc>
        <w:tc>
          <w:tcPr>
            <w:tcW w:w="933" w:type="dxa"/>
          </w:tcPr>
          <w:p>
            <w:pPr>
              <w:pStyle w:val="Normal"/>
              <w:spacing w:before="30" w:after="30" w:line="240" w:lineRule="auto"/>
              <w:jc w:val="left"/>
            </w:pPr>
            <w:r>
              <w:rPr>
                <w:sz w:val="18"/>
                <w:szCs w:val="24"/>
                <w:lang w:val="en-CA" w:eastAsia="en-CA" w:bidi="ar-SA"/>
                <w:rFonts w:ascii="Calibri" w:hAnsi="Calibri" w:eastAsia="Calibri" w:cs="Calibri"/>
                <w:color w:val="263238"/>
              </w:rPr>
              <w:t>3</w:t>
            </w:r>
          </w:p>
        </w:tc>
        <w:tc>
          <w:tcPr>
            <w:tcW w:w="1762" w:type="dxa"/>
          </w:tcPr>
          <w:p>
            <w:pPr>
              <w:pStyle w:val="Normal"/>
              <w:spacing w:before="30" w:after="30" w:line="240" w:lineRule="auto"/>
              <w:jc w:val="left"/>
            </w:pPr>
            <w:r>
              <w:rPr>
                <w:sz w:val="18"/>
                <w:szCs w:val="24"/>
                <w:lang w:val="en-CA" w:eastAsia="en-CA" w:bidi="ar-SA"/>
                <w:rFonts w:ascii="Calibri" w:hAnsi="Calibri" w:eastAsia="Calibri" w:cs="Calibri"/>
                <w:color w:val="263238"/>
              </w:rPr>
              <w:t>T2; 14 days clean</w:t>
            </w:r>
          </w:p>
        </w:tc>
      </w:tr>
      <w:tr>
        <w:tc>
          <w:tcPr>
            <w:tcW w:w="4354" w:type="dxa"/>
          </w:tcPr>
          <w:p>
            <w:pPr>
              <w:pStyle w:val="Normal"/>
              <w:spacing w:before="30" w:after="30" w:line="240" w:lineRule="auto"/>
              <w:jc w:val="left"/>
            </w:pPr>
            <w:r>
              <w:rPr>
                <w:sz w:val="18"/>
                <w:szCs w:val="24"/>
                <w:lang w:val="en-CA" w:eastAsia="en-CA" w:bidi="ar-SA"/>
                <w:rFonts w:ascii="Calibri" w:hAnsi="Calibri" w:eastAsia="Calibri" w:cs="Calibri"/>
                <w:color w:val="263238"/>
              </w:rPr>
              <w:t>Enrichment ceiling exceedance, significant</w:t>
            </w:r>
          </w:p>
        </w:tc>
        <w:tc>
          <w:tcPr>
            <w:tcW w:w="2177" w:type="dxa"/>
          </w:tcPr>
          <w:p>
            <w:pPr>
              <w:pStyle w:val="Normal"/>
              <w:spacing w:before="30" w:after="30" w:line="240" w:lineRule="auto"/>
              <w:jc w:val="left"/>
            </w:pPr>
            <w:r>
              <w:rPr>
                <w:sz w:val="18"/>
                <w:szCs w:val="24"/>
                <w:lang w:val="en-CA" w:eastAsia="en-CA" w:bidi="ar-SA"/>
                <w:rFonts w:ascii="Calibri" w:hAnsi="Calibri" w:eastAsia="Calibri" w:cs="Calibri"/>
                <w:color w:val="263238"/>
              </w:rPr>
              <w:t>Above 5.17 percent</w:t>
            </w:r>
          </w:p>
        </w:tc>
        <w:tc>
          <w:tcPr>
            <w:tcW w:w="933" w:type="dxa"/>
          </w:tcPr>
          <w:p>
            <w:pPr>
              <w:pStyle w:val="Normal"/>
              <w:spacing w:before="30" w:after="30" w:line="240" w:lineRule="auto"/>
              <w:jc w:val="left"/>
            </w:pPr>
            <w:r>
              <w:rPr>
                <w:sz w:val="18"/>
                <w:szCs w:val="24"/>
                <w:lang w:val="en-CA" w:eastAsia="en-CA" w:bidi="ar-SA"/>
                <w:rFonts w:ascii="Calibri" w:hAnsi="Calibri" w:eastAsia="Calibri" w:cs="Calibri"/>
                <w:color w:val="263238"/>
              </w:rPr>
              <w:t>6</w:t>
            </w:r>
          </w:p>
        </w:tc>
        <w:tc>
          <w:tcPr>
            <w:tcW w:w="1762" w:type="dxa"/>
          </w:tcPr>
          <w:p>
            <w:pPr>
              <w:pStyle w:val="Normal"/>
              <w:spacing w:before="30" w:after="30" w:line="240" w:lineRule="auto"/>
              <w:jc w:val="left"/>
            </w:pPr>
            <w:r>
              <w:rPr>
                <w:sz w:val="18"/>
                <w:szCs w:val="24"/>
                <w:lang w:val="en-CA" w:eastAsia="en-CA" w:bidi="ar-SA"/>
                <w:rFonts w:ascii="Calibri" w:hAnsi="Calibri" w:eastAsia="Calibri" w:cs="Calibri"/>
                <w:color w:val="263238"/>
              </w:rPr>
              <w:t>T2; 14 days clean</w:t>
            </w:r>
          </w:p>
        </w:tc>
      </w:tr>
      <w:tr>
        <w:tc>
          <w:tcPr>
            <w:tcW w:w="4354" w:type="dxa"/>
          </w:tcPr>
          <w:p>
            <w:pPr>
              <w:pStyle w:val="Normal"/>
              <w:spacing w:before="30" w:after="30" w:line="240" w:lineRule="auto"/>
              <w:jc w:val="left"/>
            </w:pPr>
            <w:r>
              <w:rPr>
                <w:sz w:val="18"/>
                <w:szCs w:val="24"/>
                <w:lang w:val="en-CA" w:eastAsia="en-CA" w:bidi="ar-SA"/>
                <w:rFonts w:ascii="Calibri" w:hAnsi="Calibri" w:eastAsia="Calibri" w:cs="Calibri"/>
                <w:color w:val="263238"/>
              </w:rPr>
              <w:t>Sealed stock movement or processing</w:t>
            </w:r>
          </w:p>
        </w:tc>
        <w:tc>
          <w:tcPr>
            <w:tcW w:w="2177" w:type="dxa"/>
          </w:tcPr>
          <w:p>
            <w:pPr>
              <w:pStyle w:val="Normal"/>
              <w:spacing w:before="30" w:after="30" w:line="240" w:lineRule="auto"/>
              <w:jc w:val="left"/>
            </w:pPr>
            <w:r>
              <w:rPr>
                <w:sz w:val="18"/>
                <w:szCs w:val="24"/>
                <w:lang w:val="en-CA" w:eastAsia="en-CA" w:bidi="ar-SA"/>
                <w:rFonts w:ascii="Calibri" w:hAnsi="Calibri" w:eastAsia="Calibri" w:cs="Calibri"/>
                <w:color w:val="263238"/>
              </w:rPr>
              <w:t>Any movement without dual custody</w:t>
            </w:r>
          </w:p>
        </w:tc>
        <w:tc>
          <w:tcPr>
            <w:tcW w:w="933" w:type="dxa"/>
          </w:tcPr>
          <w:p>
            <w:pPr>
              <w:pStyle w:val="Normal"/>
              <w:spacing w:before="30" w:after="30" w:line="240" w:lineRule="auto"/>
              <w:jc w:val="left"/>
            </w:pPr>
            <w:r>
              <w:rPr>
                <w:sz w:val="18"/>
                <w:szCs w:val="24"/>
                <w:lang w:val="en-CA" w:eastAsia="en-CA" w:bidi="ar-SA"/>
                <w:rFonts w:ascii="Calibri" w:hAnsi="Calibri" w:eastAsia="Calibri" w:cs="Calibri"/>
                <w:color w:val="263238"/>
              </w:rPr>
              <w:t>6</w:t>
            </w:r>
          </w:p>
        </w:tc>
        <w:tc>
          <w:tcPr>
            <w:tcW w:w="1762" w:type="dxa"/>
          </w:tcPr>
          <w:p>
            <w:pPr>
              <w:pStyle w:val="Normal"/>
              <w:spacing w:before="30" w:after="30" w:line="240" w:lineRule="auto"/>
              <w:jc w:val="left"/>
            </w:pPr>
            <w:r>
              <w:rPr>
                <w:sz w:val="18"/>
                <w:szCs w:val="24"/>
                <w:lang w:val="en-CA" w:eastAsia="en-CA" w:bidi="ar-SA"/>
                <w:rFonts w:ascii="Calibri" w:hAnsi="Calibri" w:eastAsia="Calibri" w:cs="Calibri"/>
                <w:color w:val="263238"/>
              </w:rPr>
              <w:t>T2; 14 days clean</w:t>
            </w:r>
          </w:p>
        </w:tc>
      </w:tr>
      <w:tr>
        <w:tc>
          <w:tcPr>
            <w:tcW w:w="4354" w:type="dxa"/>
          </w:tcPr>
          <w:p>
            <w:pPr>
              <w:pStyle w:val="Normal"/>
              <w:spacing w:before="30" w:after="30" w:line="240" w:lineRule="auto"/>
              <w:jc w:val="left"/>
            </w:pPr>
            <w:r>
              <w:rPr>
                <w:sz w:val="18"/>
                <w:szCs w:val="24"/>
                <w:lang w:val="en-CA" w:eastAsia="en-CA" w:bidi="ar-SA"/>
                <w:rFonts w:ascii="Calibri" w:hAnsi="Calibri" w:eastAsia="Calibri" w:cs="Calibri"/>
                <w:color w:val="263238"/>
              </w:rPr>
              <w:t>Seal tampering or material discrepancy</w:t>
            </w:r>
          </w:p>
        </w:tc>
        <w:tc>
          <w:tcPr>
            <w:tcW w:w="2177" w:type="dxa"/>
          </w:tcPr>
          <w:p>
            <w:pPr>
              <w:pStyle w:val="Normal"/>
              <w:spacing w:before="30" w:after="30" w:line="240" w:lineRule="auto"/>
              <w:jc w:val="left"/>
            </w:pPr>
            <w:r>
              <w:rPr>
                <w:sz w:val="18"/>
                <w:szCs w:val="24"/>
                <w:lang w:val="en-CA" w:eastAsia="en-CA" w:bidi="ar-SA"/>
                <w:rFonts w:ascii="Calibri" w:hAnsi="Calibri" w:eastAsia="Calibri" w:cs="Calibri"/>
                <w:color w:val="263238"/>
              </w:rPr>
              <w:t>Intentional damage or MUF above IAEA threshold</w:t>
            </w:r>
          </w:p>
        </w:tc>
        <w:tc>
          <w:tcPr>
            <w:tcW w:w="933" w:type="dxa"/>
          </w:tcPr>
          <w:p>
            <w:pPr>
              <w:pStyle w:val="Normal"/>
              <w:spacing w:before="30" w:after="30" w:line="240" w:lineRule="auto"/>
              <w:jc w:val="left"/>
            </w:pPr>
            <w:r>
              <w:rPr>
                <w:sz w:val="18"/>
                <w:szCs w:val="24"/>
                <w:lang w:val="en-CA" w:eastAsia="en-CA" w:bidi="ar-SA"/>
                <w:rFonts w:ascii="Calibri" w:hAnsi="Calibri" w:eastAsia="Calibri" w:cs="Calibri"/>
                <w:color w:val="263238"/>
              </w:rPr>
              <w:t>12</w:t>
            </w:r>
          </w:p>
        </w:tc>
        <w:tc>
          <w:tcPr>
            <w:tcW w:w="1762" w:type="dxa"/>
          </w:tcPr>
          <w:p>
            <w:pPr>
              <w:pStyle w:val="Normal"/>
              <w:spacing w:before="30" w:after="30" w:line="240" w:lineRule="auto"/>
              <w:jc w:val="left"/>
            </w:pPr>
            <w:r>
              <w:rPr>
                <w:sz w:val="18"/>
                <w:szCs w:val="24"/>
                <w:lang w:val="en-CA" w:eastAsia="en-CA" w:bidi="ar-SA"/>
                <w:rFonts w:ascii="Calibri" w:hAnsi="Calibri" w:eastAsia="Calibri" w:cs="Calibri"/>
                <w:color w:val="263238"/>
              </w:rPr>
              <w:t>T3; 90 days plus certificate</w:t>
            </w:r>
          </w:p>
        </w:tc>
      </w:tr>
      <w:tr>
        <w:tc>
          <w:tcPr>
            <w:tcW w:w="4354" w:type="dxa"/>
          </w:tcPr>
          <w:p>
            <w:pPr>
              <w:pStyle w:val="Normal"/>
              <w:spacing w:before="30" w:after="30" w:line="240" w:lineRule="auto"/>
              <w:jc w:val="left"/>
            </w:pPr>
            <w:r>
              <w:rPr>
                <w:sz w:val="18"/>
                <w:szCs w:val="24"/>
                <w:lang w:val="en-CA" w:eastAsia="en-CA" w:bidi="ar-SA"/>
                <w:rFonts w:ascii="Calibri" w:hAnsi="Calibri" w:eastAsia="Calibri" w:cs="Calibri"/>
                <w:color w:val="263238"/>
              </w:rPr>
              <w:t>Undeclared enrichment activity</w:t>
            </w:r>
          </w:p>
        </w:tc>
        <w:tc>
          <w:tcPr>
            <w:tcW w:w="2177" w:type="dxa"/>
          </w:tcPr>
          <w:p>
            <w:pPr>
              <w:pStyle w:val="Normal"/>
              <w:spacing w:before="30" w:after="30" w:line="240" w:lineRule="auto"/>
              <w:jc w:val="left"/>
            </w:pPr>
            <w:r>
              <w:rPr>
                <w:sz w:val="18"/>
                <w:szCs w:val="24"/>
                <w:lang w:val="en-CA" w:eastAsia="en-CA" w:bidi="ar-SA"/>
                <w:rFonts w:ascii="Calibri" w:hAnsi="Calibri" w:eastAsia="Calibri" w:cs="Calibri"/>
                <w:color w:val="263238"/>
              </w:rPr>
              <w:t>Any level, any undeclared facility</w:t>
            </w:r>
          </w:p>
        </w:tc>
        <w:tc>
          <w:tcPr>
            <w:tcW w:w="933" w:type="dxa"/>
          </w:tcPr>
          <w:p>
            <w:pPr>
              <w:pStyle w:val="Normal"/>
              <w:spacing w:before="30" w:after="30" w:line="240" w:lineRule="auto"/>
              <w:jc w:val="left"/>
            </w:pPr>
            <w:r>
              <w:rPr>
                <w:sz w:val="18"/>
                <w:szCs w:val="24"/>
                <w:lang w:val="en-CA" w:eastAsia="en-CA" w:bidi="ar-SA"/>
                <w:rFonts w:ascii="Calibri" w:hAnsi="Calibri" w:eastAsia="Calibri" w:cs="Calibri"/>
                <w:color w:val="263238"/>
              </w:rPr>
              <w:t>12</w:t>
            </w:r>
          </w:p>
        </w:tc>
        <w:tc>
          <w:tcPr>
            <w:tcW w:w="1762" w:type="dxa"/>
          </w:tcPr>
          <w:p>
            <w:pPr>
              <w:pStyle w:val="Normal"/>
              <w:spacing w:before="30" w:after="30" w:line="240" w:lineRule="auto"/>
              <w:jc w:val="left"/>
            </w:pPr>
            <w:r>
              <w:rPr>
                <w:sz w:val="18"/>
                <w:szCs w:val="24"/>
                <w:lang w:val="en-CA" w:eastAsia="en-CA" w:bidi="ar-SA"/>
                <w:rFonts w:ascii="Calibri" w:hAnsi="Calibri" w:eastAsia="Calibri" w:cs="Calibri"/>
                <w:color w:val="263238"/>
              </w:rPr>
              <w:t>T3; 90 days plus certificate</w:t>
            </w:r>
          </w:p>
        </w:tc>
      </w:tr>
      <w:tr>
        <w:tc>
          <w:tcPr>
            <w:tcW w:w="4354" w:type="dxa"/>
          </w:tcPr>
          <w:p>
            <w:pPr>
              <w:pStyle w:val="Normal"/>
              <w:spacing w:before="30" w:after="30" w:line="240" w:lineRule="auto"/>
              <w:jc w:val="left"/>
            </w:pPr>
            <w:r>
              <w:rPr>
                <w:sz w:val="18"/>
                <w:szCs w:val="24"/>
                <w:lang w:val="en-CA" w:eastAsia="en-CA" w:bidi="ar-SA"/>
                <w:rFonts w:ascii="Calibri" w:hAnsi="Calibri" w:eastAsia="Calibri" w:cs="Calibri"/>
                <w:color w:val="263238"/>
              </w:rPr>
              <w:t>IAEA access delay</w:t>
            </w:r>
          </w:p>
        </w:tc>
        <w:tc>
          <w:tcPr>
            <w:tcW w:w="2177" w:type="dxa"/>
          </w:tcPr>
          <w:p>
            <w:pPr>
              <w:pStyle w:val="Normal"/>
              <w:spacing w:before="30" w:after="30" w:line="240" w:lineRule="auto"/>
              <w:jc w:val="left"/>
            </w:pPr>
            <w:r>
              <w:rPr>
                <w:sz w:val="18"/>
                <w:szCs w:val="24"/>
                <w:lang w:val="en-CA" w:eastAsia="en-CA" w:bidi="ar-SA"/>
                <w:rFonts w:ascii="Calibri" w:hAnsi="Calibri" w:eastAsia="Calibri" w:cs="Calibri"/>
                <w:color w:val="263238"/>
              </w:rPr>
              <w:t>12 to 72 hours / beyond 72 hours</w:t>
            </w:r>
          </w:p>
        </w:tc>
        <w:tc>
          <w:tcPr>
            <w:tcW w:w="933" w:type="dxa"/>
          </w:tcPr>
          <w:p>
            <w:pPr>
              <w:pStyle w:val="Normal"/>
              <w:spacing w:before="30" w:after="30" w:line="240" w:lineRule="auto"/>
              <w:jc w:val="left"/>
            </w:pPr>
            <w:r>
              <w:rPr>
                <w:sz w:val="18"/>
                <w:szCs w:val="24"/>
                <w:lang w:val="en-CA" w:eastAsia="en-CA" w:bidi="ar-SA"/>
                <w:rFonts w:ascii="Calibri" w:hAnsi="Calibri" w:eastAsia="Calibri" w:cs="Calibri"/>
                <w:color w:val="263238"/>
              </w:rPr>
              <w:t>3 / 6</w:t>
            </w:r>
          </w:p>
        </w:tc>
        <w:tc>
          <w:tcPr>
            <w:tcW w:w="1762" w:type="dxa"/>
          </w:tcPr>
          <w:p>
            <w:pPr>
              <w:pStyle w:val="Normal"/>
              <w:spacing w:before="30" w:after="30" w:line="240" w:lineRule="auto"/>
              <w:jc w:val="left"/>
            </w:pPr>
            <w:r>
              <w:rPr>
                <w:sz w:val="18"/>
                <w:szCs w:val="24"/>
                <w:lang w:val="en-CA" w:eastAsia="en-CA" w:bidi="ar-SA"/>
                <w:rFonts w:ascii="Calibri" w:hAnsi="Calibri" w:eastAsia="Calibri" w:cs="Calibri"/>
                <w:color w:val="263238"/>
              </w:rPr>
              <w:t>T2; 14 days clean</w:t>
            </w:r>
          </w:p>
        </w:tc>
      </w:tr>
      <w:tr>
        <w:tc>
          <w:tcPr>
            <w:tcW w:w="4354" w:type="dxa"/>
          </w:tcPr>
          <w:p>
            <w:pPr>
              <w:pStyle w:val="Normal"/>
              <w:spacing w:before="30" w:after="30" w:line="240" w:lineRule="auto"/>
              <w:jc w:val="left"/>
            </w:pPr>
            <w:r>
              <w:rPr>
                <w:sz w:val="18"/>
                <w:szCs w:val="24"/>
                <w:lang w:val="en-CA" w:eastAsia="en-CA" w:bidi="ar-SA"/>
                <w:rFonts w:ascii="Calibri" w:hAnsi="Calibri" w:eastAsia="Calibri" w:cs="Calibri"/>
                <w:color w:val="263238"/>
              </w:rPr>
              <w:t>Telemetry falsification</w:t>
            </w:r>
          </w:p>
        </w:tc>
        <w:tc>
          <w:tcPr>
            <w:tcW w:w="2177" w:type="dxa"/>
          </w:tcPr>
          <w:p>
            <w:pPr>
              <w:pStyle w:val="Normal"/>
              <w:spacing w:before="30" w:after="30" w:line="240" w:lineRule="auto"/>
              <w:jc w:val="left"/>
            </w:pPr>
            <w:r>
              <w:rPr>
                <w:sz w:val="18"/>
                <w:szCs w:val="24"/>
                <w:lang w:val="en-CA" w:eastAsia="en-CA" w:bidi="ar-SA"/>
                <w:rFonts w:ascii="Calibri" w:hAnsi="Calibri" w:eastAsia="Calibri" w:cs="Calibri"/>
                <w:color w:val="263238"/>
              </w:rPr>
              <w:t>Any deliberately falsified feed</w:t>
            </w:r>
          </w:p>
        </w:tc>
        <w:tc>
          <w:tcPr>
            <w:tcW w:w="933" w:type="dxa"/>
          </w:tcPr>
          <w:p>
            <w:pPr>
              <w:pStyle w:val="Normal"/>
              <w:spacing w:before="30" w:after="30" w:line="240" w:lineRule="auto"/>
              <w:jc w:val="left"/>
            </w:pPr>
            <w:r>
              <w:rPr>
                <w:sz w:val="18"/>
                <w:szCs w:val="24"/>
                <w:lang w:val="en-CA" w:eastAsia="en-CA" w:bidi="ar-SA"/>
                <w:rFonts w:ascii="Calibri" w:hAnsi="Calibri" w:eastAsia="Calibri" w:cs="Calibri"/>
                <w:color w:val="263238"/>
              </w:rPr>
              <w:t>12</w:t>
            </w:r>
          </w:p>
        </w:tc>
        <w:tc>
          <w:tcPr>
            <w:tcW w:w="1762" w:type="dxa"/>
          </w:tcPr>
          <w:p>
            <w:pPr>
              <w:pStyle w:val="Normal"/>
              <w:spacing w:before="30" w:after="30" w:line="240" w:lineRule="auto"/>
              <w:jc w:val="left"/>
            </w:pPr>
            <w:r>
              <w:rPr>
                <w:sz w:val="18"/>
                <w:szCs w:val="24"/>
                <w:lang w:val="en-CA" w:eastAsia="en-CA" w:bidi="ar-SA"/>
                <w:rFonts w:ascii="Calibri" w:hAnsi="Calibri" w:eastAsia="Calibri" w:cs="Calibri"/>
                <w:color w:val="263238"/>
              </w:rPr>
              <w:t>T3; 90 days plus certificate</w:t>
            </w:r>
          </w:p>
        </w:tc>
      </w:tr>
      <w:tr>
        <w:tc>
          <w:tcPr>
            <w:tcW w:w="4354" w:type="dxa"/>
          </w:tcPr>
          <w:p>
            <w:pPr>
              <w:pStyle w:val="Normal"/>
              <w:spacing w:before="30" w:after="30" w:line="240" w:lineRule="auto"/>
              <w:jc w:val="left"/>
            </w:pPr>
            <w:r>
              <w:rPr>
                <w:sz w:val="18"/>
                <w:szCs w:val="24"/>
                <w:lang w:val="en-CA" w:eastAsia="en-CA" w:bidi="ar-SA"/>
                <w:rFonts w:ascii="Calibri" w:hAnsi="Calibri" w:eastAsia="Calibri" w:cs="Calibri"/>
                <w:color w:val="263238"/>
              </w:rPr>
              <w:t>Telemetry gap</w:t>
            </w:r>
          </w:p>
        </w:tc>
        <w:tc>
          <w:tcPr>
            <w:tcW w:w="2177" w:type="dxa"/>
          </w:tcPr>
          <w:p>
            <w:pPr>
              <w:pStyle w:val="Normal"/>
              <w:spacing w:before="30" w:after="30" w:line="240" w:lineRule="auto"/>
              <w:jc w:val="left"/>
            </w:pPr>
            <w:r>
              <w:rPr>
                <w:sz w:val="18"/>
                <w:szCs w:val="24"/>
                <w:lang w:val="en-CA" w:eastAsia="en-CA" w:bidi="ar-SA"/>
                <w:rFonts w:ascii="Calibri" w:hAnsi="Calibri" w:eastAsia="Calibri" w:cs="Calibri"/>
                <w:color w:val="263238"/>
              </w:rPr>
              <w:t>48 hours, not equipment-related</w:t>
            </w:r>
          </w:p>
        </w:tc>
        <w:tc>
          <w:tcPr>
            <w:tcW w:w="933" w:type="dxa"/>
          </w:tcPr>
          <w:p>
            <w:pPr>
              <w:pStyle w:val="Normal"/>
              <w:spacing w:before="30" w:after="30" w:line="240" w:lineRule="auto"/>
              <w:jc w:val="left"/>
            </w:pPr>
            <w:r>
              <w:rPr>
                <w:sz w:val="18"/>
                <w:szCs w:val="24"/>
                <w:lang w:val="en-CA" w:eastAsia="en-CA" w:bidi="ar-SA"/>
                <w:rFonts w:ascii="Calibri" w:hAnsi="Calibri" w:eastAsia="Calibri" w:cs="Calibri"/>
                <w:color w:val="263238"/>
              </w:rPr>
              <w:t>Auto</w:t>
            </w:r>
          </w:p>
        </w:tc>
        <w:tc>
          <w:tcPr>
            <w:tcW w:w="1762" w:type="dxa"/>
          </w:tcPr>
          <w:p>
            <w:pPr>
              <w:pStyle w:val="Normal"/>
              <w:spacing w:before="30" w:after="30" w:line="240" w:lineRule="auto"/>
              <w:jc w:val="left"/>
            </w:pPr>
            <w:r>
              <w:rPr>
                <w:sz w:val="18"/>
                <w:szCs w:val="24"/>
                <w:lang w:val="en-CA" w:eastAsia="en-CA" w:bidi="ar-SA"/>
                <w:rFonts w:ascii="Calibri" w:hAnsi="Calibri" w:eastAsia="Calibri" w:cs="Calibri"/>
                <w:color w:val="263238"/>
              </w:rPr>
              <w:t>Automatic suspension; lifts on restoration; no points</w:t>
            </w:r>
          </w:p>
        </w:tc>
      </w:tr>
      <w:tr>
        <w:tc>
          <w:tcPr>
            <w:tcW w:w="4354" w:type="dxa"/>
          </w:tcPr>
          <w:p>
            <w:pPr>
              <w:pStyle w:val="Normal"/>
              <w:spacing w:before="30" w:after="30" w:line="240" w:lineRule="auto"/>
              <w:jc w:val="left"/>
            </w:pPr>
            <w:r>
              <w:rPr>
                <w:sz w:val="18"/>
                <w:szCs w:val="24"/>
                <w:lang w:val="en-CA" w:eastAsia="en-CA" w:bidi="ar-SA"/>
                <w:rFonts w:ascii="Calibri" w:hAnsi="Calibri" w:eastAsia="Calibri" w:cs="Calibri"/>
                <w:color w:val="263238"/>
              </w:rPr>
              <w:t>Interdiction outside territorial waters</w:t>
            </w:r>
          </w:p>
        </w:tc>
        <w:tc>
          <w:tcPr>
            <w:tcW w:w="2177" w:type="dxa"/>
          </w:tcPr>
          <w:p>
            <w:pPr>
              <w:pStyle w:val="Normal"/>
              <w:spacing w:before="30" w:after="30" w:line="240" w:lineRule="auto"/>
              <w:jc w:val="left"/>
            </w:pPr>
            <w:r>
              <w:rPr>
                <w:sz w:val="18"/>
                <w:szCs w:val="24"/>
                <w:lang w:val="en-CA" w:eastAsia="en-CA" w:bidi="ar-SA"/>
                <w:rFonts w:ascii="Calibri" w:hAnsi="Calibri" w:eastAsia="Calibri" w:cs="Calibri"/>
                <w:color w:val="263238"/>
              </w:rPr>
              <w:t>Any non-Safety-Hold stop or seizure</w:t>
            </w:r>
          </w:p>
        </w:tc>
        <w:tc>
          <w:tcPr>
            <w:tcW w:w="933" w:type="dxa"/>
          </w:tcPr>
          <w:p>
            <w:pPr>
              <w:pStyle w:val="Normal"/>
              <w:spacing w:before="30" w:after="30" w:line="240" w:lineRule="auto"/>
              <w:jc w:val="left"/>
            </w:pPr>
            <w:r>
              <w:rPr>
                <w:sz w:val="18"/>
                <w:szCs w:val="24"/>
                <w:lang w:val="en-CA" w:eastAsia="en-CA" w:bidi="ar-SA"/>
                <w:rFonts w:ascii="Calibri" w:hAnsi="Calibri" w:eastAsia="Calibri" w:cs="Calibri"/>
                <w:color w:val="263238"/>
              </w:rPr>
              <w:t>3</w:t>
            </w:r>
          </w:p>
        </w:tc>
        <w:tc>
          <w:tcPr>
            <w:tcW w:w="1762" w:type="dxa"/>
          </w:tcPr>
          <w:p>
            <w:pPr>
              <w:pStyle w:val="Normal"/>
              <w:spacing w:before="30" w:after="30" w:line="240" w:lineRule="auto"/>
              <w:jc w:val="left"/>
            </w:pPr>
            <w:r>
              <w:rPr>
                <w:sz w:val="18"/>
                <w:szCs w:val="24"/>
                <w:lang w:val="en-CA" w:eastAsia="en-CA" w:bidi="ar-SA"/>
                <w:rFonts w:ascii="Calibri" w:hAnsi="Calibri" w:eastAsia="Calibri" w:cs="Calibri"/>
                <w:color w:val="263238"/>
              </w:rPr>
              <w:t>T2; 14 days clean</w:t>
            </w:r>
          </w:p>
        </w:tc>
      </w:tr>
      <w:tr>
        <w:tc>
          <w:tcPr>
            <w:tcW w:w="4354" w:type="dxa"/>
          </w:tcPr>
          <w:p>
            <w:pPr>
              <w:pStyle w:val="Normal"/>
              <w:spacing w:before="30" w:after="30" w:line="240" w:lineRule="auto"/>
              <w:jc w:val="left"/>
            </w:pPr>
            <w:r>
              <w:rPr>
                <w:sz w:val="18"/>
                <w:szCs w:val="24"/>
                <w:lang w:val="en-CA" w:eastAsia="en-CA" w:bidi="ar-SA"/>
                <w:rFonts w:ascii="Calibri" w:hAnsi="Calibri" w:eastAsia="Calibri" w:cs="Calibri"/>
                <w:color w:val="263238"/>
              </w:rPr>
              <w:t>Unlawful vessel detention</w:t>
            </w:r>
          </w:p>
        </w:tc>
        <w:tc>
          <w:tcPr>
            <w:tcW w:w="2177" w:type="dxa"/>
          </w:tcPr>
          <w:p>
            <w:pPr>
              <w:pStyle w:val="Normal"/>
              <w:spacing w:before="30" w:after="30" w:line="240" w:lineRule="auto"/>
              <w:jc w:val="left"/>
            </w:pPr>
            <w:r>
              <w:rPr>
                <w:sz w:val="18"/>
                <w:szCs w:val="24"/>
                <w:lang w:val="en-CA" w:eastAsia="en-CA" w:bidi="ar-SA"/>
                <w:rFonts w:ascii="Calibri" w:hAnsi="Calibri" w:eastAsia="Calibri" w:cs="Calibri"/>
                <w:color w:val="263238"/>
              </w:rPr>
              <w:t>2 to 7 days / beyond 7 days</w:t>
            </w:r>
          </w:p>
        </w:tc>
        <w:tc>
          <w:tcPr>
            <w:tcW w:w="933" w:type="dxa"/>
          </w:tcPr>
          <w:p>
            <w:pPr>
              <w:pStyle w:val="Normal"/>
              <w:spacing w:before="30" w:after="30" w:line="240" w:lineRule="auto"/>
              <w:jc w:val="left"/>
            </w:pPr>
            <w:r>
              <w:rPr>
                <w:sz w:val="18"/>
                <w:szCs w:val="24"/>
                <w:lang w:val="en-CA" w:eastAsia="en-CA" w:bidi="ar-SA"/>
                <w:rFonts w:ascii="Calibri" w:hAnsi="Calibri" w:eastAsia="Calibri" w:cs="Calibri"/>
                <w:color w:val="263238"/>
              </w:rPr>
              <w:t>3 / 6</w:t>
            </w:r>
          </w:p>
        </w:tc>
        <w:tc>
          <w:tcPr>
            <w:tcW w:w="1762" w:type="dxa"/>
          </w:tcPr>
          <w:p>
            <w:pPr>
              <w:pStyle w:val="Normal"/>
              <w:spacing w:before="30" w:after="30" w:line="240" w:lineRule="auto"/>
              <w:jc w:val="left"/>
            </w:pPr>
            <w:r>
              <w:rPr>
                <w:sz w:val="18"/>
                <w:szCs w:val="24"/>
                <w:lang w:val="en-CA" w:eastAsia="en-CA" w:bidi="ar-SA"/>
                <w:rFonts w:ascii="Calibri" w:hAnsi="Calibri" w:eastAsia="Calibri" w:cs="Calibri"/>
                <w:color w:val="263238"/>
              </w:rPr>
              <w:t>T2; 14 days clean</w:t>
            </w:r>
          </w:p>
        </w:tc>
      </w:tr>
      <w:tr>
        <w:tc>
          <w:tcPr>
            <w:tcW w:w="4354" w:type="dxa"/>
          </w:tcPr>
          <w:p>
            <w:pPr>
              <w:pStyle w:val="Normal"/>
              <w:spacing w:before="30" w:after="30" w:line="240" w:lineRule="auto"/>
              <w:jc w:val="left"/>
            </w:pPr>
            <w:r>
              <w:rPr>
                <w:sz w:val="18"/>
                <w:szCs w:val="24"/>
                <w:lang w:val="en-CA" w:eastAsia="en-CA" w:bidi="ar-SA"/>
                <w:rFonts w:ascii="Calibri" w:hAnsi="Calibri" w:eastAsia="Calibri" w:cs="Calibri"/>
                <w:color w:val="263238"/>
              </w:rPr>
              <w:t>Hotline failure</w:t>
            </w:r>
          </w:p>
        </w:tc>
        <w:tc>
          <w:tcPr>
            <w:tcW w:w="2177" w:type="dxa"/>
          </w:tcPr>
          <w:p>
            <w:pPr>
              <w:pStyle w:val="Normal"/>
              <w:spacing w:before="30" w:after="30" w:line="240" w:lineRule="auto"/>
              <w:jc w:val="left"/>
            </w:pPr>
            <w:r>
              <w:rPr>
                <w:sz w:val="18"/>
                <w:szCs w:val="24"/>
                <w:lang w:val="en-CA" w:eastAsia="en-CA" w:bidi="ar-SA"/>
                <w:rFonts w:ascii="Calibri" w:hAnsi="Calibri" w:eastAsia="Calibri" w:cs="Calibri"/>
                <w:color w:val="263238"/>
              </w:rPr>
              <w:t>Three consecutive daily test failures</w:t>
            </w:r>
          </w:p>
        </w:tc>
        <w:tc>
          <w:tcPr>
            <w:tcW w:w="933" w:type="dxa"/>
          </w:tcPr>
          <w:p>
            <w:pPr>
              <w:pStyle w:val="Normal"/>
              <w:spacing w:before="30" w:after="30" w:line="240" w:lineRule="auto"/>
              <w:jc w:val="left"/>
            </w:pPr>
            <w:r>
              <w:rPr>
                <w:sz w:val="18"/>
                <w:szCs w:val="24"/>
                <w:lang w:val="en-CA" w:eastAsia="en-CA" w:bidi="ar-SA"/>
                <w:rFonts w:ascii="Calibri" w:hAnsi="Calibri" w:eastAsia="Calibri" w:cs="Calibri"/>
                <w:color w:val="263238"/>
              </w:rPr>
              <w:t>3</w:t>
            </w:r>
          </w:p>
        </w:tc>
        <w:tc>
          <w:tcPr>
            <w:tcW w:w="1762" w:type="dxa"/>
          </w:tcPr>
          <w:p>
            <w:pPr>
              <w:pStyle w:val="Normal"/>
              <w:spacing w:before="30" w:after="30" w:line="240" w:lineRule="auto"/>
              <w:jc w:val="left"/>
            </w:pPr>
            <w:r>
              <w:rPr>
                <w:sz w:val="18"/>
                <w:szCs w:val="24"/>
                <w:lang w:val="en-CA" w:eastAsia="en-CA" w:bidi="ar-SA"/>
                <w:rFonts w:ascii="Calibri" w:hAnsi="Calibri" w:eastAsia="Calibri" w:cs="Calibri"/>
                <w:color w:val="263238"/>
              </w:rPr>
              <w:t>T2; 14 days clean</w:t>
            </w:r>
          </w:p>
        </w:tc>
      </w:tr>
      <w:tr>
        <w:tc>
          <w:tcPr>
            <w:tcW w:w="4354" w:type="dxa"/>
          </w:tcPr>
          <w:p>
            <w:pPr>
              <w:pStyle w:val="Normal"/>
              <w:spacing w:before="30" w:after="30" w:line="240" w:lineRule="auto"/>
              <w:jc w:val="left"/>
            </w:pPr>
            <w:r>
              <w:rPr>
                <w:sz w:val="18"/>
                <w:szCs w:val="24"/>
                <w:lang w:val="en-CA" w:eastAsia="en-CA" w:bidi="ar-SA"/>
                <w:rFonts w:ascii="Calibri" w:hAnsi="Calibri" w:eastAsia="Calibri" w:cs="Calibri"/>
                <w:color w:val="263238"/>
              </w:rPr>
              <w:t>Stand-off breach</w:t>
            </w:r>
          </w:p>
        </w:tc>
        <w:tc>
          <w:tcPr>
            <w:tcW w:w="2177" w:type="dxa"/>
          </w:tcPr>
          <w:p>
            <w:pPr>
              <w:pStyle w:val="Normal"/>
              <w:spacing w:before="30" w:after="30" w:line="240" w:lineRule="auto"/>
              <w:jc w:val="left"/>
            </w:pPr>
            <w:r>
              <w:rPr>
                <w:sz w:val="18"/>
                <w:szCs w:val="24"/>
                <w:lang w:val="en-CA" w:eastAsia="en-CA" w:bidi="ar-SA"/>
                <w:rFonts w:ascii="Calibri" w:hAnsi="Calibri" w:eastAsia="Calibri" w:cs="Calibri"/>
                <w:color w:val="263238"/>
              </w:rPr>
              <w:t>Naval approach inside 5 nautical miles without hail response</w:t>
            </w:r>
          </w:p>
        </w:tc>
        <w:tc>
          <w:tcPr>
            <w:tcW w:w="933" w:type="dxa"/>
          </w:tcPr>
          <w:p>
            <w:pPr>
              <w:pStyle w:val="Normal"/>
              <w:spacing w:before="30" w:after="30" w:line="240" w:lineRule="auto"/>
              <w:jc w:val="left"/>
            </w:pPr>
            <w:r>
              <w:rPr>
                <w:sz w:val="18"/>
                <w:szCs w:val="24"/>
                <w:lang w:val="en-CA" w:eastAsia="en-CA" w:bidi="ar-SA"/>
                <w:rFonts w:ascii="Calibri" w:hAnsi="Calibri" w:eastAsia="Calibri" w:cs="Calibri"/>
                <w:color w:val="263238"/>
              </w:rPr>
              <w:t>3</w:t>
            </w:r>
          </w:p>
        </w:tc>
        <w:tc>
          <w:tcPr>
            <w:tcW w:w="1762" w:type="dxa"/>
          </w:tcPr>
          <w:p>
            <w:pPr>
              <w:pStyle w:val="Normal"/>
              <w:spacing w:before="30" w:after="30" w:line="240" w:lineRule="auto"/>
              <w:jc w:val="left"/>
            </w:pPr>
            <w:r>
              <w:rPr>
                <w:sz w:val="18"/>
                <w:szCs w:val="24"/>
                <w:lang w:val="en-CA" w:eastAsia="en-CA" w:bidi="ar-SA"/>
                <w:rFonts w:ascii="Calibri" w:hAnsi="Calibri" w:eastAsia="Calibri" w:cs="Calibri"/>
                <w:color w:val="263238"/>
              </w:rPr>
              <w:t>T2; 14 days clean</w:t>
            </w:r>
          </w:p>
        </w:tc>
      </w:tr>
      <w:tr>
        <w:tc>
          <w:tcPr>
            <w:tcW w:w="4354" w:type="dxa"/>
          </w:tcPr>
          <w:p>
            <w:pPr>
              <w:pStyle w:val="Normal"/>
              <w:spacing w:before="30" w:after="30" w:line="240" w:lineRule="auto"/>
              <w:jc w:val="left"/>
            </w:pPr>
            <w:r>
              <w:rPr>
                <w:sz w:val="18"/>
                <w:szCs w:val="24"/>
                <w:lang w:val="en-CA" w:eastAsia="en-CA" w:bidi="ar-SA"/>
                <w:rFonts w:ascii="Calibri" w:hAnsi="Calibri" w:eastAsia="Calibri" w:cs="Calibri"/>
                <w:color w:val="263238"/>
              </w:rPr>
              <w:t>Rogue-actor claim without logs (Article 11.3a)</w:t>
            </w:r>
          </w:p>
        </w:tc>
        <w:tc>
          <w:tcPr>
            <w:tcW w:w="2177" w:type="dxa"/>
          </w:tcPr>
          <w:p>
            <w:pPr>
              <w:pStyle w:val="Normal"/>
              <w:spacing w:before="30" w:after="30" w:line="240" w:lineRule="auto"/>
              <w:jc w:val="left"/>
            </w:pPr>
            <w:r>
              <w:rPr>
                <w:sz w:val="18"/>
                <w:szCs w:val="24"/>
                <w:lang w:val="en-CA" w:eastAsia="en-CA" w:bidi="ar-SA"/>
                <w:rFonts w:ascii="Calibri" w:hAnsi="Calibri" w:eastAsia="Calibri" w:cs="Calibri"/>
                <w:color w:val="263238"/>
              </w:rPr>
              <w:t>No unredacted logs within 12 hours</w:t>
            </w:r>
          </w:p>
        </w:tc>
        <w:tc>
          <w:tcPr>
            <w:tcW w:w="933" w:type="dxa"/>
          </w:tcPr>
          <w:p>
            <w:pPr>
              <w:pStyle w:val="Normal"/>
              <w:spacing w:before="30" w:after="30" w:line="240" w:lineRule="auto"/>
              <w:jc w:val="left"/>
            </w:pPr>
            <w:r>
              <w:rPr>
                <w:sz w:val="18"/>
                <w:szCs w:val="24"/>
                <w:lang w:val="en-CA" w:eastAsia="en-CA" w:bidi="ar-SA"/>
                <w:rFonts w:ascii="Calibri" w:hAnsi="Calibri" w:eastAsia="Calibri" w:cs="Calibri"/>
                <w:color w:val="263238"/>
              </w:rPr>
              <w:t>Auto</w:t>
            </w:r>
          </w:p>
        </w:tc>
        <w:tc>
          <w:tcPr>
            <w:tcW w:w="1762" w:type="dxa"/>
          </w:tcPr>
          <w:p>
            <w:pPr>
              <w:pStyle w:val="Normal"/>
              <w:spacing w:before="30" w:after="30" w:line="240" w:lineRule="auto"/>
              <w:jc w:val="left"/>
            </w:pPr>
            <w:r>
              <w:rPr>
                <w:sz w:val="18"/>
                <w:szCs w:val="24"/>
                <w:lang w:val="en-CA" w:eastAsia="en-CA" w:bidi="ar-SA"/>
                <w:rFonts w:ascii="Calibri" w:hAnsi="Calibri" w:eastAsia="Calibri" w:cs="Calibri"/>
                <w:color w:val="263238"/>
              </w:rPr>
              <w:t xml:space="preserve">Classifies state-directed; event then scores per its own </w:t>
              <w:t>row</w:t>
            </w:r>
          </w:p>
        </w:tc>
      </w:tr>
      <w:tr>
        <w:tc>
          <w:tcPr>
            <w:tcW w:w="4354" w:type="dxa"/>
          </w:tcPr>
          <w:p>
            <w:pPr>
              <w:pStyle w:val="Normal"/>
              <w:spacing w:before="30" w:after="30" w:line="240" w:lineRule="auto"/>
              <w:jc w:val="left"/>
            </w:pPr>
            <w:r>
              <w:rPr>
                <w:szCs w:val="24"/>
                <w:lang w:val="en-CA" w:eastAsia="en-CA" w:bidi="ar-SA"/>
                <w:rFonts w:ascii="Calibri" w:hAnsi="Calibri" w:eastAsia="Calibri" w:cs="Calibri"/>
                <w:color w:val="263238"/>
                <w:sz w:val="18"/>
              </w:rPr>
              <w:t>Escrow or license delay (economic, symmetric)</w:t>
            </w:r>
          </w:p>
        </w:tc>
        <w:tc>
          <w:tcPr>
            <w:tcW w:w="2177" w:type="dxa"/>
          </w:tcPr>
          <w:p>
            <w:pPr>
              <w:pStyle w:val="Normal"/>
              <w:spacing w:before="30" w:after="30" w:line="240" w:lineRule="auto"/>
              <w:jc w:val="left"/>
            </w:pPr>
            <w:r>
              <w:rPr>
                <w:sz w:val="18"/>
                <w:szCs w:val="24"/>
                <w:lang w:val="en-CA" w:eastAsia="en-CA" w:bidi="ar-SA"/>
                <w:rFonts w:ascii="Calibri" w:hAnsi="Calibri" w:eastAsia="Calibri" w:cs="Calibri"/>
                <w:color w:val="263238"/>
              </w:rPr>
              <w:t>7 days / 30 days late beyond cushion</w:t>
            </w:r>
          </w:p>
        </w:tc>
        <w:tc>
          <w:tcPr>
            <w:tcW w:w="933" w:type="dxa"/>
          </w:tcPr>
          <w:p>
            <w:pPr>
              <w:pStyle w:val="Normal"/>
              <w:spacing w:before="30" w:after="30" w:line="240" w:lineRule="auto"/>
              <w:jc w:val="left"/>
            </w:pPr>
            <w:r>
              <w:rPr>
                <w:sz w:val="18"/>
                <w:szCs w:val="24"/>
                <w:lang w:val="en-CA" w:eastAsia="en-CA" w:bidi="ar-SA"/>
                <w:rFonts w:ascii="Calibri" w:hAnsi="Calibri" w:eastAsia="Calibri" w:cs="Calibri"/>
                <w:color w:val="263238"/>
              </w:rPr>
              <w:t>3 / 6</w:t>
            </w:r>
          </w:p>
        </w:tc>
        <w:tc>
          <w:tcPr>
            <w:tcW w:w="1762" w:type="dxa"/>
          </w:tcPr>
          <w:p>
            <w:pPr>
              <w:pStyle w:val="Normal"/>
              <w:spacing w:before="30" w:after="30" w:line="240" w:lineRule="auto"/>
              <w:jc w:val="left"/>
            </w:pPr>
            <w:r>
              <w:rPr>
                <w:sz w:val="18"/>
                <w:szCs w:val="24"/>
                <w:lang w:val="en-CA" w:eastAsia="en-CA" w:bidi="ar-SA"/>
                <w:rFonts w:ascii="Calibri" w:hAnsi="Calibri" w:eastAsia="Calibri" w:cs="Calibri"/>
                <w:color w:val="263238"/>
              </w:rPr>
              <w:t>T2; 14 days clean</w:t>
            </w:r>
          </w:p>
        </w:tc>
      </w:tr>
      <w:tr>
        <w:tc>
          <w:tcPr>
            <w:tcW w:w="4354" w:type="dxa"/>
          </w:tcPr>
          <w:p>
            <w:pPr>
              <w:pStyle w:val="Normal"/>
              <w:spacing w:before="30" w:after="30" w:line="240" w:lineRule="auto"/>
              <w:jc w:val="left"/>
            </w:pPr>
            <w:r>
              <w:rPr>
                <w:sz w:val="18"/>
                <w:szCs w:val="24"/>
                <w:lang w:val="en-CA" w:eastAsia="en-CA" w:bidi="ar-SA"/>
                <w:rFonts w:ascii="Calibri" w:hAnsi="Calibri" w:eastAsia="Calibri" w:cs="Calibri"/>
                <w:color w:val="263238"/>
              </w:rPr>
              <w:t>Unauthorized escrow freeze or SWIFT decoupling (economic, symmetric)</w:t>
            </w:r>
          </w:p>
        </w:tc>
        <w:tc>
          <w:tcPr>
            <w:tcW w:w="2177" w:type="dxa"/>
          </w:tcPr>
          <w:p>
            <w:pPr>
              <w:pStyle w:val="Normal"/>
              <w:spacing w:before="30" w:after="30" w:line="240" w:lineRule="auto"/>
              <w:jc w:val="left"/>
            </w:pPr>
            <w:r>
              <w:rPr>
                <w:sz w:val="18"/>
                <w:szCs w:val="24"/>
                <w:lang w:val="en-CA" w:eastAsia="en-CA" w:bidi="ar-SA"/>
                <w:rFonts w:ascii="Calibri" w:hAnsi="Calibri" w:eastAsia="Calibri" w:cs="Calibri"/>
                <w:color w:val="263238"/>
              </w:rPr>
              <w:t>Any unilateral action</w:t>
            </w:r>
          </w:p>
        </w:tc>
        <w:tc>
          <w:tcPr>
            <w:tcW w:w="933" w:type="dxa"/>
          </w:tcPr>
          <w:p>
            <w:pPr>
              <w:pStyle w:val="Normal"/>
              <w:spacing w:before="30" w:after="30" w:line="240" w:lineRule="auto"/>
              <w:jc w:val="left"/>
            </w:pPr>
            <w:r>
              <w:rPr>
                <w:sz w:val="18"/>
                <w:szCs w:val="24"/>
                <w:lang w:val="en-CA" w:eastAsia="en-CA" w:bidi="ar-SA"/>
                <w:rFonts w:ascii="Calibri" w:hAnsi="Calibri" w:eastAsia="Calibri" w:cs="Calibri"/>
                <w:color w:val="263238"/>
              </w:rPr>
              <w:t>6</w:t>
            </w:r>
          </w:p>
        </w:tc>
        <w:tc>
          <w:tcPr>
            <w:tcW w:w="1762" w:type="dxa"/>
          </w:tcPr>
          <w:p>
            <w:pPr>
              <w:pStyle w:val="Normal"/>
              <w:spacing w:before="30" w:after="30" w:line="240" w:lineRule="auto"/>
              <w:jc w:val="left"/>
            </w:pPr>
            <w:r>
              <w:rPr>
                <w:sz w:val="18"/>
                <w:szCs w:val="24"/>
                <w:lang w:val="en-CA" w:eastAsia="en-CA" w:bidi="ar-SA"/>
                <w:rFonts w:ascii="Calibri" w:hAnsi="Calibri" w:eastAsia="Calibri" w:cs="Calibri"/>
                <w:color w:val="263238"/>
              </w:rPr>
              <w:t>T2; 14 days clean</w:t>
            </w:r>
          </w:p>
        </w:tc>
      </w:tr>
    </w:tbl>
    <w:p>
      <w:pPr>
        <w:pStyle w:val="Normal"/>
        <w:spacing w:after="140"/>
      </w:pPr>
    </w:p>
    <w:p>
      <w:pPr>
        <w:pStyle w:val="Caption"/>
      </w:pPr>
      <w:r>
        <w:rPr>
          <w:szCs w:val="24"/>
          <w:lang w:val="en-CA" w:eastAsia="en-CA" w:bidi="ar-SA"/>
          <w:rFonts w:ascii="Calibri" w:hAnsi="Calibri" w:eastAsia="Calibri" w:cs="Calibri"/>
          <w:color w:val="23445A"/>
          <w:sz w:val="18"/>
          <w:b/>
        </w:rPr>
        <w:t>Table 7: Consequence schedule</w:t>
      </w:r>
    </w:p>
    <w:p>
      <w:pPr>
        <w:pStyle w:val="Normal"/>
        <w:spacing w:after="140"/>
        <w:ind w:left="576" w:hanging="576"/>
      </w:pPr>
      <w:r>
        <w:rPr>
          <w:b/>
          <w:color w:val="263238"/>
          <w:szCs w:val="24"/>
          <w:lang w:val="en-CA" w:eastAsia="en-CA" w:bidi="ar-SA"/>
          <w:rFonts w:ascii="Calibri" w:hAnsi="Calibri" w:eastAsia="Calibri" w:cs="Calibri"/>
          <w:sz w:val="18"/>
        </w:rPr>
        <w:t xml:space="preserve">B.1  </w:t>
      </w:r>
      <w:r>
        <w:rPr>
          <w:szCs w:val="24"/>
          <w:lang w:val="en-CA" w:eastAsia="en-CA" w:bidi="ar-SA"/>
          <w:rFonts w:ascii="Calibri" w:hAnsi="Calibri" w:eastAsia="Calibri" w:cs="Calibri"/>
          <w:color w:val="263238"/>
          <w:sz w:val="21"/>
        </w:rPr>
        <w:t>Escalation</w:t>
        <w:t xml:space="preserve"> thresholds. Zero to 4 active points: base tier response only. Five to 7: formal warning published on the dashboard. Eight to 11: additional 10 percent step-back of non-humanitarian benefits until active points drop below 8. Twelve or more: the maximum graduated response (Article 17.6), never snapback, never collapse.</w:t>
      </w:r>
    </w:p>
    <w:p>
      <w:pPr>
        <w:pStyle w:val="Heading2"/>
      </w:pPr>
      <w:r>
        <w:rPr>
          <w:szCs w:val="24"/>
          <w:lang w:val="en-CA" w:eastAsia="en-CA" w:bidi="ar-SA"/>
          <w:rFonts w:ascii="Calibri" w:hAnsi="Calibri" w:eastAsia="Calibri" w:cs="Calibri"/>
          <w:b/>
          <w:color w:val="546E7A"/>
          <w:sz w:val="20"/>
        </w:rPr>
        <w:t>Annex C: Maritime Services Trust Operating Terms</w:t>
      </w:r>
    </w:p>
    <w:p>
      <w:pPr>
        <w:pStyle w:val="Normal"/>
        <w:spacing w:after="140"/>
        <w:ind w:left="576" w:hanging="576"/>
      </w:pPr>
      <w:r>
        <w:rPr>
          <w:b/>
          <w:color w:val="263238"/>
          <w:szCs w:val="24"/>
          <w:lang w:val="en-CA" w:eastAsia="en-CA" w:bidi="ar-SA"/>
          <w:rFonts w:ascii="Calibri" w:hAnsi="Calibri" w:eastAsia="Calibri" w:cs="Calibri"/>
          <w:sz w:val="18"/>
        </w:rPr>
        <w:t xml:space="preserve">C.1  </w:t>
      </w:r>
      <w:r>
        <w:rPr>
          <w:szCs w:val="24"/>
          <w:lang w:val="en-CA" w:eastAsia="en-CA" w:bidi="ar-SA"/>
          <w:rFonts w:ascii="Calibri" w:hAnsi="Calibri" w:eastAsia="Calibri" w:cs="Calibri"/>
          <w:color w:val="263238"/>
          <w:sz w:val="21"/>
        </w:rPr>
        <w:t>Administrator</w:t>
        <w:t xml:space="preserve"> and board. The IMO administers the Trust. The board seats two Iranian members, two Omani members, one IMO chair, one International Chamber of Shipping member, one BIMCO member, and one rotating flag-state member.</w:t>
      </w:r>
    </w:p>
    <w:p>
      <w:pPr>
        <w:pStyle w:val="Normal"/>
        <w:spacing w:after="140"/>
        <w:ind w:left="576" w:hanging="576"/>
      </w:pPr>
      <w:r>
        <w:rPr>
          <w:b/>
          <w:color w:val="263238"/>
          <w:szCs w:val="24"/>
          <w:lang w:val="en-CA" w:eastAsia="en-CA" w:bidi="ar-SA"/>
          <w:rFonts w:ascii="Calibri" w:hAnsi="Calibri" w:eastAsia="Calibri" w:cs="Calibri"/>
          <w:sz w:val="18"/>
        </w:rPr>
        <w:t xml:space="preserve">C.2  </w:t>
      </w:r>
      <w:r>
        <w:rPr>
          <w:szCs w:val="24"/>
          <w:lang w:val="en-CA" w:eastAsia="en-CA" w:bidi="ar-SA"/>
          <w:rFonts w:ascii="Calibri" w:hAnsi="Calibri" w:eastAsia="Calibri" w:cs="Calibri"/>
          <w:color w:val="263238"/>
          <w:sz w:val="21"/>
        </w:rPr>
        <w:t>Income</w:t>
        <w:t>. Voluntary industry contributions through the International Chamber of Shipping and BIMCO; anchored contributions from the Endorsing Stakeholder and other flag states; a standing contribution from each Strait State. No income attaches to any transit.</w:t>
      </w:r>
    </w:p>
    <w:p>
      <w:pPr>
        <w:pStyle w:val="Normal"/>
        <w:spacing w:after="140"/>
        <w:ind w:left="576" w:hanging="576"/>
      </w:pPr>
      <w:r>
        <w:rPr>
          <w:b/>
          <w:color w:val="263238"/>
          <w:szCs w:val="24"/>
          <w:lang w:val="en-CA" w:eastAsia="en-CA" w:bidi="ar-SA"/>
          <w:rFonts w:ascii="Calibri" w:hAnsi="Calibri" w:eastAsia="Calibri" w:cs="Calibri"/>
          <w:sz w:val="18"/>
        </w:rPr>
        <w:t xml:space="preserve">C.3  </w:t>
      </w:r>
      <w:r>
        <w:rPr>
          <w:szCs w:val="24"/>
          <w:lang w:val="en-CA" w:eastAsia="en-CA" w:bidi="ar-SA"/>
          <w:rFonts w:ascii="Calibri" w:hAnsi="Calibri" w:eastAsia="Calibri" w:cs="Calibri"/>
          <w:color w:val="263238"/>
          <w:sz w:val="21"/>
        </w:rPr>
        <w:t>Outflow</w:t>
        <w:t>. Quarterly reimbursement against audited invoices for eligible services: traffic separation management, hydrography and charting, aids to navigation, search and rescue readiness, environmental monitoring, oil spill response readiness, and mine-risk patrol coordination. Annual ceiling: USD 900 million, indexed, divided per audited service records.</w:t>
      </w:r>
    </w:p>
    <w:p>
      <w:pPr>
        <w:pStyle w:val="Normal"/>
        <w:spacing w:after="140"/>
        <w:ind w:left="576" w:hanging="576"/>
      </w:pPr>
      <w:r>
        <w:rPr>
          <w:b/>
          <w:color w:val="263238"/>
          <w:szCs w:val="24"/>
          <w:lang w:val="en-CA" w:eastAsia="en-CA" w:bidi="ar-SA"/>
          <w:rFonts w:ascii="Calibri" w:hAnsi="Calibri" w:eastAsia="Calibri" w:cs="Calibri"/>
          <w:sz w:val="18"/>
        </w:rPr>
        <w:t xml:space="preserve">C.4  </w:t>
      </w:r>
      <w:r>
        <w:rPr>
          <w:szCs w:val="24"/>
          <w:lang w:val="en-CA" w:eastAsia="en-CA" w:bidi="ar-SA"/>
          <w:rFonts w:ascii="Calibri" w:hAnsi="Calibri" w:eastAsia="Calibri" w:cs="Calibri"/>
          <w:color w:val="263238"/>
          <w:sz w:val="21"/>
        </w:rPr>
        <w:t>Audit</w:t>
        <w:t>. An IMO-appointed external auditor examines every invoice before reimbursement. The Trust publishes an annual report in full.</w:t>
      </w:r>
    </w:p>
    <w:p>
      <w:pPr>
        <w:pStyle w:val="Normal"/>
        <w:spacing w:after="140"/>
        <w:ind w:left="576" w:hanging="576"/>
      </w:pPr>
      <w:r>
        <w:rPr>
          <w:b/>
          <w:color w:val="263238"/>
          <w:szCs w:val="24"/>
          <w:lang w:val="en-CA" w:eastAsia="en-CA" w:bidi="ar-SA"/>
          <w:rFonts w:ascii="Calibri" w:hAnsi="Calibri" w:eastAsia="Calibri" w:cs="Calibri"/>
          <w:sz w:val="18"/>
        </w:rPr>
        <w:t xml:space="preserve">C.5  </w:t>
      </w:r>
      <w:r>
        <w:rPr>
          <w:szCs w:val="24"/>
          <w:lang w:val="en-CA" w:eastAsia="en-CA" w:bidi="ar-SA"/>
          <w:rFonts w:ascii="Calibri" w:hAnsi="Calibri" w:eastAsia="Calibri" w:cs="Calibri"/>
          <w:color w:val="263238"/>
          <w:sz w:val="21"/>
        </w:rPr>
        <w:t>Safe</w:t>
        <w:t xml:space="preserve"> Registry. Contributing operators join the public Safe Registry and receive priority convoy scheduling and the Commission safety certification. Participation stays voluntary; transit stays free regardless (Article 10.5).</w:t>
      </w:r>
    </w:p>
    <w:p>
      <w:pPr>
        <w:pStyle w:val="Normal"/>
        <w:spacing w:after="140"/>
        <w:ind w:left="576" w:hanging="576"/>
      </w:pPr>
      <w:r>
        <w:rPr>
          <w:b/>
          <w:color w:val="263238"/>
          <w:szCs w:val="24"/>
          <w:lang w:val="en-CA" w:eastAsia="en-CA" w:bidi="ar-SA"/>
          <w:rFonts w:ascii="Calibri" w:hAnsi="Calibri" w:eastAsia="Calibri" w:cs="Calibri"/>
          <w:sz w:val="18"/>
        </w:rPr>
        <w:t xml:space="preserve">C.6  </w:t>
      </w:r>
      <w:r>
        <w:rPr>
          <w:szCs w:val="24"/>
          <w:lang w:val="en-CA" w:eastAsia="en-CA" w:bidi="ar-SA"/>
          <w:rFonts w:ascii="Calibri" w:hAnsi="Calibri" w:eastAsia="Calibri" w:cs="Calibri"/>
          <w:color w:val="263238"/>
          <w:sz w:val="21"/>
        </w:rPr>
        <w:t>Continuity</w:t>
        <w:t>. The Trust charter contains no sunset clause and no automatic review that suspends operations. The Trust operates on the continuous horizon of Article 4.</w:t>
      </w:r>
    </w:p>
    <w:p>
      <w:pPr>
        <w:pStyle w:val="Heading2"/>
      </w:pPr>
      <w:r>
        <w:rPr>
          <w:szCs w:val="24"/>
          <w:lang w:val="en-CA" w:eastAsia="en-CA" w:bidi="ar-SA"/>
          <w:rFonts w:ascii="Calibri" w:hAnsi="Calibri" w:eastAsia="Calibri" w:cs="Calibri"/>
          <w:b/>
          <w:color w:val="546E7A"/>
          <w:sz w:val="20"/>
        </w:rPr>
        <w:t>Annex D: Islamabad MOU Alignment Table</w:t>
      </w:r>
    </w:p>
    <w:p>
      <w:pPr>
        <w:pStyle w:val="Normal"/>
      </w:pPr>
      <w:r>
        <w:rPr>
          <w:szCs w:val="24"/>
          <w:lang w:val="en-CA" w:eastAsia="en-CA" w:bidi="ar-SA"/>
          <w:rFonts w:ascii="Calibri" w:hAnsi="Calibri" w:eastAsia="Calibri" w:cs="Calibri"/>
          <w:color w:val="263238"/>
          <w:sz w:val="21"/>
        </w:rPr>
        <w:t>The table below maps every operative paragraph of the Islamabad Memorandum of Understanding to its implementing provision in this Compact. Nothing transfers into this Compact without an address; nothing in the MOU dies in the move (</w:t>
        <w:t>Nofade</w:t>
        <w:t>, Article 4).</w:t>
      </w:r>
    </w:p>
    <w:tbl>
      <w:tblPr>
        <w:tblStyle w:val="TableNormal"/>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4212"/>
        <w:gridCol w:w="2808"/>
        <w:gridCol w:w="2206"/>
      </w:tblGrid>
      <w:tr>
        <w:trPr>
          <w:tblHeader w:val="1"/>
        </w:trPr>
        <w:tc>
          <w:tcPr>
            <w:tcW w:w="4212" w:type="dxa"/>
            <w:shd w:val="clear" w:color="auto" w:fill="EDF2F4"/>
          </w:tcPr>
          <w:p>
            <w:pPr>
              <w:pStyle w:val="Normal"/>
              <w:spacing w:before="30" w:after="30" w:line="240" w:lineRule="auto"/>
              <w:jc w:val="left"/>
            </w:pPr>
            <w:r>
              <w:rPr>
                <w:szCs w:val="24"/>
                <w:lang w:val="en-CA" w:eastAsia="en-CA" w:bidi="ar-SA"/>
                <w:rFonts w:ascii="Calibri" w:hAnsi="Calibri" w:eastAsia="Calibri" w:cs="Calibri"/>
                <w:color w:val="263238"/>
                <w:sz w:val="21"/>
              </w:rPr>
              <w:t>MOU provision</w:t>
            </w:r>
          </w:p>
        </w:tc>
        <w:tc>
          <w:tcPr>
            <w:tcW w:w="2808"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Compact article</w:t>
            </w:r>
          </w:p>
        </w:tc>
        <w:tc>
          <w:tcPr>
            <w:tcW w:w="2206" w:type="dxa"/>
            <w:shd w:val="clear" w:color="auto" w:fill="EDF2F4"/>
          </w:tcPr>
          <w:p>
            <w:pPr>
              <w:pStyle w:val="Normal"/>
              <w:spacing w:before="30" w:after="30" w:line="240" w:lineRule="auto"/>
              <w:jc w:val="left"/>
            </w:pPr>
            <w:r>
              <w:rPr>
                <w:b/>
                <w:color w:val="263238"/>
                <w:sz w:val="21"/>
                <w:szCs w:val="24"/>
                <w:lang w:val="en-CA" w:eastAsia="en-CA" w:bidi="ar-SA"/>
                <w:rFonts w:ascii="Calibri" w:hAnsi="Calibri" w:eastAsia="Calibri" w:cs="Calibri"/>
              </w:rPr>
              <w:t>Implementation status</w:t>
            </w:r>
          </w:p>
        </w:tc>
      </w:tr>
      <w:tr>
        <w:tc>
          <w:tcPr>
            <w:tcW w:w="4212" w:type="dxa"/>
          </w:tcPr>
          <w:p>
            <w:pPr>
              <w:pStyle w:val="Normal"/>
              <w:spacing w:before="30" w:after="30" w:line="240" w:lineRule="auto"/>
              <w:jc w:val="left"/>
            </w:pPr>
            <w:r>
              <w:rPr>
                <w:sz w:val="18"/>
                <w:szCs w:val="24"/>
                <w:lang w:val="en-CA" w:eastAsia="en-CA" w:bidi="ar-SA"/>
                <w:rFonts w:ascii="Calibri" w:hAnsi="Calibri" w:eastAsia="Calibri" w:cs="Calibri"/>
                <w:color w:val="263238"/>
              </w:rPr>
              <w:t>Para 1: Permanent termination of military operations</w:t>
            </w:r>
          </w:p>
        </w:tc>
        <w:tc>
          <w:tcPr>
            <w:tcW w:w="2808" w:type="dxa"/>
          </w:tcPr>
          <w:p>
            <w:pPr>
              <w:pStyle w:val="Normal"/>
              <w:spacing w:before="30" w:after="30" w:line="240" w:lineRule="auto"/>
              <w:jc w:val="left"/>
            </w:pPr>
            <w:r>
              <w:rPr>
                <w:sz w:val="18"/>
                <w:szCs w:val="24"/>
                <w:lang w:val="en-CA" w:eastAsia="en-CA" w:bidi="ar-SA"/>
                <w:rFonts w:ascii="Calibri" w:hAnsi="Calibri" w:eastAsia="Calibri" w:cs="Calibri"/>
                <w:color w:val="263238"/>
              </w:rPr>
              <w:t>Articles 5, 11, 14</w:t>
            </w:r>
          </w:p>
        </w:tc>
        <w:tc>
          <w:tcPr>
            <w:tcW w:w="2206" w:type="dxa"/>
          </w:tcPr>
          <w:p>
            <w:pPr>
              <w:pStyle w:val="Normal"/>
              <w:spacing w:before="30" w:after="30" w:line="240" w:lineRule="auto"/>
              <w:jc w:val="left"/>
            </w:pPr>
            <w:r>
              <w:rPr>
                <w:sz w:val="18"/>
                <w:szCs w:val="24"/>
                <w:lang w:val="en-CA" w:eastAsia="en-CA" w:bidi="ar-SA"/>
                <w:rFonts w:ascii="Calibri" w:hAnsi="Calibri" w:eastAsia="Calibri" w:cs="Calibri"/>
                <w:color w:val="263238"/>
              </w:rPr>
              <w:t>Full</w:t>
            </w:r>
          </w:p>
        </w:tc>
      </w:tr>
      <w:tr>
        <w:tc>
          <w:tcPr>
            <w:tcW w:w="4212" w:type="dxa"/>
          </w:tcPr>
          <w:p>
            <w:pPr>
              <w:pStyle w:val="Normal"/>
              <w:spacing w:before="30" w:after="30" w:line="240" w:lineRule="auto"/>
              <w:jc w:val="left"/>
            </w:pPr>
            <w:r>
              <w:rPr>
                <w:sz w:val="18"/>
                <w:szCs w:val="24"/>
                <w:lang w:val="en-CA" w:eastAsia="en-CA" w:bidi="ar-SA"/>
                <w:rFonts w:ascii="Calibri" w:hAnsi="Calibri" w:eastAsia="Calibri" w:cs="Calibri"/>
                <w:color w:val="263238"/>
              </w:rPr>
              <w:t>Para 2: Sovereignty, territorial integrity, non-interference</w:t>
            </w:r>
          </w:p>
        </w:tc>
        <w:tc>
          <w:tcPr>
            <w:tcW w:w="2808" w:type="dxa"/>
          </w:tcPr>
          <w:p>
            <w:pPr>
              <w:pStyle w:val="Normal"/>
              <w:spacing w:before="30" w:after="30" w:line="240" w:lineRule="auto"/>
              <w:jc w:val="left"/>
            </w:pPr>
            <w:r>
              <w:rPr>
                <w:sz w:val="18"/>
                <w:szCs w:val="24"/>
                <w:lang w:val="en-CA" w:eastAsia="en-CA" w:bidi="ar-SA"/>
                <w:rFonts w:ascii="Calibri" w:hAnsi="Calibri" w:eastAsia="Calibri" w:cs="Calibri"/>
                <w:color w:val="263238"/>
              </w:rPr>
              <w:t>Articles 2, 3.1, 16.4</w:t>
            </w:r>
          </w:p>
        </w:tc>
        <w:tc>
          <w:tcPr>
            <w:tcW w:w="2206" w:type="dxa"/>
          </w:tcPr>
          <w:p>
            <w:pPr>
              <w:pStyle w:val="Normal"/>
              <w:spacing w:before="30" w:after="30" w:line="240" w:lineRule="auto"/>
              <w:jc w:val="left"/>
            </w:pPr>
            <w:r>
              <w:rPr>
                <w:sz w:val="18"/>
                <w:szCs w:val="24"/>
                <w:lang w:val="en-CA" w:eastAsia="en-CA" w:bidi="ar-SA"/>
                <w:rFonts w:ascii="Calibri" w:hAnsi="Calibri" w:eastAsia="Calibri" w:cs="Calibri"/>
                <w:color w:val="263238"/>
              </w:rPr>
              <w:t>Full</w:t>
            </w:r>
          </w:p>
        </w:tc>
      </w:tr>
      <w:tr>
        <w:tc>
          <w:tcPr>
            <w:tcW w:w="4212" w:type="dxa"/>
          </w:tcPr>
          <w:p>
            <w:pPr>
              <w:pStyle w:val="Normal"/>
              <w:spacing w:before="30" w:after="30" w:line="240" w:lineRule="auto"/>
              <w:jc w:val="left"/>
            </w:pPr>
            <w:r>
              <w:rPr>
                <w:sz w:val="18"/>
                <w:szCs w:val="24"/>
                <w:lang w:val="en-CA" w:eastAsia="en-CA" w:bidi="ar-SA"/>
                <w:rFonts w:ascii="Calibri" w:hAnsi="Calibri" w:eastAsia="Calibri" w:cs="Calibri"/>
                <w:color w:val="263238"/>
              </w:rPr>
              <w:t>Para 3: Final deal within 60 days, extendable</w:t>
            </w:r>
          </w:p>
        </w:tc>
        <w:tc>
          <w:tcPr>
            <w:tcW w:w="2808" w:type="dxa"/>
          </w:tcPr>
          <w:p>
            <w:pPr>
              <w:pStyle w:val="Normal"/>
              <w:spacing w:before="30" w:after="30" w:line="240" w:lineRule="auto"/>
              <w:jc w:val="left"/>
            </w:pPr>
            <w:r>
              <w:rPr>
                <w:sz w:val="18"/>
                <w:szCs w:val="24"/>
                <w:lang w:val="en-CA" w:eastAsia="en-CA" w:bidi="ar-SA"/>
                <w:rFonts w:ascii="Calibri" w:hAnsi="Calibri" w:eastAsia="Calibri" w:cs="Calibri"/>
                <w:color w:val="263238"/>
              </w:rPr>
              <w:t>Articles 1.4, 23.2</w:t>
            </w:r>
          </w:p>
        </w:tc>
        <w:tc>
          <w:tcPr>
            <w:tcW w:w="2206" w:type="dxa"/>
          </w:tcPr>
          <w:p>
            <w:pPr>
              <w:pStyle w:val="Normal"/>
              <w:spacing w:before="30" w:after="30" w:line="240" w:lineRule="auto"/>
              <w:jc w:val="left"/>
            </w:pPr>
            <w:r>
              <w:rPr>
                <w:sz w:val="18"/>
                <w:szCs w:val="24"/>
                <w:lang w:val="en-CA" w:eastAsia="en-CA" w:bidi="ar-SA"/>
                <w:rFonts w:ascii="Calibri" w:hAnsi="Calibri" w:eastAsia="Calibri" w:cs="Calibri"/>
                <w:color w:val="263238"/>
              </w:rPr>
              <w:t>Full</w:t>
            </w:r>
          </w:p>
        </w:tc>
      </w:tr>
      <w:tr>
        <w:tc>
          <w:tcPr>
            <w:tcW w:w="4212" w:type="dxa"/>
          </w:tcPr>
          <w:p>
            <w:pPr>
              <w:pStyle w:val="Normal"/>
              <w:spacing w:before="30" w:after="30" w:line="240" w:lineRule="auto"/>
              <w:jc w:val="left"/>
            </w:pPr>
            <w:r>
              <w:rPr>
                <w:sz w:val="18"/>
                <w:szCs w:val="24"/>
                <w:lang w:val="en-CA" w:eastAsia="en-CA" w:bidi="ar-SA"/>
                <w:rFonts w:ascii="Calibri" w:hAnsi="Calibri" w:eastAsia="Calibri" w:cs="Calibri"/>
                <w:color w:val="263238"/>
              </w:rPr>
              <w:t>Para 6: Reconstruction plan of at least USD 300 billion</w:t>
            </w:r>
          </w:p>
        </w:tc>
        <w:tc>
          <w:tcPr>
            <w:tcW w:w="2808" w:type="dxa"/>
          </w:tcPr>
          <w:p>
            <w:pPr>
              <w:pStyle w:val="Normal"/>
              <w:spacing w:before="30" w:after="30" w:line="240" w:lineRule="auto"/>
              <w:jc w:val="left"/>
            </w:pPr>
            <w:r>
              <w:rPr>
                <w:sz w:val="18"/>
                <w:szCs w:val="24"/>
                <w:lang w:val="en-CA" w:eastAsia="en-CA" w:bidi="ar-SA"/>
                <w:rFonts w:ascii="Calibri" w:hAnsi="Calibri" w:eastAsia="Calibri" w:cs="Calibri"/>
                <w:color w:val="263238"/>
              </w:rPr>
              <w:t>Article 15.1 (Table 2), Annex C</w:t>
            </w:r>
          </w:p>
        </w:tc>
        <w:tc>
          <w:tcPr>
            <w:tcW w:w="2206" w:type="dxa"/>
          </w:tcPr>
          <w:p>
            <w:pPr>
              <w:pStyle w:val="Normal"/>
              <w:spacing w:before="30" w:after="30" w:line="240" w:lineRule="auto"/>
              <w:jc w:val="left"/>
            </w:pPr>
            <w:r>
              <w:rPr>
                <w:sz w:val="18"/>
                <w:szCs w:val="24"/>
                <w:lang w:val="en-CA" w:eastAsia="en-CA" w:bidi="ar-SA"/>
                <w:rFonts w:ascii="Calibri" w:hAnsi="Calibri" w:eastAsia="Calibri" w:cs="Calibri"/>
                <w:color w:val="263238"/>
              </w:rPr>
              <w:t>Partial; funding confirmation pending</w:t>
            </w:r>
          </w:p>
        </w:tc>
      </w:tr>
      <w:tr>
        <w:tc>
          <w:tcPr>
            <w:tcW w:w="4212" w:type="dxa"/>
          </w:tcPr>
          <w:p>
            <w:pPr>
              <w:pStyle w:val="Normal"/>
              <w:spacing w:before="30" w:after="30" w:line="240" w:lineRule="auto"/>
              <w:jc w:val="left"/>
            </w:pPr>
            <w:r>
              <w:rPr>
                <w:sz w:val="18"/>
                <w:szCs w:val="24"/>
                <w:lang w:val="en-CA" w:eastAsia="en-CA" w:bidi="ar-SA"/>
                <w:rFonts w:ascii="Calibri" w:hAnsi="Calibri" w:eastAsia="Calibri" w:cs="Calibri"/>
                <w:color w:val="263238"/>
              </w:rPr>
              <w:t>Para 7: Termination of sanctions on an agreed schedule</w:t>
            </w:r>
          </w:p>
        </w:tc>
        <w:tc>
          <w:tcPr>
            <w:tcW w:w="2808" w:type="dxa"/>
          </w:tcPr>
          <w:p>
            <w:pPr>
              <w:pStyle w:val="Normal"/>
              <w:spacing w:before="30" w:after="30" w:line="240" w:lineRule="auto"/>
              <w:jc w:val="left"/>
            </w:pPr>
            <w:r>
              <w:rPr>
                <w:sz w:val="18"/>
                <w:szCs w:val="24"/>
                <w:lang w:val="en-CA" w:eastAsia="en-CA" w:bidi="ar-SA"/>
                <w:rFonts w:ascii="Calibri" w:hAnsi="Calibri" w:eastAsia="Calibri" w:cs="Calibri"/>
                <w:color w:val="263238"/>
              </w:rPr>
              <w:t>Article 15.1 (Table 2)</w:t>
            </w:r>
          </w:p>
        </w:tc>
        <w:tc>
          <w:tcPr>
            <w:tcW w:w="2206" w:type="dxa"/>
          </w:tcPr>
          <w:p>
            <w:pPr>
              <w:pStyle w:val="Normal"/>
              <w:spacing w:before="30" w:after="30" w:line="240" w:lineRule="auto"/>
              <w:jc w:val="left"/>
            </w:pPr>
            <w:r>
              <w:rPr>
                <w:sz w:val="18"/>
                <w:szCs w:val="24"/>
                <w:lang w:val="en-CA" w:eastAsia="en-CA" w:bidi="ar-SA"/>
                <w:rFonts w:ascii="Calibri" w:hAnsi="Calibri" w:eastAsia="Calibri" w:cs="Calibri"/>
                <w:color w:val="263238"/>
              </w:rPr>
              <w:t>Full</w:t>
            </w:r>
          </w:p>
        </w:tc>
      </w:tr>
      <w:tr>
        <w:tc>
          <w:tcPr>
            <w:tcW w:w="4212" w:type="dxa"/>
          </w:tcPr>
          <w:p>
            <w:pPr>
              <w:pStyle w:val="Normal"/>
              <w:spacing w:before="30" w:after="30" w:line="240" w:lineRule="auto"/>
              <w:jc w:val="left"/>
            </w:pPr>
            <w:r>
              <w:rPr>
                <w:sz w:val="18"/>
                <w:szCs w:val="24"/>
                <w:lang w:val="en-CA" w:eastAsia="en-CA" w:bidi="ar-SA"/>
                <w:rFonts w:ascii="Calibri" w:hAnsi="Calibri" w:eastAsia="Calibri" w:cs="Calibri"/>
                <w:color w:val="263238"/>
              </w:rPr>
              <w:t xml:space="preserve">Para 8: No nuclear weapons; </w:t>
              <w:t>downblending</w:t>
              <w:t xml:space="preserve"> on site under IAEA supervision</w:t>
            </w:r>
          </w:p>
        </w:tc>
        <w:tc>
          <w:tcPr>
            <w:tcW w:w="2808" w:type="dxa"/>
          </w:tcPr>
          <w:p>
            <w:pPr>
              <w:pStyle w:val="Normal"/>
              <w:spacing w:before="30" w:after="30" w:line="240" w:lineRule="auto"/>
              <w:jc w:val="left"/>
            </w:pPr>
            <w:r>
              <w:rPr>
                <w:sz w:val="18"/>
                <w:szCs w:val="24"/>
                <w:lang w:val="en-CA" w:eastAsia="en-CA" w:bidi="ar-SA"/>
                <w:rFonts w:ascii="Calibri" w:hAnsi="Calibri" w:eastAsia="Calibri" w:cs="Calibri"/>
                <w:color w:val="263238"/>
              </w:rPr>
              <w:t>Article 12 (Dust to Fuel)</w:t>
            </w:r>
          </w:p>
        </w:tc>
        <w:tc>
          <w:tcPr>
            <w:tcW w:w="2206" w:type="dxa"/>
          </w:tcPr>
          <w:p>
            <w:pPr>
              <w:pStyle w:val="Normal"/>
              <w:spacing w:before="30" w:after="30" w:line="240" w:lineRule="auto"/>
              <w:jc w:val="left"/>
            </w:pPr>
            <w:r>
              <w:rPr>
                <w:sz w:val="18"/>
                <w:szCs w:val="24"/>
                <w:lang w:val="en-CA" w:eastAsia="en-CA" w:bidi="ar-SA"/>
                <w:rFonts w:ascii="Calibri" w:hAnsi="Calibri" w:eastAsia="Calibri" w:cs="Calibri"/>
                <w:color w:val="263238"/>
              </w:rPr>
              <w:t>Full</w:t>
            </w:r>
          </w:p>
        </w:tc>
      </w:tr>
      <w:tr>
        <w:tc>
          <w:tcPr>
            <w:tcW w:w="4212" w:type="dxa"/>
          </w:tcPr>
          <w:p>
            <w:pPr>
              <w:pStyle w:val="Normal"/>
              <w:spacing w:before="30" w:after="30" w:line="240" w:lineRule="auto"/>
              <w:jc w:val="left"/>
            </w:pPr>
            <w:r>
              <w:rPr>
                <w:sz w:val="18"/>
                <w:szCs w:val="24"/>
                <w:lang w:val="en-CA" w:eastAsia="en-CA" w:bidi="ar-SA"/>
                <w:rFonts w:ascii="Calibri" w:hAnsi="Calibri" w:eastAsia="Calibri" w:cs="Calibri"/>
                <w:color w:val="263238"/>
              </w:rPr>
              <w:t>Para 8 (continued): Enrichment levels and nuclear needs in the final deal</w:t>
            </w:r>
          </w:p>
        </w:tc>
        <w:tc>
          <w:tcPr>
            <w:tcW w:w="2808" w:type="dxa"/>
          </w:tcPr>
          <w:p>
            <w:pPr>
              <w:pStyle w:val="Normal"/>
              <w:spacing w:before="30" w:after="30" w:line="240" w:lineRule="auto"/>
              <w:jc w:val="left"/>
            </w:pPr>
            <w:r>
              <w:rPr>
                <w:sz w:val="18"/>
                <w:szCs w:val="24"/>
                <w:lang w:val="en-CA" w:eastAsia="en-CA" w:bidi="ar-SA"/>
                <w:rFonts w:ascii="Calibri" w:hAnsi="Calibri" w:eastAsia="Calibri" w:cs="Calibri"/>
                <w:color w:val="263238"/>
              </w:rPr>
              <w:t>Articles 12.7, 12.10</w:t>
            </w:r>
          </w:p>
        </w:tc>
        <w:tc>
          <w:tcPr>
            <w:tcW w:w="2206" w:type="dxa"/>
          </w:tcPr>
          <w:p>
            <w:pPr>
              <w:pStyle w:val="Normal"/>
              <w:spacing w:before="30" w:after="30" w:line="240" w:lineRule="auto"/>
              <w:jc w:val="left"/>
            </w:pPr>
            <w:r>
              <w:rPr>
                <w:sz w:val="18"/>
                <w:szCs w:val="24"/>
                <w:lang w:val="en-CA" w:eastAsia="en-CA" w:bidi="ar-SA"/>
                <w:rFonts w:ascii="Calibri" w:hAnsi="Calibri" w:eastAsia="Calibri" w:cs="Calibri"/>
                <w:color w:val="263238"/>
              </w:rPr>
              <w:t>Full</w:t>
            </w:r>
          </w:p>
        </w:tc>
      </w:tr>
    </w:tbl>
    <w:p>
      <w:pPr>
        <w:pStyle w:val="Normal"/>
        <w:spacing w:after="140"/>
      </w:pPr>
    </w:p>
    <w:p>
      <w:pPr>
        <w:pStyle w:val="Caption"/>
      </w:pPr>
      <w:r>
        <w:rPr>
          <w:szCs w:val="24"/>
          <w:lang w:val="en-CA" w:eastAsia="en-CA" w:bidi="ar-SA"/>
          <w:rFonts w:ascii="Calibri" w:hAnsi="Calibri" w:eastAsia="Calibri" w:cs="Calibri"/>
          <w:color w:val="23445A"/>
          <w:sz w:val="18"/>
          <w:b/>
        </w:rPr>
        <w:t>Table 8: MOU alignment</w:t>
      </w:r>
    </w:p>
    <w:p>
      <w:pPr>
        <w:pStyle w:val="Heading2"/>
      </w:pPr>
      <w:r>
        <w:rPr>
          <w:szCs w:val="24"/>
          <w:lang w:val="en-CA" w:eastAsia="en-CA" w:bidi="ar-SA"/>
          <w:rFonts w:ascii="Calibri" w:hAnsi="Calibri" w:eastAsia="Calibri" w:cs="Calibri"/>
          <w:b/>
          <w:color w:val="546E7A"/>
          <w:sz w:val="20"/>
        </w:rPr>
        <w:t>Annex E: Source Frameworks</w:t>
      </w:r>
    </w:p>
    <w:p>
      <w:pPr>
        <w:pStyle w:val="Normal"/>
      </w:pPr>
      <w:r>
        <w:rPr>
          <w:szCs w:val="24"/>
          <w:lang w:val="en-CA" w:eastAsia="en-CA" w:bidi="ar-SA"/>
          <w:rFonts w:ascii="Calibri" w:hAnsi="Calibri" w:eastAsia="Calibri" w:cs="Calibri"/>
          <w:color w:val="263238"/>
          <w:sz w:val="21"/>
        </w:rPr>
        <w:t xml:space="preserve">This Compact integrates, adapts, and simplifies the following source frameworks: the </w:t>
        <w:t>Cothrom</w:t>
        <w:t xml:space="preserve"> Verification Method (reciprocal verification and simultaneous data); the Agere Verification Protocol (proportionate consequences with guaranteed recuperation); the </w:t>
        <w:t>Consonantia</w:t>
        <w:t xml:space="preserve"> Alignment Protocol (pattern-based recalibration without penalty presumption); Al-</w:t>
        <w:t>Tabadul</w:t>
        <w:t xml:space="preserve"> al-</w:t>
        <w:t>Mutakafi</w:t>
        <w:t xml:space="preserve"> (equivalent exchange, symmetric balance, and the Good Faith Reset); Zona </w:t>
        <w:t>Aequalis</w:t>
        <w:t xml:space="preserve"> (positive-teeth earn-back and zone architecture); the Step-back and Earn-back architecture (tiers, cooling-off, sequencing, and the humanitarian absolute); the Demerit Point Matrix (consequence calibration and expiration); the Emergency De-escalation Protocol for the Strait of Hormuz (standstill, phased mine clearance, defended corridor logic, and insurance stabilization); the Joint Statement of 12 July 2026 (communiqué architecture and scenario branching); and the structural lessons of the Crash Test Car, Clover, and Desert architectures (shock absorption, the continuous horizon without sunset clauses, and spacious de-escalation). Where this Compact and a source framework diverge, this Compact governs.</w:t>
      </w:r>
    </w:p>
    <w:p>
      <w:pPr>
        <w:pStyle w:val="Heading2"/>
      </w:pPr>
      <w:r>
        <w:rPr>
          <w:szCs w:val="24"/>
          <w:lang w:val="en-CA" w:eastAsia="en-CA" w:bidi="ar-SA"/>
          <w:rFonts w:ascii="Calibri" w:hAnsi="Calibri" w:eastAsia="Calibri" w:cs="Calibri"/>
          <w:b/>
          <w:color w:val="546E7A"/>
          <w:sz w:val="20"/>
        </w:rPr>
        <w:t>Annex F: Mariner Welfare and Safety Guarantee</w:t>
      </w:r>
    </w:p>
    <w:p>
      <w:pPr>
        <w:pStyle w:val="Normal"/>
        <w:spacing w:after="140"/>
        <w:ind w:left="576" w:hanging="576"/>
      </w:pPr>
      <w:r>
        <w:rPr>
          <w:b/>
          <w:color w:val="263238"/>
          <w:szCs w:val="24"/>
          <w:lang w:val="en-CA" w:eastAsia="en-CA" w:bidi="ar-SA"/>
          <w:rFonts w:ascii="Calibri" w:hAnsi="Calibri" w:eastAsia="Calibri" w:cs="Calibri"/>
          <w:sz w:val="18"/>
        </w:rPr>
        <w:t xml:space="preserve">F.1  </w:t>
      </w:r>
      <w:r>
        <w:rPr>
          <w:szCs w:val="24"/>
          <w:lang w:val="en-CA" w:eastAsia="en-CA" w:bidi="ar-SA"/>
          <w:rFonts w:ascii="Calibri" w:hAnsi="Calibri" w:eastAsia="Calibri" w:cs="Calibri"/>
          <w:color w:val="263238"/>
          <w:sz w:val="21"/>
        </w:rPr>
        <w:t>Safe</w:t>
        <w:t xml:space="preserve"> passage. Every mariner of every flag enjoys safe and predictable passage through the Strait. A medical emergency activates immediate humanitarian lane access to the nearest port of either Strait State (Article 11B.2).</w:t>
      </w:r>
    </w:p>
    <w:p>
      <w:pPr>
        <w:pStyle w:val="Normal"/>
        <w:spacing w:after="140"/>
        <w:ind w:left="576" w:hanging="576"/>
      </w:pPr>
      <w:r>
        <w:rPr>
          <w:b/>
          <w:color w:val="263238"/>
          <w:szCs w:val="24"/>
          <w:lang w:val="en-CA" w:eastAsia="en-CA" w:bidi="ar-SA"/>
          <w:rFonts w:ascii="Calibri" w:hAnsi="Calibri" w:eastAsia="Calibri" w:cs="Calibri"/>
          <w:sz w:val="18"/>
        </w:rPr>
        <w:t xml:space="preserve">F.2  </w:t>
      </w:r>
      <w:r>
        <w:rPr>
          <w:szCs w:val="24"/>
          <w:lang w:val="en-CA" w:eastAsia="en-CA" w:bidi="ar-SA"/>
          <w:rFonts w:ascii="Calibri" w:hAnsi="Calibri" w:eastAsia="Calibri" w:cs="Calibri"/>
          <w:color w:val="263238"/>
          <w:sz w:val="21"/>
        </w:rPr>
        <w:t>Crew</w:t>
        <w:t xml:space="preserve"> changes. Crew changes operate through the public portal on a 72-hour standard processing target, and no compliance event suspends them.</w:t>
      </w:r>
    </w:p>
    <w:p>
      <w:pPr>
        <w:pStyle w:val="Normal"/>
        <w:spacing w:after="140"/>
        <w:ind w:left="576" w:hanging="576"/>
      </w:pPr>
      <w:r>
        <w:rPr>
          <w:b/>
          <w:color w:val="263238"/>
          <w:szCs w:val="24"/>
          <w:lang w:val="en-CA" w:eastAsia="en-CA" w:bidi="ar-SA"/>
          <w:rFonts w:ascii="Calibri" w:hAnsi="Calibri" w:eastAsia="Calibri" w:cs="Calibri"/>
          <w:sz w:val="18"/>
        </w:rPr>
        <w:t xml:space="preserve">F.3  </w:t>
      </w:r>
      <w:r>
        <w:rPr>
          <w:szCs w:val="24"/>
          <w:lang w:val="en-CA" w:eastAsia="en-CA" w:bidi="ar-SA"/>
          <w:rFonts w:ascii="Calibri" w:hAnsi="Calibri" w:eastAsia="Calibri" w:cs="Calibri"/>
          <w:color w:val="263238"/>
          <w:sz w:val="21"/>
        </w:rPr>
        <w:t>Consular</w:t>
        <w:t xml:space="preserve"> protection. Every detained mariner receives consular notification within 12 hours and access to legal assistance within 48 hours.</w:t>
      </w:r>
    </w:p>
    <w:p>
      <w:pPr>
        <w:pStyle w:val="Normal"/>
        <w:spacing w:after="140"/>
        <w:ind w:left="576" w:hanging="576"/>
      </w:pPr>
      <w:r>
        <w:rPr>
          <w:b/>
          <w:color w:val="263238"/>
          <w:szCs w:val="24"/>
          <w:lang w:val="en-CA" w:eastAsia="en-CA" w:bidi="ar-SA"/>
          <w:rFonts w:ascii="Calibri" w:hAnsi="Calibri" w:eastAsia="Calibri" w:cs="Calibri"/>
          <w:sz w:val="18"/>
        </w:rPr>
        <w:t xml:space="preserve">F.4  </w:t>
      </w:r>
      <w:r>
        <w:rPr>
          <w:szCs w:val="24"/>
          <w:lang w:val="en-CA" w:eastAsia="en-CA" w:bidi="ar-SA"/>
          <w:rFonts w:ascii="Calibri" w:hAnsi="Calibri" w:eastAsia="Calibri" w:cs="Calibri"/>
          <w:color w:val="263238"/>
          <w:sz w:val="21"/>
        </w:rPr>
        <w:t>Arbitrary</w:t>
        <w:t xml:space="preserve"> detention. The framework architecture excludes arbitrary detention of mariners. Every detention records its legal basis in the Shared Digital Registry, and the Ombudsman reviews the detention register quarterly.</w:t>
      </w:r>
    </w:p>
    <w:p>
      <w:pPr>
        <w:pStyle w:val="Normal"/>
      </w:pPr>
      <w:r>
        <w:rPr>
          <w:szCs w:val="24"/>
          <w:lang w:val="en-CA" w:eastAsia="en-CA" w:bidi="ar-SA"/>
          <w:rFonts w:ascii="Calibri" w:hAnsi="Calibri" w:eastAsia="Calibri" w:cs="Calibri"/>
          <w:color w:val="263238"/>
          <w:sz w:val="21"/>
        </w:rPr>
        <w:t>END OF COMPACT</w:t>
      </w:r>
    </w:p>
    <w:sectPr w:rsidR="00A54D89">
      <w:headerReference w:type="default" r:id="rId12"/>
      <w:footerReference w:type="default" r:id="rId13"/>
      <w:pgSz w:w="11906" w:h="16838"/>
      <w:pgMar w:top="180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DFF97" w14:textId="77777777" w:rsidR="00D75C23" w:rsidRDefault="00D75C23">
      <w:pPr>
        <w:spacing w:after="0" w:line="240" w:lineRule="auto"/>
      </w:pPr>
      <w:r>
        <w:separator/>
      </w:r>
    </w:p>
  </w:endnote>
  <w:endnote w:type="continuationSeparator" w:id="0">
    <w:p w14:paraId="78C0E1EB" w14:textId="77777777" w:rsidR="00D75C23" w:rsidRDefault="00D75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6594" w14:textId="77777777" w:rsidR="00EB4BE3" w:rsidRDefault="00EB4B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287AE" w14:textId="77777777" w:rsidR="00EB4BE3" w:rsidRDefault="00EB4B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78E52" w14:textId="77777777" w:rsidR="00EB4BE3" w:rsidRDefault="00EB4B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466A" w14:textId="77777777" w:rsidR="00A54D89" w:rsidRDefault="00000000">
    <w:pPr>
      <w:jc w:val="center"/>
    </w:pPr>
    <w:r>
      <w:rPr>
        <w:color w:val="8FA3AD"/>
        <w:sz w:val="17"/>
      </w:rPr>
      <w:fldChar w:fldCharType="begin"/>
    </w:r>
    <w:r>
      <w:rPr>
        <w:color w:val="8FA3AD"/>
        <w:sz w:val="17"/>
      </w:rPr>
      <w:instrText xml:space="preserve"> PAGE </w:instrText>
    </w:r>
    <w:r>
      <w:rPr>
        <w:color w:val="8FA3AD"/>
        <w:sz w:val="17"/>
      </w:rPr>
      <w:fldChar w:fldCharType="separate"/>
    </w:r>
    <w:r>
      <w:rPr>
        <w:color w:val="8FA3AD"/>
        <w:sz w:val="17"/>
      </w:rPr>
      <w:t>1</w:t>
    </w:r>
    <w:r>
      <w:rPr>
        <w:color w:val="8FA3AD"/>
        <w:sz w:val="17"/>
      </w:rPr>
      <w:fldChar w:fldCharType="end"/>
    </w:r>
    <w:r>
      <w:rPr>
        <w:color w:val="8FA3AD"/>
        <w:sz w:val="17"/>
      </w:rPr>
      <w:t xml:space="preserve">  /  </w:t>
    </w:r>
    <w:r>
      <w:rPr>
        <w:color w:val="8FA3AD"/>
        <w:sz w:val="17"/>
      </w:rPr>
      <w:fldChar w:fldCharType="begin"/>
    </w:r>
    <w:r>
      <w:rPr>
        <w:color w:val="8FA3AD"/>
        <w:sz w:val="17"/>
      </w:rPr>
      <w:instrText xml:space="preserve"> NUMPAGES </w:instrText>
    </w:r>
    <w:r>
      <w:rPr>
        <w:color w:val="8FA3AD"/>
        <w:sz w:val="17"/>
      </w:rPr>
      <w:fldChar w:fldCharType="separate"/>
    </w:r>
    <w:r>
      <w:rPr>
        <w:color w:val="8FA3AD"/>
        <w:sz w:val="17"/>
      </w:rPr>
      <w:t>1</w:t>
    </w:r>
    <w:r>
      <w:rPr>
        <w:color w:val="8FA3AD"/>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11070" w14:textId="77777777" w:rsidR="00D75C23" w:rsidRDefault="00D75C23">
      <w:pPr>
        <w:spacing w:after="0" w:line="240" w:lineRule="auto"/>
      </w:pPr>
      <w:r>
        <w:separator/>
      </w:r>
    </w:p>
  </w:footnote>
  <w:footnote w:type="continuationSeparator" w:id="0">
    <w:p w14:paraId="7EB75EFE" w14:textId="77777777" w:rsidR="00D75C23" w:rsidRDefault="00D75C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8FCBD" w14:textId="77777777" w:rsidR="00EB4BE3" w:rsidRDefault="00EB4B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D8032" w14:textId="77777777" w:rsidR="00EB4BE3" w:rsidRDefault="00EB4B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176AB" w14:textId="77777777" w:rsidR="00EB4BE3" w:rsidRDefault="00EB4B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3341" w14:textId="77777777" w:rsidR="00A54D89" w:rsidRDefault="00000000">
    <w:pPr>
      <w:pBdr>
        <w:bottom w:val="single" w:sz="4" w:space="2" w:color="B8860B"/>
      </w:pBdr>
      <w:jc w:val="right"/>
    </w:pPr>
    <w:r>
      <w:rPr>
        <w:color w:val="8FA3AD"/>
        <w:sz w:val="17"/>
      </w:rPr>
      <w:t xml:space="preserve">The Triad Bridge </w:t>
    </w:r>
    <w:proofErr w:type="gramStart"/>
    <w:r>
      <w:rPr>
        <w:color w:val="8FA3AD"/>
        <w:sz w:val="17"/>
      </w:rPr>
      <w:t>Compact  |</w:t>
    </w:r>
    <w:proofErr w:type="gramEnd"/>
    <w:r>
      <w:rPr>
        <w:color w:val="8FA3AD"/>
        <w:sz w:val="17"/>
      </w:rPr>
      <w:t xml:space="preserve">  Muscat, July 2026</w:t>
    </w:r>
  </w:p>
</w:hdr>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54D89"/>
    <w:rsid w:val="00A54D89"/>
    <w:rsid w:val="00B626D1"/>
    <w:rsid w:val="00D75C23"/>
    <w:rsid w:val="00EB4BE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F8A5C"/>
  <w15:docId w15:val="{13051A88-C03F-4885-8E9B-1AF5E9B5D614}"/>
  <w:evenAndOddHeader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jc w:val="both"/>
    </w:pPr>
    <w:rPr>
      <w:rFonts w:ascii="Calibri" w:hAnsi="Calibri"/>
      <w:color w:val="263238"/>
      <w:sz w:val="21"/>
    </w:rPr>
  </w:style>
  <w:style w:type="paragraph" w:styleId="Heading1">
    <w:name w:val="heading 1"/>
    <w:basedOn w:val="Normal"/>
    <w:uiPriority w:val="9"/>
    <w:qFormat/>
    <w:pPr>
      <w:keepNext/>
      <w:keepLines/>
      <w:spacing w:before="480" w:after="200"/>
      <w:jc w:val="left"/>
      <w:outlineLvl w:val="0"/>
    </w:pPr>
    <w:rPr>
      <w:b/>
      <w:color w:val="23445A"/>
      <w:sz w:val="32"/>
    </w:rPr>
  </w:style>
  <w:style w:type="paragraph" w:styleId="Heading2">
    <w:name w:val="heading 2"/>
    <w:basedOn w:val="Normal"/>
    <w:uiPriority w:val="9"/>
    <w:unhideWhenUsed/>
    <w:qFormat/>
    <w:pPr>
      <w:keepNext/>
      <w:keepLines/>
      <w:spacing w:before="320" w:after="140"/>
      <w:jc w:val="left"/>
      <w:outlineLvl w:val="1"/>
    </w:pPr>
    <w:rPr>
      <w:b/>
      <w:color w:val="2F5670"/>
      <w:sz w:val="26"/>
    </w:rPr>
  </w:style>
  <w:style w:type="paragraph" w:styleId="Heading3">
    <w:name w:val="heading 3"/>
    <w:basedOn w:val="Normal"/>
    <w:uiPriority w:val="9"/>
    <w:semiHidden/>
    <w:unhideWhenUsed/>
    <w:qFormat/>
    <w:pPr>
      <w:keepNext/>
      <w:keepLines/>
      <w:spacing w:before="240" w:after="100"/>
      <w:jc w:val="left"/>
      <w:outlineLvl w:val="2"/>
    </w:pPr>
    <w:rPr>
      <w:b/>
      <w:color w:val="4A6572"/>
      <w:sz w:val="22"/>
    </w:rPr>
  </w:style>
  <w:style w:type="paragraph" w:styleId="Heading4">
    <w:name w:val="heading 4"/>
    <w:basedOn w:val="Normal"/>
    <w:next w:val="Normal"/>
    <w:link w:val="Heading4Char"/>
    <w:uiPriority w:val="9"/>
    <w:semiHidden/>
    <w:unhideWhenUsed/>
    <w:qFormat/>
    <w:rsid w:val="00EB4BE3"/>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4BE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B4BE3"/>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B4BE3"/>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B4BE3"/>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EB4BE3"/>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40"/>
      <w:jc w:val="center"/>
    </w:pPr>
    <w:rPr>
      <w:color w:val="8FA3AD"/>
      <w:sz w:val="18"/>
    </w:rPr>
  </w:style>
  <w:style w:type="paragraph" w:styleId="TOC1">
    <w:name w:val="toc 1"/>
    <w:basedOn w:val="Normal"/>
    <w:pPr>
      <w:tabs>
        <w:tab w:val="right" w:leader="dot" w:pos="9350"/>
      </w:tabs>
      <w:spacing w:before="60" w:after="20" w:line="260" w:lineRule="auto"/>
      <w:jc w:val="left"/>
    </w:pPr>
    <w:rPr>
      <w:b/>
      <w:sz w:val="20"/>
    </w:rPr>
  </w:style>
  <w:style w:type="paragraph" w:styleId="TOC2">
    <w:name w:val="toc 2"/>
    <w:basedOn w:val="Normal"/>
    <w:pPr>
      <w:tabs>
        <w:tab w:val="right" w:leader="dot" w:pos="9350"/>
      </w:tabs>
      <w:spacing w:before="20" w:after="20" w:line="260" w:lineRule="auto"/>
      <w:ind w:left="360"/>
      <w:jc w:val="left"/>
    </w:pPr>
    <w:rPr>
      <w:color w:val="546E7A"/>
      <w:sz w:val="20"/>
    </w:rPr>
  </w:style>
  <w:style w:type="paragraph" w:styleId="Header">
    <w:name w:val="header"/>
    <w:basedOn w:val="Normal"/>
    <w:link w:val="HeaderChar"/>
    <w:uiPriority w:val="99"/>
    <w:unhideWhenUsed/>
    <w:rsid w:val="00EB4B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E3"/>
    <w:rPr>
      <w:rFonts w:ascii="Calibri" w:hAnsi="Calibri"/>
      <w:color w:val="263238"/>
      <w:sz w:val="21"/>
    </w:rPr>
  </w:style>
  <w:style w:type="paragraph" w:styleId="Footer">
    <w:name w:val="footer"/>
    <w:basedOn w:val="Normal"/>
    <w:link w:val="FooterChar"/>
    <w:uiPriority w:val="99"/>
    <w:unhideWhenUsed/>
    <w:rsid w:val="00EB4B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E3"/>
    <w:rPr>
      <w:rFonts w:ascii="Calibri" w:hAnsi="Calibri"/>
      <w:color w:val="263238"/>
      <w:sz w:val="21"/>
    </w:rPr>
  </w:style>
  <w:style w:type="character" w:styleId="BookTitle">
    <w:name w:val="Book Title"/>
    <w:basedOn w:val="DefaultParagraphFont"/>
    <w:uiPriority w:val="33"/>
    <w:qFormat/>
    <w:rsid w:val="00EB4BE3"/>
    <w:rPr>
      <w:b/>
      <w:bCs/>
      <w:i/>
      <w:iCs/>
      <w:spacing w:val="5"/>
    </w:rPr>
  </w:style>
  <w:style w:type="character" w:styleId="Emphasis">
    <w:name w:val="Emphasis"/>
    <w:basedOn w:val="DefaultParagraphFont"/>
    <w:uiPriority w:val="20"/>
    <w:qFormat/>
    <w:rsid w:val="00EB4BE3"/>
    <w:rPr>
      <w:i/>
      <w:iCs/>
    </w:rPr>
  </w:style>
  <w:style w:type="character" w:customStyle="1" w:styleId="Heading4Char">
    <w:name w:val="Heading 4 Char"/>
    <w:basedOn w:val="DefaultParagraphFont"/>
    <w:link w:val="Heading4"/>
    <w:uiPriority w:val="9"/>
    <w:semiHidden/>
    <w:rsid w:val="00EB4BE3"/>
    <w:rPr>
      <w:rFonts w:asciiTheme="majorHAnsi" w:eastAsiaTheme="majorEastAsia" w:hAnsiTheme="majorHAnsi" w:cstheme="majorBidi"/>
      <w:i/>
      <w:iCs/>
      <w:color w:val="0F4761" w:themeColor="accent1" w:themeShade="BF"/>
      <w:sz w:val="21"/>
    </w:rPr>
  </w:style>
  <w:style w:type="character" w:customStyle="1" w:styleId="Heading5Char">
    <w:name w:val="Heading 5 Char"/>
    <w:basedOn w:val="DefaultParagraphFont"/>
    <w:link w:val="Heading5"/>
    <w:uiPriority w:val="9"/>
    <w:semiHidden/>
    <w:rsid w:val="00EB4BE3"/>
    <w:rPr>
      <w:rFonts w:asciiTheme="majorHAnsi" w:eastAsiaTheme="majorEastAsia" w:hAnsiTheme="majorHAnsi" w:cstheme="majorBidi"/>
      <w:color w:val="0F4761" w:themeColor="accent1" w:themeShade="BF"/>
      <w:sz w:val="21"/>
    </w:rPr>
  </w:style>
  <w:style w:type="character" w:customStyle="1" w:styleId="Heading6Char">
    <w:name w:val="Heading 6 Char"/>
    <w:basedOn w:val="DefaultParagraphFont"/>
    <w:link w:val="Heading6"/>
    <w:uiPriority w:val="9"/>
    <w:semiHidden/>
    <w:rsid w:val="00EB4BE3"/>
    <w:rPr>
      <w:rFonts w:asciiTheme="majorHAnsi" w:eastAsiaTheme="majorEastAsia" w:hAnsiTheme="majorHAnsi" w:cstheme="majorBidi"/>
      <w:color w:val="0A2F40" w:themeColor="accent1" w:themeShade="7F"/>
      <w:sz w:val="21"/>
    </w:rPr>
  </w:style>
  <w:style w:type="character" w:customStyle="1" w:styleId="Heading7Char">
    <w:name w:val="Heading 7 Char"/>
    <w:basedOn w:val="DefaultParagraphFont"/>
    <w:link w:val="Heading7"/>
    <w:uiPriority w:val="9"/>
    <w:semiHidden/>
    <w:rsid w:val="00EB4BE3"/>
    <w:rPr>
      <w:rFonts w:asciiTheme="majorHAnsi" w:eastAsiaTheme="majorEastAsia" w:hAnsiTheme="majorHAnsi" w:cstheme="majorBidi"/>
      <w:i/>
      <w:iCs/>
      <w:color w:val="0A2F40" w:themeColor="accent1" w:themeShade="7F"/>
      <w:sz w:val="21"/>
    </w:rPr>
  </w:style>
  <w:style w:type="character" w:customStyle="1" w:styleId="Heading8Char">
    <w:name w:val="Heading 8 Char"/>
    <w:basedOn w:val="DefaultParagraphFont"/>
    <w:link w:val="Heading8"/>
    <w:uiPriority w:val="9"/>
    <w:semiHidden/>
    <w:rsid w:val="00EB4B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B4BE3"/>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B4BE3"/>
    <w:rPr>
      <w:i/>
      <w:iCs/>
      <w:color w:val="156082" w:themeColor="accent1"/>
    </w:rPr>
  </w:style>
  <w:style w:type="paragraph" w:styleId="IntenseQuote">
    <w:name w:val="Intense Quote"/>
    <w:basedOn w:val="Normal"/>
    <w:next w:val="Normal"/>
    <w:link w:val="IntenseQuoteChar"/>
    <w:uiPriority w:val="30"/>
    <w:qFormat/>
    <w:rsid w:val="00EB4BE3"/>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B4BE3"/>
    <w:rPr>
      <w:rFonts w:ascii="Calibri" w:hAnsi="Calibri"/>
      <w:i/>
      <w:iCs/>
      <w:color w:val="156082" w:themeColor="accent1"/>
      <w:sz w:val="21"/>
    </w:rPr>
  </w:style>
  <w:style w:type="character" w:styleId="IntenseReference">
    <w:name w:val="Intense Reference"/>
    <w:basedOn w:val="DefaultParagraphFont"/>
    <w:uiPriority w:val="32"/>
    <w:qFormat/>
    <w:rsid w:val="00EB4BE3"/>
    <w:rPr>
      <w:b/>
      <w:bCs/>
      <w:smallCaps/>
      <w:color w:val="156082" w:themeColor="accent1"/>
      <w:spacing w:val="5"/>
    </w:rPr>
  </w:style>
  <w:style w:type="paragraph" w:styleId="ListParagraph">
    <w:name w:val="List Paragraph"/>
    <w:basedOn w:val="Normal"/>
    <w:uiPriority w:val="34"/>
    <w:qFormat/>
    <w:rsid w:val="00EB4BE3"/>
    <w:pPr>
      <w:ind w:left="720"/>
      <w:contextualSpacing/>
    </w:pPr>
  </w:style>
  <w:style w:type="paragraph" w:styleId="NoSpacing">
    <w:name w:val="No Spacing"/>
    <w:uiPriority w:val="1"/>
    <w:qFormat/>
    <w:rsid w:val="00EB4BE3"/>
    <w:pPr>
      <w:spacing w:after="0" w:line="240" w:lineRule="auto"/>
      <w:jc w:val="both"/>
    </w:pPr>
    <w:rPr>
      <w:rFonts w:ascii="Calibri" w:hAnsi="Calibri"/>
      <w:color w:val="263238"/>
      <w:sz w:val="21"/>
    </w:rPr>
  </w:style>
  <w:style w:type="paragraph" w:styleId="Quote">
    <w:name w:val="Quote"/>
    <w:basedOn w:val="Normal"/>
    <w:next w:val="Normal"/>
    <w:link w:val="QuoteChar"/>
    <w:uiPriority w:val="29"/>
    <w:qFormat/>
    <w:rsid w:val="00EB4BE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B4BE3"/>
    <w:rPr>
      <w:rFonts w:ascii="Calibri" w:hAnsi="Calibri"/>
      <w:i/>
      <w:iCs/>
      <w:color w:val="404040" w:themeColor="text1" w:themeTint="BF"/>
      <w:sz w:val="21"/>
    </w:rPr>
  </w:style>
  <w:style w:type="character" w:styleId="Strong">
    <w:name w:val="Strong"/>
    <w:basedOn w:val="DefaultParagraphFont"/>
    <w:uiPriority w:val="22"/>
    <w:qFormat/>
    <w:rsid w:val="00EB4BE3"/>
    <w:rPr>
      <w:b/>
      <w:bCs/>
    </w:rPr>
  </w:style>
  <w:style w:type="paragraph" w:styleId="Subtitle">
    <w:name w:val="Subtitle"/>
    <w:basedOn w:val="Normal"/>
    <w:next w:val="Normal"/>
    <w:link w:val="SubtitleChar"/>
    <w:uiPriority w:val="11"/>
    <w:qFormat/>
    <w:rsid w:val="00EB4BE3"/>
    <w:pPr>
      <w:numPr>
        <w:ilvl w:val="1"/>
      </w:numPr>
    </w:pPr>
    <w:rPr>
      <w:rFonts w:asciiTheme="minorHAnsi"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EB4BE3"/>
    <w:rPr>
      <w:color w:val="5A5A5A" w:themeColor="text1" w:themeTint="A5"/>
      <w:spacing w:val="15"/>
      <w:sz w:val="22"/>
      <w:szCs w:val="22"/>
    </w:rPr>
  </w:style>
  <w:style w:type="character" w:styleId="SubtleEmphasis">
    <w:name w:val="Subtle Emphasis"/>
    <w:basedOn w:val="DefaultParagraphFont"/>
    <w:uiPriority w:val="19"/>
    <w:qFormat/>
    <w:rsid w:val="00EB4BE3"/>
    <w:rPr>
      <w:i/>
      <w:iCs/>
      <w:color w:val="404040" w:themeColor="text1" w:themeTint="BF"/>
    </w:rPr>
  </w:style>
  <w:style w:type="character" w:styleId="SubtleReference">
    <w:name w:val="Subtle Reference"/>
    <w:basedOn w:val="DefaultParagraphFont"/>
    <w:uiPriority w:val="31"/>
    <w:qFormat/>
    <w:rsid w:val="00EB4BE3"/>
    <w:rPr>
      <w:smallCaps/>
      <w:color w:val="5A5A5A" w:themeColor="text1" w:themeTint="A5"/>
    </w:rPr>
  </w:style>
  <w:style w:type="paragraph" w:styleId="Title">
    <w:name w:val="Title"/>
    <w:basedOn w:val="Normal"/>
    <w:next w:val="Normal"/>
    <w:link w:val="TitleChar"/>
    <w:uiPriority w:val="10"/>
    <w:qFormat/>
    <w:rsid w:val="00EB4BE3"/>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4BE3"/>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B4BE3"/>
    <w:pPr>
      <w:spacing w:before="240" w:after="0"/>
      <w:jc w:val="both"/>
      <w:outlineLvl w:val="9"/>
    </w:pPr>
    <w:rPr>
      <w:rFonts w:asciiTheme="majorHAnsi" w:eastAsiaTheme="majorEastAsia" w:hAnsiTheme="majorHAnsi" w:cstheme="majorBidi"/>
      <w:b w:val="0"/>
      <w:color w:val="0F4761"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otnotes" Target="footnotes.xml" /><Relationship Id="rId5" Type="http://schemas.openxmlformats.org/officeDocument/2006/relationships/endnotes" Target="endnotes.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footer" Target="footer4.xml" /><Relationship Id="rId14" Type="http://schemas.openxmlformats.org/officeDocument/2006/relationships/fontTable" Target="fontTable.xml" /><Relationship Id="rId1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9568</Words>
  <Characters>55594</Characters>
  <Application>Microsoft Office Word</Application>
  <DocSecurity>0</DocSecurity>
  <Lines>1182</Lines>
  <Paragraphs>678</Paragraphs>
  <ScaleCrop>false</ScaleCrop>
  <Company/>
  <LinksUpToDate>false</LinksUpToDate>
  <CharactersWithSpaces>64484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2026-07-23T08:22:00Z</dcterms:created>
  <dcterms:modified xsi:type="dcterms:W3CDTF">2026-07-23T08:23:00Z</dcterms:modified>
</cp:coreProperties>
</file>