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JOINT SECRETARIAT</w:t>
      </w:r>
    </w:p>
    <w:p>
      <w:pPr>
        <w:jc w:val="center"/>
      </w:pPr>
      <w:r>
        <w:rPr>
          <w:b/>
          <w:i/>
          <w:sz w:val="20"/>
        </w:rPr>
        <w:t>OPERATIONAL DOCUMENT -- AUTHORIZED NEGOTIATORS ONLY</w:t>
      </w:r>
    </w:p>
    <w:p/>
    <w:p>
      <w:pPr>
        <w:jc w:val="center"/>
      </w:pPr>
      <w:r>
        <w:rPr>
          <w:b/>
          <w:sz w:val="22"/>
        </w:rPr>
        <w:t>FOR RELEASE AT 3:00 PM EDT</w:t>
      </w:r>
    </w:p>
    <w:p>
      <w:pPr>
        <w:jc w:val="center"/>
      </w:pPr>
      <w:r>
        <w:rPr>
          <w:sz w:val="22"/>
        </w:rPr>
        <w:t>August 7, 2026</w:t>
      </w:r>
    </w:p>
    <w:p>
      <w:pPr>
        <w:jc w:val="center"/>
      </w:pPr>
      <w:r>
        <w:rPr>
          <w:sz w:val="20"/>
        </w:rPr>
        <w:t>Contact: Office of the Press Secretary</w:t>
      </w:r>
    </w:p>
    <w:p>
      <w:pPr>
        <w:jc w:val="center"/>
      </w:pPr>
      <w:r>
        <w:rPr>
          <w:i/>
          <w:sz w:val="18"/>
        </w:rPr>
        <w:t>PR-20260807-STRAIT-A</w:t>
      </w:r>
    </w:p>
    <w:p/>
    <w:p>
      <w:pPr>
        <w:jc w:val="center"/>
      </w:pPr>
      <w:r>
        <w:rPr>
          <w:b/>
          <w:sz w:val="32"/>
        </w:rPr>
        <w:t>THE WHITE HOUSE SIGNALS SUPPORT FOR COOPERATIVE NAVIGATION FRAMEWORK IN STRAIT OF HORMUZ</w:t>
      </w:r>
    </w:p>
    <w:p>
      <w:pPr>
        <w:jc w:val="center"/>
      </w:pPr>
      <w:r>
        <w:rPr>
          <w:i/>
          <w:sz w:val="22"/>
        </w:rPr>
        <w:t>Implementation of the Oman-Mediated Transit Arrangement</w:t>
      </w:r>
    </w:p>
    <w:p/>
    <w:p>
      <w:r>
        <w:rPr>
          <w:b/>
          <w:sz w:val="22"/>
        </w:rPr>
        <w:t xml:space="preserve">WASHINGTON: </w:t>
      </w:r>
      <w:r>
        <w:rPr>
          <w:sz w:val="22"/>
        </w:rPr>
        <w:t>The United States recognizes constructive engagement regarding maritime navigation in the Strait of Hormuz. The White House confirms full support for Oman facilitation of a practical framework that regional partners support and that ensures safe, predictable, and lawful passage for commercial vessels.</w:t>
      </w:r>
    </w:p>
    <w:p/>
    <w:p>
      <w:pPr>
        <w:spacing w:after="240"/>
        <w:ind w:left="432" w:right="432"/>
      </w:pPr>
      <w:r>
        <w:rPr>
          <w:i/>
          <w:sz w:val="22"/>
        </w:rPr>
        <w:t>"The United States supports continued coordination among regional partners to finalize a temporary navigation arrangement that maintains freedom of navigation, reduces risk to commercial transit, and provides clarity for insurers and operators," the President states. "We appreciate the steps all parties take to avoid escalation and to prioritize stability in one of the world's most critical waterways."</w:t>
      </w:r>
    </w:p>
    <w:p>
      <w:pPr>
        <w:jc w:val="left"/>
      </w:pPr>
      <w:r>
        <w:rPr>
          <w:b/>
          <w:sz w:val="26"/>
        </w:rPr>
        <w:t>OPERATIONAL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op w:sz="8" w:val="single" w:color="000000"/>
            <w:left w:sz="8" w:val="single" w:color="000000"/>
            <w:bottom w:sz="8" w:val="single" w:color="000000"/>
            <w:right w:sz="8" w:val="single" w:color="000000"/>
          </w:tcPr>
          <w:p>
            <w:pPr>
              <w:jc w:val="left"/>
            </w:pPr>
            <w:r>
              <w:rPr>
                <w:b/>
                <w:sz w:val="20"/>
              </w:rPr>
              <w:t>STEP</w:t>
            </w:r>
          </w:p>
        </w:tc>
        <w:tc>
          <w:tcPr>
            <w:tcW w:type="dxa" w:w="2160"/>
            <w:top w:sz="8" w:val="single" w:color="000000"/>
            <w:left w:sz="8" w:val="single" w:color="000000"/>
            <w:bottom w:sz="8" w:val="single" w:color="000000"/>
            <w:right w:sz="8" w:val="single" w:color="000000"/>
          </w:tcPr>
          <w:p>
            <w:pPr>
              <w:jc w:val="left"/>
            </w:pPr>
            <w:r>
              <w:rPr>
                <w:b/>
                <w:sz w:val="20"/>
              </w:rPr>
              <w:t>ELEMENT</w:t>
            </w:r>
          </w:p>
        </w:tc>
        <w:tc>
          <w:tcPr>
            <w:tcW w:type="dxa" w:w="2160"/>
            <w:top w:sz="8" w:val="single" w:color="000000"/>
            <w:left w:sz="8" w:val="single" w:color="000000"/>
            <w:bottom w:sz="8" w:val="single" w:color="000000"/>
            <w:right w:sz="8" w:val="single" w:color="000000"/>
          </w:tcPr>
          <w:p>
            <w:pPr>
              <w:jc w:val="left"/>
            </w:pPr>
            <w:r>
              <w:rPr>
                <w:b/>
                <w:sz w:val="20"/>
              </w:rPr>
              <w:t>DESCRIPTION</w:t>
            </w:r>
          </w:p>
        </w:tc>
        <w:tc>
          <w:tcPr>
            <w:tcW w:type="dxa" w:w="2160"/>
            <w:top w:sz="8" w:val="single" w:color="000000"/>
            <w:left w:sz="8" w:val="single" w:color="000000"/>
            <w:bottom w:sz="8" w:val="single" w:color="000000"/>
            <w:right w:sz="8" w:val="single" w:color="000000"/>
          </w:tcPr>
          <w:p>
            <w:pPr>
              <w:jc w:val="left"/>
            </w:pPr>
            <w:r>
              <w:rPr>
                <w:b/>
                <w:sz w:val="20"/>
              </w:rPr>
              <w:t>OUTPUT</w:t>
            </w:r>
          </w:p>
        </w:tc>
      </w:tr>
      <w:tr>
        <w:tc>
          <w:tcPr>
            <w:tcW w:type="dxa" w:w="2160"/>
            <w:top w:sz="4" w:val="single" w:color="000000"/>
            <w:left w:sz="4" w:val="single" w:color="000000"/>
            <w:bottom w:sz="4" w:val="single" w:color="000000"/>
            <w:right w:sz="4" w:val="single" w:color="000000"/>
          </w:tcPr>
          <w:p>
            <w:pPr>
              <w:jc w:val="left"/>
            </w:pPr>
            <w:r>
              <w:rPr>
                <w:sz w:val="20"/>
              </w:rPr>
              <w:t>1</w:t>
            </w:r>
          </w:p>
        </w:tc>
        <w:tc>
          <w:tcPr>
            <w:tcW w:type="dxa" w:w="2160"/>
            <w:top w:sz="4" w:val="single" w:color="000000"/>
            <w:left w:sz="4" w:val="single" w:color="000000"/>
            <w:bottom w:sz="4" w:val="single" w:color="000000"/>
            <w:right w:sz="4" w:val="single" w:color="000000"/>
          </w:tcPr>
          <w:p>
            <w:pPr>
              <w:jc w:val="left"/>
            </w:pPr>
            <w:r>
              <w:rPr>
                <w:sz w:val="20"/>
              </w:rPr>
              <w:t>Coordination</w:t>
            </w:r>
          </w:p>
        </w:tc>
        <w:tc>
          <w:tcPr>
            <w:tcW w:type="dxa" w:w="2160"/>
            <w:top w:sz="4" w:val="single" w:color="000000"/>
            <w:left w:sz="4" w:val="single" w:color="000000"/>
            <w:bottom w:sz="4" w:val="single" w:color="000000"/>
            <w:right w:sz="4" w:val="single" w:color="000000"/>
          </w:tcPr>
          <w:p>
            <w:pPr>
              <w:jc w:val="left"/>
            </w:pPr>
            <w:r>
              <w:rPr>
                <w:sz w:val="20"/>
              </w:rPr>
              <w:t>Regional partners synchronize transit protocols through Oman joint-management model</w:t>
            </w:r>
          </w:p>
        </w:tc>
        <w:tc>
          <w:tcPr>
            <w:tcW w:type="dxa" w:w="2160"/>
            <w:top w:sz="4" w:val="single" w:color="000000"/>
            <w:left w:sz="4" w:val="single" w:color="000000"/>
            <w:bottom w:sz="4" w:val="single" w:color="000000"/>
            <w:right w:sz="4" w:val="single" w:color="000000"/>
          </w:tcPr>
          <w:p>
            <w:pPr>
              <w:jc w:val="left"/>
            </w:pPr>
            <w:r>
              <w:rPr>
                <w:sz w:val="20"/>
              </w:rPr>
              <w:t>Transit schedule goes active</w:t>
            </w:r>
          </w:p>
        </w:tc>
      </w:tr>
      <w:tr>
        <w:tc>
          <w:tcPr>
            <w:tcW w:type="dxa" w:w="2160"/>
            <w:top w:sz="4" w:val="single" w:color="000000"/>
            <w:left w:sz="4" w:val="single" w:color="000000"/>
            <w:bottom w:sz="4" w:val="single" w:color="000000"/>
            <w:right w:sz="4" w:val="single" w:color="000000"/>
          </w:tcPr>
          <w:p>
            <w:pPr>
              <w:jc w:val="left"/>
            </w:pPr>
            <w:r>
              <w:rPr>
                <w:sz w:val="20"/>
              </w:rPr>
              <w:t>2</w:t>
            </w:r>
          </w:p>
        </w:tc>
        <w:tc>
          <w:tcPr>
            <w:tcW w:type="dxa" w:w="2160"/>
            <w:top w:sz="4" w:val="single" w:color="000000"/>
            <w:left w:sz="4" w:val="single" w:color="000000"/>
            <w:bottom w:sz="4" w:val="single" w:color="000000"/>
            <w:right w:sz="4" w:val="single" w:color="000000"/>
          </w:tcPr>
          <w:p>
            <w:pPr>
              <w:jc w:val="left"/>
            </w:pPr>
            <w:r>
              <w:rPr>
                <w:sz w:val="20"/>
              </w:rPr>
              <w:t>Support</w:t>
            </w:r>
          </w:p>
        </w:tc>
        <w:tc>
          <w:tcPr>
            <w:tcW w:type="dxa" w:w="2160"/>
            <w:top w:sz="4" w:val="single" w:color="000000"/>
            <w:left w:sz="4" w:val="single" w:color="000000"/>
            <w:bottom w:sz="4" w:val="single" w:color="000000"/>
            <w:right w:sz="4" w:val="single" w:color="000000"/>
          </w:tcPr>
          <w:p>
            <w:pPr>
              <w:jc w:val="left"/>
            </w:pPr>
            <w:r>
              <w:rPr>
                <w:sz w:val="20"/>
              </w:rPr>
              <w:t>The United States provides diplomatic and technical assistance to ensure international law compliance</w:t>
            </w:r>
          </w:p>
        </w:tc>
        <w:tc>
          <w:tcPr>
            <w:tcW w:type="dxa" w:w="2160"/>
            <w:top w:sz="4" w:val="single" w:color="000000"/>
            <w:left w:sz="4" w:val="single" w:color="000000"/>
            <w:bottom w:sz="4" w:val="single" w:color="000000"/>
            <w:right w:sz="4" w:val="single" w:color="000000"/>
          </w:tcPr>
          <w:p>
            <w:pPr>
              <w:jc w:val="left"/>
            </w:pPr>
            <w:r>
              <w:rPr>
                <w:sz w:val="20"/>
              </w:rPr>
              <w:t>Legal verification completes</w:t>
            </w:r>
          </w:p>
        </w:tc>
      </w:tr>
      <w:tr>
        <w:tc>
          <w:tcPr>
            <w:tcW w:type="dxa" w:w="2160"/>
            <w:top w:sz="4" w:val="single" w:color="000000"/>
            <w:left w:sz="4" w:val="single" w:color="000000"/>
            <w:bottom w:sz="4" w:val="single" w:color="000000"/>
            <w:right w:sz="4" w:val="single" w:color="000000"/>
          </w:tcPr>
          <w:p>
            <w:pPr>
              <w:jc w:val="left"/>
            </w:pPr>
            <w:r>
              <w:rPr>
                <w:sz w:val="20"/>
              </w:rPr>
              <w:t>3</w:t>
            </w:r>
          </w:p>
        </w:tc>
        <w:tc>
          <w:tcPr>
            <w:tcW w:type="dxa" w:w="2160"/>
            <w:top w:sz="4" w:val="single" w:color="000000"/>
            <w:left w:sz="4" w:val="single" w:color="000000"/>
            <w:bottom w:sz="4" w:val="single" w:color="000000"/>
            <w:right w:sz="4" w:val="single" w:color="000000"/>
          </w:tcPr>
          <w:p>
            <w:pPr>
              <w:jc w:val="left"/>
            </w:pPr>
            <w:r>
              <w:rPr>
                <w:sz w:val="20"/>
              </w:rPr>
              <w:t>Guidance</w:t>
            </w:r>
          </w:p>
        </w:tc>
        <w:tc>
          <w:tcPr>
            <w:tcW w:type="dxa" w:w="2160"/>
            <w:top w:sz="4" w:val="single" w:color="000000"/>
            <w:left w:sz="4" w:val="single" w:color="000000"/>
            <w:bottom w:sz="4" w:val="single" w:color="000000"/>
            <w:right w:sz="4" w:val="single" w:color="000000"/>
          </w:tcPr>
          <w:p>
            <w:pPr>
              <w:jc w:val="left"/>
            </w:pPr>
            <w:r>
              <w:rPr>
                <w:sz w:val="20"/>
              </w:rPr>
              <w:t>Regional authorities issue clear navigation and safety procedures to insurers and operators</w:t>
            </w:r>
          </w:p>
        </w:tc>
        <w:tc>
          <w:tcPr>
            <w:tcW w:type="dxa" w:w="2160"/>
            <w:top w:sz="4" w:val="single" w:color="000000"/>
            <w:left w:sz="4" w:val="single" w:color="000000"/>
            <w:bottom w:sz="4" w:val="single" w:color="000000"/>
            <w:right w:sz="4" w:val="single" w:color="000000"/>
          </w:tcPr>
          <w:p>
            <w:pPr>
              <w:jc w:val="left"/>
            </w:pPr>
            <w:r>
              <w:rPr>
                <w:sz w:val="20"/>
              </w:rPr>
              <w:t>Commercial operators receive clarity</w:t>
            </w:r>
          </w:p>
        </w:tc>
      </w:tr>
      <w:tr>
        <w:tc>
          <w:tcPr>
            <w:tcW w:type="dxa" w:w="2160"/>
            <w:top w:sz="4" w:val="single" w:color="000000"/>
            <w:left w:sz="4" w:val="single" w:color="000000"/>
            <w:bottom w:sz="4" w:val="single" w:color="000000"/>
            <w:right w:sz="4" w:val="single" w:color="000000"/>
          </w:tcPr>
          <w:p>
            <w:pPr>
              <w:jc w:val="left"/>
            </w:pPr>
            <w:r>
              <w:rPr>
                <w:sz w:val="20"/>
              </w:rPr>
              <w:t>4</w:t>
            </w:r>
          </w:p>
        </w:tc>
        <w:tc>
          <w:tcPr>
            <w:tcW w:type="dxa" w:w="2160"/>
            <w:top w:sz="4" w:val="single" w:color="000000"/>
            <w:left w:sz="4" w:val="single" w:color="000000"/>
            <w:bottom w:sz="4" w:val="single" w:color="000000"/>
            <w:right w:sz="4" w:val="single" w:color="000000"/>
          </w:tcPr>
          <w:p>
            <w:pPr>
              <w:jc w:val="left"/>
            </w:pPr>
            <w:r>
              <w:rPr>
                <w:sz w:val="20"/>
              </w:rPr>
              <w:t>Communication</w:t>
            </w:r>
          </w:p>
        </w:tc>
        <w:tc>
          <w:tcPr>
            <w:tcW w:type="dxa" w:w="2160"/>
            <w:top w:sz="4" w:val="single" w:color="000000"/>
            <w:left w:sz="4" w:val="single" w:color="000000"/>
            <w:bottom w:sz="4" w:val="single" w:color="000000"/>
            <w:right w:sz="4" w:val="single" w:color="000000"/>
          </w:tcPr>
          <w:p>
            <w:pPr>
              <w:jc w:val="left"/>
            </w:pPr>
            <w:r>
              <w:rPr>
                <w:sz w:val="20"/>
              </w:rPr>
              <w:t>All parties maintain open channels to address transit concerns in real time</w:t>
            </w:r>
          </w:p>
        </w:tc>
        <w:tc>
          <w:tcPr>
            <w:tcW w:type="dxa" w:w="2160"/>
            <w:top w:sz="4" w:val="single" w:color="000000"/>
            <w:left w:sz="4" w:val="single" w:color="000000"/>
            <w:bottom w:sz="4" w:val="single" w:color="000000"/>
            <w:right w:sz="4" w:val="single" w:color="000000"/>
          </w:tcPr>
          <w:p>
            <w:pPr>
              <w:jc w:val="left"/>
            </w:pPr>
            <w:r>
              <w:rPr>
                <w:sz w:val="20"/>
              </w:rPr>
              <w:t>Dispute resolution activates</w:t>
            </w:r>
          </w:p>
        </w:tc>
      </w:tr>
    </w:tbl>
    <w:p/>
    <w:p>
      <w:pPr>
        <w:jc w:val="left"/>
      </w:pPr>
      <w:r>
        <w:rPr>
          <w:b/>
          <w:sz w:val="26"/>
        </w:rPr>
        <w:t>FRAMEWORK ARCHITECTURE</w:t>
      </w:r>
    </w:p>
    <w:p>
      <w:pPr>
        <w:pStyle w:val="ListBullet"/>
        <w:spacing w:after="120"/>
        <w:ind w:left="360"/>
      </w:pPr>
      <w:r>
        <w:rPr>
          <w:sz w:val="22"/>
        </w:rPr>
        <w:t>The framework architecture incorporates Oman joint-management model as the central coordination mechanism.</w:t>
      </w:r>
    </w:p>
    <w:p>
      <w:pPr>
        <w:pStyle w:val="ListBullet"/>
        <w:spacing w:after="120"/>
        <w:ind w:left="360"/>
      </w:pPr>
      <w:r>
        <w:rPr>
          <w:sz w:val="22"/>
        </w:rPr>
        <w:t>Regional partners retain equal authority over transit scheduling within the shared protocol.</w:t>
      </w:r>
    </w:p>
    <w:p>
      <w:pPr>
        <w:pStyle w:val="ListBullet"/>
        <w:spacing w:after="120"/>
        <w:ind w:left="360"/>
      </w:pPr>
      <w:r>
        <w:rPr>
          <w:sz w:val="22"/>
        </w:rPr>
        <w:t>Commercial transit operates under an absolute non-interdiction protocol within the framework.</w:t>
      </w:r>
    </w:p>
    <w:p>
      <w:pPr>
        <w:pStyle w:val="ListBullet"/>
        <w:spacing w:after="120"/>
        <w:ind w:left="360"/>
      </w:pPr>
      <w:r>
        <w:rPr>
          <w:sz w:val="22"/>
        </w:rPr>
        <w:t>The framework architecture excludes unilateral lane control mechanisms.</w:t>
      </w:r>
    </w:p>
    <w:p>
      <w:pPr>
        <w:pStyle w:val="ListBullet"/>
        <w:spacing w:after="120"/>
        <w:ind w:left="360"/>
      </w:pPr>
      <w:r>
        <w:rPr>
          <w:sz w:val="22"/>
        </w:rPr>
        <w:t>The framework architecture excludes direct fee collection by any single coastal state.</w:t>
      </w:r>
    </w:p>
    <w:p>
      <w:pPr>
        <w:jc w:val="left"/>
      </w:pPr>
      <w:r>
        <w:rPr>
          <w:b/>
          <w:sz w:val="26"/>
        </w:rPr>
        <w:t>MARITIME GOVERNANCE</w:t>
      </w:r>
    </w:p>
    <w:p>
      <w:pPr>
        <w:pStyle w:val="ListBullet"/>
        <w:spacing w:after="120"/>
        <w:ind w:left="360"/>
      </w:pPr>
      <w:r>
        <w:rPr>
          <w:sz w:val="22"/>
        </w:rPr>
        <w:t>The Joint Hormuz Transit Authority governs the international transit corridor under UNCLOS principles.</w:t>
      </w:r>
    </w:p>
    <w:p>
      <w:pPr>
        <w:pStyle w:val="ListBullet"/>
        <w:spacing w:after="120"/>
        <w:ind w:left="360"/>
      </w:pPr>
      <w:r>
        <w:rPr>
          <w:sz w:val="22"/>
        </w:rPr>
        <w:t>Transit fees flow through the Multilateral Maritime Maintenance Fund in Oman.</w:t>
      </w:r>
    </w:p>
    <w:p>
      <w:pPr>
        <w:pStyle w:val="ListBullet"/>
        <w:spacing w:after="120"/>
        <w:ind w:left="360"/>
      </w:pPr>
      <w:r>
        <w:rPr>
          <w:sz w:val="22"/>
        </w:rPr>
        <w:t>The Persian Gulf Strait Authority operates as the sole executive coastal law enforcement body within Iranian territorial waters.</w:t>
      </w:r>
    </w:p>
    <w:p>
      <w:pPr>
        <w:pStyle w:val="ListBullet"/>
        <w:spacing w:after="120"/>
        <w:ind w:left="360"/>
      </w:pPr>
      <w:r>
        <w:rPr>
          <w:sz w:val="22"/>
        </w:rPr>
        <w:t>The framework architecture excludes unilateral enforcement actions outside the coordinated protocol.</w:t>
      </w:r>
    </w:p>
    <w:p>
      <w:pPr>
        <w:jc w:val="left"/>
      </w:pPr>
      <w:r>
        <w:rPr>
          <w:b/>
          <w:sz w:val="26"/>
        </w:rPr>
        <w:t>NEXT STEPS</w:t>
      </w:r>
    </w:p>
    <w:p>
      <w:pPr>
        <w:pStyle w:val="ListBullet"/>
        <w:spacing w:after="120"/>
        <w:ind w:left="360"/>
      </w:pPr>
      <w:r>
        <w:rPr>
          <w:sz w:val="22"/>
        </w:rPr>
        <w:t>The United States works with Oman and other regional stakeholders to ensure the arrangement supports uninterrupted global commerce.</w:t>
      </w:r>
    </w:p>
    <w:p>
      <w:pPr>
        <w:pStyle w:val="ListBullet"/>
        <w:spacing w:after="120"/>
        <w:ind w:left="360"/>
      </w:pPr>
      <w:r>
        <w:rPr>
          <w:sz w:val="22"/>
        </w:rPr>
        <w:t>The 180-day implementation roadmap begins immediately.</w:t>
      </w:r>
    </w:p>
    <w:p>
      <w:pPr>
        <w:pStyle w:val="ListBullet"/>
        <w:spacing w:after="120"/>
        <w:ind w:left="360"/>
      </w:pPr>
      <w:r>
        <w:rPr>
          <w:sz w:val="22"/>
        </w:rPr>
        <w:t>All Phase 1 verification milestones complete within 14 days.</w:t>
      </w:r>
    </w:p>
    <w:p>
      <w:pPr>
        <w:pStyle w:val="ListBullet"/>
        <w:spacing w:after="120"/>
        <w:ind w:left="360"/>
      </w:pPr>
      <w:r>
        <w:rPr>
          <w:sz w:val="22"/>
        </w:rPr>
        <w:t>The ceasefire operates as a self-renewing 72-hour module upon verification of each milestone.</w:t>
      </w:r>
    </w:p>
    <w:p/>
    <w:p>
      <w:pPr>
        <w:jc w:val="left"/>
      </w:pPr>
      <w:r>
        <w:rPr>
          <w:b/>
          <w:sz w:val="22"/>
        </w:rPr>
        <w:t>The United States maintains an unwavering commitment to the security of the Strait of Hormuz.</w:t>
      </w:r>
    </w:p>
    <w:p/>
    <w:p>
      <w:pPr>
        <w:jc w:val="left"/>
      </w:pPr>
      <w:r>
        <w:rPr>
          <w:b/>
          <w:sz w:val="20"/>
        </w:rPr>
        <w:t>END OF DOCUMENT</w:t>
      </w:r>
    </w:p>
    <w:p>
      <w:pPr>
        <w:jc w:val="left"/>
      </w:pPr>
      <w:r>
        <w:rPr>
          <w:i/>
          <w:sz w:val="18"/>
        </w:rPr>
        <w:t>PR-20260807-STRAIT-A -- Deposited with the Joint Secretariat, Muscat, Sultanate of Oman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