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JOINT SECRETARIAT</w:t>
      </w:r>
    </w:p>
    <w:p>
      <w:pPr>
        <w:jc w:val="center"/>
      </w:pPr>
      <w:r>
        <w:rPr>
          <w:b/>
          <w:i/>
          <w:sz w:val="20"/>
        </w:rPr>
        <w:t>OPERATIONAL DOCUMENT -- AUTHORIZED NEGOTIATORS ONLY</w:t>
      </w:r>
    </w:p>
    <w:p/>
    <w:p>
      <w:pPr>
        <w:jc w:val="center"/>
      </w:pPr>
      <w:r>
        <w:rPr>
          <w:b/>
          <w:sz w:val="22"/>
        </w:rPr>
        <w:t>FOR RELEASE AT 3:00 PM EDT</w:t>
      </w:r>
    </w:p>
    <w:p>
      <w:pPr>
        <w:jc w:val="center"/>
      </w:pPr>
      <w:r>
        <w:rPr>
          <w:sz w:val="22"/>
        </w:rPr>
        <w:t>August 7, 2026</w:t>
      </w:r>
    </w:p>
    <w:p>
      <w:pPr>
        <w:jc w:val="center"/>
      </w:pPr>
      <w:r>
        <w:rPr>
          <w:sz w:val="20"/>
        </w:rPr>
        <w:t>Contact: Office of the Press Secretary</w:t>
      </w:r>
    </w:p>
    <w:p>
      <w:pPr>
        <w:jc w:val="center"/>
      </w:pPr>
      <w:r>
        <w:rPr>
          <w:i/>
          <w:sz w:val="18"/>
        </w:rPr>
        <w:t>PR-20260807-STRAIT-B</w:t>
      </w:r>
    </w:p>
    <w:p/>
    <w:p>
      <w:pPr>
        <w:jc w:val="center"/>
      </w:pPr>
      <w:r>
        <w:rPr>
          <w:b/>
          <w:sz w:val="32"/>
        </w:rPr>
        <w:t>THE WHITE HOUSE REAFFIRMS FREEDOM OF NAVIGATION IN STRAIT OF HORMUZ</w:t>
      </w:r>
    </w:p>
    <w:p>
      <w:pPr>
        <w:jc w:val="center"/>
      </w:pPr>
      <w:r>
        <w:rPr>
          <w:i/>
          <w:sz w:val="22"/>
        </w:rPr>
        <w:t>Reaffirmation of International Maritime Law and Rejection of Unilateral Control</w:t>
      </w:r>
    </w:p>
    <w:p/>
    <w:p>
      <w:r>
        <w:rPr>
          <w:b/>
          <w:sz w:val="22"/>
        </w:rPr>
        <w:t xml:space="preserve">WASHINGTON: </w:t>
      </w:r>
      <w:r>
        <w:rPr>
          <w:sz w:val="22"/>
        </w:rPr>
        <w:t>The United States reaffirms that freedom of navigation in the Strait of Hormuz operates as a fundamental principle of international law. The framework architecture excludes any unilateral control of inbound or outbound vessel lanes by a single state.</w:t>
      </w:r>
    </w:p>
    <w:p>
      <w:r>
        <w:rPr>
          <w:sz w:val="22"/>
        </w:rPr>
        <w:t>Recent statements assert exclusive authority over inbound or outbound transit lanes. These statements contradict established maritime norms and threaten the stability of global commerce. The United States recognizes no arrangement that restricts lawful passage or places commercial vessels under unilateral oversight.</w:t>
      </w:r>
    </w:p>
    <w:p/>
    <w:p>
      <w:pPr>
        <w:spacing w:after="240"/>
        <w:ind w:left="432" w:right="432"/>
      </w:pPr>
      <w:r>
        <w:rPr>
          <w:i/>
          <w:sz w:val="22"/>
        </w:rPr>
        <w:t>"The United States stands ready to issue independent navigation guidance to ensure safe transit for United States and international commercial vessels," the President states. "We continue to support Oman efforts to develop a cooperative framework that regional partners support, and we encourage all parties to engage constructively."</w:t>
      </w:r>
    </w:p>
    <w:p>
      <w:pPr>
        <w:jc w:val="left"/>
      </w:pPr>
      <w:r>
        <w:rPr>
          <w:b/>
          <w:sz w:val="26"/>
        </w:rPr>
        <w:t>OPERATIONAL READINESS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op w:sz="8" w:val="single" w:color="000000"/>
            <w:left w:sz="8" w:val="single" w:color="000000"/>
            <w:bottom w:sz="8" w:val="single" w:color="000000"/>
            <w:right w:sz="8" w:val="single" w:color="000000"/>
          </w:tcPr>
          <w:p>
            <w:pPr>
              <w:jc w:val="left"/>
            </w:pPr>
            <w:r>
              <w:rPr>
                <w:b/>
                <w:sz w:val="20"/>
              </w:rPr>
              <w:t>STEP</w:t>
            </w:r>
          </w:p>
        </w:tc>
        <w:tc>
          <w:tcPr>
            <w:tcW w:type="dxa" w:w="2160"/>
            <w:top w:sz="8" w:val="single" w:color="000000"/>
            <w:left w:sz="8" w:val="single" w:color="000000"/>
            <w:bottom w:sz="8" w:val="single" w:color="000000"/>
            <w:right w:sz="8" w:val="single" w:color="000000"/>
          </w:tcPr>
          <w:p>
            <w:pPr>
              <w:jc w:val="left"/>
            </w:pPr>
            <w:r>
              <w:rPr>
                <w:b/>
                <w:sz w:val="20"/>
              </w:rPr>
              <w:t>ELEMENT</w:t>
            </w:r>
          </w:p>
        </w:tc>
        <w:tc>
          <w:tcPr>
            <w:tcW w:type="dxa" w:w="2160"/>
            <w:top w:sz="8" w:val="single" w:color="000000"/>
            <w:left w:sz="8" w:val="single" w:color="000000"/>
            <w:bottom w:sz="8" w:val="single" w:color="000000"/>
            <w:right w:sz="8" w:val="single" w:color="000000"/>
          </w:tcPr>
          <w:p>
            <w:pPr>
              <w:jc w:val="left"/>
            </w:pPr>
            <w:r>
              <w:rPr>
                <w:b/>
                <w:sz w:val="20"/>
              </w:rPr>
              <w:t>DESCRIPTION</w:t>
            </w:r>
          </w:p>
        </w:tc>
        <w:tc>
          <w:tcPr>
            <w:tcW w:type="dxa" w:w="2160"/>
            <w:top w:sz="8" w:val="single" w:color="000000"/>
            <w:left w:sz="8" w:val="single" w:color="000000"/>
            <w:bottom w:sz="8" w:val="single" w:color="000000"/>
            <w:right w:sz="8" w:val="single" w:color="000000"/>
          </w:tcPr>
          <w:p>
            <w:pPr>
              <w:jc w:val="left"/>
            </w:pPr>
            <w:r>
              <w:rPr>
                <w:b/>
                <w:sz w:val="20"/>
              </w:rPr>
              <w:t>OUTPUT</w:t>
            </w:r>
          </w:p>
        </w:tc>
      </w:tr>
      <w:tr>
        <w:tc>
          <w:tcPr>
            <w:tcW w:type="dxa" w:w="2160"/>
            <w:top w:sz="4" w:val="single" w:color="000000"/>
            <w:left w:sz="4" w:val="single" w:color="000000"/>
            <w:bottom w:sz="4" w:val="single" w:color="000000"/>
            <w:right w:sz="4" w:val="single" w:color="000000"/>
          </w:tcPr>
          <w:p>
            <w:pPr>
              <w:jc w:val="left"/>
            </w:pPr>
            <w:r>
              <w:rPr>
                <w:sz w:val="20"/>
              </w:rPr>
              <w:t>1</w:t>
            </w:r>
          </w:p>
        </w:tc>
        <w:tc>
          <w:tcPr>
            <w:tcW w:type="dxa" w:w="2160"/>
            <w:top w:sz="4" w:val="single" w:color="000000"/>
            <w:left w:sz="4" w:val="single" w:color="000000"/>
            <w:bottom w:sz="4" w:val="single" w:color="000000"/>
            <w:right w:sz="4" w:val="single" w:color="000000"/>
          </w:tcPr>
          <w:p>
            <w:pPr>
              <w:jc w:val="left"/>
            </w:pPr>
            <w:r>
              <w:rPr>
                <w:sz w:val="20"/>
              </w:rPr>
              <w:t>Guidance</w:t>
            </w:r>
          </w:p>
        </w:tc>
        <w:tc>
          <w:tcPr>
            <w:tcW w:type="dxa" w:w="2160"/>
            <w:top w:sz="4" w:val="single" w:color="000000"/>
            <w:left w:sz="4" w:val="single" w:color="000000"/>
            <w:bottom w:sz="4" w:val="single" w:color="000000"/>
            <w:right w:sz="4" w:val="single" w:color="000000"/>
          </w:tcPr>
          <w:p>
            <w:pPr>
              <w:jc w:val="left"/>
            </w:pPr>
            <w:r>
              <w:rPr>
                <w:sz w:val="20"/>
              </w:rPr>
              <w:t>The United States maintains full readiness to issue independent routing guidance to commercial vessels</w:t>
            </w:r>
          </w:p>
        </w:tc>
        <w:tc>
          <w:tcPr>
            <w:tcW w:type="dxa" w:w="2160"/>
            <w:top w:sz="4" w:val="single" w:color="000000"/>
            <w:left w:sz="4" w:val="single" w:color="000000"/>
            <w:bottom w:sz="4" w:val="single" w:color="000000"/>
            <w:right w:sz="4" w:val="single" w:color="000000"/>
          </w:tcPr>
          <w:p>
            <w:pPr>
              <w:jc w:val="left"/>
            </w:pPr>
            <w:r>
              <w:rPr>
                <w:sz w:val="20"/>
              </w:rPr>
              <w:t>Routing protocols activate</w:t>
            </w:r>
          </w:p>
        </w:tc>
      </w:tr>
      <w:tr>
        <w:tc>
          <w:tcPr>
            <w:tcW w:type="dxa" w:w="2160"/>
            <w:top w:sz="4" w:val="single" w:color="000000"/>
            <w:left w:sz="4" w:val="single" w:color="000000"/>
            <w:bottom w:sz="4" w:val="single" w:color="000000"/>
            <w:right w:sz="4" w:val="single" w:color="000000"/>
          </w:tcPr>
          <w:p>
            <w:pPr>
              <w:jc w:val="left"/>
            </w:pPr>
            <w:r>
              <w:rPr>
                <w:sz w:val="20"/>
              </w:rPr>
              <w:t>2</w:t>
            </w:r>
          </w:p>
        </w:tc>
        <w:tc>
          <w:tcPr>
            <w:tcW w:type="dxa" w:w="2160"/>
            <w:top w:sz="4" w:val="single" w:color="000000"/>
            <w:left w:sz="4" w:val="single" w:color="000000"/>
            <w:bottom w:sz="4" w:val="single" w:color="000000"/>
            <w:right w:sz="4" w:val="single" w:color="000000"/>
          </w:tcPr>
          <w:p>
            <w:pPr>
              <w:jc w:val="left"/>
            </w:pPr>
            <w:r>
              <w:rPr>
                <w:sz w:val="20"/>
              </w:rPr>
              <w:t>Assurance</w:t>
            </w:r>
          </w:p>
        </w:tc>
        <w:tc>
          <w:tcPr>
            <w:tcW w:type="dxa" w:w="2160"/>
            <w:top w:sz="4" w:val="single" w:color="000000"/>
            <w:left w:sz="4" w:val="single" w:color="000000"/>
            <w:bottom w:sz="4" w:val="single" w:color="000000"/>
            <w:right w:sz="4" w:val="single" w:color="000000"/>
          </w:tcPr>
          <w:p>
            <w:pPr>
              <w:jc w:val="left"/>
            </w:pPr>
            <w:r>
              <w:rPr>
                <w:sz w:val="20"/>
              </w:rPr>
              <w:t>The United States delivers assurances to Gulf allies of continued commitment to regional maritime security</w:t>
            </w:r>
          </w:p>
        </w:tc>
        <w:tc>
          <w:tcPr>
            <w:tcW w:type="dxa" w:w="2160"/>
            <w:top w:sz="4" w:val="single" w:color="000000"/>
            <w:left w:sz="4" w:val="single" w:color="000000"/>
            <w:bottom w:sz="4" w:val="single" w:color="000000"/>
            <w:right w:sz="4" w:val="single" w:color="000000"/>
          </w:tcPr>
          <w:p>
            <w:pPr>
              <w:jc w:val="left"/>
            </w:pPr>
            <w:r>
              <w:rPr>
                <w:sz w:val="20"/>
              </w:rPr>
              <w:t>Alliance partners confirm cohesion</w:t>
            </w:r>
          </w:p>
        </w:tc>
      </w:tr>
      <w:tr>
        <w:tc>
          <w:tcPr>
            <w:tcW w:type="dxa" w:w="2160"/>
            <w:top w:sz="4" w:val="single" w:color="000000"/>
            <w:left w:sz="4" w:val="single" w:color="000000"/>
            <w:bottom w:sz="4" w:val="single" w:color="000000"/>
            <w:right w:sz="4" w:val="single" w:color="000000"/>
          </w:tcPr>
          <w:p>
            <w:pPr>
              <w:jc w:val="left"/>
            </w:pPr>
            <w:r>
              <w:rPr>
                <w:sz w:val="20"/>
              </w:rPr>
              <w:t>3</w:t>
            </w:r>
          </w:p>
        </w:tc>
        <w:tc>
          <w:tcPr>
            <w:tcW w:type="dxa" w:w="2160"/>
            <w:top w:sz="4" w:val="single" w:color="000000"/>
            <w:left w:sz="4" w:val="single" w:color="000000"/>
            <w:bottom w:sz="4" w:val="single" w:color="000000"/>
            <w:right w:sz="4" w:val="single" w:color="000000"/>
          </w:tcPr>
          <w:p>
            <w:pPr>
              <w:jc w:val="left"/>
            </w:pPr>
            <w:r>
              <w:rPr>
                <w:sz w:val="20"/>
              </w:rPr>
              <w:t>Rejection</w:t>
            </w:r>
          </w:p>
        </w:tc>
        <w:tc>
          <w:tcPr>
            <w:tcW w:type="dxa" w:w="2160"/>
            <w:top w:sz="4" w:val="single" w:color="000000"/>
            <w:left w:sz="4" w:val="single" w:color="000000"/>
            <w:bottom w:sz="4" w:val="single" w:color="000000"/>
            <w:right w:sz="4" w:val="single" w:color="000000"/>
          </w:tcPr>
          <w:p>
            <w:pPr>
              <w:jc w:val="left"/>
            </w:pPr>
            <w:r>
              <w:rPr>
                <w:sz w:val="20"/>
              </w:rPr>
              <w:t>The framework rejects any protocol that subjects commercial transit to unilateral oversight</w:t>
            </w:r>
          </w:p>
        </w:tc>
        <w:tc>
          <w:tcPr>
            <w:tcW w:type="dxa" w:w="2160"/>
            <w:top w:sz="4" w:val="single" w:color="000000"/>
            <w:left w:sz="4" w:val="single" w:color="000000"/>
            <w:bottom w:sz="4" w:val="single" w:color="000000"/>
            <w:right w:sz="4" w:val="single" w:color="000000"/>
          </w:tcPr>
          <w:p>
            <w:pPr>
              <w:jc w:val="left"/>
            </w:pPr>
            <w:r>
              <w:rPr>
                <w:sz w:val="20"/>
              </w:rPr>
              <w:t>Unilateral mechanisms exit the framework</w:t>
            </w:r>
          </w:p>
        </w:tc>
      </w:tr>
      <w:tr>
        <w:tc>
          <w:tcPr>
            <w:tcW w:type="dxa" w:w="2160"/>
            <w:top w:sz="4" w:val="single" w:color="000000"/>
            <w:left w:sz="4" w:val="single" w:color="000000"/>
            <w:bottom w:sz="4" w:val="single" w:color="000000"/>
            <w:right w:sz="4" w:val="single" w:color="000000"/>
          </w:tcPr>
          <w:p>
            <w:pPr>
              <w:jc w:val="left"/>
            </w:pPr>
            <w:r>
              <w:rPr>
                <w:sz w:val="20"/>
              </w:rPr>
              <w:t>4</w:t>
            </w:r>
          </w:p>
        </w:tc>
        <w:tc>
          <w:tcPr>
            <w:tcW w:type="dxa" w:w="2160"/>
            <w:top w:sz="4" w:val="single" w:color="000000"/>
            <w:left w:sz="4" w:val="single" w:color="000000"/>
            <w:bottom w:sz="4" w:val="single" w:color="000000"/>
            <w:right w:sz="4" w:val="single" w:color="000000"/>
          </w:tcPr>
          <w:p>
            <w:pPr>
              <w:jc w:val="left"/>
            </w:pPr>
            <w:r>
              <w:rPr>
                <w:sz w:val="20"/>
              </w:rPr>
              <w:t>Dialogue</w:t>
            </w:r>
          </w:p>
        </w:tc>
        <w:tc>
          <w:tcPr>
            <w:tcW w:type="dxa" w:w="2160"/>
            <w:top w:sz="4" w:val="single" w:color="000000"/>
            <w:left w:sz="4" w:val="single" w:color="000000"/>
            <w:bottom w:sz="4" w:val="single" w:color="000000"/>
            <w:right w:sz="4" w:val="single" w:color="000000"/>
          </w:tcPr>
          <w:p>
            <w:pPr>
              <w:jc w:val="left"/>
            </w:pPr>
            <w:r>
              <w:rPr>
                <w:sz w:val="20"/>
              </w:rPr>
              <w:t>All parties access cooperative dialogue through Oman central facilitation role</w:t>
            </w:r>
          </w:p>
        </w:tc>
        <w:tc>
          <w:tcPr>
            <w:tcW w:type="dxa" w:w="2160"/>
            <w:top w:sz="4" w:val="single" w:color="000000"/>
            <w:left w:sz="4" w:val="single" w:color="000000"/>
            <w:bottom w:sz="4" w:val="single" w:color="000000"/>
            <w:right w:sz="4" w:val="single" w:color="000000"/>
          </w:tcPr>
          <w:p>
            <w:pPr>
              <w:jc w:val="left"/>
            </w:pPr>
            <w:r>
              <w:rPr>
                <w:sz w:val="20"/>
              </w:rPr>
              <w:t>Diplomatic channel opens</w:t>
            </w:r>
          </w:p>
        </w:tc>
      </w:tr>
    </w:tbl>
    <w:p/>
    <w:p>
      <w:pPr>
        <w:jc w:val="left"/>
      </w:pPr>
      <w:r>
        <w:rPr>
          <w:b/>
          <w:sz w:val="26"/>
        </w:rPr>
        <w:t>FRAMEWORK ARCHITECTURE</w:t>
      </w:r>
    </w:p>
    <w:p>
      <w:pPr>
        <w:pStyle w:val="ListBullet"/>
        <w:spacing w:after="120"/>
        <w:ind w:left="360"/>
      </w:pPr>
      <w:r>
        <w:rPr>
          <w:sz w:val="22"/>
        </w:rPr>
        <w:t>The framework architecture excludes unilateral lane control mechanisms.</w:t>
      </w:r>
    </w:p>
    <w:p>
      <w:pPr>
        <w:pStyle w:val="ListBullet"/>
        <w:spacing w:after="120"/>
        <w:ind w:left="360"/>
      </w:pPr>
      <w:r>
        <w:rPr>
          <w:sz w:val="22"/>
        </w:rPr>
        <w:t>Commercial transit operates under an absolute non-interdiction protocol within the framework.</w:t>
      </w:r>
    </w:p>
    <w:p>
      <w:pPr>
        <w:pStyle w:val="ListBullet"/>
        <w:spacing w:after="120"/>
        <w:ind w:left="360"/>
      </w:pPr>
      <w:r>
        <w:rPr>
          <w:sz w:val="22"/>
        </w:rPr>
        <w:t>The framework architecture excludes direct fee collection by any single coastal state.</w:t>
      </w:r>
    </w:p>
    <w:p>
      <w:pPr>
        <w:pStyle w:val="ListBullet"/>
        <w:spacing w:after="120"/>
        <w:ind w:left="360"/>
      </w:pPr>
      <w:r>
        <w:rPr>
          <w:sz w:val="22"/>
        </w:rPr>
        <w:t>The framework architecture excludes kinetic enforcement mechanisms.</w:t>
      </w:r>
    </w:p>
    <w:p>
      <w:pPr>
        <w:pStyle w:val="ListBullet"/>
        <w:spacing w:after="120"/>
        <w:ind w:left="360"/>
      </w:pPr>
      <w:r>
        <w:rPr>
          <w:sz w:val="22"/>
        </w:rPr>
        <w:t>The United States recognizes no arrangement that restricts lawful passage.</w:t>
      </w:r>
    </w:p>
    <w:p>
      <w:pPr>
        <w:jc w:val="left"/>
      </w:pPr>
      <w:r>
        <w:rPr>
          <w:b/>
          <w:sz w:val="26"/>
        </w:rPr>
        <w:t>MARITIME GOVERNANCE</w:t>
      </w:r>
    </w:p>
    <w:p>
      <w:pPr>
        <w:pStyle w:val="ListBullet"/>
        <w:spacing w:after="120"/>
        <w:ind w:left="360"/>
      </w:pPr>
      <w:r>
        <w:rPr>
          <w:sz w:val="22"/>
        </w:rPr>
        <w:t>The Joint Hormuz Transit Authority governs the international transit corridor under UNCLOS principles.</w:t>
      </w:r>
    </w:p>
    <w:p>
      <w:pPr>
        <w:pStyle w:val="ListBullet"/>
        <w:spacing w:after="120"/>
        <w:ind w:left="360"/>
      </w:pPr>
      <w:r>
        <w:rPr>
          <w:sz w:val="22"/>
        </w:rPr>
        <w:t>The Persian Gulf Strait Authority operates as the sole executive coastal law enforcement body within Iranian territorial waters.</w:t>
      </w:r>
    </w:p>
    <w:p>
      <w:pPr>
        <w:pStyle w:val="ListBullet"/>
        <w:spacing w:after="120"/>
        <w:ind w:left="360"/>
      </w:pPr>
      <w:r>
        <w:rPr>
          <w:sz w:val="22"/>
        </w:rPr>
        <w:t>Transit fees flow through the Multilateral Maritime Maintenance Fund in Oman.</w:t>
      </w:r>
    </w:p>
    <w:p>
      <w:pPr>
        <w:pStyle w:val="ListBullet"/>
        <w:spacing w:after="120"/>
        <w:ind w:left="360"/>
      </w:pPr>
      <w:r>
        <w:rPr>
          <w:sz w:val="22"/>
        </w:rPr>
        <w:t>The framework architecture excludes unilateral enforcement actions outside the coordinated protocol.</w:t>
      </w:r>
    </w:p>
    <w:p>
      <w:pPr>
        <w:jc w:val="left"/>
      </w:pPr>
      <w:r>
        <w:rPr>
          <w:b/>
          <w:sz w:val="26"/>
        </w:rPr>
        <w:t>NEXT STEPS</w:t>
      </w:r>
    </w:p>
    <w:p>
      <w:pPr>
        <w:pStyle w:val="ListBullet"/>
        <w:spacing w:after="120"/>
        <w:ind w:left="360"/>
      </w:pPr>
      <w:r>
        <w:rPr>
          <w:sz w:val="22"/>
        </w:rPr>
        <w:t>The United States maintains full commitment to the security and openness of the Strait of Hormuz.</w:t>
      </w:r>
    </w:p>
    <w:p>
      <w:pPr>
        <w:pStyle w:val="ListBullet"/>
        <w:spacing w:after="120"/>
        <w:ind w:left="360"/>
      </w:pPr>
      <w:r>
        <w:rPr>
          <w:sz w:val="22"/>
        </w:rPr>
        <w:t>The 72-hour ceasefire module self-renews upon verification of each milestone.</w:t>
      </w:r>
    </w:p>
    <w:p>
      <w:pPr>
        <w:pStyle w:val="ListBullet"/>
        <w:spacing w:after="120"/>
        <w:ind w:left="360"/>
      </w:pPr>
      <w:r>
        <w:rPr>
          <w:sz w:val="22"/>
        </w:rPr>
        <w:t>All parties return to constructive dialogue through Oman facilitation.</w:t>
      </w:r>
    </w:p>
    <w:p>
      <w:pPr>
        <w:pStyle w:val="ListBullet"/>
        <w:spacing w:after="120"/>
        <w:ind w:left="360"/>
      </w:pPr>
      <w:r>
        <w:rPr>
          <w:sz w:val="22"/>
        </w:rPr>
        <w:t>The United States issues independent navigation guidance if unilateral restrictions emerge.</w:t>
      </w:r>
    </w:p>
    <w:p/>
    <w:p>
      <w:pPr>
        <w:jc w:val="left"/>
      </w:pPr>
      <w:r>
        <w:rPr>
          <w:b/>
          <w:sz w:val="22"/>
        </w:rPr>
        <w:t>The United States maintains full commitment to the security and openness of the Strait of Hormuz.</w:t>
      </w:r>
    </w:p>
    <w:p/>
    <w:p>
      <w:pPr>
        <w:jc w:val="left"/>
      </w:pPr>
      <w:r>
        <w:rPr>
          <w:b/>
          <w:sz w:val="20"/>
        </w:rPr>
        <w:t>END OF DOCUMENT</w:t>
      </w:r>
    </w:p>
    <w:p>
      <w:pPr>
        <w:jc w:val="left"/>
      </w:pPr>
      <w:r>
        <w:rPr>
          <w:i/>
          <w:sz w:val="18"/>
        </w:rPr>
        <w:t>PR-20260807-STRAIT-B -- Deposited with the Joint Secretariat, Muscat, Sultanate of 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