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JOINT SECRETARIAT</w:t>
      </w:r>
    </w:p>
    <w:p>
      <w:pPr>
        <w:jc w:val="center"/>
      </w:pPr>
      <w:r>
        <w:rPr>
          <w:b/>
          <w:i/>
          <w:sz w:val="20"/>
        </w:rPr>
        <w:t>OPERATIONAL DOCUMENT -- AUTHORIZED NEGOTIATORS ONLY</w:t>
      </w:r>
    </w:p>
    <w:p/>
    <w:p>
      <w:pPr>
        <w:jc w:val="center"/>
      </w:pPr>
      <w:r>
        <w:rPr>
          <w:b/>
          <w:sz w:val="22"/>
        </w:rPr>
        <w:t>FOR RELEASE AT 3:00 PM EDT</w:t>
      </w:r>
    </w:p>
    <w:p>
      <w:pPr>
        <w:jc w:val="center"/>
      </w:pPr>
      <w:r>
        <w:rPr>
          <w:sz w:val="22"/>
        </w:rPr>
        <w:t>August 7, 2026</w:t>
      </w:r>
    </w:p>
    <w:p>
      <w:pPr>
        <w:jc w:val="center"/>
      </w:pPr>
      <w:r>
        <w:rPr>
          <w:sz w:val="20"/>
        </w:rPr>
        <w:t>Contact: Office of the Press Secretary</w:t>
      </w:r>
    </w:p>
    <w:p>
      <w:pPr>
        <w:jc w:val="center"/>
      </w:pPr>
      <w:r>
        <w:rPr>
          <w:i/>
          <w:sz w:val="18"/>
        </w:rPr>
        <w:t>PR-20260807-STRAIT-C</w:t>
      </w:r>
    </w:p>
    <w:p/>
    <w:p>
      <w:pPr>
        <w:jc w:val="center"/>
      </w:pPr>
      <w:r>
        <w:rPr>
          <w:b/>
          <w:sz w:val="32"/>
        </w:rPr>
        <w:t>THE WHITE HOUSE URGES RESTRAINT AND CONTINUES DIPLOMATIC ENGAGEMENT IN STRAIT OF HORMUZ</w:t>
      </w:r>
    </w:p>
    <w:p>
      <w:pPr>
        <w:jc w:val="center"/>
      </w:pPr>
      <w:r>
        <w:rPr>
          <w:i/>
          <w:sz w:val="22"/>
        </w:rPr>
        <w:t>Escalation Containment Protocol and De-Escalation Framework</w:t>
      </w:r>
    </w:p>
    <w:p/>
    <w:p>
      <w:r>
        <w:rPr>
          <w:b/>
          <w:sz w:val="22"/>
        </w:rPr>
        <w:t xml:space="preserve">WASHINGTON: </w:t>
      </w:r>
      <w:r>
        <w:rPr>
          <w:sz w:val="22"/>
        </w:rPr>
        <w:t>The United States monitors recent developments in the Strait of Hormuz with close attention. The United States notes actions and statements that increase tensions in the region. The United States urges all parties to exercise restraint and to avoid steps that escalate the situation.</w:t>
      </w:r>
    </w:p>
    <w:p>
      <w:r>
        <w:rPr>
          <w:sz w:val="22"/>
        </w:rPr>
        <w:t>The United States maintains its commitment to ensure the safety and security of commercial transit and to uphold internationally recognized principles of freedom of navigation.</w:t>
      </w:r>
    </w:p>
    <w:p/>
    <w:p>
      <w:pPr>
        <w:spacing w:after="240"/>
        <w:ind w:left="432" w:right="432"/>
      </w:pPr>
      <w:r>
        <w:rPr>
          <w:i/>
          <w:sz w:val="22"/>
        </w:rPr>
        <w:t>"We maintain active communication with Oman and other regional partners to stabilize conditions and to prevent misunderstandings that lead to further escalation," the President states. "The United States takes all necessary measures to protect United States personnel and commercial vessels, while we continue to pursue diplomatic channels to reduce tensions and maintain open, secure transit through the strait."</w:t>
      </w:r>
    </w:p>
    <w:p>
      <w:pPr>
        <w:jc w:val="left"/>
      </w:pPr>
      <w:r>
        <w:rPr>
          <w:b/>
          <w:sz w:val="26"/>
        </w:rPr>
        <w:t>DE-ESCALATION PROTOCOL</w:t>
      </w:r>
    </w:p>
    <w:tbl>
      <w:tblPr>
        <w:tblStyle w:val="TableGrid"/>
        <w:tblW w:type="auto" w:w="0"/>
        <w:tblLook w:firstColumn="1" w:firstRow="1" w:lastColumn="0" w:lastRow="0" w:noHBand="0" w:noVBand="1" w:val="04A0"/>
      </w:tblPr>
      <w:tblGrid>
        <w:gridCol w:w="2160"/>
        <w:gridCol w:w="2160"/>
        <w:gridCol w:w="2160"/>
        <w:gridCol w:w="2160"/>
      </w:tblGrid>
      <w:tr>
        <w:tc>
          <w:tcPr>
            <w:tcW w:type="dxa" w:w="2160"/>
            <w:top w:sz="8" w:val="single" w:color="000000"/>
            <w:left w:sz="8" w:val="single" w:color="000000"/>
            <w:bottom w:sz="8" w:val="single" w:color="000000"/>
            <w:right w:sz="8" w:val="single" w:color="000000"/>
          </w:tcPr>
          <w:p>
            <w:pPr>
              <w:jc w:val="left"/>
            </w:pPr>
            <w:r>
              <w:rPr>
                <w:b/>
                <w:sz w:val="20"/>
              </w:rPr>
              <w:t>STEP</w:t>
            </w:r>
          </w:p>
        </w:tc>
        <w:tc>
          <w:tcPr>
            <w:tcW w:type="dxa" w:w="2160"/>
            <w:top w:sz="8" w:val="single" w:color="000000"/>
            <w:left w:sz="8" w:val="single" w:color="000000"/>
            <w:bottom w:sz="8" w:val="single" w:color="000000"/>
            <w:right w:sz="8" w:val="single" w:color="000000"/>
          </w:tcPr>
          <w:p>
            <w:pPr>
              <w:jc w:val="left"/>
            </w:pPr>
            <w:r>
              <w:rPr>
                <w:b/>
                <w:sz w:val="20"/>
              </w:rPr>
              <w:t>ELEMENT</w:t>
            </w:r>
          </w:p>
        </w:tc>
        <w:tc>
          <w:tcPr>
            <w:tcW w:type="dxa" w:w="2160"/>
            <w:top w:sz="8" w:val="single" w:color="000000"/>
            <w:left w:sz="8" w:val="single" w:color="000000"/>
            <w:bottom w:sz="8" w:val="single" w:color="000000"/>
            <w:right w:sz="8" w:val="single" w:color="000000"/>
          </w:tcPr>
          <w:p>
            <w:pPr>
              <w:jc w:val="left"/>
            </w:pPr>
            <w:r>
              <w:rPr>
                <w:b/>
                <w:sz w:val="20"/>
              </w:rPr>
              <w:t>DESCRIPTION</w:t>
            </w:r>
          </w:p>
        </w:tc>
        <w:tc>
          <w:tcPr>
            <w:tcW w:type="dxa" w:w="2160"/>
            <w:top w:sz="8" w:val="single" w:color="000000"/>
            <w:left w:sz="8" w:val="single" w:color="000000"/>
            <w:bottom w:sz="8" w:val="single" w:color="000000"/>
            <w:right w:sz="8" w:val="single" w:color="000000"/>
          </w:tcPr>
          <w:p>
            <w:pPr>
              <w:jc w:val="left"/>
            </w:pPr>
            <w:r>
              <w:rPr>
                <w:b/>
                <w:sz w:val="20"/>
              </w:rPr>
              <w:t>OUTPUT</w:t>
            </w:r>
          </w:p>
        </w:tc>
      </w:tr>
      <w:tr>
        <w:tc>
          <w:tcPr>
            <w:tcW w:type="dxa" w:w="2160"/>
            <w:top w:sz="4" w:val="single" w:color="000000"/>
            <w:left w:sz="4" w:val="single" w:color="000000"/>
            <w:bottom w:sz="4" w:val="single" w:color="000000"/>
            <w:right w:sz="4" w:val="single" w:color="000000"/>
          </w:tcPr>
          <w:p>
            <w:pPr>
              <w:jc w:val="left"/>
            </w:pPr>
            <w:r>
              <w:rPr>
                <w:sz w:val="20"/>
              </w:rPr>
              <w:t>1</w:t>
            </w:r>
          </w:p>
        </w:tc>
        <w:tc>
          <w:tcPr>
            <w:tcW w:type="dxa" w:w="2160"/>
            <w:top w:sz="4" w:val="single" w:color="000000"/>
            <w:left w:sz="4" w:val="single" w:color="000000"/>
            <w:bottom w:sz="4" w:val="single" w:color="000000"/>
            <w:right w:sz="4" w:val="single" w:color="000000"/>
          </w:tcPr>
          <w:p>
            <w:pPr>
              <w:jc w:val="left"/>
            </w:pPr>
            <w:r>
              <w:rPr>
                <w:sz w:val="20"/>
              </w:rPr>
              <w:t>Monitoring</w:t>
            </w:r>
          </w:p>
        </w:tc>
        <w:tc>
          <w:tcPr>
            <w:tcW w:type="dxa" w:w="2160"/>
            <w:top w:sz="4" w:val="single" w:color="000000"/>
            <w:left w:sz="4" w:val="single" w:color="000000"/>
            <w:bottom w:sz="4" w:val="single" w:color="000000"/>
            <w:right w:sz="4" w:val="single" w:color="000000"/>
          </w:tcPr>
          <w:p>
            <w:pPr>
              <w:jc w:val="left"/>
            </w:pPr>
            <w:r>
              <w:rPr>
                <w:sz w:val="20"/>
              </w:rPr>
              <w:t>The United States coordinates in real time with Oman and regional partners to stabilize conditions</w:t>
            </w:r>
          </w:p>
        </w:tc>
        <w:tc>
          <w:tcPr>
            <w:tcW w:type="dxa" w:w="2160"/>
            <w:top w:sz="4" w:val="single" w:color="000000"/>
            <w:left w:sz="4" w:val="single" w:color="000000"/>
            <w:bottom w:sz="4" w:val="single" w:color="000000"/>
            <w:right w:sz="4" w:val="single" w:color="000000"/>
          </w:tcPr>
          <w:p>
            <w:pPr>
              <w:jc w:val="left"/>
            </w:pPr>
            <w:r>
              <w:rPr>
                <w:sz w:val="20"/>
              </w:rPr>
              <w:t>Situational awareness activates</w:t>
            </w:r>
          </w:p>
        </w:tc>
      </w:tr>
      <w:tr>
        <w:tc>
          <w:tcPr>
            <w:tcW w:type="dxa" w:w="2160"/>
            <w:top w:sz="4" w:val="single" w:color="000000"/>
            <w:left w:sz="4" w:val="single" w:color="000000"/>
            <w:bottom w:sz="4" w:val="single" w:color="000000"/>
            <w:right w:sz="4" w:val="single" w:color="000000"/>
          </w:tcPr>
          <w:p>
            <w:pPr>
              <w:jc w:val="left"/>
            </w:pPr>
            <w:r>
              <w:rPr>
                <w:sz w:val="20"/>
              </w:rPr>
              <w:t>2</w:t>
            </w:r>
          </w:p>
        </w:tc>
        <w:tc>
          <w:tcPr>
            <w:tcW w:type="dxa" w:w="2160"/>
            <w:top w:sz="4" w:val="single" w:color="000000"/>
            <w:left w:sz="4" w:val="single" w:color="000000"/>
            <w:bottom w:sz="4" w:val="single" w:color="000000"/>
            <w:right w:sz="4" w:val="single" w:color="000000"/>
          </w:tcPr>
          <w:p>
            <w:pPr>
              <w:jc w:val="left"/>
            </w:pPr>
            <w:r>
              <w:rPr>
                <w:sz w:val="20"/>
              </w:rPr>
              <w:t>Restraint</w:t>
            </w:r>
          </w:p>
        </w:tc>
        <w:tc>
          <w:tcPr>
            <w:tcW w:type="dxa" w:w="2160"/>
            <w:top w:sz="4" w:val="single" w:color="000000"/>
            <w:left w:sz="4" w:val="single" w:color="000000"/>
            <w:bottom w:sz="4" w:val="single" w:color="000000"/>
            <w:right w:sz="4" w:val="single" w:color="000000"/>
          </w:tcPr>
          <w:p>
            <w:pPr>
              <w:jc w:val="left"/>
            </w:pPr>
            <w:r>
              <w:rPr>
                <w:sz w:val="20"/>
              </w:rPr>
              <w:t>All parties exercise restraint and avoid steps that escalate tensions</w:t>
            </w:r>
          </w:p>
        </w:tc>
        <w:tc>
          <w:tcPr>
            <w:tcW w:type="dxa" w:w="2160"/>
            <w:top w:sz="4" w:val="single" w:color="000000"/>
            <w:left w:sz="4" w:val="single" w:color="000000"/>
            <w:bottom w:sz="4" w:val="single" w:color="000000"/>
            <w:right w:sz="4" w:val="single" w:color="000000"/>
          </w:tcPr>
          <w:p>
            <w:pPr>
              <w:jc w:val="left"/>
            </w:pPr>
            <w:r>
              <w:rPr>
                <w:sz w:val="20"/>
              </w:rPr>
              <w:t>Escalation triggers stand down</w:t>
            </w:r>
          </w:p>
        </w:tc>
      </w:tr>
      <w:tr>
        <w:tc>
          <w:tcPr>
            <w:tcW w:type="dxa" w:w="2160"/>
            <w:top w:sz="4" w:val="single" w:color="000000"/>
            <w:left w:sz="4" w:val="single" w:color="000000"/>
            <w:bottom w:sz="4" w:val="single" w:color="000000"/>
            <w:right w:sz="4" w:val="single" w:color="000000"/>
          </w:tcPr>
          <w:p>
            <w:pPr>
              <w:jc w:val="left"/>
            </w:pPr>
            <w:r>
              <w:rPr>
                <w:sz w:val="20"/>
              </w:rPr>
              <w:t>3</w:t>
            </w:r>
          </w:p>
        </w:tc>
        <w:tc>
          <w:tcPr>
            <w:tcW w:type="dxa" w:w="2160"/>
            <w:top w:sz="4" w:val="single" w:color="000000"/>
            <w:left w:sz="4" w:val="single" w:color="000000"/>
            <w:bottom w:sz="4" w:val="single" w:color="000000"/>
            <w:right w:sz="4" w:val="single" w:color="000000"/>
          </w:tcPr>
          <w:p>
            <w:pPr>
              <w:jc w:val="left"/>
            </w:pPr>
            <w:r>
              <w:rPr>
                <w:sz w:val="20"/>
              </w:rPr>
              <w:t>Protection</w:t>
            </w:r>
          </w:p>
        </w:tc>
        <w:tc>
          <w:tcPr>
            <w:tcW w:type="dxa" w:w="2160"/>
            <w:top w:sz="4" w:val="single" w:color="000000"/>
            <w:left w:sz="4" w:val="single" w:color="000000"/>
            <w:bottom w:sz="4" w:val="single" w:color="000000"/>
            <w:right w:sz="4" w:val="single" w:color="000000"/>
          </w:tcPr>
          <w:p>
            <w:pPr>
              <w:jc w:val="left"/>
            </w:pPr>
            <w:r>
              <w:rPr>
                <w:sz w:val="20"/>
              </w:rPr>
              <w:t>The United States maintains readiness to protect personnel and commercial vessels</w:t>
            </w:r>
          </w:p>
        </w:tc>
        <w:tc>
          <w:tcPr>
            <w:tcW w:type="dxa" w:w="2160"/>
            <w:top w:sz="4" w:val="single" w:color="000000"/>
            <w:left w:sz="4" w:val="single" w:color="000000"/>
            <w:bottom w:sz="4" w:val="single" w:color="000000"/>
            <w:right w:sz="4" w:val="single" w:color="000000"/>
          </w:tcPr>
          <w:p>
            <w:pPr>
              <w:jc w:val="left"/>
            </w:pPr>
            <w:r>
              <w:rPr>
                <w:sz w:val="20"/>
              </w:rPr>
              <w:t>Forces confirm protective posture</w:t>
            </w:r>
          </w:p>
        </w:tc>
      </w:tr>
      <w:tr>
        <w:tc>
          <w:tcPr>
            <w:tcW w:type="dxa" w:w="2160"/>
            <w:top w:sz="4" w:val="single" w:color="000000"/>
            <w:left w:sz="4" w:val="single" w:color="000000"/>
            <w:bottom w:sz="4" w:val="single" w:color="000000"/>
            <w:right w:sz="4" w:val="single" w:color="000000"/>
          </w:tcPr>
          <w:p>
            <w:pPr>
              <w:jc w:val="left"/>
            </w:pPr>
            <w:r>
              <w:rPr>
                <w:sz w:val="20"/>
              </w:rPr>
              <w:t>4</w:t>
            </w:r>
          </w:p>
        </w:tc>
        <w:tc>
          <w:tcPr>
            <w:tcW w:type="dxa" w:w="2160"/>
            <w:top w:sz="4" w:val="single" w:color="000000"/>
            <w:left w:sz="4" w:val="single" w:color="000000"/>
            <w:bottom w:sz="4" w:val="single" w:color="000000"/>
            <w:right w:sz="4" w:val="single" w:color="000000"/>
          </w:tcPr>
          <w:p>
            <w:pPr>
              <w:jc w:val="left"/>
            </w:pPr>
            <w:r>
              <w:rPr>
                <w:sz w:val="20"/>
              </w:rPr>
              <w:t>Dialogue</w:t>
            </w:r>
          </w:p>
        </w:tc>
        <w:tc>
          <w:tcPr>
            <w:tcW w:type="dxa" w:w="2160"/>
            <w:top w:sz="4" w:val="single" w:color="000000"/>
            <w:left w:sz="4" w:val="single" w:color="000000"/>
            <w:bottom w:sz="4" w:val="single" w:color="000000"/>
            <w:right w:sz="4" w:val="single" w:color="000000"/>
          </w:tcPr>
          <w:p>
            <w:pPr>
              <w:jc w:val="left"/>
            </w:pPr>
            <w:r>
              <w:rPr>
                <w:sz w:val="20"/>
              </w:rPr>
              <w:t>The framework keeps diplomatic channels open to reduce tensions and restore predictability</w:t>
            </w:r>
          </w:p>
        </w:tc>
        <w:tc>
          <w:tcPr>
            <w:tcW w:type="dxa" w:w="2160"/>
            <w:top w:sz="4" w:val="single" w:color="000000"/>
            <w:left w:sz="4" w:val="single" w:color="000000"/>
            <w:bottom w:sz="4" w:val="single" w:color="000000"/>
            <w:right w:sz="4" w:val="single" w:color="000000"/>
          </w:tcPr>
          <w:p>
            <w:pPr>
              <w:jc w:val="left"/>
            </w:pPr>
            <w:r>
              <w:rPr>
                <w:sz w:val="20"/>
              </w:rPr>
              <w:t>Negotiation track opens</w:t>
            </w:r>
          </w:p>
        </w:tc>
      </w:tr>
    </w:tbl>
    <w:p/>
    <w:p>
      <w:pPr>
        <w:jc w:val="left"/>
      </w:pPr>
      <w:r>
        <w:rPr>
          <w:b/>
          <w:sz w:val="26"/>
        </w:rPr>
        <w:t>FRAMEWORK ARCHITECTURE</w:t>
      </w:r>
    </w:p>
    <w:p>
      <w:pPr>
        <w:pStyle w:val="ListBullet"/>
        <w:spacing w:after="120"/>
        <w:ind w:left="360"/>
      </w:pPr>
      <w:r>
        <w:rPr>
          <w:sz w:val="22"/>
        </w:rPr>
        <w:t>The framework architecture incorporates a 72-hour self-renewing ceasefire module.</w:t>
      </w:r>
    </w:p>
    <w:p>
      <w:pPr>
        <w:pStyle w:val="ListBullet"/>
        <w:spacing w:after="120"/>
        <w:ind w:left="360"/>
      </w:pPr>
      <w:r>
        <w:rPr>
          <w:sz w:val="22"/>
        </w:rPr>
        <w:t>Commercial transit operates under an absolute non-interdiction protocol within the framework.</w:t>
      </w:r>
    </w:p>
    <w:p>
      <w:pPr>
        <w:pStyle w:val="ListBullet"/>
        <w:spacing w:after="120"/>
        <w:ind w:left="360"/>
      </w:pPr>
      <w:r>
        <w:rPr>
          <w:sz w:val="22"/>
        </w:rPr>
        <w:t>The framework architecture excludes kinetic enforcement mechanisms.</w:t>
      </w:r>
    </w:p>
    <w:p>
      <w:pPr>
        <w:pStyle w:val="ListBullet"/>
        <w:spacing w:after="120"/>
        <w:ind w:left="360"/>
      </w:pPr>
      <w:r>
        <w:rPr>
          <w:sz w:val="22"/>
        </w:rPr>
        <w:t>All parties access dispute resolution through Oman central facilitation role.</w:t>
      </w:r>
    </w:p>
    <w:p>
      <w:pPr>
        <w:pStyle w:val="ListBullet"/>
        <w:spacing w:after="120"/>
        <w:ind w:left="360"/>
      </w:pPr>
      <w:r>
        <w:rPr>
          <w:sz w:val="22"/>
        </w:rPr>
        <w:t>The framework architecture excludes unilateral enforcement actions outside the coordinated protocol.</w:t>
      </w:r>
    </w:p>
    <w:p>
      <w:pPr>
        <w:jc w:val="left"/>
      </w:pPr>
      <w:r>
        <w:rPr>
          <w:b/>
          <w:sz w:val="26"/>
        </w:rPr>
        <w:t>MARITIME GOVERNANCE</w:t>
      </w:r>
    </w:p>
    <w:p>
      <w:pPr>
        <w:pStyle w:val="ListBullet"/>
        <w:spacing w:after="120"/>
        <w:ind w:left="360"/>
      </w:pPr>
      <w:r>
        <w:rPr>
          <w:sz w:val="22"/>
        </w:rPr>
        <w:t>The Joint Hormuz Transit Authority governs the international transit corridor under UNCLOS principles.</w:t>
      </w:r>
    </w:p>
    <w:p>
      <w:pPr>
        <w:pStyle w:val="ListBullet"/>
        <w:spacing w:after="120"/>
        <w:ind w:left="360"/>
      </w:pPr>
      <w:r>
        <w:rPr>
          <w:sz w:val="22"/>
        </w:rPr>
        <w:t>The framework keeps diplomatic channels open to reduce tensions and restore predictability in the waterway.</w:t>
      </w:r>
    </w:p>
    <w:p>
      <w:pPr>
        <w:pStyle w:val="ListBullet"/>
        <w:spacing w:after="120"/>
        <w:ind w:left="360"/>
      </w:pPr>
      <w:r>
        <w:rPr>
          <w:sz w:val="22"/>
        </w:rPr>
        <w:t>The United States provides additional updates as the situation develops.</w:t>
      </w:r>
    </w:p>
    <w:p>
      <w:pPr>
        <w:pStyle w:val="ListBullet"/>
        <w:spacing w:after="120"/>
        <w:ind w:left="360"/>
      </w:pPr>
      <w:r>
        <w:rPr>
          <w:sz w:val="22"/>
        </w:rPr>
        <w:t>Transit fees flow through the Multilateral Maritime Maintenance Fund in Oman.</w:t>
      </w:r>
    </w:p>
    <w:p>
      <w:pPr>
        <w:jc w:val="left"/>
      </w:pPr>
      <w:r>
        <w:rPr>
          <w:b/>
          <w:sz w:val="26"/>
        </w:rPr>
        <w:t>NEXT STEPS</w:t>
      </w:r>
    </w:p>
    <w:p>
      <w:pPr>
        <w:pStyle w:val="ListBullet"/>
        <w:spacing w:after="120"/>
        <w:ind w:left="360"/>
      </w:pPr>
      <w:r>
        <w:rPr>
          <w:sz w:val="22"/>
        </w:rPr>
        <w:t>The United States encourages all parties to return to constructive dialogue.</w:t>
      </w:r>
    </w:p>
    <w:p>
      <w:pPr>
        <w:pStyle w:val="ListBullet"/>
        <w:spacing w:after="120"/>
        <w:ind w:left="360"/>
      </w:pPr>
      <w:r>
        <w:rPr>
          <w:sz w:val="22"/>
        </w:rPr>
        <w:t>The 180-day implementation roadmap continues on its current track.</w:t>
      </w:r>
    </w:p>
    <w:p>
      <w:pPr>
        <w:pStyle w:val="ListBullet"/>
        <w:spacing w:after="120"/>
        <w:ind w:left="360"/>
      </w:pPr>
      <w:r>
        <w:rPr>
          <w:sz w:val="22"/>
        </w:rPr>
        <w:t>All Phase 1 verification milestones complete within 14 days.</w:t>
      </w:r>
    </w:p>
    <w:p>
      <w:pPr>
        <w:pStyle w:val="ListBullet"/>
        <w:spacing w:after="120"/>
        <w:ind w:left="360"/>
      </w:pPr>
      <w:r>
        <w:rPr>
          <w:sz w:val="22"/>
        </w:rPr>
        <w:t>The Joint Secretariat in Muscat coordinates all media inquiries and status updates.</w:t>
      </w:r>
    </w:p>
    <w:p/>
    <w:p>
      <w:pPr>
        <w:jc w:val="left"/>
      </w:pPr>
      <w:r>
        <w:rPr>
          <w:b/>
          <w:sz w:val="22"/>
        </w:rPr>
        <w:t>The United States provides additional updates as the situation develops.</w:t>
      </w:r>
    </w:p>
    <w:p/>
    <w:p>
      <w:pPr>
        <w:jc w:val="left"/>
      </w:pPr>
      <w:r>
        <w:rPr>
          <w:b/>
          <w:sz w:val="20"/>
        </w:rPr>
        <w:t>END OF DOCUMENT</w:t>
      </w:r>
    </w:p>
    <w:p>
      <w:pPr>
        <w:jc w:val="left"/>
      </w:pPr>
      <w:r>
        <w:rPr>
          <w:i/>
          <w:sz w:val="18"/>
        </w:rPr>
        <w:t>PR-20260807-STRAIT-C -- Deposited with the Joint Secretariat, Muscat, Sultanate of 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