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07a0af371b14da6" /></Relationships>
</file>

<file path=word/document.xml><?xml version="1.0" encoding="utf-8"?>
<w:document xmlns:r="http://schemas.openxmlformats.org/officeDocument/2006/relationships" xmlns:w="http://schemas.openxmlformats.org/wordprocessingml/2006/main">
  <w:body>
    <w:p>
      <w:pPr>
        <w:spacing w:before="2600" w:after="0"/>
        <w:jc w:val="center"/>
      </w:pPr>
      <w:r>
        <w:rPr>
          <w:rFonts w:ascii="Georgia" w:hAnsi="Georgia"/>
          <w:b/>
          <w:color w:val="8A6D2F"/>
          <w:spacing w:val="40"/>
          <w:sz w:val="20"/>
        </w:rPr>
        <w:t xml:space="preserve">PROVISIONAL INSTRUMENT OF MARITIME GOVERNANCE</w:t>
      </w:r>
    </w:p>
    <w:p>
      <w:pPr>
        <w:spacing w:before="500" w:after="60" w:line="252" w:lineRule="auto"/>
        <w:jc w:val="center"/>
      </w:pPr>
      <w:r>
        <w:rPr>
          <w:rFonts w:ascii="Georgia" w:hAnsi="Georgia"/>
          <w:b/>
          <w:color w:val="2F4858"/>
          <w:spacing w:val="20"/>
          <w:sz w:val="64"/>
        </w:rPr>
        <w:t xml:space="preserve">THE GRADUATED GAINS</w:t>
      </w:r>
    </w:p>
    <w:p>
      <w:pPr>
        <w:spacing w:before="0" w:after="300" w:line="252" w:lineRule="auto"/>
        <w:jc w:val="center"/>
      </w:pPr>
      <w:r>
        <w:rPr>
          <w:rFonts w:ascii="Georgia" w:hAnsi="Georgia"/>
          <w:b/>
          <w:color w:val="2F4858"/>
          <w:spacing w:val="20"/>
          <w:sz w:val="64"/>
        </w:rPr>
        <w:t xml:space="preserve">PROVISIONAL ACCORD</w:t>
      </w:r>
    </w:p>
    <w:p>
      <w:pPr>
        <w:pBdr>
          <w:bottom w:val="single" w:color="8A6D2F" w:sz="8"/>
        </w:pBdr>
        <w:spacing w:before="0" w:after="200"/>
        <w:ind w:left="2700" w:right="2700"/>
        <w:jc w:val="center"/>
      </w:pPr>
    </w:p>
    <w:p>
      <w:pPr>
        <w:spacing w:before="220" w:after="80" w:line="252" w:lineRule="auto"/>
        <w:jc w:val="center"/>
      </w:pPr>
      <w:r>
        <w:rPr>
          <w:rFonts w:ascii="Georgia" w:hAnsi="Georgia"/>
          <w:i/>
          <w:color w:val="1E2A32"/>
          <w:sz w:val="28"/>
        </w:rPr>
        <w:t xml:space="preserve">A Phased Governance System for the Strait of Hormuz</w:t>
      </w:r>
    </w:p>
    <w:p>
      <w:pPr>
        <w:spacing w:before="1600" w:after="80" w:line="252" w:lineRule="auto"/>
        <w:jc w:val="center"/>
      </w:pPr>
      <w:r>
        <w:rPr>
          <w:rFonts w:ascii="Georgia" w:hAnsi="Georgia"/>
          <w:b/>
          <w:color w:val="2F4858"/>
          <w:sz w:val="24"/>
        </w:rPr>
        <w:t xml:space="preserve">Version 1.0</w:t>
      </w:r>
    </w:p>
    <w:p>
      <w:pPr>
        <w:spacing w:before="60" w:after="40" w:line="252" w:lineRule="auto"/>
        <w:jc w:val="center"/>
      </w:pPr>
      <w:r>
        <w:rPr>
          <w:rFonts w:ascii="Georgia" w:hAnsi="Georgia"/>
          <w:color w:val="5E6E78"/>
          <w:sz w:val="19"/>
        </w:rPr>
        <w:t xml:space="preserve">Negotiated under the architecture of the Islamabad Memorandum of Understanding</w:t>
      </w:r>
    </w:p>
    <w:p>
      <w:pPr>
        <w:spacing w:before="60" w:after="40" w:line="252" w:lineRule="auto"/>
        <w:jc w:val="center"/>
      </w:pPr>
      <w:r>
        <w:rPr>
          <w:rFonts w:ascii="Georgia" w:hAnsi="Georgia"/>
          <w:color w:val="5E6E78"/>
          <w:sz w:val="19"/>
        </w:rPr>
        <w:t xml:space="preserve">Muscat  |  August 2026</w:t>
      </w:r>
    </w:p>
    <w:p>
      <w:pPr>
        <w:spacing w:before="60" w:after="40" w:line="252" w:lineRule="auto"/>
        <w:jc w:val="center"/>
      </w:pPr>
      <w:r>
        <w:rPr>
          <w:rFonts w:ascii="Georgia" w:hAnsi="Georgia"/>
          <w:color w:val="5E6E78"/>
          <w:sz w:val="19"/>
        </w:rPr>
        <w:t xml:space="preserve">Depositary: The Swiss Confederation</w:t>
      </w:r>
    </w:p>
    <w:p>
      <w:pPr>
        <w:sectPr>
          <w:type w:val="nextPage"/>
          <w:pgSz w:w="11906" w:h="16838"/>
          <w:pgMar w:top="1440" w:right="1440" w:bottom="1440" w:left="1440" w:header="720" w:footer="720"/>
          <w:pgBorders>
            <w:top w:val="double" w:color="2F4858" w:sz="12" w:space="24"/>
            <w:left w:val="double" w:color="2F4858" w:sz="12" w:space="24"/>
            <w:bottom w:val="double" w:color="2F4858" w:sz="12" w:space="24"/>
            <w:right w:val="double" w:color="2F4858" w:sz="12" w:space="24"/>
          </w:pgBorders>
          <w:titlePg/>
        </w:sectPr>
      </w:pPr>
    </w:p>
    <w:p>
      <w:pPr>
        <w:pStyle w:val="Heading1"/>
      </w:pPr>
      <w:r>
        <w:rPr>
          <w:rFonts w:ascii="Georgia" w:hAnsi="Georgia"/>
          <w:b/>
          <w:color w:val="2F4858"/>
          <w:sz w:val="30"/>
        </w:rPr>
        <w:t xml:space="preserve">Document Control</w:t>
      </w:r>
    </w:p>
    <w:p>
      <w:pPr>
        <w:spacing w:before="60" w:after="40" w:line="252" w:lineRule="auto"/>
        <w:jc w:val="left"/>
      </w:pPr>
      <w:r>
        <w:rPr>
          <w:rFonts w:ascii="Georgia" w:hAnsi="Georgia"/>
          <w:color w:val="1E2A32"/>
          <w:sz w:val="21"/>
        </w:rPr>
        <w:t xml:space="preserve">Instrument: The Graduated Gains Provisional Accord v1.0</w:t>
      </w:r>
    </w:p>
    <w:p>
      <w:pPr>
        <w:spacing w:before="0" w:after="40" w:line="252" w:lineRule="auto"/>
        <w:jc w:val="left"/>
      </w:pPr>
      <w:r>
        <w:rPr>
          <w:rFonts w:ascii="Georgia" w:hAnsi="Georgia"/>
          <w:color w:val="1E2A32"/>
          <w:sz w:val="21"/>
        </w:rPr>
        <w:t xml:space="preserve">Status: Provisional, operative upon deposit of instruments of acceptance</w:t>
      </w:r>
    </w:p>
    <w:p>
      <w:pPr>
        <w:spacing w:before="0" w:after="40" w:line="252" w:lineRule="auto"/>
        <w:jc w:val="left"/>
      </w:pPr>
      <w:r>
        <w:rPr>
          <w:rFonts w:ascii="Georgia" w:hAnsi="Georgia"/>
          <w:color w:val="1E2A32"/>
          <w:sz w:val="21"/>
        </w:rPr>
        <w:t xml:space="preserve">Authentic texts: English, Arabic, Farsi (English prevails for technical annexes)</w:t>
      </w:r>
    </w:p>
    <w:p>
      <w:pPr>
        <w:spacing w:before="0" w:after="40" w:line="252" w:lineRule="auto"/>
        <w:jc w:val="left"/>
      </w:pPr>
      <w:r>
        <w:rPr>
          <w:rFonts w:ascii="Georgia" w:hAnsi="Georgia"/>
          <w:color w:val="1E2A32"/>
          <w:sz w:val="21"/>
        </w:rPr>
        <w:t xml:space="preserve">Depositary: The Swiss Confederation</w:t>
      </w:r>
    </w:p>
    <w:p>
      <w:pPr>
        <w:spacing w:before="0" w:after="40" w:line="252" w:lineRule="auto"/>
        <w:jc w:val="left"/>
      </w:pPr>
      <w:r>
        <w:rPr>
          <w:rFonts w:ascii="Georgia" w:hAnsi="Georgia"/>
          <w:color w:val="1E2A32"/>
          <w:sz w:val="21"/>
        </w:rPr>
        <w:t xml:space="preserve">Seat of the Graduated Gains Council: Muscat, with a liaison office in Bandar Abbas</w:t>
      </w:r>
    </w:p>
    <w:p>
      <w:pPr>
        <w:pBdr>
          <w:bottom w:val="single" w:color="8A6D2F" w:sz="6"/>
        </w:pBdr>
        <w:spacing w:before="200" w:after="200"/>
      </w:pPr>
    </w:p>
    <w:p>
      <w:pPr>
        <w:spacing w:before="120" w:after="120" w:line="252" w:lineRule="auto"/>
        <w:jc w:val="left"/>
      </w:pPr>
      <w:r>
        <w:rPr>
          <w:rFonts w:ascii="Georgia" w:hAnsi="Georgia"/>
          <w:b/>
          <w:color w:val="2F4858"/>
          <w:sz w:val="24"/>
        </w:rPr>
        <w:t xml:space="preserve">Structure of this Instrument</w:t>
      </w:r>
    </w:p>
    <w:p>
      <w:pPr>
        <w:spacing w:before="0" w:after="140" w:line="252" w:lineRule="auto"/>
        <w:jc w:val="both"/>
      </w:pPr>
      <w:r>
        <w:rPr>
          <w:rFonts w:ascii="Georgia" w:hAnsi="Georgia"/>
          <w:color w:val="1E2A32"/>
          <w:sz w:val="21"/>
        </w:rPr>
        <w:t xml:space="preserve">The body of this Accord states the architecture: eight Parts, thirty-one Articles. Twelve operative Annexes then supply every schedule, rate card, checklist, protocol, and model form the system needs to run. Article 2.2 governs the relationship between body and Annexes.</w:t>
      </w:r>
    </w:p>
    <w:p>
      <w:pPr>
        <w:spacing w:before="160" w:after="120" w:line="252" w:lineRule="auto"/>
        <w:jc w:val="left"/>
      </w:pPr>
      <w:r>
        <w:rPr>
          <w:rFonts w:ascii="Georgia" w:hAnsi="Georgia"/>
          <w:b/>
          <w:color w:val="2F4858"/>
          <w:sz w:val="24"/>
        </w:rPr>
        <w:t xml:space="preserve">Reading guide</w:t>
      </w:r>
    </w:p>
    <w:p>
      <w:pPr>
        <w:spacing w:before="0" w:after="140" w:line="252" w:lineRule="auto"/>
        <w:jc w:val="both"/>
      </w:pPr>
      <w:r>
        <w:rPr>
          <w:rFonts w:ascii="Georgia" w:hAnsi="Georgia"/>
          <w:color w:val="1E2A32"/>
          <w:sz w:val="21"/>
        </w:rPr>
        <w:t xml:space="preserve">A reader with ten minutes reads the Preamble, the Situation Assessment, and Article 8. A negotiator reads Parts III, IV, and VI with Annexes B, D, and G. An operator reads Annexes A, C, E, and I. A verifier reads Annexes C, D, and J. Every page assumes the next reader holds a different passport; the text speaks to all of them at once.</w:t>
      </w:r>
    </w:p>
    <w:p>
      <w:pPr>
        <w:pStyle w:val="Heading1"/>
      </w:pPr>
      <w:r>
        <w:rPr>
          <w:rFonts w:ascii="Georgia" w:hAnsi="Georgia"/>
          <w:b/>
          <w:color w:val="2F4858"/>
          <w:sz w:val="30"/>
        </w:rPr>
        <w:t xml:space="preserve">Table of Contents</w:t>
      </w:r>
    </w:p>
    <w:p>
      <w:r>
        <w:fldChar w:fldCharType="begin"/>
      </w:r>
      <w:r>
        <w:instrText xml:space="preserve"> TOC \o "1-2" \h \z \u </w:instrText>
      </w:r>
      <w:r>
        <w:fldChar w:fldCharType="separate"/>
      </w:r>
    </w:p>
    <w:p>
      <w:pPr>
        <w:pStyle w:val="TOC1"/>
      </w:pPr>
      <w:hyperlink w:anchor="_Toc260001001" w:history="1">
        <w:r>
          <w:rPr>
            <w:rStyle w:val="Hyperlink"/>
            <w:rFonts w:eastAsia="Calibri" w:cs="Calibri"/>
            <w:noProof/>
          </w:rPr>
          <w:t xml:space="preserve">PREAMBLE</w:t>
        </w:r>
        <w:r>
          <w:rPr>
            <w:noProof/>
            <w:webHidden/>
          </w:rPr>
          <w:tab/>
        </w:r>
        <w:r>
          <w:rPr>
            <w:noProof/>
            <w:webHidden/>
          </w:rPr>
          <w:fldChar w:fldCharType="begin"/>
        </w:r>
        <w:r>
          <w:rPr>
            <w:noProof/>
            <w:webHidden/>
          </w:rPr>
          <w:instrText xml:space="preserve"> PAGEREF _Toc260001001 \h </w:instrText>
        </w:r>
        <w:r>
          <w:rPr>
            <w:noProof/>
            <w:webHidden/>
          </w:rPr>
          <w:fldChar w:fldCharType="separate"/>
        </w:r>
        <w:r>
          <w:rPr>
            <w:noProof/>
            <w:webHidden/>
          </w:rPr>
          <w:t>5</w:t>
        </w:r>
        <w:r>
          <w:rPr>
            <w:noProof/>
            <w:webHidden/>
          </w:rPr>
          <w:fldChar w:fldCharType="end"/>
        </w:r>
      </w:hyperlink>
    </w:p>
    <w:p>
      <w:pPr>
        <w:pStyle w:val="TOC1"/>
      </w:pPr>
      <w:hyperlink w:anchor="_Toc260001002" w:history="1">
        <w:r>
          <w:rPr>
            <w:rStyle w:val="Hyperlink"/>
            <w:rFonts w:eastAsia="Calibri" w:cs="Calibri"/>
            <w:noProof/>
          </w:rPr>
          <w:t xml:space="preserve">SITUATION ASSESSMENT AND DESIGN RATIONALE</w:t>
        </w:r>
        <w:r>
          <w:rPr>
            <w:noProof/>
            <w:webHidden/>
          </w:rPr>
          <w:tab/>
        </w:r>
        <w:r>
          <w:rPr>
            <w:noProof/>
            <w:webHidden/>
          </w:rPr>
          <w:fldChar w:fldCharType="begin"/>
        </w:r>
        <w:r>
          <w:rPr>
            <w:noProof/>
            <w:webHidden/>
          </w:rPr>
          <w:instrText xml:space="preserve"> PAGEREF _Toc260001002 \h </w:instrText>
        </w:r>
        <w:r>
          <w:rPr>
            <w:noProof/>
            <w:webHidden/>
          </w:rPr>
          <w:fldChar w:fldCharType="separate"/>
        </w:r>
        <w:r>
          <w:rPr>
            <w:noProof/>
            <w:webHidden/>
          </w:rPr>
          <w:t>6</w:t>
        </w:r>
        <w:r>
          <w:rPr>
            <w:noProof/>
            <w:webHidden/>
          </w:rPr>
          <w:fldChar w:fldCharType="end"/>
        </w:r>
      </w:hyperlink>
    </w:p>
    <w:p>
      <w:pPr>
        <w:pStyle w:val="TOC2"/>
      </w:pPr>
      <w:hyperlink w:anchor="_Toc260001003" w:history="1">
        <w:r>
          <w:rPr>
            <w:rStyle w:val="Hyperlink"/>
            <w:rFonts w:eastAsia="Calibri" w:cs="Calibri"/>
            <w:noProof/>
          </w:rPr>
          <w:t xml:space="preserve">SA.1 Where the Negotiations Stand</w:t>
        </w:r>
        <w:r>
          <w:rPr>
            <w:noProof/>
            <w:webHidden/>
          </w:rPr>
          <w:tab/>
        </w:r>
        <w:r>
          <w:rPr>
            <w:noProof/>
            <w:webHidden/>
          </w:rPr>
          <w:fldChar w:fldCharType="begin"/>
        </w:r>
        <w:r>
          <w:rPr>
            <w:noProof/>
            <w:webHidden/>
          </w:rPr>
          <w:instrText xml:space="preserve"> PAGEREF _Toc260001003 \h </w:instrText>
        </w:r>
        <w:r>
          <w:rPr>
            <w:noProof/>
            <w:webHidden/>
          </w:rPr>
          <w:fldChar w:fldCharType="separate"/>
        </w:r>
        <w:r>
          <w:rPr>
            <w:noProof/>
            <w:webHidden/>
          </w:rPr>
          <w:t>6</w:t>
        </w:r>
        <w:r>
          <w:rPr>
            <w:noProof/>
            <w:webHidden/>
          </w:rPr>
          <w:fldChar w:fldCharType="end"/>
        </w:r>
      </w:hyperlink>
    </w:p>
    <w:p>
      <w:pPr>
        <w:pStyle w:val="TOC2"/>
      </w:pPr>
      <w:hyperlink w:anchor="_Toc260001004" w:history="1">
        <w:r>
          <w:rPr>
            <w:rStyle w:val="Hyperlink"/>
            <w:rFonts w:eastAsia="Calibri" w:cs="Calibri"/>
            <w:noProof/>
          </w:rPr>
          <w:t xml:space="preserve">SA.2 Why the Graduated Gains Design</w:t>
        </w:r>
        <w:r>
          <w:rPr>
            <w:noProof/>
            <w:webHidden/>
          </w:rPr>
          <w:tab/>
        </w:r>
        <w:r>
          <w:rPr>
            <w:noProof/>
            <w:webHidden/>
          </w:rPr>
          <w:fldChar w:fldCharType="begin"/>
        </w:r>
        <w:r>
          <w:rPr>
            <w:noProof/>
            <w:webHidden/>
          </w:rPr>
          <w:instrText xml:space="preserve"> PAGEREF _Toc260001004 \h </w:instrText>
        </w:r>
        <w:r>
          <w:rPr>
            <w:noProof/>
            <w:webHidden/>
          </w:rPr>
          <w:fldChar w:fldCharType="separate"/>
        </w:r>
        <w:r>
          <w:rPr>
            <w:noProof/>
            <w:webHidden/>
          </w:rPr>
          <w:t>7</w:t>
        </w:r>
        <w:r>
          <w:rPr>
            <w:noProof/>
            <w:webHidden/>
          </w:rPr>
          <w:fldChar w:fldCharType="end"/>
        </w:r>
      </w:hyperlink>
    </w:p>
    <w:p>
      <w:pPr>
        <w:pStyle w:val="TOC1"/>
      </w:pPr>
      <w:hyperlink w:anchor="_Toc260001005" w:history="1">
        <w:r>
          <w:rPr>
            <w:rStyle w:val="Hyperlink"/>
            <w:rFonts w:eastAsia="Calibri" w:cs="Calibri"/>
            <w:noProof/>
          </w:rPr>
          <w:t xml:space="preserve">PART I: FOUNDATIONS</w:t>
        </w:r>
        <w:r>
          <w:rPr>
            <w:noProof/>
            <w:webHidden/>
          </w:rPr>
          <w:tab/>
        </w:r>
        <w:r>
          <w:rPr>
            <w:noProof/>
            <w:webHidden/>
          </w:rPr>
          <w:fldChar w:fldCharType="begin"/>
        </w:r>
        <w:r>
          <w:rPr>
            <w:noProof/>
            <w:webHidden/>
          </w:rPr>
          <w:instrText xml:space="preserve"> PAGEREF _Toc260001005 \h </w:instrText>
        </w:r>
        <w:r>
          <w:rPr>
            <w:noProof/>
            <w:webHidden/>
          </w:rPr>
          <w:fldChar w:fldCharType="separate"/>
        </w:r>
        <w:r>
          <w:rPr>
            <w:noProof/>
            <w:webHidden/>
          </w:rPr>
          <w:t>9</w:t>
        </w:r>
        <w:r>
          <w:rPr>
            <w:noProof/>
            <w:webHidden/>
          </w:rPr>
          <w:fldChar w:fldCharType="end"/>
        </w:r>
      </w:hyperlink>
    </w:p>
    <w:p>
      <w:pPr>
        <w:pStyle w:val="TOC2"/>
      </w:pPr>
      <w:hyperlink w:anchor="_Toc260001006" w:history="1">
        <w:r>
          <w:rPr>
            <w:rStyle w:val="Hyperlink"/>
            <w:rFonts w:eastAsia="Calibri" w:cs="Calibri"/>
            <w:noProof/>
          </w:rPr>
          <w:t xml:space="preserve">Article 1: Purpose, Scope, and Provisional Character</w:t>
        </w:r>
        <w:r>
          <w:rPr>
            <w:noProof/>
            <w:webHidden/>
          </w:rPr>
          <w:tab/>
        </w:r>
        <w:r>
          <w:rPr>
            <w:noProof/>
            <w:webHidden/>
          </w:rPr>
          <w:fldChar w:fldCharType="begin"/>
        </w:r>
        <w:r>
          <w:rPr>
            <w:noProof/>
            <w:webHidden/>
          </w:rPr>
          <w:instrText xml:space="preserve"> PAGEREF _Toc260001006 \h </w:instrText>
        </w:r>
        <w:r>
          <w:rPr>
            <w:noProof/>
            <w:webHidden/>
          </w:rPr>
          <w:fldChar w:fldCharType="separate"/>
        </w:r>
        <w:r>
          <w:rPr>
            <w:noProof/>
            <w:webHidden/>
          </w:rPr>
          <w:t>9</w:t>
        </w:r>
        <w:r>
          <w:rPr>
            <w:noProof/>
            <w:webHidden/>
          </w:rPr>
          <w:fldChar w:fldCharType="end"/>
        </w:r>
      </w:hyperlink>
    </w:p>
    <w:p>
      <w:pPr>
        <w:pStyle w:val="TOC2"/>
      </w:pPr>
      <w:hyperlink w:anchor="_Toc260001007" w:history="1">
        <w:r>
          <w:rPr>
            <w:rStyle w:val="Hyperlink"/>
            <w:rFonts w:eastAsia="Calibri" w:cs="Calibri"/>
            <w:noProof/>
          </w:rPr>
          <w:t xml:space="preserve">Article 2: Definitions and Interpretation</w:t>
        </w:r>
        <w:r>
          <w:rPr>
            <w:noProof/>
            <w:webHidden/>
          </w:rPr>
          <w:tab/>
        </w:r>
        <w:r>
          <w:rPr>
            <w:noProof/>
            <w:webHidden/>
          </w:rPr>
          <w:fldChar w:fldCharType="begin"/>
        </w:r>
        <w:r>
          <w:rPr>
            <w:noProof/>
            <w:webHidden/>
          </w:rPr>
          <w:instrText xml:space="preserve"> PAGEREF _Toc260001007 \h </w:instrText>
        </w:r>
        <w:r>
          <w:rPr>
            <w:noProof/>
            <w:webHidden/>
          </w:rPr>
          <w:fldChar w:fldCharType="separate"/>
        </w:r>
        <w:r>
          <w:rPr>
            <w:noProof/>
            <w:webHidden/>
          </w:rPr>
          <w:t>10</w:t>
        </w:r>
        <w:r>
          <w:rPr>
            <w:noProof/>
            <w:webHidden/>
          </w:rPr>
          <w:fldChar w:fldCharType="end"/>
        </w:r>
      </w:hyperlink>
    </w:p>
    <w:p>
      <w:pPr>
        <w:pStyle w:val="TOC2"/>
      </w:pPr>
      <w:hyperlink w:anchor="_Toc260001008" w:history="1">
        <w:r>
          <w:rPr>
            <w:rStyle w:val="Hyperlink"/>
            <w:rFonts w:eastAsia="Calibri" w:cs="Calibri"/>
            <w:noProof/>
          </w:rPr>
          <w:t xml:space="preserve">Article 3: The Nuclear Firewall</w:t>
        </w:r>
        <w:r>
          <w:rPr>
            <w:noProof/>
            <w:webHidden/>
          </w:rPr>
          <w:tab/>
        </w:r>
        <w:r>
          <w:rPr>
            <w:noProof/>
            <w:webHidden/>
          </w:rPr>
          <w:fldChar w:fldCharType="begin"/>
        </w:r>
        <w:r>
          <w:rPr>
            <w:noProof/>
            <w:webHidden/>
          </w:rPr>
          <w:instrText xml:space="preserve"> PAGEREF _Toc260001008 \h </w:instrText>
        </w:r>
        <w:r>
          <w:rPr>
            <w:noProof/>
            <w:webHidden/>
          </w:rPr>
          <w:fldChar w:fldCharType="separate"/>
        </w:r>
        <w:r>
          <w:rPr>
            <w:noProof/>
            <w:webHidden/>
          </w:rPr>
          <w:t>11</w:t>
        </w:r>
        <w:r>
          <w:rPr>
            <w:noProof/>
            <w:webHidden/>
          </w:rPr>
          <w:fldChar w:fldCharType="end"/>
        </w:r>
      </w:hyperlink>
    </w:p>
    <w:p>
      <w:pPr>
        <w:pStyle w:val="TOC2"/>
      </w:pPr>
      <w:hyperlink w:anchor="_Toc260001009" w:history="1">
        <w:r>
          <w:rPr>
            <w:rStyle w:val="Hyperlink"/>
            <w:rFonts w:eastAsia="Calibri" w:cs="Calibri"/>
            <w:noProof/>
          </w:rPr>
          <w:t xml:space="preserve">Article 4: Inviolable Principles Register</w:t>
        </w:r>
        <w:r>
          <w:rPr>
            <w:noProof/>
            <w:webHidden/>
          </w:rPr>
          <w:tab/>
        </w:r>
        <w:r>
          <w:rPr>
            <w:noProof/>
            <w:webHidden/>
          </w:rPr>
          <w:fldChar w:fldCharType="begin"/>
        </w:r>
        <w:r>
          <w:rPr>
            <w:noProof/>
            <w:webHidden/>
          </w:rPr>
          <w:instrText xml:space="preserve"> PAGEREF _Toc260001009 \h </w:instrText>
        </w:r>
        <w:r>
          <w:rPr>
            <w:noProof/>
            <w:webHidden/>
          </w:rPr>
          <w:fldChar w:fldCharType="separate"/>
        </w:r>
        <w:r>
          <w:rPr>
            <w:noProof/>
            <w:webHidden/>
          </w:rPr>
          <w:t>12</w:t>
        </w:r>
        <w:r>
          <w:rPr>
            <w:noProof/>
            <w:webHidden/>
          </w:rPr>
          <w:fldChar w:fldCharType="end"/>
        </w:r>
      </w:hyperlink>
    </w:p>
    <w:p>
      <w:pPr>
        <w:pStyle w:val="TOC1"/>
      </w:pPr>
      <w:hyperlink w:anchor="_Toc260001010" w:history="1">
        <w:r>
          <w:rPr>
            <w:rStyle w:val="Hyperlink"/>
            <w:rFonts w:eastAsia="Calibri" w:cs="Calibri"/>
            <w:noProof/>
          </w:rPr>
          <w:t xml:space="preserve">PART II: CORRIDOR ARCHITECTURE</w:t>
        </w:r>
        <w:r>
          <w:rPr>
            <w:noProof/>
            <w:webHidden/>
          </w:rPr>
          <w:tab/>
        </w:r>
        <w:r>
          <w:rPr>
            <w:noProof/>
            <w:webHidden/>
          </w:rPr>
          <w:fldChar w:fldCharType="begin"/>
        </w:r>
        <w:r>
          <w:rPr>
            <w:noProof/>
            <w:webHidden/>
          </w:rPr>
          <w:instrText xml:space="preserve"> PAGEREF _Toc260001010 \h </w:instrText>
        </w:r>
        <w:r>
          <w:rPr>
            <w:noProof/>
            <w:webHidden/>
          </w:rPr>
          <w:fldChar w:fldCharType="separate"/>
        </w:r>
        <w:r>
          <w:rPr>
            <w:noProof/>
            <w:webHidden/>
          </w:rPr>
          <w:t>14</w:t>
        </w:r>
        <w:r>
          <w:rPr>
            <w:noProof/>
            <w:webHidden/>
          </w:rPr>
          <w:fldChar w:fldCharType="end"/>
        </w:r>
      </w:hyperlink>
    </w:p>
    <w:p>
      <w:pPr>
        <w:pStyle w:val="TOC2"/>
      </w:pPr>
      <w:hyperlink w:anchor="_Toc260001011" w:history="1">
        <w:r>
          <w:rPr>
            <w:rStyle w:val="Hyperlink"/>
            <w:rFonts w:eastAsia="Calibri" w:cs="Calibri"/>
            <w:noProof/>
          </w:rPr>
          <w:t xml:space="preserve">Article 5: The Three-Corridor System</w:t>
        </w:r>
        <w:r>
          <w:rPr>
            <w:noProof/>
            <w:webHidden/>
          </w:rPr>
          <w:tab/>
        </w:r>
        <w:r>
          <w:rPr>
            <w:noProof/>
            <w:webHidden/>
          </w:rPr>
          <w:fldChar w:fldCharType="begin"/>
        </w:r>
        <w:r>
          <w:rPr>
            <w:noProof/>
            <w:webHidden/>
          </w:rPr>
          <w:instrText xml:space="preserve"> PAGEREF _Toc260001011 \h </w:instrText>
        </w:r>
        <w:r>
          <w:rPr>
            <w:noProof/>
            <w:webHidden/>
          </w:rPr>
          <w:fldChar w:fldCharType="separate"/>
        </w:r>
        <w:r>
          <w:rPr>
            <w:noProof/>
            <w:webHidden/>
          </w:rPr>
          <w:t>14</w:t>
        </w:r>
        <w:r>
          <w:rPr>
            <w:noProof/>
            <w:webHidden/>
          </w:rPr>
          <w:fldChar w:fldCharType="end"/>
        </w:r>
      </w:hyperlink>
    </w:p>
    <w:p>
      <w:pPr>
        <w:pStyle w:val="TOC2"/>
      </w:pPr>
      <w:hyperlink w:anchor="_Toc260001012" w:history="1">
        <w:r>
          <w:rPr>
            <w:rStyle w:val="Hyperlink"/>
            <w:rFonts w:eastAsia="Calibri" w:cs="Calibri"/>
            <w:noProof/>
          </w:rPr>
          <w:t xml:space="preserve">Article 6: Corridor Functions and Services</w:t>
        </w:r>
        <w:r>
          <w:rPr>
            <w:noProof/>
            <w:webHidden/>
          </w:rPr>
          <w:tab/>
        </w:r>
        <w:r>
          <w:rPr>
            <w:noProof/>
            <w:webHidden/>
          </w:rPr>
          <w:fldChar w:fldCharType="begin"/>
        </w:r>
        <w:r>
          <w:rPr>
            <w:noProof/>
            <w:webHidden/>
          </w:rPr>
          <w:instrText xml:space="preserve"> PAGEREF _Toc260001012 \h </w:instrText>
        </w:r>
        <w:r>
          <w:rPr>
            <w:noProof/>
            <w:webHidden/>
          </w:rPr>
          <w:fldChar w:fldCharType="separate"/>
        </w:r>
        <w:r>
          <w:rPr>
            <w:noProof/>
            <w:webHidden/>
          </w:rPr>
          <w:t>15</w:t>
        </w:r>
        <w:r>
          <w:rPr>
            <w:noProof/>
            <w:webHidden/>
          </w:rPr>
          <w:fldChar w:fldCharType="end"/>
        </w:r>
      </w:hyperlink>
    </w:p>
    <w:p>
      <w:pPr>
        <w:pStyle w:val="TOC2"/>
      </w:pPr>
      <w:hyperlink w:anchor="_Toc260001013" w:history="1">
        <w:r>
          <w:rPr>
            <w:rStyle w:val="Hyperlink"/>
            <w:rFonts w:eastAsia="Calibri" w:cs="Calibri"/>
            <w:noProof/>
          </w:rPr>
          <w:t xml:space="preserve">Article 7: Initial Control Allocation</w:t>
        </w:r>
        <w:r>
          <w:rPr>
            <w:noProof/>
            <w:webHidden/>
          </w:rPr>
          <w:tab/>
        </w:r>
        <w:r>
          <w:rPr>
            <w:noProof/>
            <w:webHidden/>
          </w:rPr>
          <w:fldChar w:fldCharType="begin"/>
        </w:r>
        <w:r>
          <w:rPr>
            <w:noProof/>
            <w:webHidden/>
          </w:rPr>
          <w:instrText xml:space="preserve"> PAGEREF _Toc260001013 \h </w:instrText>
        </w:r>
        <w:r>
          <w:rPr>
            <w:noProof/>
            <w:webHidden/>
          </w:rPr>
          <w:fldChar w:fldCharType="separate"/>
        </w:r>
        <w:r>
          <w:rPr>
            <w:noProof/>
            <w:webHidden/>
          </w:rPr>
          <w:t>15</w:t>
        </w:r>
        <w:r>
          <w:rPr>
            <w:noProof/>
            <w:webHidden/>
          </w:rPr>
          <w:fldChar w:fldCharType="end"/>
        </w:r>
      </w:hyperlink>
    </w:p>
    <w:p>
      <w:pPr>
        <w:pStyle w:val="TOC1"/>
      </w:pPr>
      <w:hyperlink w:anchor="_Toc260001014" w:history="1">
        <w:r>
          <w:rPr>
            <w:rStyle w:val="Hyperlink"/>
            <w:rFonts w:eastAsia="Calibri" w:cs="Calibri"/>
            <w:noProof/>
          </w:rPr>
          <w:t xml:space="preserve">PART III: THE GRADUATED GAINS ENGINE</w:t>
        </w:r>
        <w:r>
          <w:rPr>
            <w:noProof/>
            <w:webHidden/>
          </w:rPr>
          <w:tab/>
        </w:r>
        <w:r>
          <w:rPr>
            <w:noProof/>
            <w:webHidden/>
          </w:rPr>
          <w:fldChar w:fldCharType="begin"/>
        </w:r>
        <w:r>
          <w:rPr>
            <w:noProof/>
            <w:webHidden/>
          </w:rPr>
          <w:instrText xml:space="preserve"> PAGEREF _Toc260001014 \h </w:instrText>
        </w:r>
        <w:r>
          <w:rPr>
            <w:noProof/>
            <w:webHidden/>
          </w:rPr>
          <w:fldChar w:fldCharType="separate"/>
        </w:r>
        <w:r>
          <w:rPr>
            <w:noProof/>
            <w:webHidden/>
          </w:rPr>
          <w:t>17</w:t>
        </w:r>
        <w:r>
          <w:rPr>
            <w:noProof/>
            <w:webHidden/>
          </w:rPr>
          <w:fldChar w:fldCharType="end"/>
        </w:r>
      </w:hyperlink>
    </w:p>
    <w:p>
      <w:pPr>
        <w:pStyle w:val="TOC2"/>
      </w:pPr>
      <w:hyperlink w:anchor="_Toc260001015" w:history="1">
        <w:r>
          <w:rPr>
            <w:rStyle w:val="Hyperlink"/>
            <w:rFonts w:eastAsia="Calibri" w:cs="Calibri"/>
            <w:noProof/>
          </w:rPr>
          <w:t xml:space="preserve">Article 8: The Escalator Mechanism</w:t>
        </w:r>
        <w:r>
          <w:rPr>
            <w:noProof/>
            <w:webHidden/>
          </w:rPr>
          <w:tab/>
        </w:r>
        <w:r>
          <w:rPr>
            <w:noProof/>
            <w:webHidden/>
          </w:rPr>
          <w:fldChar w:fldCharType="begin"/>
        </w:r>
        <w:r>
          <w:rPr>
            <w:noProof/>
            <w:webHidden/>
          </w:rPr>
          <w:instrText xml:space="preserve"> PAGEREF _Toc260001015 \h </w:instrText>
        </w:r>
        <w:r>
          <w:rPr>
            <w:noProof/>
            <w:webHidden/>
          </w:rPr>
          <w:fldChar w:fldCharType="separate"/>
        </w:r>
        <w:r>
          <w:rPr>
            <w:noProof/>
            <w:webHidden/>
          </w:rPr>
          <w:t>17</w:t>
        </w:r>
        <w:r>
          <w:rPr>
            <w:noProof/>
            <w:webHidden/>
          </w:rPr>
          <w:fldChar w:fldCharType="end"/>
        </w:r>
      </w:hyperlink>
    </w:p>
    <w:p>
      <w:pPr>
        <w:pStyle w:val="TOC2"/>
      </w:pPr>
      <w:hyperlink w:anchor="_Toc260001016" w:history="1">
        <w:r>
          <w:rPr>
            <w:rStyle w:val="Hyperlink"/>
            <w:rFonts w:eastAsia="Calibri" w:cs="Calibri"/>
            <w:noProof/>
          </w:rPr>
          <w:t xml:space="preserve">Article 9: Dimensions of Control Weight</w:t>
        </w:r>
        <w:r>
          <w:rPr>
            <w:noProof/>
            <w:webHidden/>
          </w:rPr>
          <w:tab/>
        </w:r>
        <w:r>
          <w:rPr>
            <w:noProof/>
            <w:webHidden/>
          </w:rPr>
          <w:fldChar w:fldCharType="begin"/>
        </w:r>
        <w:r>
          <w:rPr>
            <w:noProof/>
            <w:webHidden/>
          </w:rPr>
          <w:instrText xml:space="preserve"> PAGEREF _Toc260001016 \h </w:instrText>
        </w:r>
        <w:r>
          <w:rPr>
            <w:noProof/>
            <w:webHidden/>
          </w:rPr>
          <w:fldChar w:fldCharType="separate"/>
        </w:r>
        <w:r>
          <w:rPr>
            <w:noProof/>
            <w:webHidden/>
          </w:rPr>
          <w:t>18</w:t>
        </w:r>
        <w:r>
          <w:rPr>
            <w:noProof/>
            <w:webHidden/>
          </w:rPr>
          <w:fldChar w:fldCharType="end"/>
        </w:r>
      </w:hyperlink>
    </w:p>
    <w:p>
      <w:pPr>
        <w:pStyle w:val="TOC2"/>
      </w:pPr>
      <w:hyperlink w:anchor="_Toc260001017" w:history="1">
        <w:r>
          <w:rPr>
            <w:rStyle w:val="Hyperlink"/>
            <w:rFonts w:eastAsia="Calibri" w:cs="Calibri"/>
            <w:noProof/>
          </w:rPr>
          <w:t xml:space="preserve">Article 10: Events, Pauses, Resets, and the Permanent Floor</w:t>
        </w:r>
        <w:r>
          <w:rPr>
            <w:noProof/>
            <w:webHidden/>
          </w:rPr>
          <w:tab/>
        </w:r>
        <w:r>
          <w:rPr>
            <w:noProof/>
            <w:webHidden/>
          </w:rPr>
          <w:fldChar w:fldCharType="begin"/>
        </w:r>
        <w:r>
          <w:rPr>
            <w:noProof/>
            <w:webHidden/>
          </w:rPr>
          <w:instrText xml:space="preserve"> PAGEREF _Toc260001017 \h </w:instrText>
        </w:r>
        <w:r>
          <w:rPr>
            <w:noProof/>
            <w:webHidden/>
          </w:rPr>
          <w:fldChar w:fldCharType="separate"/>
        </w:r>
        <w:r>
          <w:rPr>
            <w:noProof/>
            <w:webHidden/>
          </w:rPr>
          <w:t>19</w:t>
        </w:r>
        <w:r>
          <w:rPr>
            <w:noProof/>
            <w:webHidden/>
          </w:rPr>
          <w:fldChar w:fldCharType="end"/>
        </w:r>
      </w:hyperlink>
    </w:p>
    <w:p>
      <w:pPr>
        <w:pStyle w:val="TOC2"/>
      </w:pPr>
      <w:hyperlink w:anchor="_Toc260001018" w:history="1">
        <w:r>
          <w:rPr>
            <w:rStyle w:val="Hyperlink"/>
            <w:rFonts w:eastAsia="Calibri" w:cs="Calibri"/>
            <w:noProof/>
          </w:rPr>
          <w:t xml:space="preserve">Article 11: Good Conduct Credits</w:t>
        </w:r>
        <w:r>
          <w:rPr>
            <w:noProof/>
            <w:webHidden/>
          </w:rPr>
          <w:tab/>
        </w:r>
        <w:r>
          <w:rPr>
            <w:noProof/>
            <w:webHidden/>
          </w:rPr>
          <w:fldChar w:fldCharType="begin"/>
        </w:r>
        <w:r>
          <w:rPr>
            <w:noProof/>
            <w:webHidden/>
          </w:rPr>
          <w:instrText xml:space="preserve"> PAGEREF _Toc260001018 \h </w:instrText>
        </w:r>
        <w:r>
          <w:rPr>
            <w:noProof/>
            <w:webHidden/>
          </w:rPr>
          <w:fldChar w:fldCharType="separate"/>
        </w:r>
        <w:r>
          <w:rPr>
            <w:noProof/>
            <w:webHidden/>
          </w:rPr>
          <w:t>20</w:t>
        </w:r>
        <w:r>
          <w:rPr>
            <w:noProof/>
            <w:webHidden/>
          </w:rPr>
          <w:fldChar w:fldCharType="end"/>
        </w:r>
      </w:hyperlink>
    </w:p>
    <w:p>
      <w:pPr>
        <w:pStyle w:val="TOC2"/>
      </w:pPr>
      <w:hyperlink w:anchor="_Toc260001019" w:history="1">
        <w:r>
          <w:rPr>
            <w:rStyle w:val="Hyperlink"/>
            <w:rFonts w:eastAsia="Calibri" w:cs="Calibri"/>
            <w:noProof/>
          </w:rPr>
          <w:t xml:space="preserve">Article 12: Step-Back and Earn-Back</w:t>
        </w:r>
        <w:r>
          <w:rPr>
            <w:noProof/>
            <w:webHidden/>
          </w:rPr>
          <w:tab/>
        </w:r>
        <w:r>
          <w:rPr>
            <w:noProof/>
            <w:webHidden/>
          </w:rPr>
          <w:fldChar w:fldCharType="begin"/>
        </w:r>
        <w:r>
          <w:rPr>
            <w:noProof/>
            <w:webHidden/>
          </w:rPr>
          <w:instrText xml:space="preserve"> PAGEREF _Toc260001019 \h </w:instrText>
        </w:r>
        <w:r>
          <w:rPr>
            <w:noProof/>
            <w:webHidden/>
          </w:rPr>
          <w:fldChar w:fldCharType="separate"/>
        </w:r>
        <w:r>
          <w:rPr>
            <w:noProof/>
            <w:webHidden/>
          </w:rPr>
          <w:t>20</w:t>
        </w:r>
        <w:r>
          <w:rPr>
            <w:noProof/>
            <w:webHidden/>
          </w:rPr>
          <w:fldChar w:fldCharType="end"/>
        </w:r>
      </w:hyperlink>
    </w:p>
    <w:p>
      <w:pPr>
        <w:pStyle w:val="TOC1"/>
      </w:pPr>
      <w:hyperlink w:anchor="_Toc260001020" w:history="1">
        <w:r>
          <w:rPr>
            <w:rStyle w:val="Hyperlink"/>
            <w:rFonts w:eastAsia="Calibri" w:cs="Calibri"/>
            <w:noProof/>
          </w:rPr>
          <w:t xml:space="preserve">PART IV: PHASED REOPENING</w:t>
        </w:r>
        <w:r>
          <w:rPr>
            <w:noProof/>
            <w:webHidden/>
          </w:rPr>
          <w:tab/>
        </w:r>
        <w:r>
          <w:rPr>
            <w:noProof/>
            <w:webHidden/>
          </w:rPr>
          <w:fldChar w:fldCharType="begin"/>
        </w:r>
        <w:r>
          <w:rPr>
            <w:noProof/>
            <w:webHidden/>
          </w:rPr>
          <w:instrText xml:space="preserve"> PAGEREF _Toc260001020 \h </w:instrText>
        </w:r>
        <w:r>
          <w:rPr>
            <w:noProof/>
            <w:webHidden/>
          </w:rPr>
          <w:fldChar w:fldCharType="separate"/>
        </w:r>
        <w:r>
          <w:rPr>
            <w:noProof/>
            <w:webHidden/>
          </w:rPr>
          <w:t>22</w:t>
        </w:r>
        <w:r>
          <w:rPr>
            <w:noProof/>
            <w:webHidden/>
          </w:rPr>
          <w:fldChar w:fldCharType="end"/>
        </w:r>
      </w:hyperlink>
    </w:p>
    <w:p>
      <w:pPr>
        <w:pStyle w:val="TOC2"/>
      </w:pPr>
      <w:hyperlink w:anchor="_Toc260001021" w:history="1">
        <w:r>
          <w:rPr>
            <w:rStyle w:val="Hyperlink"/>
            <w:rFonts w:eastAsia="Calibri" w:cs="Calibri"/>
            <w:noProof/>
          </w:rPr>
          <w:t xml:space="preserve">Article 13: The Reopening Phases</w:t>
        </w:r>
        <w:r>
          <w:rPr>
            <w:noProof/>
            <w:webHidden/>
          </w:rPr>
          <w:tab/>
        </w:r>
        <w:r>
          <w:rPr>
            <w:noProof/>
            <w:webHidden/>
          </w:rPr>
          <w:fldChar w:fldCharType="begin"/>
        </w:r>
        <w:r>
          <w:rPr>
            <w:noProof/>
            <w:webHidden/>
          </w:rPr>
          <w:instrText xml:space="preserve"> PAGEREF _Toc260001021 \h </w:instrText>
        </w:r>
        <w:r>
          <w:rPr>
            <w:noProof/>
            <w:webHidden/>
          </w:rPr>
          <w:fldChar w:fldCharType="separate"/>
        </w:r>
        <w:r>
          <w:rPr>
            <w:noProof/>
            <w:webHidden/>
          </w:rPr>
          <w:t>22</w:t>
        </w:r>
        <w:r>
          <w:rPr>
            <w:noProof/>
            <w:webHidden/>
          </w:rPr>
          <w:fldChar w:fldCharType="end"/>
        </w:r>
      </w:hyperlink>
    </w:p>
    <w:p>
      <w:pPr>
        <w:pStyle w:val="TOC2"/>
      </w:pPr>
      <w:hyperlink w:anchor="_Toc260001022" w:history="1">
        <w:r>
          <w:rPr>
            <w:rStyle w:val="Hyperlink"/>
            <w:rFonts w:eastAsia="Calibri" w:cs="Calibri"/>
            <w:noProof/>
          </w:rPr>
          <w:t xml:space="preserve">Article 14: Transition from Wartime Lanes</w:t>
        </w:r>
        <w:r>
          <w:rPr>
            <w:noProof/>
            <w:webHidden/>
          </w:rPr>
          <w:tab/>
        </w:r>
        <w:r>
          <w:rPr>
            <w:noProof/>
            <w:webHidden/>
          </w:rPr>
          <w:fldChar w:fldCharType="begin"/>
        </w:r>
        <w:r>
          <w:rPr>
            <w:noProof/>
            <w:webHidden/>
          </w:rPr>
          <w:instrText xml:space="preserve"> PAGEREF _Toc260001022 \h </w:instrText>
        </w:r>
        <w:r>
          <w:rPr>
            <w:noProof/>
            <w:webHidden/>
          </w:rPr>
          <w:fldChar w:fldCharType="separate"/>
        </w:r>
        <w:r>
          <w:rPr>
            <w:noProof/>
            <w:webHidden/>
          </w:rPr>
          <w:t>23</w:t>
        </w:r>
        <w:r>
          <w:rPr>
            <w:noProof/>
            <w:webHidden/>
          </w:rPr>
          <w:fldChar w:fldCharType="end"/>
        </w:r>
      </w:hyperlink>
    </w:p>
    <w:p>
      <w:pPr>
        <w:pStyle w:val="TOC2"/>
      </w:pPr>
      <w:hyperlink w:anchor="_Toc260001023" w:history="1">
        <w:r>
          <w:rPr>
            <w:rStyle w:val="Hyperlink"/>
            <w:rFonts w:eastAsia="Calibri" w:cs="Calibri"/>
            <w:noProof/>
          </w:rPr>
          <w:t xml:space="preserve">Article 15: Stability Audit and Certification</w:t>
        </w:r>
        <w:r>
          <w:rPr>
            <w:noProof/>
            <w:webHidden/>
          </w:rPr>
          <w:tab/>
        </w:r>
        <w:r>
          <w:rPr>
            <w:noProof/>
            <w:webHidden/>
          </w:rPr>
          <w:fldChar w:fldCharType="begin"/>
        </w:r>
        <w:r>
          <w:rPr>
            <w:noProof/>
            <w:webHidden/>
          </w:rPr>
          <w:instrText xml:space="preserve"> PAGEREF _Toc260001023 \h </w:instrText>
        </w:r>
        <w:r>
          <w:rPr>
            <w:noProof/>
            <w:webHidden/>
          </w:rPr>
          <w:fldChar w:fldCharType="separate"/>
        </w:r>
        <w:r>
          <w:rPr>
            <w:noProof/>
            <w:webHidden/>
          </w:rPr>
          <w:t>24</w:t>
        </w:r>
        <w:r>
          <w:rPr>
            <w:noProof/>
            <w:webHidden/>
          </w:rPr>
          <w:fldChar w:fldCharType="end"/>
        </w:r>
      </w:hyperlink>
    </w:p>
    <w:p>
      <w:pPr>
        <w:pStyle w:val="TOC1"/>
      </w:pPr>
      <w:hyperlink w:anchor="_Toc260001024" w:history="1">
        <w:r>
          <w:rPr>
            <w:rStyle w:val="Hyperlink"/>
            <w:rFonts w:eastAsia="Calibri" w:cs="Calibri"/>
            <w:noProof/>
          </w:rPr>
          <w:t xml:space="preserve">PART V: INSTITUTIONS</w:t>
        </w:r>
        <w:r>
          <w:rPr>
            <w:noProof/>
            <w:webHidden/>
          </w:rPr>
          <w:tab/>
        </w:r>
        <w:r>
          <w:rPr>
            <w:noProof/>
            <w:webHidden/>
          </w:rPr>
          <w:fldChar w:fldCharType="begin"/>
        </w:r>
        <w:r>
          <w:rPr>
            <w:noProof/>
            <w:webHidden/>
          </w:rPr>
          <w:instrText xml:space="preserve"> PAGEREF _Toc260001024 \h </w:instrText>
        </w:r>
        <w:r>
          <w:rPr>
            <w:noProof/>
            <w:webHidden/>
          </w:rPr>
          <w:fldChar w:fldCharType="separate"/>
        </w:r>
        <w:r>
          <w:rPr>
            <w:noProof/>
            <w:webHidden/>
          </w:rPr>
          <w:t>25</w:t>
        </w:r>
        <w:r>
          <w:rPr>
            <w:noProof/>
            <w:webHidden/>
          </w:rPr>
          <w:fldChar w:fldCharType="end"/>
        </w:r>
      </w:hyperlink>
    </w:p>
    <w:p>
      <w:pPr>
        <w:pStyle w:val="TOC2"/>
      </w:pPr>
      <w:hyperlink w:anchor="_Toc260001025" w:history="1">
        <w:r>
          <w:rPr>
            <w:rStyle w:val="Hyperlink"/>
            <w:rFonts w:eastAsia="Calibri" w:cs="Calibri"/>
            <w:noProof/>
          </w:rPr>
          <w:t xml:space="preserve">Article 16: The Graduated Gains Council</w:t>
        </w:r>
        <w:r>
          <w:rPr>
            <w:noProof/>
            <w:webHidden/>
          </w:rPr>
          <w:tab/>
        </w:r>
        <w:r>
          <w:rPr>
            <w:noProof/>
            <w:webHidden/>
          </w:rPr>
          <w:fldChar w:fldCharType="begin"/>
        </w:r>
        <w:r>
          <w:rPr>
            <w:noProof/>
            <w:webHidden/>
          </w:rPr>
          <w:instrText xml:space="preserve"> PAGEREF _Toc260001025 \h </w:instrText>
        </w:r>
        <w:r>
          <w:rPr>
            <w:noProof/>
            <w:webHidden/>
          </w:rPr>
          <w:fldChar w:fldCharType="separate"/>
        </w:r>
        <w:r>
          <w:rPr>
            <w:noProof/>
            <w:webHidden/>
          </w:rPr>
          <w:t>25</w:t>
        </w:r>
        <w:r>
          <w:rPr>
            <w:noProof/>
            <w:webHidden/>
          </w:rPr>
          <w:fldChar w:fldCharType="end"/>
        </w:r>
      </w:hyperlink>
    </w:p>
    <w:p>
      <w:pPr>
        <w:pStyle w:val="TOC2"/>
      </w:pPr>
      <w:hyperlink w:anchor="_Toc260001026" w:history="1">
        <w:r>
          <w:rPr>
            <w:rStyle w:val="Hyperlink"/>
            <w:rFonts w:eastAsia="Calibri" w:cs="Calibri"/>
            <w:noProof/>
          </w:rPr>
          <w:t xml:space="preserve">Article 17: The Neutral Watch Office</w:t>
        </w:r>
        <w:r>
          <w:rPr>
            <w:noProof/>
            <w:webHidden/>
          </w:rPr>
          <w:tab/>
        </w:r>
        <w:r>
          <w:rPr>
            <w:noProof/>
            <w:webHidden/>
          </w:rPr>
          <w:fldChar w:fldCharType="begin"/>
        </w:r>
        <w:r>
          <w:rPr>
            <w:noProof/>
            <w:webHidden/>
          </w:rPr>
          <w:instrText xml:space="preserve"> PAGEREF _Toc260001026 \h </w:instrText>
        </w:r>
        <w:r>
          <w:rPr>
            <w:noProof/>
            <w:webHidden/>
          </w:rPr>
          <w:fldChar w:fldCharType="separate"/>
        </w:r>
        <w:r>
          <w:rPr>
            <w:noProof/>
            <w:webHidden/>
          </w:rPr>
          <w:t>26</w:t>
        </w:r>
        <w:r>
          <w:rPr>
            <w:noProof/>
            <w:webHidden/>
          </w:rPr>
          <w:fldChar w:fldCharType="end"/>
        </w:r>
      </w:hyperlink>
    </w:p>
    <w:p>
      <w:pPr>
        <w:pStyle w:val="TOC2"/>
      </w:pPr>
      <w:hyperlink w:anchor="_Toc260001027" w:history="1">
        <w:r>
          <w:rPr>
            <w:rStyle w:val="Hyperlink"/>
            <w:rFonts w:eastAsia="Calibri" w:cs="Calibri"/>
            <w:noProof/>
          </w:rPr>
          <w:t xml:space="preserve">Article 18: The Joint Survey Group</w:t>
        </w:r>
        <w:r>
          <w:rPr>
            <w:noProof/>
            <w:webHidden/>
          </w:rPr>
          <w:tab/>
        </w:r>
        <w:r>
          <w:rPr>
            <w:noProof/>
            <w:webHidden/>
          </w:rPr>
          <w:fldChar w:fldCharType="begin"/>
        </w:r>
        <w:r>
          <w:rPr>
            <w:noProof/>
            <w:webHidden/>
          </w:rPr>
          <w:instrText xml:space="preserve"> PAGEREF _Toc260001027 \h </w:instrText>
        </w:r>
        <w:r>
          <w:rPr>
            <w:noProof/>
            <w:webHidden/>
          </w:rPr>
          <w:fldChar w:fldCharType="separate"/>
        </w:r>
        <w:r>
          <w:rPr>
            <w:noProof/>
            <w:webHidden/>
          </w:rPr>
          <w:t>26</w:t>
        </w:r>
        <w:r>
          <w:rPr>
            <w:noProof/>
            <w:webHidden/>
          </w:rPr>
          <w:fldChar w:fldCharType="end"/>
        </w:r>
      </w:hyperlink>
    </w:p>
    <w:p>
      <w:pPr>
        <w:pStyle w:val="TOC2"/>
      </w:pPr>
      <w:hyperlink w:anchor="_Toc260001028" w:history="1">
        <w:r>
          <w:rPr>
            <w:rStyle w:val="Hyperlink"/>
            <w:rFonts w:eastAsia="Calibri" w:cs="Calibri"/>
            <w:noProof/>
          </w:rPr>
          <w:t xml:space="preserve">Article 19: The Twin Key Rule</w:t>
        </w:r>
        <w:r>
          <w:rPr>
            <w:noProof/>
            <w:webHidden/>
          </w:rPr>
          <w:tab/>
        </w:r>
        <w:r>
          <w:rPr>
            <w:noProof/>
            <w:webHidden/>
          </w:rPr>
          <w:fldChar w:fldCharType="begin"/>
        </w:r>
        <w:r>
          <w:rPr>
            <w:noProof/>
            <w:webHidden/>
          </w:rPr>
          <w:instrText xml:space="preserve"> PAGEREF _Toc260001028 \h </w:instrText>
        </w:r>
        <w:r>
          <w:rPr>
            <w:noProof/>
            <w:webHidden/>
          </w:rPr>
          <w:fldChar w:fldCharType="separate"/>
        </w:r>
        <w:r>
          <w:rPr>
            <w:noProof/>
            <w:webHidden/>
          </w:rPr>
          <w:t>27</w:t>
        </w:r>
        <w:r>
          <w:rPr>
            <w:noProof/>
            <w:webHidden/>
          </w:rPr>
          <w:fldChar w:fldCharType="end"/>
        </w:r>
      </w:hyperlink>
    </w:p>
    <w:p>
      <w:pPr>
        <w:pStyle w:val="TOC2"/>
      </w:pPr>
      <w:hyperlink w:anchor="_Toc260001029" w:history="1">
        <w:r>
          <w:rPr>
            <w:rStyle w:val="Hyperlink"/>
            <w:rFonts w:eastAsia="Calibri" w:cs="Calibri"/>
            <w:noProof/>
          </w:rPr>
          <w:t xml:space="preserve">Article 20: Observer and Liaison Participation</w:t>
        </w:r>
        <w:r>
          <w:rPr>
            <w:noProof/>
            <w:webHidden/>
          </w:rPr>
          <w:tab/>
        </w:r>
        <w:r>
          <w:rPr>
            <w:noProof/>
            <w:webHidden/>
          </w:rPr>
          <w:fldChar w:fldCharType="begin"/>
        </w:r>
        <w:r>
          <w:rPr>
            <w:noProof/>
            <w:webHidden/>
          </w:rPr>
          <w:instrText xml:space="preserve"> PAGEREF _Toc260001029 \h </w:instrText>
        </w:r>
        <w:r>
          <w:rPr>
            <w:noProof/>
            <w:webHidden/>
          </w:rPr>
          <w:fldChar w:fldCharType="separate"/>
        </w:r>
        <w:r>
          <w:rPr>
            <w:noProof/>
            <w:webHidden/>
          </w:rPr>
          <w:t>27</w:t>
        </w:r>
        <w:r>
          <w:rPr>
            <w:noProof/>
            <w:webHidden/>
          </w:rPr>
          <w:fldChar w:fldCharType="end"/>
        </w:r>
      </w:hyperlink>
    </w:p>
    <w:p>
      <w:pPr>
        <w:pStyle w:val="TOC1"/>
      </w:pPr>
      <w:hyperlink w:anchor="_Toc260001030" w:history="1">
        <w:r>
          <w:rPr>
            <w:rStyle w:val="Hyperlink"/>
            <w:rFonts w:eastAsia="Calibri" w:cs="Calibri"/>
            <w:noProof/>
          </w:rPr>
          <w:t xml:space="preserve">PART VI: REVENUE ARCHITECTURE</w:t>
        </w:r>
        <w:r>
          <w:rPr>
            <w:noProof/>
            <w:webHidden/>
          </w:rPr>
          <w:tab/>
        </w:r>
        <w:r>
          <w:rPr>
            <w:noProof/>
            <w:webHidden/>
          </w:rPr>
          <w:fldChar w:fldCharType="begin"/>
        </w:r>
        <w:r>
          <w:rPr>
            <w:noProof/>
            <w:webHidden/>
          </w:rPr>
          <w:instrText xml:space="preserve"> PAGEREF _Toc260001030 \h </w:instrText>
        </w:r>
        <w:r>
          <w:rPr>
            <w:noProof/>
            <w:webHidden/>
          </w:rPr>
          <w:fldChar w:fldCharType="separate"/>
        </w:r>
        <w:r>
          <w:rPr>
            <w:noProof/>
            <w:webHidden/>
          </w:rPr>
          <w:t>29</w:t>
        </w:r>
        <w:r>
          <w:rPr>
            <w:noProof/>
            <w:webHidden/>
          </w:rPr>
          <w:fldChar w:fldCharType="end"/>
        </w:r>
      </w:hyperlink>
    </w:p>
    <w:p>
      <w:pPr>
        <w:pStyle w:val="TOC2"/>
      </w:pPr>
      <w:hyperlink w:anchor="_Toc260001031" w:history="1">
        <w:r>
          <w:rPr>
            <w:rStyle w:val="Hyperlink"/>
            <w:rFonts w:eastAsia="Calibri" w:cs="Calibri"/>
            <w:noProof/>
          </w:rPr>
          <w:t xml:space="preserve">Article 21: The Route Assurance Data Service</w:t>
        </w:r>
        <w:r>
          <w:rPr>
            <w:noProof/>
            <w:webHidden/>
          </w:rPr>
          <w:tab/>
        </w:r>
        <w:r>
          <w:rPr>
            <w:noProof/>
            <w:webHidden/>
          </w:rPr>
          <w:fldChar w:fldCharType="begin"/>
        </w:r>
        <w:r>
          <w:rPr>
            <w:noProof/>
            <w:webHidden/>
          </w:rPr>
          <w:instrText xml:space="preserve"> PAGEREF _Toc260001031 \h </w:instrText>
        </w:r>
        <w:r>
          <w:rPr>
            <w:noProof/>
            <w:webHidden/>
          </w:rPr>
          <w:fldChar w:fldCharType="separate"/>
        </w:r>
        <w:r>
          <w:rPr>
            <w:noProof/>
            <w:webHidden/>
          </w:rPr>
          <w:t>29</w:t>
        </w:r>
        <w:r>
          <w:rPr>
            <w:noProof/>
            <w:webHidden/>
          </w:rPr>
          <w:fldChar w:fldCharType="end"/>
        </w:r>
      </w:hyperlink>
    </w:p>
    <w:p>
      <w:pPr>
        <w:pStyle w:val="TOC2"/>
      </w:pPr>
      <w:hyperlink w:anchor="_Toc260001032" w:history="1">
        <w:r>
          <w:rPr>
            <w:rStyle w:val="Hyperlink"/>
            <w:rFonts w:eastAsia="Calibri" w:cs="Calibri"/>
            <w:noProof/>
          </w:rPr>
          <w:t xml:space="preserve">Article 22: The Neutral Escrow</w:t>
        </w:r>
        <w:r>
          <w:rPr>
            <w:noProof/>
            <w:webHidden/>
          </w:rPr>
          <w:tab/>
        </w:r>
        <w:r>
          <w:rPr>
            <w:noProof/>
            <w:webHidden/>
          </w:rPr>
          <w:fldChar w:fldCharType="begin"/>
        </w:r>
        <w:r>
          <w:rPr>
            <w:noProof/>
            <w:webHidden/>
          </w:rPr>
          <w:instrText xml:space="preserve"> PAGEREF _Toc260001032 \h </w:instrText>
        </w:r>
        <w:r>
          <w:rPr>
            <w:noProof/>
            <w:webHidden/>
          </w:rPr>
          <w:fldChar w:fldCharType="separate"/>
        </w:r>
        <w:r>
          <w:rPr>
            <w:noProof/>
            <w:webHidden/>
          </w:rPr>
          <w:t>30</w:t>
        </w:r>
        <w:r>
          <w:rPr>
            <w:noProof/>
            <w:webHidden/>
          </w:rPr>
          <w:fldChar w:fldCharType="end"/>
        </w:r>
      </w:hyperlink>
    </w:p>
    <w:p>
      <w:pPr>
        <w:pStyle w:val="TOC2"/>
      </w:pPr>
      <w:hyperlink w:anchor="_Toc260001033" w:history="1">
        <w:r>
          <w:rPr>
            <w:rStyle w:val="Hyperlink"/>
            <w:rFonts w:eastAsia="Calibri" w:cs="Calibri"/>
            <w:noProof/>
          </w:rPr>
          <w:t xml:space="preserve">Article 23: Revenue Shares and the Escalator Link</w:t>
        </w:r>
        <w:r>
          <w:rPr>
            <w:noProof/>
            <w:webHidden/>
          </w:rPr>
          <w:tab/>
        </w:r>
        <w:r>
          <w:rPr>
            <w:noProof/>
            <w:webHidden/>
          </w:rPr>
          <w:fldChar w:fldCharType="begin"/>
        </w:r>
        <w:r>
          <w:rPr>
            <w:noProof/>
            <w:webHidden/>
          </w:rPr>
          <w:instrText xml:space="preserve"> PAGEREF _Toc260001033 \h </w:instrText>
        </w:r>
        <w:r>
          <w:rPr>
            <w:noProof/>
            <w:webHidden/>
          </w:rPr>
          <w:fldChar w:fldCharType="separate"/>
        </w:r>
        <w:r>
          <w:rPr>
            <w:noProof/>
            <w:webHidden/>
          </w:rPr>
          <w:t>30</w:t>
        </w:r>
        <w:r>
          <w:rPr>
            <w:noProof/>
            <w:webHidden/>
          </w:rPr>
          <w:fldChar w:fldCharType="end"/>
        </w:r>
      </w:hyperlink>
    </w:p>
    <w:p>
      <w:pPr>
        <w:pStyle w:val="TOC2"/>
      </w:pPr>
      <w:hyperlink w:anchor="_Toc260001034" w:history="1">
        <w:r>
          <w:rPr>
            <w:rStyle w:val="Hyperlink"/>
            <w:rFonts w:eastAsia="Calibri" w:cs="Calibri"/>
            <w:noProof/>
          </w:rPr>
          <w:t xml:space="preserve">Article 24: Audit and Transparency</w:t>
        </w:r>
        <w:r>
          <w:rPr>
            <w:noProof/>
            <w:webHidden/>
          </w:rPr>
          <w:tab/>
        </w:r>
        <w:r>
          <w:rPr>
            <w:noProof/>
            <w:webHidden/>
          </w:rPr>
          <w:fldChar w:fldCharType="begin"/>
        </w:r>
        <w:r>
          <w:rPr>
            <w:noProof/>
            <w:webHidden/>
          </w:rPr>
          <w:instrText xml:space="preserve"> PAGEREF _Toc260001034 \h </w:instrText>
        </w:r>
        <w:r>
          <w:rPr>
            <w:noProof/>
            <w:webHidden/>
          </w:rPr>
          <w:fldChar w:fldCharType="separate"/>
        </w:r>
        <w:r>
          <w:rPr>
            <w:noProof/>
            <w:webHidden/>
          </w:rPr>
          <w:t>31</w:t>
        </w:r>
        <w:r>
          <w:rPr>
            <w:noProof/>
            <w:webHidden/>
          </w:rPr>
          <w:fldChar w:fldCharType="end"/>
        </w:r>
      </w:hyperlink>
    </w:p>
    <w:p>
      <w:pPr>
        <w:pStyle w:val="TOC1"/>
      </w:pPr>
      <w:hyperlink w:anchor="_Toc260001035" w:history="1">
        <w:r>
          <w:rPr>
            <w:rStyle w:val="Hyperlink"/>
            <w:rFonts w:eastAsia="Calibri" w:cs="Calibri"/>
            <w:noProof/>
          </w:rPr>
          <w:t xml:space="preserve">PART VII: SECURITY AND DECONFLICTION</w:t>
        </w:r>
        <w:r>
          <w:rPr>
            <w:noProof/>
            <w:webHidden/>
          </w:rPr>
          <w:tab/>
        </w:r>
        <w:r>
          <w:rPr>
            <w:noProof/>
            <w:webHidden/>
          </w:rPr>
          <w:fldChar w:fldCharType="begin"/>
        </w:r>
        <w:r>
          <w:rPr>
            <w:noProof/>
            <w:webHidden/>
          </w:rPr>
          <w:instrText xml:space="preserve"> PAGEREF _Toc260001035 \h </w:instrText>
        </w:r>
        <w:r>
          <w:rPr>
            <w:noProof/>
            <w:webHidden/>
          </w:rPr>
          <w:fldChar w:fldCharType="separate"/>
        </w:r>
        <w:r>
          <w:rPr>
            <w:noProof/>
            <w:webHidden/>
          </w:rPr>
          <w:t>32</w:t>
        </w:r>
        <w:r>
          <w:rPr>
            <w:noProof/>
            <w:webHidden/>
          </w:rPr>
          <w:fldChar w:fldCharType="end"/>
        </w:r>
      </w:hyperlink>
    </w:p>
    <w:p>
      <w:pPr>
        <w:pStyle w:val="TOC2"/>
      </w:pPr>
      <w:hyperlink w:anchor="_Toc260001036" w:history="1">
        <w:r>
          <w:rPr>
            <w:rStyle w:val="Hyperlink"/>
            <w:rFonts w:eastAsia="Calibri" w:cs="Calibri"/>
            <w:noProof/>
          </w:rPr>
          <w:t xml:space="preserve">Article 25: The Non-Interdiction Protocol</w:t>
        </w:r>
        <w:r>
          <w:rPr>
            <w:noProof/>
            <w:webHidden/>
          </w:rPr>
          <w:tab/>
        </w:r>
        <w:r>
          <w:rPr>
            <w:noProof/>
            <w:webHidden/>
          </w:rPr>
          <w:fldChar w:fldCharType="begin"/>
        </w:r>
        <w:r>
          <w:rPr>
            <w:noProof/>
            <w:webHidden/>
          </w:rPr>
          <w:instrText xml:space="preserve"> PAGEREF _Toc260001036 \h </w:instrText>
        </w:r>
        <w:r>
          <w:rPr>
            <w:noProof/>
            <w:webHidden/>
          </w:rPr>
          <w:fldChar w:fldCharType="separate"/>
        </w:r>
        <w:r>
          <w:rPr>
            <w:noProof/>
            <w:webHidden/>
          </w:rPr>
          <w:t>32</w:t>
        </w:r>
        <w:r>
          <w:rPr>
            <w:noProof/>
            <w:webHidden/>
          </w:rPr>
          <w:fldChar w:fldCharType="end"/>
        </w:r>
      </w:hyperlink>
    </w:p>
    <w:p>
      <w:pPr>
        <w:pStyle w:val="TOC2"/>
      </w:pPr>
      <w:hyperlink w:anchor="_Toc260001037" w:history="1">
        <w:r>
          <w:rPr>
            <w:rStyle w:val="Hyperlink"/>
            <w:rFonts w:eastAsia="Calibri" w:cs="Calibri"/>
            <w:noProof/>
          </w:rPr>
          <w:t xml:space="preserve">Article 26: Communications and Hotlines</w:t>
        </w:r>
        <w:r>
          <w:rPr>
            <w:noProof/>
            <w:webHidden/>
          </w:rPr>
          <w:tab/>
        </w:r>
        <w:r>
          <w:rPr>
            <w:noProof/>
            <w:webHidden/>
          </w:rPr>
          <w:fldChar w:fldCharType="begin"/>
        </w:r>
        <w:r>
          <w:rPr>
            <w:noProof/>
            <w:webHidden/>
          </w:rPr>
          <w:instrText xml:space="preserve"> PAGEREF _Toc260001037 \h </w:instrText>
        </w:r>
        <w:r>
          <w:rPr>
            <w:noProof/>
            <w:webHidden/>
          </w:rPr>
          <w:fldChar w:fldCharType="separate"/>
        </w:r>
        <w:r>
          <w:rPr>
            <w:noProof/>
            <w:webHidden/>
          </w:rPr>
          <w:t>32</w:t>
        </w:r>
        <w:r>
          <w:rPr>
            <w:noProof/>
            <w:webHidden/>
          </w:rPr>
          <w:fldChar w:fldCharType="end"/>
        </w:r>
      </w:hyperlink>
    </w:p>
    <w:p>
      <w:pPr>
        <w:pStyle w:val="TOC2"/>
      </w:pPr>
      <w:hyperlink w:anchor="_Toc260001038" w:history="1">
        <w:r>
          <w:rPr>
            <w:rStyle w:val="Hyperlink"/>
            <w:rFonts w:eastAsia="Calibri" w:cs="Calibri"/>
            <w:noProof/>
          </w:rPr>
          <w:t xml:space="preserve">Article 27: Mine-Risk Management</w:t>
        </w:r>
        <w:r>
          <w:rPr>
            <w:noProof/>
            <w:webHidden/>
          </w:rPr>
          <w:tab/>
        </w:r>
        <w:r>
          <w:rPr>
            <w:noProof/>
            <w:webHidden/>
          </w:rPr>
          <w:fldChar w:fldCharType="begin"/>
        </w:r>
        <w:r>
          <w:rPr>
            <w:noProof/>
            <w:webHidden/>
          </w:rPr>
          <w:instrText xml:space="preserve"> PAGEREF _Toc260001038 \h </w:instrText>
        </w:r>
        <w:r>
          <w:rPr>
            <w:noProof/>
            <w:webHidden/>
          </w:rPr>
          <w:fldChar w:fldCharType="separate"/>
        </w:r>
        <w:r>
          <w:rPr>
            <w:noProof/>
            <w:webHidden/>
          </w:rPr>
          <w:t>33</w:t>
        </w:r>
        <w:r>
          <w:rPr>
            <w:noProof/>
            <w:webHidden/>
          </w:rPr>
          <w:fldChar w:fldCharType="end"/>
        </w:r>
      </w:hyperlink>
    </w:p>
    <w:p>
      <w:pPr>
        <w:pStyle w:val="TOC2"/>
      </w:pPr>
      <w:hyperlink w:anchor="_Toc260001039" w:history="1">
        <w:r>
          <w:rPr>
            <w:rStyle w:val="Hyperlink"/>
            <w:rFonts w:eastAsia="Calibri" w:cs="Calibri"/>
            <w:noProof/>
          </w:rPr>
          <w:t xml:space="preserve">Article 28: Incident Response and False Flag Protocol</w:t>
        </w:r>
        <w:r>
          <w:rPr>
            <w:noProof/>
            <w:webHidden/>
          </w:rPr>
          <w:tab/>
        </w:r>
        <w:r>
          <w:rPr>
            <w:noProof/>
            <w:webHidden/>
          </w:rPr>
          <w:fldChar w:fldCharType="begin"/>
        </w:r>
        <w:r>
          <w:rPr>
            <w:noProof/>
            <w:webHidden/>
          </w:rPr>
          <w:instrText xml:space="preserve"> PAGEREF _Toc260001039 \h </w:instrText>
        </w:r>
        <w:r>
          <w:rPr>
            <w:noProof/>
            <w:webHidden/>
          </w:rPr>
          <w:fldChar w:fldCharType="separate"/>
        </w:r>
        <w:r>
          <w:rPr>
            <w:noProof/>
            <w:webHidden/>
          </w:rPr>
          <w:t>33</w:t>
        </w:r>
        <w:r>
          <w:rPr>
            <w:noProof/>
            <w:webHidden/>
          </w:rPr>
          <w:fldChar w:fldCharType="end"/>
        </w:r>
      </w:hyperlink>
    </w:p>
    <w:p>
      <w:pPr>
        <w:pStyle w:val="TOC1"/>
      </w:pPr>
      <w:hyperlink w:anchor="_Toc260001040" w:history="1">
        <w:r>
          <w:rPr>
            <w:rStyle w:val="Hyperlink"/>
            <w:rFonts w:eastAsia="Calibri" w:cs="Calibri"/>
            <w:noProof/>
          </w:rPr>
          <w:t xml:space="preserve">PART VIII: DISPUTES, DURATION, AND FINAL CLAUSES</w:t>
        </w:r>
        <w:r>
          <w:rPr>
            <w:noProof/>
            <w:webHidden/>
          </w:rPr>
          <w:tab/>
        </w:r>
        <w:r>
          <w:rPr>
            <w:noProof/>
            <w:webHidden/>
          </w:rPr>
          <w:fldChar w:fldCharType="begin"/>
        </w:r>
        <w:r>
          <w:rPr>
            <w:noProof/>
            <w:webHidden/>
          </w:rPr>
          <w:instrText xml:space="preserve"> PAGEREF _Toc260001040 \h </w:instrText>
        </w:r>
        <w:r>
          <w:rPr>
            <w:noProof/>
            <w:webHidden/>
          </w:rPr>
          <w:fldChar w:fldCharType="separate"/>
        </w:r>
        <w:r>
          <w:rPr>
            <w:noProof/>
            <w:webHidden/>
          </w:rPr>
          <w:t>35</w:t>
        </w:r>
        <w:r>
          <w:rPr>
            <w:noProof/>
            <w:webHidden/>
          </w:rPr>
          <w:fldChar w:fldCharType="end"/>
        </w:r>
      </w:hyperlink>
    </w:p>
    <w:p>
      <w:pPr>
        <w:pStyle w:val="TOC2"/>
      </w:pPr>
      <w:hyperlink w:anchor="_Toc260001041" w:history="1">
        <w:r>
          <w:rPr>
            <w:rStyle w:val="Hyperlink"/>
            <w:rFonts w:eastAsia="Calibri" w:cs="Calibri"/>
            <w:noProof/>
          </w:rPr>
          <w:t xml:space="preserve">Article 29: Dispute Resolution</w:t>
        </w:r>
        <w:r>
          <w:rPr>
            <w:noProof/>
            <w:webHidden/>
          </w:rPr>
          <w:tab/>
        </w:r>
        <w:r>
          <w:rPr>
            <w:noProof/>
            <w:webHidden/>
          </w:rPr>
          <w:fldChar w:fldCharType="begin"/>
        </w:r>
        <w:r>
          <w:rPr>
            <w:noProof/>
            <w:webHidden/>
          </w:rPr>
          <w:instrText xml:space="preserve"> PAGEREF _Toc260001041 \h </w:instrText>
        </w:r>
        <w:r>
          <w:rPr>
            <w:noProof/>
            <w:webHidden/>
          </w:rPr>
          <w:fldChar w:fldCharType="separate"/>
        </w:r>
        <w:r>
          <w:rPr>
            <w:noProof/>
            <w:webHidden/>
          </w:rPr>
          <w:t>35</w:t>
        </w:r>
        <w:r>
          <w:rPr>
            <w:noProof/>
            <w:webHidden/>
          </w:rPr>
          <w:fldChar w:fldCharType="end"/>
        </w:r>
      </w:hyperlink>
    </w:p>
    <w:p>
      <w:pPr>
        <w:pStyle w:val="TOC2"/>
      </w:pPr>
      <w:hyperlink w:anchor="_Toc260001042" w:history="1">
        <w:r>
          <w:rPr>
            <w:rStyle w:val="Hyperlink"/>
            <w:rFonts w:eastAsia="Calibri" w:cs="Calibri"/>
            <w:noProof/>
          </w:rPr>
          <w:t xml:space="preserve">Article 30: Force Majeure and Temporary Operational Suspension</w:t>
        </w:r>
        <w:r>
          <w:rPr>
            <w:noProof/>
            <w:webHidden/>
          </w:rPr>
          <w:tab/>
        </w:r>
        <w:r>
          <w:rPr>
            <w:noProof/>
            <w:webHidden/>
          </w:rPr>
          <w:fldChar w:fldCharType="begin"/>
        </w:r>
        <w:r>
          <w:rPr>
            <w:noProof/>
            <w:webHidden/>
          </w:rPr>
          <w:instrText xml:space="preserve"> PAGEREF _Toc260001042 \h </w:instrText>
        </w:r>
        <w:r>
          <w:rPr>
            <w:noProof/>
            <w:webHidden/>
          </w:rPr>
          <w:fldChar w:fldCharType="separate"/>
        </w:r>
        <w:r>
          <w:rPr>
            <w:noProof/>
            <w:webHidden/>
          </w:rPr>
          <w:t>35</w:t>
        </w:r>
        <w:r>
          <w:rPr>
            <w:noProof/>
            <w:webHidden/>
          </w:rPr>
          <w:fldChar w:fldCharType="end"/>
        </w:r>
      </w:hyperlink>
    </w:p>
    <w:p>
      <w:pPr>
        <w:pStyle w:val="TOC2"/>
      </w:pPr>
      <w:hyperlink w:anchor="_Toc260001043" w:history="1">
        <w:r>
          <w:rPr>
            <w:rStyle w:val="Hyperlink"/>
            <w:rFonts w:eastAsia="Calibri" w:cs="Calibri"/>
            <w:noProof/>
          </w:rPr>
          <w:t xml:space="preserve">Article 31: Amendment, Review, Duration, and Entry into Force</w:t>
        </w:r>
        <w:r>
          <w:rPr>
            <w:noProof/>
            <w:webHidden/>
          </w:rPr>
          <w:tab/>
        </w:r>
        <w:r>
          <w:rPr>
            <w:noProof/>
            <w:webHidden/>
          </w:rPr>
          <w:fldChar w:fldCharType="begin"/>
        </w:r>
        <w:r>
          <w:rPr>
            <w:noProof/>
            <w:webHidden/>
          </w:rPr>
          <w:instrText xml:space="preserve"> PAGEREF _Toc260001043 \h </w:instrText>
        </w:r>
        <w:r>
          <w:rPr>
            <w:noProof/>
            <w:webHidden/>
          </w:rPr>
          <w:fldChar w:fldCharType="separate"/>
        </w:r>
        <w:r>
          <w:rPr>
            <w:noProof/>
            <w:webHidden/>
          </w:rPr>
          <w:t>36</w:t>
        </w:r>
        <w:r>
          <w:rPr>
            <w:noProof/>
            <w:webHidden/>
          </w:rPr>
          <w:fldChar w:fldCharType="end"/>
        </w:r>
      </w:hyperlink>
    </w:p>
    <w:p>
      <w:pPr>
        <w:pStyle w:val="TOC1"/>
      </w:pPr>
      <w:hyperlink w:anchor="_Toc260001044" w:history="1">
        <w:r>
          <w:rPr>
            <w:rStyle w:val="Hyperlink"/>
            <w:rFonts w:eastAsia="Calibri" w:cs="Calibri"/>
            <w:noProof/>
          </w:rPr>
          <w:t xml:space="preserve">ANNEXES</w:t>
        </w:r>
        <w:r>
          <w:rPr>
            <w:noProof/>
            <w:webHidden/>
          </w:rPr>
          <w:tab/>
        </w:r>
        <w:r>
          <w:rPr>
            <w:noProof/>
            <w:webHidden/>
          </w:rPr>
          <w:fldChar w:fldCharType="begin"/>
        </w:r>
        <w:r>
          <w:rPr>
            <w:noProof/>
            <w:webHidden/>
          </w:rPr>
          <w:instrText xml:space="preserve"> PAGEREF _Toc260001044 \h </w:instrText>
        </w:r>
        <w:r>
          <w:rPr>
            <w:noProof/>
            <w:webHidden/>
          </w:rPr>
          <w:fldChar w:fldCharType="separate"/>
        </w:r>
        <w:r>
          <w:rPr>
            <w:noProof/>
            <w:webHidden/>
          </w:rPr>
          <w:t>37</w:t>
        </w:r>
        <w:r>
          <w:rPr>
            <w:noProof/>
            <w:webHidden/>
          </w:rPr>
          <w:fldChar w:fldCharType="end"/>
        </w:r>
      </w:hyperlink>
    </w:p>
    <w:p>
      <w:pPr>
        <w:pStyle w:val="TOC2"/>
      </w:pPr>
      <w:hyperlink w:anchor="_Toc260001045" w:history="1">
        <w:r>
          <w:rPr>
            <w:rStyle w:val="Hyperlink"/>
            <w:rFonts w:eastAsia="Calibri" w:cs="Calibri"/>
            <w:noProof/>
          </w:rPr>
          <w:t xml:space="preserve">Annex A: Corridor Geometry and Provisional Coordinates</w:t>
        </w:r>
        <w:r>
          <w:rPr>
            <w:noProof/>
            <w:webHidden/>
          </w:rPr>
          <w:tab/>
        </w:r>
        <w:r>
          <w:rPr>
            <w:noProof/>
            <w:webHidden/>
          </w:rPr>
          <w:fldChar w:fldCharType="begin"/>
        </w:r>
        <w:r>
          <w:rPr>
            <w:noProof/>
            <w:webHidden/>
          </w:rPr>
          <w:instrText xml:space="preserve"> PAGEREF _Toc260001045 \h </w:instrText>
        </w:r>
        <w:r>
          <w:rPr>
            <w:noProof/>
            <w:webHidden/>
          </w:rPr>
          <w:fldChar w:fldCharType="separate"/>
        </w:r>
        <w:r>
          <w:rPr>
            <w:noProof/>
            <w:webHidden/>
          </w:rPr>
          <w:t>37</w:t>
        </w:r>
        <w:r>
          <w:rPr>
            <w:noProof/>
            <w:webHidden/>
          </w:rPr>
          <w:fldChar w:fldCharType="end"/>
        </w:r>
      </w:hyperlink>
    </w:p>
    <w:p>
      <w:pPr>
        <w:pStyle w:val="TOC2"/>
      </w:pPr>
      <w:hyperlink w:anchor="_Toc260001046" w:history="1">
        <w:r>
          <w:rPr>
            <w:rStyle w:val="Hyperlink"/>
            <w:rFonts w:eastAsia="Calibri" w:cs="Calibri"/>
            <w:noProof/>
          </w:rPr>
          <w:t xml:space="preserve">Annex B: Graduated Gains Escalator Conversion Matrix</w:t>
        </w:r>
        <w:r>
          <w:rPr>
            <w:noProof/>
            <w:webHidden/>
          </w:rPr>
          <w:tab/>
        </w:r>
        <w:r>
          <w:rPr>
            <w:noProof/>
            <w:webHidden/>
          </w:rPr>
          <w:fldChar w:fldCharType="begin"/>
        </w:r>
        <w:r>
          <w:rPr>
            <w:noProof/>
            <w:webHidden/>
          </w:rPr>
          <w:instrText xml:space="preserve"> PAGEREF _Toc260001046 \h </w:instrText>
        </w:r>
        <w:r>
          <w:rPr>
            <w:noProof/>
            <w:webHidden/>
          </w:rPr>
          <w:fldChar w:fldCharType="separate"/>
        </w:r>
        <w:r>
          <w:rPr>
            <w:noProof/>
            <w:webHidden/>
          </w:rPr>
          <w:t>39</w:t>
        </w:r>
        <w:r>
          <w:rPr>
            <w:noProof/>
            <w:webHidden/>
          </w:rPr>
          <w:fldChar w:fldCharType="end"/>
        </w:r>
      </w:hyperlink>
    </w:p>
    <w:p>
      <w:pPr>
        <w:pStyle w:val="TOC2"/>
      </w:pPr>
      <w:hyperlink w:anchor="_Toc260001047" w:history="1">
        <w:r>
          <w:rPr>
            <w:rStyle w:val="Hyperlink"/>
            <w:rFonts w:eastAsia="Calibri" w:cs="Calibri"/>
            <w:noProof/>
          </w:rPr>
          <w:t xml:space="preserve">Annex C: Clean Week Verification Standard</w:t>
        </w:r>
        <w:r>
          <w:rPr>
            <w:noProof/>
            <w:webHidden/>
          </w:rPr>
          <w:tab/>
        </w:r>
        <w:r>
          <w:rPr>
            <w:noProof/>
            <w:webHidden/>
          </w:rPr>
          <w:fldChar w:fldCharType="begin"/>
        </w:r>
        <w:r>
          <w:rPr>
            <w:noProof/>
            <w:webHidden/>
          </w:rPr>
          <w:instrText xml:space="preserve"> PAGEREF _Toc260001047 \h </w:instrText>
        </w:r>
        <w:r>
          <w:rPr>
            <w:noProof/>
            <w:webHidden/>
          </w:rPr>
          <w:fldChar w:fldCharType="separate"/>
        </w:r>
        <w:r>
          <w:rPr>
            <w:noProof/>
            <w:webHidden/>
          </w:rPr>
          <w:t>41</w:t>
        </w:r>
        <w:r>
          <w:rPr>
            <w:noProof/>
            <w:webHidden/>
          </w:rPr>
          <w:fldChar w:fldCharType="end"/>
        </w:r>
      </w:hyperlink>
    </w:p>
    <w:p>
      <w:pPr>
        <w:pStyle w:val="TOC2"/>
      </w:pPr>
      <w:hyperlink w:anchor="_Toc260001048" w:history="1">
        <w:r>
          <w:rPr>
            <w:rStyle w:val="Hyperlink"/>
            <w:rFonts w:eastAsia="Calibri" w:cs="Calibri"/>
            <w:noProof/>
          </w:rPr>
          <w:t xml:space="preserve">Annex D: Escalator Event and Demerit Schedule</w:t>
        </w:r>
        <w:r>
          <w:rPr>
            <w:noProof/>
            <w:webHidden/>
          </w:rPr>
          <w:tab/>
        </w:r>
        <w:r>
          <w:rPr>
            <w:noProof/>
            <w:webHidden/>
          </w:rPr>
          <w:fldChar w:fldCharType="begin"/>
        </w:r>
        <w:r>
          <w:rPr>
            <w:noProof/>
            <w:webHidden/>
          </w:rPr>
          <w:instrText xml:space="preserve"> PAGEREF _Toc260001048 \h </w:instrText>
        </w:r>
        <w:r>
          <w:rPr>
            <w:noProof/>
            <w:webHidden/>
          </w:rPr>
          <w:fldChar w:fldCharType="separate"/>
        </w:r>
        <w:r>
          <w:rPr>
            <w:noProof/>
            <w:webHidden/>
          </w:rPr>
          <w:t>43</w:t>
        </w:r>
        <w:r>
          <w:rPr>
            <w:noProof/>
            <w:webHidden/>
          </w:rPr>
          <w:fldChar w:fldCharType="end"/>
        </w:r>
      </w:hyperlink>
    </w:p>
    <w:p>
      <w:pPr>
        <w:pStyle w:val="TOC2"/>
      </w:pPr>
      <w:hyperlink w:anchor="_Toc260001049" w:history="1">
        <w:r>
          <w:rPr>
            <w:rStyle w:val="Hyperlink"/>
            <w:rFonts w:eastAsia="Calibri" w:cs="Calibri"/>
            <w:noProof/>
          </w:rPr>
          <w:t xml:space="preserve">Annex E: RADS Rate Card and Service Standards</w:t>
        </w:r>
        <w:r>
          <w:rPr>
            <w:noProof/>
            <w:webHidden/>
          </w:rPr>
          <w:tab/>
        </w:r>
        <w:r>
          <w:rPr>
            <w:noProof/>
            <w:webHidden/>
          </w:rPr>
          <w:fldChar w:fldCharType="begin"/>
        </w:r>
        <w:r>
          <w:rPr>
            <w:noProof/>
            <w:webHidden/>
          </w:rPr>
          <w:instrText xml:space="preserve"> PAGEREF _Toc260001049 \h </w:instrText>
        </w:r>
        <w:r>
          <w:rPr>
            <w:noProof/>
            <w:webHidden/>
          </w:rPr>
          <w:fldChar w:fldCharType="separate"/>
        </w:r>
        <w:r>
          <w:rPr>
            <w:noProof/>
            <w:webHidden/>
          </w:rPr>
          <w:t>45</w:t>
        </w:r>
        <w:r>
          <w:rPr>
            <w:noProof/>
            <w:webHidden/>
          </w:rPr>
          <w:fldChar w:fldCharType="end"/>
        </w:r>
      </w:hyperlink>
    </w:p>
    <w:p>
      <w:pPr>
        <w:pStyle w:val="TOC2"/>
      </w:pPr>
      <w:hyperlink w:anchor="_Toc260001050" w:history="1">
        <w:r>
          <w:rPr>
            <w:rStyle w:val="Hyperlink"/>
            <w:rFonts w:eastAsia="Calibri" w:cs="Calibri"/>
            <w:noProof/>
          </w:rPr>
          <w:t xml:space="preserve">Annex F: Neutral Escrow Operating Rules</w:t>
        </w:r>
        <w:r>
          <w:rPr>
            <w:noProof/>
            <w:webHidden/>
          </w:rPr>
          <w:tab/>
        </w:r>
        <w:r>
          <w:rPr>
            <w:noProof/>
            <w:webHidden/>
          </w:rPr>
          <w:fldChar w:fldCharType="begin"/>
        </w:r>
        <w:r>
          <w:rPr>
            <w:noProof/>
            <w:webHidden/>
          </w:rPr>
          <w:instrText xml:space="preserve"> PAGEREF _Toc260001050 \h </w:instrText>
        </w:r>
        <w:r>
          <w:rPr>
            <w:noProof/>
            <w:webHidden/>
          </w:rPr>
          <w:fldChar w:fldCharType="separate"/>
        </w:r>
        <w:r>
          <w:rPr>
            <w:noProof/>
            <w:webHidden/>
          </w:rPr>
          <w:t>47</w:t>
        </w:r>
        <w:r>
          <w:rPr>
            <w:noProof/>
            <w:webHidden/>
          </w:rPr>
          <w:fldChar w:fldCharType="end"/>
        </w:r>
      </w:hyperlink>
    </w:p>
    <w:p>
      <w:pPr>
        <w:pStyle w:val="TOC2"/>
      </w:pPr>
      <w:hyperlink w:anchor="_Toc260001051" w:history="1">
        <w:r>
          <w:rPr>
            <w:rStyle w:val="Hyperlink"/>
            <w:rFonts w:eastAsia="Calibri" w:cs="Calibri"/>
            <w:noProof/>
          </w:rPr>
          <w:t xml:space="preserve">Annex G: Phased Reopening Operational Timeline</w:t>
        </w:r>
        <w:r>
          <w:rPr>
            <w:noProof/>
            <w:webHidden/>
          </w:rPr>
          <w:tab/>
        </w:r>
        <w:r>
          <w:rPr>
            <w:noProof/>
            <w:webHidden/>
          </w:rPr>
          <w:fldChar w:fldCharType="begin"/>
        </w:r>
        <w:r>
          <w:rPr>
            <w:noProof/>
            <w:webHidden/>
          </w:rPr>
          <w:instrText xml:space="preserve"> PAGEREF _Toc260001051 \h </w:instrText>
        </w:r>
        <w:r>
          <w:rPr>
            <w:noProof/>
            <w:webHidden/>
          </w:rPr>
          <w:fldChar w:fldCharType="separate"/>
        </w:r>
        <w:r>
          <w:rPr>
            <w:noProof/>
            <w:webHidden/>
          </w:rPr>
          <w:t>49</w:t>
        </w:r>
        <w:r>
          <w:rPr>
            <w:noProof/>
            <w:webHidden/>
          </w:rPr>
          <w:fldChar w:fldCharType="end"/>
        </w:r>
      </w:hyperlink>
    </w:p>
    <w:p>
      <w:pPr>
        <w:pStyle w:val="TOC2"/>
      </w:pPr>
      <w:hyperlink w:anchor="_Toc260001052" w:history="1">
        <w:r>
          <w:rPr>
            <w:rStyle w:val="Hyperlink"/>
            <w:rFonts w:eastAsia="Calibri" w:cs="Calibri"/>
            <w:noProof/>
          </w:rPr>
          <w:t xml:space="preserve">Annex H: Institutional Charters and Rules of Procedure</w:t>
        </w:r>
        <w:r>
          <w:rPr>
            <w:noProof/>
            <w:webHidden/>
          </w:rPr>
          <w:tab/>
        </w:r>
        <w:r>
          <w:rPr>
            <w:noProof/>
            <w:webHidden/>
          </w:rPr>
          <w:fldChar w:fldCharType="begin"/>
        </w:r>
        <w:r>
          <w:rPr>
            <w:noProof/>
            <w:webHidden/>
          </w:rPr>
          <w:instrText xml:space="preserve"> PAGEREF _Toc260001052 \h </w:instrText>
        </w:r>
        <w:r>
          <w:rPr>
            <w:noProof/>
            <w:webHidden/>
          </w:rPr>
          <w:fldChar w:fldCharType="separate"/>
        </w:r>
        <w:r>
          <w:rPr>
            <w:noProof/>
            <w:webHidden/>
          </w:rPr>
          <w:t>51</w:t>
        </w:r>
        <w:r>
          <w:rPr>
            <w:noProof/>
            <w:webHidden/>
          </w:rPr>
          <w:fldChar w:fldCharType="end"/>
        </w:r>
      </w:hyperlink>
    </w:p>
    <w:p>
      <w:pPr>
        <w:pStyle w:val="TOC2"/>
      </w:pPr>
      <w:hyperlink w:anchor="_Toc260001053" w:history="1">
        <w:r>
          <w:rPr>
            <w:rStyle w:val="Hyperlink"/>
            <w:rFonts w:eastAsia="Calibri" w:cs="Calibri"/>
            <w:noProof/>
          </w:rPr>
          <w:t xml:space="preserve">Annex I: Communications and Hotline Protocol</w:t>
        </w:r>
        <w:r>
          <w:rPr>
            <w:noProof/>
            <w:webHidden/>
          </w:rPr>
          <w:tab/>
        </w:r>
        <w:r>
          <w:rPr>
            <w:noProof/>
            <w:webHidden/>
          </w:rPr>
          <w:fldChar w:fldCharType="begin"/>
        </w:r>
        <w:r>
          <w:rPr>
            <w:noProof/>
            <w:webHidden/>
          </w:rPr>
          <w:instrText xml:space="preserve"> PAGEREF _Toc260001053 \h </w:instrText>
        </w:r>
        <w:r>
          <w:rPr>
            <w:noProof/>
            <w:webHidden/>
          </w:rPr>
          <w:fldChar w:fldCharType="separate"/>
        </w:r>
        <w:r>
          <w:rPr>
            <w:noProof/>
            <w:webHidden/>
          </w:rPr>
          <w:t>52</w:t>
        </w:r>
        <w:r>
          <w:rPr>
            <w:noProof/>
            <w:webHidden/>
          </w:rPr>
          <w:fldChar w:fldCharType="end"/>
        </w:r>
      </w:hyperlink>
    </w:p>
    <w:p>
      <w:pPr>
        <w:pStyle w:val="TOC2"/>
      </w:pPr>
      <w:hyperlink w:anchor="_Toc260001054" w:history="1">
        <w:r>
          <w:rPr>
            <w:rStyle w:val="Hyperlink"/>
            <w:rFonts w:eastAsia="Calibri" w:cs="Calibri"/>
            <w:noProof/>
          </w:rPr>
          <w:t xml:space="preserve">Annex J: Nuclear Firewall Protocol</w:t>
        </w:r>
        <w:r>
          <w:rPr>
            <w:noProof/>
            <w:webHidden/>
          </w:rPr>
          <w:tab/>
        </w:r>
        <w:r>
          <w:rPr>
            <w:noProof/>
            <w:webHidden/>
          </w:rPr>
          <w:fldChar w:fldCharType="begin"/>
        </w:r>
        <w:r>
          <w:rPr>
            <w:noProof/>
            <w:webHidden/>
          </w:rPr>
          <w:instrText xml:space="preserve"> PAGEREF _Toc260001054 \h </w:instrText>
        </w:r>
        <w:r>
          <w:rPr>
            <w:noProof/>
            <w:webHidden/>
          </w:rPr>
          <w:fldChar w:fldCharType="separate"/>
        </w:r>
        <w:r>
          <w:rPr>
            <w:noProof/>
            <w:webHidden/>
          </w:rPr>
          <w:t>53</w:t>
        </w:r>
        <w:r>
          <w:rPr>
            <w:noProof/>
            <w:webHidden/>
          </w:rPr>
          <w:fldChar w:fldCharType="end"/>
        </w:r>
      </w:hyperlink>
    </w:p>
    <w:p>
      <w:pPr>
        <w:pStyle w:val="TOC2"/>
      </w:pPr>
      <w:hyperlink w:anchor="_Toc260001055" w:history="1">
        <w:r>
          <w:rPr>
            <w:rStyle w:val="Hyperlink"/>
            <w:rFonts w:eastAsia="Calibri" w:cs="Calibri"/>
            <w:noProof/>
          </w:rPr>
          <w:t xml:space="preserve">Annex K: Implementation Checklists and Model Forms</w:t>
        </w:r>
        <w:r>
          <w:rPr>
            <w:noProof/>
            <w:webHidden/>
          </w:rPr>
          <w:tab/>
        </w:r>
        <w:r>
          <w:rPr>
            <w:noProof/>
            <w:webHidden/>
          </w:rPr>
          <w:fldChar w:fldCharType="begin"/>
        </w:r>
        <w:r>
          <w:rPr>
            <w:noProof/>
            <w:webHidden/>
          </w:rPr>
          <w:instrText xml:space="preserve"> PAGEREF _Toc260001055 \h </w:instrText>
        </w:r>
        <w:r>
          <w:rPr>
            <w:noProof/>
            <w:webHidden/>
          </w:rPr>
          <w:fldChar w:fldCharType="separate"/>
        </w:r>
        <w:r>
          <w:rPr>
            <w:noProof/>
            <w:webHidden/>
          </w:rPr>
          <w:t>54</w:t>
        </w:r>
        <w:r>
          <w:rPr>
            <w:noProof/>
            <w:webHidden/>
          </w:rPr>
          <w:fldChar w:fldCharType="end"/>
        </w:r>
      </w:hyperlink>
    </w:p>
    <w:p>
      <w:pPr>
        <w:pStyle w:val="TOC2"/>
      </w:pPr>
      <w:hyperlink w:anchor="_Toc260001056" w:history="1">
        <w:r>
          <w:rPr>
            <w:rStyle w:val="Hyperlink"/>
            <w:rFonts w:eastAsia="Calibri" w:cs="Calibri"/>
            <w:noProof/>
          </w:rPr>
          <w:t xml:space="preserve">Annex L: Escalator Worked Examples</w:t>
        </w:r>
        <w:r>
          <w:rPr>
            <w:noProof/>
            <w:webHidden/>
          </w:rPr>
          <w:tab/>
        </w:r>
        <w:r>
          <w:rPr>
            <w:noProof/>
            <w:webHidden/>
          </w:rPr>
          <w:fldChar w:fldCharType="begin"/>
        </w:r>
        <w:r>
          <w:rPr>
            <w:noProof/>
            <w:webHidden/>
          </w:rPr>
          <w:instrText xml:space="preserve"> PAGEREF _Toc260001056 \h </w:instrText>
        </w:r>
        <w:r>
          <w:rPr>
            <w:noProof/>
            <w:webHidden/>
          </w:rPr>
          <w:fldChar w:fldCharType="separate"/>
        </w:r>
        <w:r>
          <w:rPr>
            <w:noProof/>
            <w:webHidden/>
          </w:rPr>
          <w:t>55</w:t>
        </w:r>
        <w:r>
          <w:rPr>
            <w:noProof/>
            <w:webHidden/>
          </w:rPr>
          <w:fldChar w:fldCharType="end"/>
        </w:r>
      </w:hyperlink>
    </w:p>
    <w:p>
      <w:pPr>
        <w:pStyle w:val="TOC1"/>
      </w:pPr>
      <w:hyperlink w:anchor="_Toc260001057" w:history="1">
        <w:r>
          <w:rPr>
            <w:rStyle w:val="Hyperlink"/>
            <w:rFonts w:eastAsia="Calibri" w:cs="Calibri"/>
            <w:noProof/>
          </w:rPr>
          <w:t xml:space="preserve">CLOSING PROVISIONS</w:t>
        </w:r>
        <w:r>
          <w:rPr>
            <w:noProof/>
            <w:webHidden/>
          </w:rPr>
          <w:tab/>
        </w:r>
        <w:r>
          <w:rPr>
            <w:noProof/>
            <w:webHidden/>
          </w:rPr>
          <w:fldChar w:fldCharType="begin"/>
        </w:r>
        <w:r>
          <w:rPr>
            <w:noProof/>
            <w:webHidden/>
          </w:rPr>
          <w:instrText xml:space="preserve"> PAGEREF _Toc260001057 \h </w:instrText>
        </w:r>
        <w:r>
          <w:rPr>
            <w:noProof/>
            <w:webHidden/>
          </w:rPr>
          <w:fldChar w:fldCharType="separate"/>
        </w:r>
        <w:r>
          <w:rPr>
            <w:noProof/>
            <w:webHidden/>
          </w:rPr>
          <w:t>56</w:t>
        </w:r>
        <w:r>
          <w:rPr>
            <w:noProof/>
            <w:webHidden/>
          </w:rPr>
          <w:fldChar w:fldCharType="end"/>
        </w:r>
      </w:hyperlink>
    </w:p>
    <w:p>
      <w:pPr>
        <w:pStyle w:val="TOC2"/>
      </w:pPr>
      <w:hyperlink w:anchor="_Toc260001058" w:history="1">
        <w:r>
          <w:rPr>
            <w:rStyle w:val="Hyperlink"/>
            <w:rFonts w:eastAsia="Calibri" w:cs="Calibri"/>
            <w:noProof/>
          </w:rPr>
          <w:t xml:space="preserve">Signature and Deposit</w:t>
        </w:r>
        <w:r>
          <w:rPr>
            <w:noProof/>
            <w:webHidden/>
          </w:rPr>
          <w:tab/>
        </w:r>
        <w:r>
          <w:rPr>
            <w:noProof/>
            <w:webHidden/>
          </w:rPr>
          <w:fldChar w:fldCharType="begin"/>
        </w:r>
        <w:r>
          <w:rPr>
            <w:noProof/>
            <w:webHidden/>
          </w:rPr>
          <w:instrText xml:space="preserve"> PAGEREF _Toc260001058 \h </w:instrText>
        </w:r>
        <w:r>
          <w:rPr>
            <w:noProof/>
            <w:webHidden/>
          </w:rPr>
          <w:fldChar w:fldCharType="separate"/>
        </w:r>
        <w:r>
          <w:rPr>
            <w:noProof/>
            <w:webHidden/>
          </w:rPr>
          <w:t>56</w:t>
        </w:r>
        <w:r>
          <w:rPr>
            <w:noProof/>
            <w:webHidden/>
          </w:rPr>
          <w:fldChar w:fldCharType="end"/>
        </w:r>
      </w:hyperlink>
    </w:p>
    <w:p>
      <w:pPr>
        <w:pStyle w:val="TOC2"/>
      </w:pPr>
      <w:hyperlink w:anchor="_Toc260001059" w:history="1">
        <w:r>
          <w:rPr>
            <w:rStyle w:val="Hyperlink"/>
            <w:rFonts w:eastAsia="Calibri" w:cs="Calibri"/>
            <w:noProof/>
          </w:rPr>
          <w:t xml:space="preserve">The Closing Principle</w:t>
        </w:r>
        <w:r>
          <w:rPr>
            <w:noProof/>
            <w:webHidden/>
          </w:rPr>
          <w:tab/>
        </w:r>
        <w:r>
          <w:rPr>
            <w:noProof/>
            <w:webHidden/>
          </w:rPr>
          <w:fldChar w:fldCharType="begin"/>
        </w:r>
        <w:r>
          <w:rPr>
            <w:noProof/>
            <w:webHidden/>
          </w:rPr>
          <w:instrText xml:space="preserve"> PAGEREF _Toc260001059 \h </w:instrText>
        </w:r>
        <w:r>
          <w:rPr>
            <w:noProof/>
            <w:webHidden/>
          </w:rPr>
          <w:fldChar w:fldCharType="separate"/>
        </w:r>
        <w:r>
          <w:rPr>
            <w:noProof/>
            <w:webHidden/>
          </w:rPr>
          <w:t>56</w:t>
        </w:r>
        <w:r>
          <w:rPr>
            <w:noProof/>
            <w:webHidden/>
          </w:rPr>
          <w:fldChar w:fldCharType="end"/>
        </w:r>
      </w:hyperlink>
    </w:p>
    <w:p>
      <w:r>
        <w:fldChar w:fldCharType="end"/>
      </w:r>
    </w:p>
    <w:p>
      <w:pPr>
        <w:pStyle w:val="Heading1"/>
        <w:pBdr>
          <w:bottom w:val="single" w:color="8A6D2F" w:sz="10"/>
        </w:pBdr>
      </w:pPr>
      <w:bookmarkStart w:id="1001" w:name="_Toc260001001"/>
      <w:r>
        <w:rPr>
          <w:rFonts w:ascii="Georgia" w:hAnsi="Georgia"/>
          <w:b/>
          <w:color w:val="2F4858"/>
          <w:sz w:val="30"/>
        </w:rPr>
        <w:t xml:space="preserve">PREAMBLE</w:t>
      </w:r>
      <w:bookmarkEnd w:id="1001"/>
    </w:p>
    <w:p>
      <w:pPr>
        <w:spacing w:before="0" w:after="140" w:line="252" w:lineRule="auto"/>
        <w:jc w:val="both"/>
      </w:pPr>
      <w:r>
        <w:rPr>
          <w:rFonts w:ascii="Georgia" w:hAnsi="Georgia"/>
          <w:color w:val="1E2A32"/>
          <w:sz w:val="21"/>
        </w:rPr>
        <w:t xml:space="preserve">The Islamic Republic of Iran and the Sultanate of Oman as Principal Parties, the United States of America and the State of Qatar as Guarantor Parties, joined by the Observer Participants,</w:t>
      </w:r>
    </w:p>
    <w:p>
      <w:pPr>
        <w:spacing w:before="0" w:after="140" w:line="252" w:lineRule="auto"/>
        <w:jc w:val="both"/>
      </w:pPr>
      <w:r>
        <w:rPr>
          <w:rFonts w:ascii="Georgia" w:hAnsi="Georgia"/>
          <w:color w:val="1E2A32"/>
          <w:sz w:val="21"/>
        </w:rPr>
        <w:t xml:space="preserve">Recalling the conflict of 2026 and the closure and contested reopening of the Strait of Hormuz that followed it,</w:t>
      </w:r>
    </w:p>
    <w:p>
      <w:pPr>
        <w:spacing w:before="0" w:after="140" w:line="252" w:lineRule="auto"/>
        <w:jc w:val="both"/>
      </w:pPr>
      <w:r>
        <w:rPr>
          <w:rFonts w:ascii="Georgia" w:hAnsi="Georgia"/>
          <w:color w:val="1E2A32"/>
          <w:sz w:val="21"/>
        </w:rPr>
        <w:t xml:space="preserve">Recalling the Islamabad Memorandum of Understanding of June 2026, its ceasefire architecture, and its direction that the coastal states define the future administration and maritime services of the strait in discussion with the other littoral states, in line with applicable international law,</w:t>
      </w:r>
    </w:p>
    <w:p>
      <w:pPr>
        <w:spacing w:before="0" w:after="140" w:line="252" w:lineRule="auto"/>
        <w:jc w:val="both"/>
      </w:pPr>
      <w:r>
        <w:rPr>
          <w:rFonts w:ascii="Georgia" w:hAnsi="Georgia"/>
          <w:color w:val="1E2A32"/>
          <w:sz w:val="21"/>
        </w:rPr>
        <w:t xml:space="preserve">Acknowledging the technical agreement already reached between the coastal states on corridor geometry, entry and exit points, and routing logic,</w:t>
      </w:r>
    </w:p>
    <w:p>
      <w:pPr>
        <w:spacing w:before="0" w:after="140" w:line="252" w:lineRule="auto"/>
        <w:jc w:val="both"/>
      </w:pPr>
      <w:r>
        <w:rPr>
          <w:rFonts w:ascii="Georgia" w:hAnsi="Georgia"/>
          <w:color w:val="1E2A32"/>
          <w:sz w:val="21"/>
        </w:rPr>
        <w:t xml:space="preserve">Recognizing that the remaining questions of security authority, revenue, activation, and multilateral acceptance defeat every static allocation, because each side reads a fixed map as the other side's victory,</w:t>
      </w:r>
    </w:p>
    <w:p>
      <w:pPr>
        <w:spacing w:before="0" w:after="140" w:line="252" w:lineRule="auto"/>
        <w:jc w:val="both"/>
      </w:pPr>
      <w:r>
        <w:rPr>
          <w:rFonts w:ascii="Georgia" w:hAnsi="Georgia"/>
          <w:color w:val="1E2A32"/>
          <w:sz w:val="21"/>
        </w:rPr>
        <w:t xml:space="preserve">Affirming that freedom of navigation through the strait serves every nation and that the coastal states' stewardship of that freedom deserves recognition, structure, and recompense for services genuinely rendered,</w:t>
      </w:r>
    </w:p>
    <w:p>
      <w:pPr>
        <w:spacing w:before="0" w:after="140" w:line="252" w:lineRule="auto"/>
        <w:jc w:val="both"/>
      </w:pPr>
      <w:r>
        <w:rPr>
          <w:rFonts w:ascii="Georgia" w:hAnsi="Georgia"/>
          <w:color w:val="1E2A32"/>
          <w:sz w:val="21"/>
        </w:rPr>
        <w:t xml:space="preserve">Convinced that a governance system which grows a Party's authority in proportion to verified good conduct converts rivalry into investment, converts suspicion into measurement, and converts the question of who moves first into a synchronized first step that all sides take together,</w:t>
      </w:r>
    </w:p>
    <w:p>
      <w:pPr>
        <w:spacing w:before="0" w:after="140" w:line="252" w:lineRule="auto"/>
        <w:jc w:val="both"/>
      </w:pPr>
      <w:r>
        <w:rPr>
          <w:rFonts w:ascii="Georgia" w:hAnsi="Georgia"/>
          <w:color w:val="1E2A32"/>
          <w:sz w:val="21"/>
        </w:rPr>
        <w:t xml:space="preserve">Determined to keep every nuclear question on its own separate track, firewalled in full from the maritime architecture this Accord builds,</w:t>
      </w:r>
    </w:p>
    <w:p>
      <w:pPr>
        <w:spacing w:before="0" w:after="140" w:line="252" w:lineRule="auto"/>
        <w:jc w:val="both"/>
      </w:pPr>
      <w:r>
        <w:rPr>
          <w:rFonts w:ascii="Georgia" w:hAnsi="Georgia"/>
          <w:color w:val="1E2A32"/>
          <w:sz w:val="21"/>
        </w:rPr>
        <w:t xml:space="preserve">Agree as follows:</w:t>
      </w:r>
    </w:p>
    <w:p>
      <w:pPr>
        <w:pStyle w:val="Heading1"/>
        <w:pBdr>
          <w:bottom w:val="single" w:color="8A6D2F" w:sz="10"/>
        </w:pBdr>
      </w:pPr>
      <w:bookmarkStart w:id="1002" w:name="_Toc260001002"/>
      <w:r>
        <w:rPr>
          <w:rFonts w:ascii="Georgia" w:hAnsi="Georgia"/>
          <w:b/>
          <w:color w:val="2F4858"/>
          <w:sz w:val="30"/>
        </w:rPr>
        <w:t xml:space="preserve">SITUATION ASSESSMENT AND DESIGN RATIONALE</w:t>
      </w:r>
      <w:bookmarkEnd w:id="1002"/>
    </w:p>
    <w:p>
      <w:pPr>
        <w:pStyle w:val="Heading2"/>
      </w:pPr>
      <w:bookmarkStart w:id="1003" w:name="_Toc260001003"/>
      <w:r>
        <w:rPr>
          <w:rFonts w:ascii="Georgia" w:hAnsi="Georgia"/>
          <w:b/>
          <w:color w:val="2F4858"/>
          <w:sz w:val="25"/>
        </w:rPr>
        <w:t xml:space="preserve">SA.1 Where the Negotiations Stand</w:t>
      </w:r>
      <w:bookmarkEnd w:id="1003"/>
    </w:p>
    <w:p>
      <w:pPr>
        <w:pStyle w:val="Heading3"/>
      </w:pPr>
      <w:r>
        <w:rPr>
          <w:rFonts w:ascii="Georgia" w:hAnsi="Georgia"/>
          <w:b/>
          <w:color w:val="3D5566"/>
          <w:sz w:val="22"/>
        </w:rPr>
        <w:t xml:space="preserve">SA.1.1 The Conflict and the Ceasefire Architecture</w:t>
      </w:r>
    </w:p>
    <w:p>
      <w:pPr>
        <w:spacing w:before="0" w:after="140" w:line="252" w:lineRule="auto"/>
        <w:jc w:val="both"/>
      </w:pPr>
      <w:r>
        <w:rPr>
          <w:rFonts w:ascii="Georgia" w:hAnsi="Georgia"/>
          <w:color w:val="1E2A32"/>
          <w:sz w:val="21"/>
        </w:rPr>
        <w:t xml:space="preserve">The conflict of 2026 closed the Strait of Hormuz to normal commerce, drove wartime routing into effect, and carried roughly a fifth of the world's traded oil and gas into a force-managed trickle. The April ceasefire, the direct contacts in Islamabad, and the renewed escalation that followed demonstrated one lesson above all: a truce without a governance system for the strait decays within weeks. The Islamabad Memorandum of Understanding of June 2026 then reopened the file in earnest. It ended active hostilities, set a sixty-day negotiation window, and addressed the strait in a single contested provision: Iran arranges safe passage without charge for sixty days, and Iran conducts dialogue with Oman, in discussion with the other littoral states, to define the future administration and maritime services of the strait in line with applicable international law and the sovereign rights of the coastal states.</w:t>
      </w:r>
    </w:p>
    <w:p>
      <w:pPr>
        <w:pStyle w:val="Heading3"/>
      </w:pPr>
      <w:r>
        <w:rPr>
          <w:rFonts w:ascii="Georgia" w:hAnsi="Georgia"/>
          <w:b/>
          <w:color w:val="3D5566"/>
          <w:sz w:val="22"/>
        </w:rPr>
        <w:t xml:space="preserve">SA.1.2 The Interpretation Split</w:t>
      </w:r>
    </w:p>
    <w:p>
      <w:pPr>
        <w:spacing w:before="0" w:after="140" w:line="252" w:lineRule="auto"/>
        <w:jc w:val="both"/>
      </w:pPr>
      <w:r>
        <w:rPr>
          <w:rFonts w:ascii="Georgia" w:hAnsi="Georgia"/>
          <w:color w:val="1E2A32"/>
          <w:sz w:val="21"/>
        </w:rPr>
        <w:t xml:space="preserve">The parties to the Memorandum read that provision in opposite directions. One reading treats it as a guarantee of free passage. The other treats it as recognition of a coastal-state administrative role, including service charges after the sixty-day window. That split produced the July ruptures: strikes on vessels transiting the Omani-side route, renewed strikes ashore, reimposition of the naval blockade, and suspension of commitments. Every subsequent effort at stabilization confronts the same fork. This Accord exists to close the fork by design rather than by declaration.</w:t>
      </w:r>
    </w:p>
    <w:p>
      <w:pPr>
        <w:pStyle w:val="Heading3"/>
      </w:pPr>
      <w:r>
        <w:rPr>
          <w:rFonts w:ascii="Georgia" w:hAnsi="Georgia"/>
          <w:b/>
          <w:color w:val="3D5566"/>
          <w:sz w:val="22"/>
        </w:rPr>
        <w:t xml:space="preserve">SA.1.3 The Technical Convergence</w:t>
      </w:r>
    </w:p>
    <w:p>
      <w:pPr>
        <w:spacing w:before="0" w:after="140" w:line="252" w:lineRule="auto"/>
        <w:jc w:val="both"/>
      </w:pPr>
      <w:r>
        <w:rPr>
          <w:rFonts w:ascii="Georgia" w:hAnsi="Georgia"/>
          <w:color w:val="1E2A32"/>
          <w:sz w:val="21"/>
        </w:rPr>
        <w:t xml:space="preserve">While the politics deadlocks, the technical track converges. Iran and Oman agree on corridor coordinates, entry and exit routes, and the routing logic of a three-corridor system: an inbound corridor through the northern waters, an outbound corridor through the southern waters, and a central buffer for separation, emergency diversion, mine-risk avoidance, and deconfliction. The joint coastal-state statement sits in final review. Indirect technical talks report positive progress. The geometry of the answer already exists on the technical level; what lacks is the governance machine that lets the geometry operate.</w:t>
      </w:r>
    </w:p>
    <w:p>
      <w:pPr>
        <w:pStyle w:val="Heading3"/>
      </w:pPr>
      <w:r>
        <w:rPr>
          <w:rFonts w:ascii="Georgia" w:hAnsi="Georgia"/>
          <w:b/>
          <w:color w:val="3D5566"/>
          <w:sz w:val="22"/>
        </w:rPr>
        <w:t xml:space="preserve">SA.1.4 The Four Open Gaps</w:t>
      </w:r>
    </w:p>
    <w:p>
      <w:pPr>
        <w:spacing w:before="0" w:after="140" w:line="252" w:lineRule="auto"/>
        <w:jc w:val="both"/>
      </w:pPr>
      <w:r>
        <w:rPr>
          <w:rFonts w:ascii="Georgia" w:hAnsi="Georgia"/>
          <w:color w:val="1E2A32"/>
          <w:sz w:val="21"/>
        </w:rPr>
        <w:t xml:space="preserve">Four components remain unresolved across every current account of the negotiation: security authority, meaning who holds legal power to stop, inspect, respond, and deconflict; the fee structure, meaning the amounts, the revenue shares, the audit, and the sanctions interface; the reopening and activation mechanism, meaning the legal trigger, the transition from wartime lanes, the pilot rules, and the suspension conditions; and multilateral acceptance, meaning the assent of the Gulf states, the United States, and international maritime bodies, without which coordinates never publish and the system never activates. Part II through Part VIII of this Accord answer those four gaps in that order, and the Annexes make each answer operative.</w:t>
      </w:r>
    </w:p>
    <w:p>
      <w:pPr>
        <w:pStyle w:val="Heading3"/>
      </w:pPr>
      <w:r>
        <w:rPr>
          <w:rFonts w:ascii="Georgia" w:hAnsi="Georgia"/>
          <w:b/>
          <w:color w:val="3D5566"/>
          <w:sz w:val="22"/>
        </w:rPr>
        <w:t xml:space="preserve">SA.1.5 The Demands in the Room</w:t>
      </w:r>
    </w:p>
    <w:p>
      <w:pPr>
        <w:spacing w:before="0" w:after="140" w:line="252" w:lineRule="auto"/>
        <w:jc w:val="both"/>
      </w:pPr>
      <w:r>
        <w:rPr>
          <w:rFonts w:ascii="Georgia" w:hAnsi="Georgia"/>
          <w:color w:val="1E2A32"/>
          <w:sz w:val="21"/>
        </w:rPr>
        <w:t xml:space="preserve">The negotiating record fixes the parties' irreducible positions. The United States insists on no unilateral control, multilateral oversight, published coordinates, shared security functions, freedom of navigation, sanctions-compatible fees, transparent audit, neutral dispute resolution, and service-charge framing rather than sovereign tolls. Iran insists on functional control of the inbound corridor, recognition of its mine-risk and environmental roles, fee rights for genuine services, equal representation, sanctions-insulated payment routing, and neutral arbitration. Oman insists on the outbound corridor, the neutral coordinating role, the joint monitoring hub, and escrow administration. The Gulf states insist on observer standing, interdiction assurances, and shared emergency protocols. This Accord honors every one of those positions simultaneously, and it does so by changing the question: not who holds the strait, but how authority over functions grows with verified conduct.</w:t>
      </w:r>
    </w:p>
    <w:p>
      <w:pPr>
        <w:pStyle w:val="Heading2"/>
      </w:pPr>
      <w:bookmarkStart w:id="1004" w:name="_Toc260001004"/>
      <w:r>
        <w:rPr>
          <w:rFonts w:ascii="Georgia" w:hAnsi="Georgia"/>
          <w:b/>
          <w:color w:val="2F4858"/>
          <w:sz w:val="25"/>
        </w:rPr>
        <w:t xml:space="preserve">SA.2 Why the Graduated Gains Design</w:t>
      </w:r>
      <w:bookmarkEnd w:id="1004"/>
    </w:p>
    <w:p>
      <w:pPr>
        <w:pStyle w:val="Heading3"/>
      </w:pPr>
      <w:r>
        <w:rPr>
          <w:rFonts w:ascii="Georgia" w:hAnsi="Georgia"/>
          <w:b/>
          <w:color w:val="3D5566"/>
          <w:sz w:val="22"/>
        </w:rPr>
        <w:t xml:space="preserve">SA.2.1 The Deadlock the Design Breaks</w:t>
      </w:r>
    </w:p>
    <w:p>
      <w:pPr>
        <w:spacing w:before="0" w:after="140" w:line="252" w:lineRule="auto"/>
        <w:jc w:val="both"/>
      </w:pPr>
      <w:r>
        <w:rPr>
          <w:rFonts w:ascii="Georgia" w:hAnsi="Georgia"/>
          <w:color w:val="1E2A32"/>
          <w:sz w:val="21"/>
        </w:rPr>
        <w:t xml:space="preserve">The standard bargain demands a sequence: one side opens the strait, then the other lifts pressure. Each side suspects the other of pocketing the first move. The Graduated Gains design dissolves the sequence. Iran receives a recognized, operational role at signature: one third of the corridor system, the Inner Third closest to its coast. Every further increment arrives through performance, not concession. The Guarantor measures pressure down as verified clean weeks accumulate. Both sides move on the same day, and neither waits on the other's good faith.</w:t>
      </w:r>
    </w:p>
    <w:p>
      <w:pPr>
        <w:pStyle w:val="Heading3"/>
      </w:pPr>
      <w:r>
        <w:rPr>
          <w:rFonts w:ascii="Georgia" w:hAnsi="Georgia"/>
          <w:b/>
          <w:color w:val="3D5566"/>
          <w:sz w:val="22"/>
        </w:rPr>
        <w:t xml:space="preserve">SA.2.2 Sunrise Logic</w:t>
      </w:r>
    </w:p>
    <w:p>
      <w:pPr>
        <w:spacing w:before="0" w:after="140" w:line="252" w:lineRule="auto"/>
        <w:jc w:val="both"/>
      </w:pPr>
      <w:r>
        <w:rPr>
          <w:rFonts w:ascii="Georgia" w:hAnsi="Georgia"/>
          <w:color w:val="1E2A32"/>
          <w:sz w:val="21"/>
        </w:rPr>
        <w:t xml:space="preserve">A sunset clause threatens loss. A sunrise clause promises gain. The Escalator of Part III is a sunrise machine: it starts at 33 percent, grows ten points per verified clean week, and reaches full operational authority in seven clean weeks, with a Permanent Floor of 60 percent thereafter. The psychology matters as much as the arithmetic. Leadership in Tehran defends a gain trajectory to its own public far more easily than a freeze; leadership in Washington defends a verification-gated trajectory far more easily than an upfront grant. The mechanism hands each capital the sentence it needs to speak.</w:t>
      </w:r>
    </w:p>
    <w:p>
      <w:pPr>
        <w:pStyle w:val="Heading3"/>
      </w:pPr>
      <w:r>
        <w:rPr>
          <w:rFonts w:ascii="Georgia" w:hAnsi="Georgia"/>
          <w:b/>
          <w:color w:val="3D5566"/>
          <w:sz w:val="22"/>
        </w:rPr>
        <w:t xml:space="preserve">SA.2.3 Verification Replaces Trust</w:t>
      </w:r>
    </w:p>
    <w:p>
      <w:pPr>
        <w:spacing w:before="0" w:after="140" w:line="252" w:lineRule="auto"/>
        <w:jc w:val="both"/>
      </w:pPr>
      <w:r>
        <w:rPr>
          <w:rFonts w:ascii="Georgia" w:hAnsi="Georgia"/>
          <w:color w:val="1E2A32"/>
          <w:sz w:val="21"/>
        </w:rPr>
        <w:t xml:space="preserve">The Escalator asks no Party to trust another. It asks every Party to trust a measurement: the Clean Week criteria of Annex C, the fused radar and AIS record, the hotline log, the settlement audit. The Neutral Watch Office publishes the measurement weekly, in three languages, on a public dashboard. Trust becomes the product of the system rather than its precondition.</w:t>
      </w:r>
    </w:p>
    <w:p>
      <w:pPr>
        <w:pStyle w:val="Heading3"/>
      </w:pPr>
      <w:r>
        <w:rPr>
          <w:rFonts w:ascii="Georgia" w:hAnsi="Georgia"/>
          <w:b/>
          <w:color w:val="3D5566"/>
          <w:sz w:val="22"/>
        </w:rPr>
        <w:t xml:space="preserve">SA.2.4 The Design Answers Each Objection</w:t>
      </w:r>
    </w:p>
    <w:p>
      <w:pPr>
        <w:spacing w:before="0" w:after="140" w:line="252" w:lineRule="auto"/>
        <w:jc w:val="both"/>
      </w:pPr>
      <w:r>
        <w:rPr>
          <w:rFonts w:ascii="Georgia" w:hAnsi="Georgia"/>
          <w:color w:val="1E2A32"/>
          <w:sz w:val="21"/>
        </w:rPr>
        <w:t xml:space="preserve">Too much, too fast: the start is one third, and every further step requires a clean week on the public record. Cheating: the verification instruments sit outside every Party's control, and a false record collapses the violator's own gains. Unilateral control: the Twin Key binds at every level including Full Unlock, and the 60 percent cap and floor deny majority dominance permanently. Too slow: seven clean weeks to full authority outruns any alternative process on the table. Too complex: the user-facing rule is one line, a clean week earns ten points, and the complexity lives in the Annexes where it belongs.</w:t>
      </w:r>
    </w:p>
    <w:p>
      <w:pPr>
        <w:pStyle w:val="Heading3"/>
      </w:pPr>
      <w:r>
        <w:rPr>
          <w:rFonts w:ascii="Georgia" w:hAnsi="Georgia"/>
          <w:b/>
          <w:color w:val="3D5566"/>
          <w:sz w:val="22"/>
        </w:rPr>
        <w:t xml:space="preserve">SA.2.5 The Fee Deadlock and the Two Selected Solutions</w:t>
      </w:r>
    </w:p>
    <w:p>
      <w:pPr>
        <w:spacing w:before="0" w:after="140" w:line="252" w:lineRule="auto"/>
        <w:jc w:val="both"/>
      </w:pPr>
      <w:r>
        <w:rPr>
          <w:rFonts w:ascii="Georgia" w:hAnsi="Georgia"/>
          <w:color w:val="1E2A32"/>
          <w:sz w:val="21"/>
        </w:rPr>
        <w:t xml:space="preserve">The fee question has wrecked more drafts than any other. A mandatory charge on transit collides with the law of the sea and with the red lines of several capitals; no revenue at all collides with the coastal states' insistence on recompense for real services. This Accord selects two solutions from the negotiated menu and welds them into one architecture. The first, the Route Assurance Data Service, converts revenue into a commercial data product that underwriters, charterers, and operators purchase because it carries value, leaving passage itself free in law. The second, the Neutral Escrow, routes every payment through a Swiss-administered account with a sanctions-compliance firewall, so that users pay a neutral institution and coastal states receive distributions from that institution. Part VI and Annexes E and F make both solutions fully operative.</w:t>
      </w:r>
    </w:p>
    <w:p>
      <w:pPr>
        <w:pStyle w:val="Heading3"/>
      </w:pPr>
      <w:r>
        <w:rPr>
          <w:rFonts w:ascii="Georgia" w:hAnsi="Georgia"/>
          <w:b/>
          <w:color w:val="3D5566"/>
          <w:sz w:val="22"/>
        </w:rPr>
        <w:t xml:space="preserve">SA.2.6 The Reopening as an Engineering Sequence</w:t>
      </w:r>
    </w:p>
    <w:p>
      <w:pPr>
        <w:spacing w:before="0" w:after="140" w:line="252" w:lineRule="auto"/>
        <w:jc w:val="both"/>
      </w:pPr>
      <w:r>
        <w:rPr>
          <w:rFonts w:ascii="Georgia" w:hAnsi="Georgia"/>
          <w:color w:val="1E2A32"/>
          <w:sz w:val="21"/>
        </w:rPr>
        <w:t xml:space="preserve">The strait does not reopen by announcement; it reopens by sequence. Part IV and Annex G phase the reopening across six gates: foundation, pilot announcement, sequential corridor activation with the safety spine first and the politically sensitive corridor last, payment commissioning, a 35-day stability audit, and full activation with publication of final coordinates. The wartime lanes run in parallel until the new system proves itself, so the strait never lacks a published routing regime, and the insurance market receives the assurance products it demands before traffic returns at scale.</w:t>
      </w:r>
    </w:p>
    <w:p>
      <w:pPr>
        <w:pStyle w:val="Heading3"/>
      </w:pPr>
      <w:r>
        <w:rPr>
          <w:rFonts w:ascii="Georgia" w:hAnsi="Georgia"/>
          <w:b/>
          <w:color w:val="3D5566"/>
          <w:sz w:val="22"/>
        </w:rPr>
        <w:t xml:space="preserve">SA.2.7 The Nuclear Firewall</w:t>
      </w:r>
    </w:p>
    <w:p>
      <w:pPr>
        <w:spacing w:before="0" w:after="140" w:line="252" w:lineRule="auto"/>
        <w:jc w:val="both"/>
      </w:pPr>
      <w:r>
        <w:rPr>
          <w:rFonts w:ascii="Georgia" w:hAnsi="Georgia"/>
          <w:color w:val="1E2A32"/>
          <w:sz w:val="21"/>
        </w:rPr>
        <w:t xml:space="preserve">Every recent round of talks confirms that mixing the maritime file with the nuclear file sinks both. This Accord firewalls the nuclear file absolutely, in both directions, through Article 3 and Annex J. No nuclear event moves the Escalator; no corridor event touches the nuclear track; no institution of this Accord holds a nuclear mandate. The firewall is not a diplomatic courtesy. It is structural load-bearing: it lets the corridor system stabilize even while the harder file grinds on its own track.</w:t>
      </w:r>
    </w:p>
    <w:p>
      <w:pPr>
        <w:pStyle w:val="Heading1"/>
        <w:pBdr>
          <w:bottom w:val="single" w:color="8A6D2F" w:sz="10"/>
        </w:pBdr>
      </w:pPr>
      <w:bookmarkStart w:id="1005" w:name="_Toc260001005"/>
      <w:r>
        <w:rPr>
          <w:rFonts w:ascii="Georgia" w:hAnsi="Georgia"/>
          <w:b/>
          <w:color w:val="2F4858"/>
          <w:sz w:val="30"/>
        </w:rPr>
        <w:t xml:space="preserve">PART I: FOUNDATIONS</w:t>
      </w:r>
      <w:bookmarkEnd w:id="1005"/>
    </w:p>
    <w:p>
      <w:pPr>
        <w:pStyle w:val="Heading2"/>
      </w:pPr>
      <w:bookmarkStart w:id="1006" w:name="_Toc260001006"/>
      <w:r>
        <w:rPr>
          <w:rFonts w:ascii="Georgia" w:hAnsi="Georgia"/>
          <w:b/>
          <w:color w:val="2F4858"/>
          <w:sz w:val="25"/>
        </w:rPr>
        <w:t xml:space="preserve">Article 1: Purpose, Scope, and Provisional Character</w:t>
      </w:r>
      <w:bookmarkEnd w:id="1006"/>
    </w:p>
    <w:p>
      <w:pPr>
        <w:pStyle w:val="Heading3"/>
      </w:pPr>
      <w:r>
        <w:rPr>
          <w:rFonts w:ascii="Georgia" w:hAnsi="Georgia"/>
          <w:b/>
          <w:color w:val="3D5566"/>
          <w:sz w:val="22"/>
        </w:rPr>
        <w:t xml:space="preserve">1.1 Purpose</w:t>
      </w:r>
    </w:p>
    <w:p>
      <w:pPr>
        <w:spacing w:before="0" w:after="140" w:line="252" w:lineRule="auto"/>
        <w:jc w:val="both"/>
      </w:pPr>
      <w:r>
        <w:rPr>
          <w:rFonts w:ascii="Georgia" w:hAnsi="Georgia"/>
          <w:color w:val="1E2A32"/>
          <w:sz w:val="21"/>
        </w:rPr>
        <w:t xml:space="preserve">The Graduated Gains Provisional Accord ("the Accord") establishes a phased, verifiable, and self-executing governance system for the Strait of Hormuz. The Accord replaces the wartime routing regime with a three-corridor architecture, allocates initial functional authority over the corridor third closest to the Iranian coast to the Islamic Republic of Iran, and grows that authority in fixed increments for each verified week of clean corridor operation. The Accord converts a zero-sum contest over control into a positive-sum system in which every Party gains when the strait operates without incident.</w:t>
      </w:r>
    </w:p>
    <w:p>
      <w:pPr>
        <w:pStyle w:val="Heading3"/>
      </w:pPr>
      <w:r>
        <w:rPr>
          <w:rFonts w:ascii="Georgia" w:hAnsi="Georgia"/>
          <w:b/>
          <w:color w:val="3D5566"/>
          <w:sz w:val="22"/>
        </w:rPr>
        <w:t xml:space="preserve">1.2 Provisional Character</w:t>
      </w:r>
    </w:p>
    <w:p>
      <w:pPr>
        <w:spacing w:before="0" w:after="140" w:line="252" w:lineRule="auto"/>
        <w:jc w:val="both"/>
      </w:pPr>
      <w:r>
        <w:rPr>
          <w:rFonts w:ascii="Georgia" w:hAnsi="Georgia"/>
          <w:color w:val="1E2A32"/>
          <w:sz w:val="21"/>
        </w:rPr>
        <w:t xml:space="preserve">The Accord operates as a provisional instrument. It governs corridor operations from the date of entry into force until the Parties conclude a definitive treaty or extend this Accord under Article 31. Provisional character does not dilute operative force. Every mechanism in this Accord executes automatically according to its terms from the date of entry into force.</w:t>
      </w:r>
    </w:p>
    <w:p>
      <w:pPr>
        <w:pStyle w:val="Heading3"/>
      </w:pPr>
      <w:r>
        <w:rPr>
          <w:rFonts w:ascii="Georgia" w:hAnsi="Georgia"/>
          <w:b/>
          <w:color w:val="3D5566"/>
          <w:sz w:val="22"/>
        </w:rPr>
        <w:t xml:space="preserve">1.3 Scope</w:t>
      </w:r>
    </w:p>
    <w:p>
      <w:pPr>
        <w:spacing w:before="0" w:after="140" w:line="252" w:lineRule="auto"/>
        <w:jc w:val="both"/>
      </w:pPr>
      <w:r>
        <w:rPr>
          <w:rFonts w:ascii="Georgia" w:hAnsi="Georgia"/>
          <w:color w:val="1E2A32"/>
          <w:sz w:val="21"/>
        </w:rPr>
        <w:t xml:space="preserve">The Accord governs: (a) the geometry, activation, and operation of the corridor system; (b) the allocation and growth of functional control weight; (c) the institutions that administer, verify, and audit the system; (d) the revenue architecture, consisting of the Route Assurance Data Service and the Neutral Escrow; (e) security, deconfliction, and incident response inside the corridor system; and (f) dispute resolution among the Parties. The Accord does not govern: (a) the nuclear file of any Party, which Article 3 firewalls in full; (b) the territorial delimitation of any coastal state; or (c) military activity outside the corridor system, except as Article 28 addresses incidents that touch corridor safety.</w:t>
      </w:r>
    </w:p>
    <w:p>
      <w:pPr>
        <w:pStyle w:val="Heading3"/>
      </w:pPr>
      <w:r>
        <w:rPr>
          <w:rFonts w:ascii="Georgia" w:hAnsi="Georgia"/>
          <w:b/>
          <w:color w:val="3D5566"/>
          <w:sz w:val="22"/>
        </w:rPr>
        <w:t xml:space="preserve">1.4 Parties and Roles</w:t>
      </w:r>
    </w:p>
    <w:p>
      <w:pPr>
        <w:spacing w:before="0" w:after="140" w:line="252" w:lineRule="auto"/>
        <w:jc w:val="both"/>
      </w:pPr>
      <w:r>
        <w:rPr>
          <w:rFonts w:ascii="Georgia" w:hAnsi="Georgia"/>
          <w:color w:val="1E2A32"/>
          <w:sz w:val="21"/>
        </w:rPr>
        <w:t xml:space="preserve">The Principal Parties are the Islamic Republic of Iran and the Sultanate of Oman. The Guarantor Parties are the United States of America and the State of Qatar. The Observer Participants are the Gulf Cooperation Council member states acting through a joint observer delegation, the International Maritime Organization acting through a technical liaison, and the Swiss Confederation acting as Escrow Administrator and depositary. Each category of participation carries the rights and duties that Part V assigns, and no category converts into another except by amendment under Article 31.</w:t>
      </w:r>
    </w:p>
    <w:p>
      <w:pPr>
        <w:pStyle w:val="Heading3"/>
      </w:pPr>
      <w:r>
        <w:rPr>
          <w:rFonts w:ascii="Georgia" w:hAnsi="Georgia"/>
          <w:b/>
          <w:color w:val="3D5566"/>
          <w:sz w:val="22"/>
        </w:rPr>
        <w:t xml:space="preserve">1.5 The Governing Idea: Sunrise, Not Sunset</w:t>
      </w:r>
    </w:p>
    <w:p>
      <w:pPr>
        <w:spacing w:before="0" w:after="140" w:line="252" w:lineRule="auto"/>
        <w:jc w:val="both"/>
      </w:pPr>
      <w:r>
        <w:rPr>
          <w:rFonts w:ascii="Georgia" w:hAnsi="Georgia"/>
          <w:color w:val="1E2A32"/>
          <w:sz w:val="21"/>
        </w:rPr>
        <w:t xml:space="preserve">The Accord inverts the standard compliance bargain. Conventional instruments subtract value upon breach and offer nothing for performance. This Accord adds value upon performance. Iran begins with a defined, recognized, and operational role. Each verified clean week enlarges that role in a fixed, published increment. The mechanism rewards the behavior every Party seeks, it rewards that behavior automatically, and it never rewards any other behavior.</w:t>
      </w:r>
    </w:p>
    <w:p>
      <w:pPr>
        <w:pStyle w:val="Heading2"/>
      </w:pPr>
      <w:bookmarkStart w:id="1007" w:name="_Toc260001007"/>
      <w:r>
        <w:rPr>
          <w:rFonts w:ascii="Georgia" w:hAnsi="Georgia"/>
          <w:b/>
          <w:color w:val="2F4858"/>
          <w:sz w:val="25"/>
        </w:rPr>
        <w:t xml:space="preserve">Article 2: Definitions and Interpretation</w:t>
      </w:r>
      <w:bookmarkEnd w:id="1007"/>
    </w:p>
    <w:p>
      <w:pPr>
        <w:pStyle w:val="Heading3"/>
      </w:pPr>
      <w:r>
        <w:rPr>
          <w:rFonts w:ascii="Georgia" w:hAnsi="Georgia"/>
          <w:b/>
          <w:color w:val="3D5566"/>
          <w:sz w:val="22"/>
        </w:rPr>
        <w:t xml:space="preserve">2.1 Definitions</w:t>
      </w:r>
    </w:p>
    <w:p>
      <w:pPr>
        <w:spacing w:before="0" w:after="140" w:line="252" w:lineRule="auto"/>
        <w:jc w:val="both"/>
      </w:pPr>
      <w:r>
        <w:rPr>
          <w:rFonts w:ascii="Georgia" w:hAnsi="Georgia"/>
          <w:color w:val="1E2A32"/>
          <w:sz w:val="21"/>
        </w:rPr>
        <w:t xml:space="preserve">In this Accord, the following terms carry the following meanings:</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4513"/>
        <w:gridCol w:w="4513"/>
      </w:tblGrid>
      <w:tr>
        <w:trPr>
          <w:tblHeader/>
        </w:trPr>
        <w:tc>
          <w:tcPr>
            <w:tcW w:w="4513" w:type="dxa"/>
            <w:shd w:val="clear" w:fill="E4EAEE"/>
          </w:tcPr>
          <w:p>
            <w:pPr>
              <w:spacing w:after="20" w:line="240" w:lineRule="auto"/>
              <w:jc w:val="left"/>
            </w:pPr>
            <w:r>
              <w:rPr>
                <w:rFonts w:ascii="Georgia" w:hAnsi="Georgia"/>
                <w:b/>
                <w:color w:val="2F4858"/>
                <w:sz w:val="18"/>
              </w:rPr>
              <w:t xml:space="preserve">Term</w:t>
            </w:r>
          </w:p>
        </w:tc>
        <w:tc>
          <w:tcPr>
            <w:tcW w:w="4513" w:type="dxa"/>
            <w:shd w:val="clear" w:fill="E4EAEE"/>
          </w:tcPr>
          <w:p>
            <w:pPr>
              <w:spacing w:after="20" w:line="240" w:lineRule="auto"/>
              <w:jc w:val="left"/>
            </w:pPr>
            <w:r>
              <w:rPr>
                <w:rFonts w:ascii="Georgia" w:hAnsi="Georgia"/>
                <w:b/>
                <w:color w:val="2F4858"/>
                <w:sz w:val="18"/>
              </w:rPr>
              <w:t xml:space="preserve">Meaning</w:t>
            </w:r>
          </w:p>
        </w:tc>
      </w:tr>
      <w:tr>
        <w:tc>
          <w:tcPr>
            <w:tcW w:w="4513" w:type="dxa"/>
          </w:tcPr>
          <w:p>
            <w:pPr>
              <w:spacing w:after="20" w:line="240" w:lineRule="auto"/>
              <w:jc w:val="left"/>
            </w:pPr>
            <w:r>
              <w:rPr>
                <w:rFonts w:ascii="Georgia" w:hAnsi="Georgia"/>
                <w:color w:val="1E2A32"/>
                <w:sz w:val="18"/>
              </w:rPr>
              <w:t xml:space="preserve">Accord</w:t>
            </w:r>
          </w:p>
        </w:tc>
        <w:tc>
          <w:tcPr>
            <w:tcW w:w="4513" w:type="dxa"/>
          </w:tcPr>
          <w:p>
            <w:pPr>
              <w:spacing w:after="20" w:line="240" w:lineRule="auto"/>
              <w:jc w:val="left"/>
            </w:pPr>
            <w:r>
              <w:rPr>
                <w:rFonts w:ascii="Georgia" w:hAnsi="Georgia"/>
                <w:color w:val="1E2A32"/>
                <w:sz w:val="18"/>
              </w:rPr>
              <w:t xml:space="preserve">The Graduated Gains Provisional Accord v1.0, including all Annexes</w:t>
            </w:r>
          </w:p>
        </w:tc>
      </w:tr>
      <w:tr>
        <w:tc>
          <w:tcPr>
            <w:tcW w:w="4513" w:type="dxa"/>
          </w:tcPr>
          <w:p>
            <w:pPr>
              <w:spacing w:after="20" w:line="240" w:lineRule="auto"/>
              <w:jc w:val="left"/>
            </w:pPr>
            <w:r>
              <w:rPr>
                <w:rFonts w:ascii="Georgia" w:hAnsi="Georgia"/>
                <w:color w:val="1E2A32"/>
                <w:sz w:val="18"/>
              </w:rPr>
              <w:t xml:space="preserve">Buffer Corridor</w:t>
            </w:r>
          </w:p>
        </w:tc>
        <w:tc>
          <w:tcPr>
            <w:tcW w:w="4513" w:type="dxa"/>
          </w:tcPr>
          <w:p>
            <w:pPr>
              <w:spacing w:after="20" w:line="240" w:lineRule="auto"/>
              <w:jc w:val="left"/>
            </w:pPr>
            <w:r>
              <w:rPr>
                <w:rFonts w:ascii="Georgia" w:hAnsi="Georgia"/>
                <w:color w:val="1E2A32"/>
                <w:sz w:val="18"/>
              </w:rPr>
              <w:t xml:space="preserve">The central deconfliction corridor between Corridor North and Corridor South, defined in Article 5 and Annex A</w:t>
            </w:r>
          </w:p>
        </w:tc>
      </w:tr>
      <w:tr>
        <w:tc>
          <w:tcPr>
            <w:tcW w:w="4513" w:type="dxa"/>
          </w:tcPr>
          <w:p>
            <w:pPr>
              <w:spacing w:after="20" w:line="240" w:lineRule="auto"/>
              <w:jc w:val="left"/>
            </w:pPr>
            <w:r>
              <w:rPr>
                <w:rFonts w:ascii="Georgia" w:hAnsi="Georgia"/>
                <w:color w:val="1E2A32"/>
                <w:sz w:val="18"/>
              </w:rPr>
              <w:t xml:space="preserve">Clean Week</w:t>
            </w:r>
          </w:p>
        </w:tc>
        <w:tc>
          <w:tcPr>
            <w:tcW w:w="4513" w:type="dxa"/>
          </w:tcPr>
          <w:p>
            <w:pPr>
              <w:spacing w:after="20" w:line="240" w:lineRule="auto"/>
              <w:jc w:val="left"/>
            </w:pPr>
            <w:r>
              <w:rPr>
                <w:rFonts w:ascii="Georgia" w:hAnsi="Georgia"/>
                <w:color w:val="1E2A32"/>
                <w:sz w:val="18"/>
              </w:rPr>
              <w:t xml:space="preserve">A Verification Period that satisfies every criterion of Annex C</w:t>
            </w:r>
          </w:p>
        </w:tc>
      </w:tr>
      <w:tr>
        <w:tc>
          <w:tcPr>
            <w:tcW w:w="4513" w:type="dxa"/>
          </w:tcPr>
          <w:p>
            <w:pPr>
              <w:spacing w:after="20" w:line="240" w:lineRule="auto"/>
              <w:jc w:val="left"/>
            </w:pPr>
            <w:r>
              <w:rPr>
                <w:rFonts w:ascii="Georgia" w:hAnsi="Georgia"/>
                <w:color w:val="1E2A32"/>
                <w:sz w:val="18"/>
              </w:rPr>
              <w:t xml:space="preserve">Control Weight</w:t>
            </w:r>
          </w:p>
        </w:tc>
        <w:tc>
          <w:tcPr>
            <w:tcW w:w="4513" w:type="dxa"/>
          </w:tcPr>
          <w:p>
            <w:pPr>
              <w:spacing w:after="20" w:line="240" w:lineRule="auto"/>
              <w:jc w:val="left"/>
            </w:pPr>
            <w:r>
              <w:rPr>
                <w:rFonts w:ascii="Georgia" w:hAnsi="Georgia"/>
                <w:color w:val="1E2A32"/>
                <w:sz w:val="18"/>
              </w:rPr>
              <w:t xml:space="preserve">The quantified share of functional authority over the corridor system that a Party holds under Article 9</w:t>
            </w:r>
          </w:p>
        </w:tc>
      </w:tr>
      <w:tr>
        <w:tc>
          <w:tcPr>
            <w:tcW w:w="4513" w:type="dxa"/>
          </w:tcPr>
          <w:p>
            <w:pPr>
              <w:spacing w:after="20" w:line="240" w:lineRule="auto"/>
              <w:jc w:val="left"/>
            </w:pPr>
            <w:r>
              <w:rPr>
                <w:rFonts w:ascii="Georgia" w:hAnsi="Georgia"/>
                <w:color w:val="1E2A32"/>
                <w:sz w:val="18"/>
              </w:rPr>
              <w:t xml:space="preserve">Corridor North</w:t>
            </w:r>
          </w:p>
        </w:tc>
        <w:tc>
          <w:tcPr>
            <w:tcW w:w="4513" w:type="dxa"/>
          </w:tcPr>
          <w:p>
            <w:pPr>
              <w:spacing w:after="20" w:line="240" w:lineRule="auto"/>
              <w:jc w:val="left"/>
            </w:pPr>
            <w:r>
              <w:rPr>
                <w:rFonts w:ascii="Georgia" w:hAnsi="Georgia"/>
                <w:color w:val="1E2A32"/>
                <w:sz w:val="18"/>
              </w:rPr>
              <w:t xml:space="preserve">The inbound commercial corridor routed through the northern third of the traffic system, adjacent to the Iranian coast</w:t>
            </w:r>
          </w:p>
        </w:tc>
      </w:tr>
      <w:tr>
        <w:tc>
          <w:tcPr>
            <w:tcW w:w="4513" w:type="dxa"/>
          </w:tcPr>
          <w:p>
            <w:pPr>
              <w:spacing w:after="20" w:line="240" w:lineRule="auto"/>
              <w:jc w:val="left"/>
            </w:pPr>
            <w:r>
              <w:rPr>
                <w:rFonts w:ascii="Georgia" w:hAnsi="Georgia"/>
                <w:color w:val="1E2A32"/>
                <w:sz w:val="18"/>
              </w:rPr>
              <w:t xml:space="preserve">Corridor South</w:t>
            </w:r>
          </w:p>
        </w:tc>
        <w:tc>
          <w:tcPr>
            <w:tcW w:w="4513" w:type="dxa"/>
          </w:tcPr>
          <w:p>
            <w:pPr>
              <w:spacing w:after="20" w:line="240" w:lineRule="auto"/>
              <w:jc w:val="left"/>
            </w:pPr>
            <w:r>
              <w:rPr>
                <w:rFonts w:ascii="Georgia" w:hAnsi="Georgia"/>
                <w:color w:val="1E2A32"/>
                <w:sz w:val="18"/>
              </w:rPr>
              <w:t xml:space="preserve">The outbound commercial corridor routed through the southern third of the traffic system, adjacent to the Omani coast</w:t>
            </w:r>
          </w:p>
        </w:tc>
      </w:tr>
      <w:tr>
        <w:tc>
          <w:tcPr>
            <w:tcW w:w="4513" w:type="dxa"/>
          </w:tcPr>
          <w:p>
            <w:pPr>
              <w:spacing w:after="20" w:line="240" w:lineRule="auto"/>
              <w:jc w:val="left"/>
            </w:pPr>
            <w:r>
              <w:rPr>
                <w:rFonts w:ascii="Georgia" w:hAnsi="Georgia"/>
                <w:color w:val="1E2A32"/>
                <w:sz w:val="18"/>
              </w:rPr>
              <w:t xml:space="preserve">Corridor System</w:t>
            </w:r>
          </w:p>
        </w:tc>
        <w:tc>
          <w:tcPr>
            <w:tcW w:w="4513" w:type="dxa"/>
          </w:tcPr>
          <w:p>
            <w:pPr>
              <w:spacing w:after="20" w:line="240" w:lineRule="auto"/>
              <w:jc w:val="left"/>
            </w:pPr>
            <w:r>
              <w:rPr>
                <w:rFonts w:ascii="Georgia" w:hAnsi="Georgia"/>
                <w:color w:val="1E2A32"/>
                <w:sz w:val="18"/>
              </w:rPr>
              <w:t xml:space="preserve">Corridor North, the Buffer Corridor, and Corridor South, taken together</w:t>
            </w:r>
          </w:p>
        </w:tc>
      </w:tr>
      <w:tr>
        <w:tc>
          <w:tcPr>
            <w:tcW w:w="4513" w:type="dxa"/>
          </w:tcPr>
          <w:p>
            <w:pPr>
              <w:spacing w:after="20" w:line="240" w:lineRule="auto"/>
              <w:jc w:val="left"/>
            </w:pPr>
            <w:r>
              <w:rPr>
                <w:rFonts w:ascii="Georgia" w:hAnsi="Georgia"/>
                <w:color w:val="1E2A32"/>
                <w:sz w:val="18"/>
              </w:rPr>
              <w:t xml:space="preserve">Council</w:t>
            </w:r>
          </w:p>
        </w:tc>
        <w:tc>
          <w:tcPr>
            <w:tcW w:w="4513" w:type="dxa"/>
          </w:tcPr>
          <w:p>
            <w:pPr>
              <w:spacing w:after="20" w:line="240" w:lineRule="auto"/>
              <w:jc w:val="left"/>
            </w:pPr>
            <w:r>
              <w:rPr>
                <w:rFonts w:ascii="Georgia" w:hAnsi="Georgia"/>
                <w:color w:val="1E2A32"/>
                <w:sz w:val="18"/>
              </w:rPr>
              <w:t xml:space="preserve">The Graduated Gains Council established under Article 16</w:t>
            </w:r>
          </w:p>
        </w:tc>
      </w:tr>
      <w:tr>
        <w:tc>
          <w:tcPr>
            <w:tcW w:w="4513" w:type="dxa"/>
          </w:tcPr>
          <w:p>
            <w:pPr>
              <w:spacing w:after="20" w:line="240" w:lineRule="auto"/>
              <w:jc w:val="left"/>
            </w:pPr>
            <w:r>
              <w:rPr>
                <w:rFonts w:ascii="Georgia" w:hAnsi="Georgia"/>
                <w:color w:val="1E2A32"/>
                <w:sz w:val="18"/>
              </w:rPr>
              <w:t xml:space="preserve">Demerit Point</w:t>
            </w:r>
          </w:p>
        </w:tc>
        <w:tc>
          <w:tcPr>
            <w:tcW w:w="4513" w:type="dxa"/>
          </w:tcPr>
          <w:p>
            <w:pPr>
              <w:spacing w:after="20" w:line="240" w:lineRule="auto"/>
              <w:jc w:val="left"/>
            </w:pPr>
            <w:r>
              <w:rPr>
                <w:rFonts w:ascii="Georgia" w:hAnsi="Georgia"/>
                <w:color w:val="1E2A32"/>
                <w:sz w:val="18"/>
              </w:rPr>
              <w:t xml:space="preserve">A compliance debit assessed under Annex D</w:t>
            </w:r>
          </w:p>
        </w:tc>
      </w:tr>
      <w:tr>
        <w:tc>
          <w:tcPr>
            <w:tcW w:w="4513" w:type="dxa"/>
          </w:tcPr>
          <w:p>
            <w:pPr>
              <w:spacing w:after="20" w:line="240" w:lineRule="auto"/>
              <w:jc w:val="left"/>
            </w:pPr>
            <w:r>
              <w:rPr>
                <w:rFonts w:ascii="Georgia" w:hAnsi="Georgia"/>
                <w:color w:val="1E2A32"/>
                <w:sz w:val="18"/>
              </w:rPr>
              <w:t xml:space="preserve">Escalator</w:t>
            </w:r>
          </w:p>
        </w:tc>
        <w:tc>
          <w:tcPr>
            <w:tcW w:w="4513" w:type="dxa"/>
          </w:tcPr>
          <w:p>
            <w:pPr>
              <w:spacing w:after="20" w:line="240" w:lineRule="auto"/>
              <w:jc w:val="left"/>
            </w:pPr>
            <w:r>
              <w:rPr>
                <w:rFonts w:ascii="Georgia" w:hAnsi="Georgia"/>
                <w:color w:val="1E2A32"/>
                <w:sz w:val="18"/>
              </w:rPr>
              <w:t xml:space="preserve">The Graduated Gains mechanism of Article 8</w:t>
            </w:r>
          </w:p>
        </w:tc>
      </w:tr>
      <w:tr>
        <w:tc>
          <w:tcPr>
            <w:tcW w:w="4513" w:type="dxa"/>
          </w:tcPr>
          <w:p>
            <w:pPr>
              <w:spacing w:after="20" w:line="240" w:lineRule="auto"/>
              <w:jc w:val="left"/>
            </w:pPr>
            <w:r>
              <w:rPr>
                <w:rFonts w:ascii="Georgia" w:hAnsi="Georgia"/>
                <w:color w:val="1E2A32"/>
                <w:sz w:val="18"/>
              </w:rPr>
              <w:t xml:space="preserve">Escrow</w:t>
            </w:r>
          </w:p>
        </w:tc>
        <w:tc>
          <w:tcPr>
            <w:tcW w:w="4513" w:type="dxa"/>
          </w:tcPr>
          <w:p>
            <w:pPr>
              <w:spacing w:after="20" w:line="240" w:lineRule="auto"/>
              <w:jc w:val="left"/>
            </w:pPr>
            <w:r>
              <w:rPr>
                <w:rFonts w:ascii="Georgia" w:hAnsi="Georgia"/>
                <w:color w:val="1E2A32"/>
                <w:sz w:val="18"/>
              </w:rPr>
              <w:t xml:space="preserve">The Neutral Escrow established under Article 22</w:t>
            </w:r>
          </w:p>
        </w:tc>
      </w:tr>
      <w:tr>
        <w:tc>
          <w:tcPr>
            <w:tcW w:w="4513" w:type="dxa"/>
          </w:tcPr>
          <w:p>
            <w:pPr>
              <w:spacing w:after="20" w:line="240" w:lineRule="auto"/>
              <w:jc w:val="left"/>
            </w:pPr>
            <w:r>
              <w:rPr>
                <w:rFonts w:ascii="Georgia" w:hAnsi="Georgia"/>
                <w:color w:val="1E2A32"/>
                <w:sz w:val="18"/>
              </w:rPr>
              <w:t xml:space="preserve">Event</w:t>
            </w:r>
          </w:p>
        </w:tc>
        <w:tc>
          <w:tcPr>
            <w:tcW w:w="4513" w:type="dxa"/>
          </w:tcPr>
          <w:p>
            <w:pPr>
              <w:spacing w:after="20" w:line="240" w:lineRule="auto"/>
              <w:jc w:val="left"/>
            </w:pPr>
            <w:r>
              <w:rPr>
                <w:rFonts w:ascii="Georgia" w:hAnsi="Georgia"/>
                <w:color w:val="1E2A32"/>
                <w:sz w:val="18"/>
              </w:rPr>
              <w:t xml:space="preserve">An occurrence classified under Annex D as E-0, E-1, E-2, E-3, or E-4</w:t>
            </w:r>
          </w:p>
        </w:tc>
      </w:tr>
      <w:tr>
        <w:tc>
          <w:tcPr>
            <w:tcW w:w="4513" w:type="dxa"/>
          </w:tcPr>
          <w:p>
            <w:pPr>
              <w:spacing w:after="20" w:line="240" w:lineRule="auto"/>
              <w:jc w:val="left"/>
            </w:pPr>
            <w:r>
              <w:rPr>
                <w:rFonts w:ascii="Georgia" w:hAnsi="Georgia"/>
                <w:color w:val="1E2A32"/>
                <w:sz w:val="18"/>
              </w:rPr>
              <w:t xml:space="preserve">Full Unlock</w:t>
            </w:r>
          </w:p>
        </w:tc>
        <w:tc>
          <w:tcPr>
            <w:tcW w:w="4513" w:type="dxa"/>
          </w:tcPr>
          <w:p>
            <w:pPr>
              <w:spacing w:after="20" w:line="240" w:lineRule="auto"/>
              <w:jc w:val="left"/>
            </w:pPr>
            <w:r>
              <w:rPr>
                <w:rFonts w:ascii="Georgia" w:hAnsi="Georgia"/>
                <w:color w:val="1E2A32"/>
                <w:sz w:val="18"/>
              </w:rPr>
              <w:t xml:space="preserve">The attainment of 100 percent Control Weight under Article 8</w:t>
            </w:r>
          </w:p>
        </w:tc>
      </w:tr>
      <w:tr>
        <w:tc>
          <w:tcPr>
            <w:tcW w:w="4513" w:type="dxa"/>
          </w:tcPr>
          <w:p>
            <w:pPr>
              <w:spacing w:after="20" w:line="240" w:lineRule="auto"/>
              <w:jc w:val="left"/>
            </w:pPr>
            <w:r>
              <w:rPr>
                <w:rFonts w:ascii="Georgia" w:hAnsi="Georgia"/>
                <w:color w:val="1E2A32"/>
                <w:sz w:val="18"/>
              </w:rPr>
              <w:t xml:space="preserve">Good Conduct Credit</w:t>
            </w:r>
          </w:p>
        </w:tc>
        <w:tc>
          <w:tcPr>
            <w:tcW w:w="4513" w:type="dxa"/>
          </w:tcPr>
          <w:p>
            <w:pPr>
              <w:spacing w:after="20" w:line="240" w:lineRule="auto"/>
              <w:jc w:val="left"/>
            </w:pPr>
            <w:r>
              <w:rPr>
                <w:rFonts w:ascii="Georgia" w:hAnsi="Georgia"/>
                <w:color w:val="1E2A32"/>
                <w:sz w:val="18"/>
              </w:rPr>
              <w:t xml:space="preserve">A bankable credit earned under Article 11</w:t>
            </w:r>
          </w:p>
        </w:tc>
      </w:tr>
      <w:tr>
        <w:tc>
          <w:tcPr>
            <w:tcW w:w="4513" w:type="dxa"/>
          </w:tcPr>
          <w:p>
            <w:pPr>
              <w:spacing w:after="20" w:line="240" w:lineRule="auto"/>
              <w:jc w:val="left"/>
            </w:pPr>
            <w:r>
              <w:rPr>
                <w:rFonts w:ascii="Georgia" w:hAnsi="Georgia"/>
                <w:color w:val="1E2A32"/>
                <w:sz w:val="18"/>
              </w:rPr>
              <w:t xml:space="preserve">Inner Third</w:t>
            </w:r>
          </w:p>
        </w:tc>
        <w:tc>
          <w:tcPr>
            <w:tcW w:w="4513" w:type="dxa"/>
          </w:tcPr>
          <w:p>
            <w:pPr>
              <w:spacing w:after="20" w:line="240" w:lineRule="auto"/>
              <w:jc w:val="left"/>
            </w:pPr>
            <w:r>
              <w:rPr>
                <w:rFonts w:ascii="Georgia" w:hAnsi="Georgia"/>
                <w:color w:val="1E2A32"/>
                <w:sz w:val="18"/>
              </w:rPr>
              <w:t xml:space="preserve">The third of the Corridor System closest to the Iranian coast, comprising Corridor North and the northern face of the Buffer Corridor</w:t>
            </w:r>
          </w:p>
        </w:tc>
      </w:tr>
      <w:tr>
        <w:tc>
          <w:tcPr>
            <w:tcW w:w="4513" w:type="dxa"/>
          </w:tcPr>
          <w:p>
            <w:pPr>
              <w:spacing w:after="20" w:line="240" w:lineRule="auto"/>
              <w:jc w:val="left"/>
            </w:pPr>
            <w:r>
              <w:rPr>
                <w:rFonts w:ascii="Georgia" w:hAnsi="Georgia"/>
                <w:color w:val="1E2A32"/>
                <w:sz w:val="18"/>
              </w:rPr>
              <w:t xml:space="preserve">Neutral Watch Office</w:t>
            </w:r>
          </w:p>
        </w:tc>
        <w:tc>
          <w:tcPr>
            <w:tcW w:w="4513" w:type="dxa"/>
          </w:tcPr>
          <w:p>
            <w:pPr>
              <w:spacing w:after="20" w:line="240" w:lineRule="auto"/>
              <w:jc w:val="left"/>
            </w:pPr>
            <w:r>
              <w:rPr>
                <w:rFonts w:ascii="Georgia" w:hAnsi="Georgia"/>
                <w:color w:val="1E2A32"/>
                <w:sz w:val="18"/>
              </w:rPr>
              <w:t xml:space="preserve">The verification body established under Article 17</w:t>
            </w:r>
          </w:p>
        </w:tc>
      </w:tr>
      <w:tr>
        <w:tc>
          <w:tcPr>
            <w:tcW w:w="4513" w:type="dxa"/>
          </w:tcPr>
          <w:p>
            <w:pPr>
              <w:spacing w:after="20" w:line="240" w:lineRule="auto"/>
              <w:jc w:val="left"/>
            </w:pPr>
            <w:r>
              <w:rPr>
                <w:rFonts w:ascii="Georgia" w:hAnsi="Georgia"/>
                <w:color w:val="1E2A32"/>
                <w:sz w:val="18"/>
              </w:rPr>
              <w:t xml:space="preserve">Permanent Floor</w:t>
            </w:r>
          </w:p>
        </w:tc>
        <w:tc>
          <w:tcPr>
            <w:tcW w:w="4513" w:type="dxa"/>
          </w:tcPr>
          <w:p>
            <w:pPr>
              <w:spacing w:after="20" w:line="240" w:lineRule="auto"/>
              <w:jc w:val="left"/>
            </w:pPr>
            <w:r>
              <w:rPr>
                <w:rFonts w:ascii="Georgia" w:hAnsi="Georgia"/>
                <w:color w:val="1E2A32"/>
                <w:sz w:val="18"/>
              </w:rPr>
              <w:t xml:space="preserve">The 60 percent Control Weight floor defined in Article 10</w:t>
            </w:r>
          </w:p>
        </w:tc>
      </w:tr>
      <w:tr>
        <w:tc>
          <w:tcPr>
            <w:tcW w:w="4513" w:type="dxa"/>
          </w:tcPr>
          <w:p>
            <w:pPr>
              <w:spacing w:after="20" w:line="240" w:lineRule="auto"/>
              <w:jc w:val="left"/>
            </w:pPr>
            <w:r>
              <w:rPr>
                <w:rFonts w:ascii="Georgia" w:hAnsi="Georgia"/>
                <w:color w:val="1E2A32"/>
                <w:sz w:val="18"/>
              </w:rPr>
              <w:t xml:space="preserve">RADS</w:t>
            </w:r>
          </w:p>
        </w:tc>
        <w:tc>
          <w:tcPr>
            <w:tcW w:w="4513" w:type="dxa"/>
          </w:tcPr>
          <w:p>
            <w:pPr>
              <w:spacing w:after="20" w:line="240" w:lineRule="auto"/>
              <w:jc w:val="left"/>
            </w:pPr>
            <w:r>
              <w:rPr>
                <w:rFonts w:ascii="Georgia" w:hAnsi="Georgia"/>
                <w:color w:val="1E2A32"/>
                <w:sz w:val="18"/>
              </w:rPr>
              <w:t xml:space="preserve">The Route Assurance Data Service established under Article 21</w:t>
            </w:r>
          </w:p>
        </w:tc>
      </w:tr>
      <w:tr>
        <w:tc>
          <w:tcPr>
            <w:tcW w:w="4513" w:type="dxa"/>
          </w:tcPr>
          <w:p>
            <w:pPr>
              <w:spacing w:after="20" w:line="240" w:lineRule="auto"/>
              <w:jc w:val="left"/>
            </w:pPr>
            <w:r>
              <w:rPr>
                <w:rFonts w:ascii="Georgia" w:hAnsi="Georgia"/>
                <w:color w:val="1E2A32"/>
                <w:sz w:val="18"/>
              </w:rPr>
              <w:t xml:space="preserve">Twin Key</w:t>
            </w:r>
          </w:p>
        </w:tc>
        <w:tc>
          <w:tcPr>
            <w:tcW w:w="4513" w:type="dxa"/>
          </w:tcPr>
          <w:p>
            <w:pPr>
              <w:spacing w:after="20" w:line="240" w:lineRule="auto"/>
              <w:jc w:val="left"/>
            </w:pPr>
            <w:r>
              <w:rPr>
                <w:rFonts w:ascii="Georgia" w:hAnsi="Georgia"/>
                <w:color w:val="1E2A32"/>
                <w:sz w:val="18"/>
              </w:rPr>
              <w:t xml:space="preserve">The dual-concurrence rule of Article 19</w:t>
            </w:r>
          </w:p>
        </w:tc>
      </w:tr>
      <w:tr>
        <w:tc>
          <w:tcPr>
            <w:tcW w:w="4513" w:type="dxa"/>
          </w:tcPr>
          <w:p>
            <w:pPr>
              <w:spacing w:after="20" w:line="240" w:lineRule="auto"/>
              <w:jc w:val="left"/>
            </w:pPr>
            <w:r>
              <w:rPr>
                <w:rFonts w:ascii="Georgia" w:hAnsi="Georgia"/>
                <w:color w:val="1E2A32"/>
                <w:sz w:val="18"/>
              </w:rPr>
              <w:t xml:space="preserve">Verification Period</w:t>
            </w:r>
          </w:p>
        </w:tc>
        <w:tc>
          <w:tcPr>
            <w:tcW w:w="4513" w:type="dxa"/>
          </w:tcPr>
          <w:p>
            <w:pPr>
              <w:spacing w:after="20" w:line="240" w:lineRule="auto"/>
              <w:jc w:val="left"/>
            </w:pPr>
            <w:r>
              <w:rPr>
                <w:rFonts w:ascii="Georgia" w:hAnsi="Georgia"/>
                <w:color w:val="1E2A32"/>
                <w:sz w:val="18"/>
              </w:rPr>
              <w:t xml:space="preserve">The seven-day measurement window defined in Annex C</w:t>
            </w:r>
          </w:p>
        </w:tc>
      </w:tr>
    </w:tbl>
    <w:p>
      <w:pPr>
        <w:spacing w:after="120"/>
      </w:pPr>
    </w:p>
    <w:p>
      <w:pPr>
        <w:pStyle w:val="Heading3"/>
      </w:pPr>
      <w:r>
        <w:rPr>
          <w:rFonts w:ascii="Georgia" w:hAnsi="Georgia"/>
          <w:b/>
          <w:color w:val="3D5566"/>
          <w:sz w:val="22"/>
        </w:rPr>
        <w:t xml:space="preserve">2.2 Interpretation Rules</w:t>
      </w:r>
    </w:p>
    <w:p>
      <w:pPr>
        <w:spacing w:before="0" w:after="140" w:line="252" w:lineRule="auto"/>
        <w:jc w:val="both"/>
      </w:pPr>
      <w:r>
        <w:rPr>
          <w:rFonts w:ascii="Georgia" w:hAnsi="Georgia"/>
          <w:color w:val="1E2A32"/>
          <w:sz w:val="21"/>
        </w:rPr>
        <w:t xml:space="preserve">(a) Headings guide the reader and carry no operative weight. (b) The Annexes form an integral part of this Accord, and a reference to an Article includes the Annexes that Article invokes. (c) Where the body text and an Annex conflict, the body text prevails for questions of principle and the Annex prevails for questions of technical execution. (d) Time references use Coordinated Universal Time. (e) The singular includes the plural. (f) A reference to a percentage of Control Weight refers to the schedule in Annex B, not to territory, sovereignty, or sovereign rights, all of which remain untouched by this Accord.</w:t>
      </w:r>
    </w:p>
    <w:p>
      <w:pPr>
        <w:pStyle w:val="Heading3"/>
      </w:pPr>
      <w:r>
        <w:rPr>
          <w:rFonts w:ascii="Georgia" w:hAnsi="Georgia"/>
          <w:b/>
          <w:color w:val="3D5566"/>
          <w:sz w:val="22"/>
        </w:rPr>
        <w:t xml:space="preserve">2.3 Functional, Not Sovereign, Character</w:t>
      </w:r>
    </w:p>
    <w:p>
      <w:pPr>
        <w:spacing w:before="0" w:after="140" w:line="252" w:lineRule="auto"/>
        <w:jc w:val="both"/>
      </w:pPr>
      <w:r>
        <w:rPr>
          <w:rFonts w:ascii="Georgia" w:hAnsi="Georgia"/>
          <w:color w:val="1E2A32"/>
          <w:sz w:val="21"/>
        </w:rPr>
        <w:t xml:space="preserve">Every allocation of authority in this Accord is functional. The Accord allocates tasks, services, votes, and revenue shares. The Accord allocates no sovereignty, no sovereign rights, and no jurisdiction beyond the functional mandates it names. The coastal states retain every right they hold under international law, and this Accord neither adds to nor subtracts from those rights.</w:t>
      </w:r>
    </w:p>
    <w:p>
      <w:pPr>
        <w:pStyle w:val="Heading2"/>
      </w:pPr>
      <w:bookmarkStart w:id="1008" w:name="_Toc260001008"/>
      <w:r>
        <w:rPr>
          <w:rFonts w:ascii="Georgia" w:hAnsi="Georgia"/>
          <w:b/>
          <w:color w:val="2F4858"/>
          <w:sz w:val="25"/>
        </w:rPr>
        <w:t xml:space="preserve">Article 3: The Nuclear Firewall</w:t>
      </w:r>
      <w:bookmarkEnd w:id="1008"/>
    </w:p>
    <w:p>
      <w:pPr>
        <w:pStyle w:val="Heading3"/>
      </w:pPr>
      <w:r>
        <w:rPr>
          <w:rFonts w:ascii="Georgia" w:hAnsi="Georgia"/>
          <w:b/>
          <w:color w:val="3D5566"/>
          <w:sz w:val="22"/>
        </w:rPr>
        <w:t xml:space="preserve">3.1 Complete Separation</w:t>
      </w:r>
    </w:p>
    <w:p>
      <w:pPr>
        <w:spacing w:before="0" w:after="140" w:line="252" w:lineRule="auto"/>
        <w:jc w:val="both"/>
      </w:pPr>
      <w:r>
        <w:rPr>
          <w:rFonts w:ascii="Georgia" w:hAnsi="Georgia"/>
          <w:color w:val="1E2A32"/>
          <w:sz w:val="21"/>
        </w:rPr>
        <w:t xml:space="preserve">The nuclear file of every Party stands outside this Accord in full. This Accord contains no nuclear obligation, no nuclear condition, no nuclear benchmark, and no nuclear verification task. The Accord references the nuclear file solely to declare its exclusion.</w:t>
      </w:r>
    </w:p>
    <w:p>
      <w:pPr>
        <w:pStyle w:val="Heading3"/>
      </w:pPr>
      <w:r>
        <w:rPr>
          <w:rFonts w:ascii="Georgia" w:hAnsi="Georgia"/>
          <w:b/>
          <w:color w:val="3D5566"/>
          <w:sz w:val="22"/>
        </w:rPr>
        <w:t xml:space="preserve">3.2 No Cross-Track Effect</w:t>
      </w:r>
    </w:p>
    <w:p>
      <w:pPr>
        <w:spacing w:before="0" w:after="140" w:line="252" w:lineRule="auto"/>
        <w:jc w:val="both"/>
      </w:pPr>
      <w:r>
        <w:rPr>
          <w:rFonts w:ascii="Georgia" w:hAnsi="Georgia"/>
          <w:color w:val="1E2A32"/>
          <w:sz w:val="21"/>
        </w:rPr>
        <w:t xml:space="preserve">No event, finding, dispute, suspension, or development in any nuclear negotiation, nuclear verification process, or nuclear compliance mechanism produces any effect under this Accord. The Escalator does not pause, reset, accelerate, or terminate by reason of any nuclear development. Conversely, no Event under this Accord produces any effect in any nuclear process.</w:t>
      </w:r>
    </w:p>
    <w:p>
      <w:pPr>
        <w:pStyle w:val="Heading3"/>
      </w:pPr>
      <w:r>
        <w:rPr>
          <w:rFonts w:ascii="Georgia" w:hAnsi="Georgia"/>
          <w:b/>
          <w:color w:val="3D5566"/>
          <w:sz w:val="22"/>
        </w:rPr>
        <w:t xml:space="preserve">3.3 No Conditional Linkage</w:t>
      </w:r>
    </w:p>
    <w:p>
      <w:pPr>
        <w:spacing w:before="0" w:after="140" w:line="252" w:lineRule="auto"/>
        <w:jc w:val="both"/>
      </w:pPr>
      <w:r>
        <w:rPr>
          <w:rFonts w:ascii="Georgia" w:hAnsi="Georgia"/>
          <w:color w:val="1E2A32"/>
          <w:sz w:val="21"/>
        </w:rPr>
        <w:t xml:space="preserve">No Party conditions performance under this Accord on progress in any nuclear track, and no Party conditions progress in any nuclear track on performance under this Accord. The two tracks proceed in parallel, each on its own merits, each with its own institutions, and each with its own verification architecture.</w:t>
      </w:r>
    </w:p>
    <w:p>
      <w:pPr>
        <w:pStyle w:val="Heading3"/>
      </w:pPr>
      <w:r>
        <w:rPr>
          <w:rFonts w:ascii="Georgia" w:hAnsi="Georgia"/>
          <w:b/>
          <w:color w:val="3D5566"/>
          <w:sz w:val="22"/>
        </w:rPr>
        <w:t xml:space="preserve">3.4 Institutional Separation</w:t>
      </w:r>
    </w:p>
    <w:p>
      <w:pPr>
        <w:spacing w:before="0" w:after="140" w:line="252" w:lineRule="auto"/>
        <w:jc w:val="both"/>
      </w:pPr>
      <w:r>
        <w:rPr>
          <w:rFonts w:ascii="Georgia" w:hAnsi="Georgia"/>
          <w:color w:val="1E2A32"/>
          <w:sz w:val="21"/>
        </w:rPr>
        <w:t xml:space="preserve">The Council, the Neutral Watch Office, the Joint Survey Group, and the Escrow Administrator hold no mandate, no competence, and no access concerning nuclear matters. Their personnel receive no nuclear tasking, their records contain no nuclear data, and their meetings admit no nuclear agenda item except the standing notation that the firewall stands.</w:t>
      </w:r>
    </w:p>
    <w:p>
      <w:pPr>
        <w:pStyle w:val="Heading3"/>
      </w:pPr>
      <w:r>
        <w:rPr>
          <w:rFonts w:ascii="Georgia" w:hAnsi="Georgia"/>
          <w:b/>
          <w:color w:val="3D5566"/>
          <w:sz w:val="22"/>
        </w:rPr>
        <w:t xml:space="preserve">3.5 Firewall Protocol</w:t>
      </w:r>
    </w:p>
    <w:p>
      <w:pPr>
        <w:spacing w:before="0" w:after="140" w:line="252" w:lineRule="auto"/>
        <w:jc w:val="both"/>
      </w:pPr>
      <w:r>
        <w:rPr>
          <w:rFonts w:ascii="Georgia" w:hAnsi="Georgia"/>
          <w:color w:val="1E2A32"/>
          <w:sz w:val="21"/>
        </w:rPr>
        <w:t xml:space="preserve">Annex J sets out the operative Nuclear Firewall Protocol, including the agenda rule, the data rule, the personnel rule, and the response procedure for any attempt to introduce nuclear conditionality into the Accord's processes. A breach of the firewall protocol constitutes a governance Event under Annex D and produces no other consequence in any domain.</w:t>
      </w:r>
    </w:p>
    <w:p>
      <w:pPr>
        <w:pStyle w:val="Heading2"/>
      </w:pPr>
      <w:bookmarkStart w:id="1009" w:name="_Toc260001009"/>
      <w:r>
        <w:rPr>
          <w:rFonts w:ascii="Georgia" w:hAnsi="Georgia"/>
          <w:b/>
          <w:color w:val="2F4858"/>
          <w:sz w:val="25"/>
        </w:rPr>
        <w:t xml:space="preserve">Article 4: Inviolable Principles Register</w:t>
      </w:r>
      <w:bookmarkEnd w:id="1009"/>
    </w:p>
    <w:p>
      <w:pPr>
        <w:pStyle w:val="Heading3"/>
      </w:pPr>
      <w:r>
        <w:rPr>
          <w:rFonts w:ascii="Georgia" w:hAnsi="Georgia"/>
          <w:b/>
          <w:color w:val="3D5566"/>
          <w:sz w:val="22"/>
        </w:rPr>
        <w:t xml:space="preserve">4.1 The Register</w:t>
      </w:r>
    </w:p>
    <w:p>
      <w:pPr>
        <w:spacing w:before="0" w:after="140" w:line="252" w:lineRule="auto"/>
        <w:jc w:val="both"/>
      </w:pPr>
      <w:r>
        <w:rPr>
          <w:rFonts w:ascii="Georgia" w:hAnsi="Georgia"/>
          <w:color w:val="1E2A32"/>
          <w:sz w:val="21"/>
        </w:rPr>
        <w:t xml:space="preserve">The following principles bind every interpretation and every application of this Accord. No decision, act, or omission under this Accord derogates from them.</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4513"/>
        <w:gridCol w:w="4513"/>
      </w:tblGrid>
      <w:tr>
        <w:trPr>
          <w:tblHeader/>
        </w:trPr>
        <w:tc>
          <w:tcPr>
            <w:tcW w:w="4513" w:type="dxa"/>
            <w:shd w:val="clear" w:fill="E4EAEE"/>
          </w:tcPr>
          <w:p>
            <w:pPr>
              <w:spacing w:after="20" w:line="240" w:lineRule="auto"/>
              <w:jc w:val="left"/>
            </w:pPr>
            <w:r>
              <w:rPr>
                <w:rFonts w:ascii="Georgia" w:hAnsi="Georgia"/>
                <w:b/>
                <w:color w:val="2F4858"/>
                <w:sz w:val="18"/>
              </w:rPr>
              <w:t xml:space="preserve">Code</w:t>
            </w:r>
          </w:p>
        </w:tc>
        <w:tc>
          <w:tcPr>
            <w:tcW w:w="4513" w:type="dxa"/>
            <w:shd w:val="clear" w:fill="E4EAEE"/>
          </w:tcPr>
          <w:p>
            <w:pPr>
              <w:spacing w:after="20" w:line="240" w:lineRule="auto"/>
              <w:jc w:val="left"/>
            </w:pPr>
            <w:r>
              <w:rPr>
                <w:rFonts w:ascii="Georgia" w:hAnsi="Georgia"/>
                <w:b/>
                <w:color w:val="2F4858"/>
                <w:sz w:val="18"/>
              </w:rPr>
              <w:t xml:space="preserve">Principle</w:t>
            </w:r>
          </w:p>
        </w:tc>
      </w:tr>
      <w:tr>
        <w:tc>
          <w:tcPr>
            <w:tcW w:w="4513" w:type="dxa"/>
          </w:tcPr>
          <w:p>
            <w:pPr>
              <w:spacing w:after="20" w:line="240" w:lineRule="auto"/>
              <w:jc w:val="left"/>
            </w:pPr>
            <w:r>
              <w:rPr>
                <w:rFonts w:ascii="Georgia" w:hAnsi="Georgia"/>
                <w:color w:val="1E2A32"/>
                <w:sz w:val="18"/>
              </w:rPr>
              <w:t xml:space="preserve">IPR-1</w:t>
            </w:r>
          </w:p>
        </w:tc>
        <w:tc>
          <w:tcPr>
            <w:tcW w:w="4513" w:type="dxa"/>
          </w:tcPr>
          <w:p>
            <w:pPr>
              <w:spacing w:after="20" w:line="240" w:lineRule="auto"/>
              <w:jc w:val="left"/>
            </w:pPr>
            <w:r>
              <w:rPr>
                <w:rFonts w:ascii="Georgia" w:hAnsi="Georgia"/>
                <w:color w:val="1E2A32"/>
                <w:sz w:val="18"/>
              </w:rPr>
              <w:t xml:space="preserve">Freedom of navigation for commercial vessels operates absolutely within the Corridor System</w:t>
            </w:r>
          </w:p>
        </w:tc>
      </w:tr>
      <w:tr>
        <w:tc>
          <w:tcPr>
            <w:tcW w:w="4513" w:type="dxa"/>
          </w:tcPr>
          <w:p>
            <w:pPr>
              <w:spacing w:after="20" w:line="240" w:lineRule="auto"/>
              <w:jc w:val="left"/>
            </w:pPr>
            <w:r>
              <w:rPr>
                <w:rFonts w:ascii="Georgia" w:hAnsi="Georgia"/>
                <w:color w:val="1E2A32"/>
                <w:sz w:val="18"/>
              </w:rPr>
              <w:t xml:space="preserve">IPR-2</w:t>
            </w:r>
          </w:p>
        </w:tc>
        <w:tc>
          <w:tcPr>
            <w:tcW w:w="4513" w:type="dxa"/>
          </w:tcPr>
          <w:p>
            <w:pPr>
              <w:spacing w:after="20" w:line="240" w:lineRule="auto"/>
              <w:jc w:val="left"/>
            </w:pPr>
            <w:r>
              <w:rPr>
                <w:rFonts w:ascii="Georgia" w:hAnsi="Georgia"/>
                <w:color w:val="1E2A32"/>
                <w:sz w:val="18"/>
              </w:rPr>
              <w:t xml:space="preserve">Corridor authority is functional, earned, and conditional, never sovereign</w:t>
            </w:r>
          </w:p>
        </w:tc>
      </w:tr>
      <w:tr>
        <w:tc>
          <w:tcPr>
            <w:tcW w:w="4513" w:type="dxa"/>
          </w:tcPr>
          <w:p>
            <w:pPr>
              <w:spacing w:after="20" w:line="240" w:lineRule="auto"/>
              <w:jc w:val="left"/>
            </w:pPr>
            <w:r>
              <w:rPr>
                <w:rFonts w:ascii="Georgia" w:hAnsi="Georgia"/>
                <w:color w:val="1E2A32"/>
                <w:sz w:val="18"/>
              </w:rPr>
              <w:t xml:space="preserve">IPR-3</w:t>
            </w:r>
          </w:p>
        </w:tc>
        <w:tc>
          <w:tcPr>
            <w:tcW w:w="4513" w:type="dxa"/>
          </w:tcPr>
          <w:p>
            <w:pPr>
              <w:spacing w:after="20" w:line="240" w:lineRule="auto"/>
              <w:jc w:val="left"/>
            </w:pPr>
            <w:r>
              <w:rPr>
                <w:rFonts w:ascii="Georgia" w:hAnsi="Georgia"/>
                <w:color w:val="1E2A32"/>
                <w:sz w:val="18"/>
              </w:rPr>
              <w:t xml:space="preserve">The Escalator rewards verified performance automatically and rewards nothing else</w:t>
            </w:r>
          </w:p>
        </w:tc>
      </w:tr>
      <w:tr>
        <w:tc>
          <w:tcPr>
            <w:tcW w:w="4513" w:type="dxa"/>
          </w:tcPr>
          <w:p>
            <w:pPr>
              <w:spacing w:after="20" w:line="240" w:lineRule="auto"/>
              <w:jc w:val="left"/>
            </w:pPr>
            <w:r>
              <w:rPr>
                <w:rFonts w:ascii="Georgia" w:hAnsi="Georgia"/>
                <w:color w:val="1E2A32"/>
                <w:sz w:val="18"/>
              </w:rPr>
              <w:t xml:space="preserve">IPR-4</w:t>
            </w:r>
          </w:p>
        </w:tc>
        <w:tc>
          <w:tcPr>
            <w:tcW w:w="4513" w:type="dxa"/>
          </w:tcPr>
          <w:p>
            <w:pPr>
              <w:spacing w:after="20" w:line="240" w:lineRule="auto"/>
              <w:jc w:val="left"/>
            </w:pPr>
            <w:r>
              <w:rPr>
                <w:rFonts w:ascii="Georgia" w:hAnsi="Georgia"/>
                <w:color w:val="1E2A32"/>
                <w:sz w:val="18"/>
              </w:rPr>
              <w:t xml:space="preserve">The Permanent Floor, once attained, survives every subsequent Event</w:t>
            </w:r>
          </w:p>
        </w:tc>
      </w:tr>
      <w:tr>
        <w:tc>
          <w:tcPr>
            <w:tcW w:w="4513" w:type="dxa"/>
          </w:tcPr>
          <w:p>
            <w:pPr>
              <w:spacing w:after="20" w:line="240" w:lineRule="auto"/>
              <w:jc w:val="left"/>
            </w:pPr>
            <w:r>
              <w:rPr>
                <w:rFonts w:ascii="Georgia" w:hAnsi="Georgia"/>
                <w:color w:val="1E2A32"/>
                <w:sz w:val="18"/>
              </w:rPr>
              <w:t xml:space="preserve">IPR-5</w:t>
            </w:r>
          </w:p>
        </w:tc>
        <w:tc>
          <w:tcPr>
            <w:tcW w:w="4513" w:type="dxa"/>
          </w:tcPr>
          <w:p>
            <w:pPr>
              <w:spacing w:after="20" w:line="240" w:lineRule="auto"/>
              <w:jc w:val="left"/>
            </w:pPr>
            <w:r>
              <w:rPr>
                <w:rFonts w:ascii="Georgia" w:hAnsi="Georgia"/>
                <w:color w:val="1E2A32"/>
                <w:sz w:val="18"/>
              </w:rPr>
              <w:t xml:space="preserve">The nuclear firewall stands absolute in both directions</w:t>
            </w:r>
          </w:p>
        </w:tc>
      </w:tr>
      <w:tr>
        <w:tc>
          <w:tcPr>
            <w:tcW w:w="4513" w:type="dxa"/>
          </w:tcPr>
          <w:p>
            <w:pPr>
              <w:spacing w:after="20" w:line="240" w:lineRule="auto"/>
              <w:jc w:val="left"/>
            </w:pPr>
            <w:r>
              <w:rPr>
                <w:rFonts w:ascii="Georgia" w:hAnsi="Georgia"/>
                <w:color w:val="1E2A32"/>
                <w:sz w:val="18"/>
              </w:rPr>
              <w:t xml:space="preserve">IPR-6</w:t>
            </w:r>
          </w:p>
        </w:tc>
        <w:tc>
          <w:tcPr>
            <w:tcW w:w="4513" w:type="dxa"/>
          </w:tcPr>
          <w:p>
            <w:pPr>
              <w:spacing w:after="20" w:line="240" w:lineRule="auto"/>
              <w:jc w:val="left"/>
            </w:pPr>
            <w:r>
              <w:rPr>
                <w:rFonts w:ascii="Georgia" w:hAnsi="Georgia"/>
                <w:color w:val="1E2A32"/>
                <w:sz w:val="18"/>
              </w:rPr>
              <w:t xml:space="preserve">The Twin Key excludes unilateral consequential action at every Control Weight level</w:t>
            </w:r>
          </w:p>
        </w:tc>
      </w:tr>
      <w:tr>
        <w:tc>
          <w:tcPr>
            <w:tcW w:w="4513" w:type="dxa"/>
          </w:tcPr>
          <w:p>
            <w:pPr>
              <w:spacing w:after="20" w:line="240" w:lineRule="auto"/>
              <w:jc w:val="left"/>
            </w:pPr>
            <w:r>
              <w:rPr>
                <w:rFonts w:ascii="Georgia" w:hAnsi="Georgia"/>
                <w:color w:val="1E2A32"/>
                <w:sz w:val="18"/>
              </w:rPr>
              <w:t xml:space="preserve">IPR-7</w:t>
            </w:r>
          </w:p>
        </w:tc>
        <w:tc>
          <w:tcPr>
            <w:tcW w:w="4513" w:type="dxa"/>
          </w:tcPr>
          <w:p>
            <w:pPr>
              <w:spacing w:after="20" w:line="240" w:lineRule="auto"/>
              <w:jc w:val="left"/>
            </w:pPr>
            <w:r>
              <w:rPr>
                <w:rFonts w:ascii="Georgia" w:hAnsi="Georgia"/>
                <w:color w:val="1E2A32"/>
                <w:sz w:val="18"/>
              </w:rPr>
              <w:t xml:space="preserve">Revenue flows through neutral channels and never through a direct charge on passage</w:t>
            </w:r>
          </w:p>
        </w:tc>
      </w:tr>
      <w:tr>
        <w:tc>
          <w:tcPr>
            <w:tcW w:w="4513" w:type="dxa"/>
          </w:tcPr>
          <w:p>
            <w:pPr>
              <w:spacing w:after="20" w:line="240" w:lineRule="auto"/>
              <w:jc w:val="left"/>
            </w:pPr>
            <w:r>
              <w:rPr>
                <w:rFonts w:ascii="Georgia" w:hAnsi="Georgia"/>
                <w:color w:val="1E2A32"/>
                <w:sz w:val="18"/>
              </w:rPr>
              <w:t xml:space="preserve">IPR-8</w:t>
            </w:r>
          </w:p>
        </w:tc>
        <w:tc>
          <w:tcPr>
            <w:tcW w:w="4513" w:type="dxa"/>
          </w:tcPr>
          <w:p>
            <w:pPr>
              <w:spacing w:after="20" w:line="240" w:lineRule="auto"/>
              <w:jc w:val="left"/>
            </w:pPr>
            <w:r>
              <w:rPr>
                <w:rFonts w:ascii="Georgia" w:hAnsi="Georgia"/>
                <w:color w:val="1E2A32"/>
                <w:sz w:val="18"/>
              </w:rPr>
              <w:t xml:space="preserve">Verification is objective, published, and continuous</w:t>
            </w:r>
          </w:p>
        </w:tc>
      </w:tr>
      <w:tr>
        <w:tc>
          <w:tcPr>
            <w:tcW w:w="4513" w:type="dxa"/>
          </w:tcPr>
          <w:p>
            <w:pPr>
              <w:spacing w:after="20" w:line="240" w:lineRule="auto"/>
              <w:jc w:val="left"/>
            </w:pPr>
            <w:r>
              <w:rPr>
                <w:rFonts w:ascii="Georgia" w:hAnsi="Georgia"/>
                <w:color w:val="1E2A32"/>
                <w:sz w:val="18"/>
              </w:rPr>
              <w:t xml:space="preserve">IPR-9</w:t>
            </w:r>
          </w:p>
        </w:tc>
        <w:tc>
          <w:tcPr>
            <w:tcW w:w="4513" w:type="dxa"/>
          </w:tcPr>
          <w:p>
            <w:pPr>
              <w:spacing w:after="20" w:line="240" w:lineRule="auto"/>
              <w:jc w:val="left"/>
            </w:pPr>
            <w:r>
              <w:rPr>
                <w:rFonts w:ascii="Georgia" w:hAnsi="Georgia"/>
                <w:color w:val="1E2A32"/>
                <w:sz w:val="18"/>
              </w:rPr>
              <w:t xml:space="preserve">Proportionality governs every consequence: small Events produce small consequences</w:t>
            </w:r>
          </w:p>
        </w:tc>
      </w:tr>
      <w:tr>
        <w:tc>
          <w:tcPr>
            <w:tcW w:w="4513" w:type="dxa"/>
          </w:tcPr>
          <w:p>
            <w:pPr>
              <w:spacing w:after="20" w:line="240" w:lineRule="auto"/>
              <w:jc w:val="left"/>
            </w:pPr>
            <w:r>
              <w:rPr>
                <w:rFonts w:ascii="Georgia" w:hAnsi="Georgia"/>
                <w:color w:val="1E2A32"/>
                <w:sz w:val="18"/>
              </w:rPr>
              <w:t xml:space="preserve">IPR-10</w:t>
            </w:r>
          </w:p>
        </w:tc>
        <w:tc>
          <w:tcPr>
            <w:tcW w:w="4513" w:type="dxa"/>
          </w:tcPr>
          <w:p>
            <w:pPr>
              <w:spacing w:after="20" w:line="240" w:lineRule="auto"/>
              <w:jc w:val="left"/>
            </w:pPr>
            <w:r>
              <w:rPr>
                <w:rFonts w:ascii="Georgia" w:hAnsi="Georgia"/>
                <w:color w:val="1E2A32"/>
                <w:sz w:val="18"/>
              </w:rPr>
              <w:t xml:space="preserve">Environmental stewardship forms part of corridor operation, not an afterthought</w:t>
            </w:r>
          </w:p>
        </w:tc>
      </w:tr>
      <w:tr>
        <w:tc>
          <w:tcPr>
            <w:tcW w:w="4513" w:type="dxa"/>
          </w:tcPr>
          <w:p>
            <w:pPr>
              <w:spacing w:after="20" w:line="240" w:lineRule="auto"/>
              <w:jc w:val="left"/>
            </w:pPr>
            <w:r>
              <w:rPr>
                <w:rFonts w:ascii="Georgia" w:hAnsi="Georgia"/>
                <w:color w:val="1E2A32"/>
                <w:sz w:val="18"/>
              </w:rPr>
              <w:t xml:space="preserve">IPR-11</w:t>
            </w:r>
          </w:p>
        </w:tc>
        <w:tc>
          <w:tcPr>
            <w:tcW w:w="4513" w:type="dxa"/>
          </w:tcPr>
          <w:p>
            <w:pPr>
              <w:spacing w:after="20" w:line="240" w:lineRule="auto"/>
              <w:jc w:val="left"/>
            </w:pPr>
            <w:r>
              <w:rPr>
                <w:rFonts w:ascii="Georgia" w:hAnsi="Georgia"/>
                <w:color w:val="1E2A32"/>
                <w:sz w:val="18"/>
              </w:rPr>
              <w:t xml:space="preserve">No compliance dispute under this Accord authorizes, triggers, or justifies military force</w:t>
            </w:r>
          </w:p>
        </w:tc>
      </w:tr>
      <w:tr>
        <w:tc>
          <w:tcPr>
            <w:tcW w:w="4513" w:type="dxa"/>
          </w:tcPr>
          <w:p>
            <w:pPr>
              <w:spacing w:after="20" w:line="240" w:lineRule="auto"/>
              <w:jc w:val="left"/>
            </w:pPr>
            <w:r>
              <w:rPr>
                <w:rFonts w:ascii="Georgia" w:hAnsi="Georgia"/>
                <w:color w:val="1E2A32"/>
                <w:sz w:val="18"/>
              </w:rPr>
              <w:t xml:space="preserve">IPR-12</w:t>
            </w:r>
          </w:p>
        </w:tc>
        <w:tc>
          <w:tcPr>
            <w:tcW w:w="4513" w:type="dxa"/>
          </w:tcPr>
          <w:p>
            <w:pPr>
              <w:spacing w:after="20" w:line="240" w:lineRule="auto"/>
              <w:jc w:val="left"/>
            </w:pPr>
            <w:r>
              <w:rPr>
                <w:rFonts w:ascii="Georgia" w:hAnsi="Georgia"/>
                <w:color w:val="1E2A32"/>
                <w:sz w:val="18"/>
              </w:rPr>
              <w:t xml:space="preserve">Humanitarian and safety-of-life functions never suspend</w:t>
            </w:r>
          </w:p>
        </w:tc>
      </w:tr>
      <w:tr>
        <w:tc>
          <w:tcPr>
            <w:tcW w:w="4513" w:type="dxa"/>
          </w:tcPr>
          <w:p>
            <w:pPr>
              <w:spacing w:after="20" w:line="240" w:lineRule="auto"/>
              <w:jc w:val="left"/>
            </w:pPr>
            <w:r>
              <w:rPr>
                <w:rFonts w:ascii="Georgia" w:hAnsi="Georgia"/>
                <w:color w:val="1E2A32"/>
                <w:sz w:val="18"/>
              </w:rPr>
              <w:t xml:space="preserve">IPR-13</w:t>
            </w:r>
          </w:p>
        </w:tc>
        <w:tc>
          <w:tcPr>
            <w:tcW w:w="4513" w:type="dxa"/>
          </w:tcPr>
          <w:p>
            <w:pPr>
              <w:spacing w:after="20" w:line="240" w:lineRule="auto"/>
              <w:jc w:val="left"/>
            </w:pPr>
            <w:r>
              <w:rPr>
                <w:rFonts w:ascii="Georgia" w:hAnsi="Georgia"/>
                <w:color w:val="1E2A32"/>
                <w:sz w:val="18"/>
              </w:rPr>
              <w:t xml:space="preserve">Every step-back carries a defined, automatic earn-back path</w:t>
            </w:r>
          </w:p>
        </w:tc>
      </w:tr>
      <w:tr>
        <w:tc>
          <w:tcPr>
            <w:tcW w:w="4513" w:type="dxa"/>
          </w:tcPr>
          <w:p>
            <w:pPr>
              <w:spacing w:after="20" w:line="240" w:lineRule="auto"/>
              <w:jc w:val="left"/>
            </w:pPr>
            <w:r>
              <w:rPr>
                <w:rFonts w:ascii="Georgia" w:hAnsi="Georgia"/>
                <w:color w:val="1E2A32"/>
                <w:sz w:val="18"/>
              </w:rPr>
              <w:t xml:space="preserve">IPR-14</w:t>
            </w:r>
          </w:p>
        </w:tc>
        <w:tc>
          <w:tcPr>
            <w:tcW w:w="4513" w:type="dxa"/>
          </w:tcPr>
          <w:p>
            <w:pPr>
              <w:spacing w:after="20" w:line="240" w:lineRule="auto"/>
              <w:jc w:val="left"/>
            </w:pPr>
            <w:r>
              <w:rPr>
                <w:rFonts w:ascii="Georgia" w:hAnsi="Georgia"/>
                <w:color w:val="1E2A32"/>
                <w:sz w:val="18"/>
              </w:rPr>
              <w:t xml:space="preserve">The framework attributes constraints to the shared architecture, never to one Party's restraint</w:t>
            </w:r>
          </w:p>
        </w:tc>
      </w:tr>
      <w:tr>
        <w:tc>
          <w:tcPr>
            <w:tcW w:w="4513" w:type="dxa"/>
          </w:tcPr>
          <w:p>
            <w:pPr>
              <w:spacing w:after="20" w:line="240" w:lineRule="auto"/>
              <w:jc w:val="left"/>
            </w:pPr>
            <w:r>
              <w:rPr>
                <w:rFonts w:ascii="Georgia" w:hAnsi="Georgia"/>
                <w:color w:val="1E2A32"/>
                <w:sz w:val="18"/>
              </w:rPr>
              <w:t xml:space="preserve">IPR-15</w:t>
            </w:r>
          </w:p>
        </w:tc>
        <w:tc>
          <w:tcPr>
            <w:tcW w:w="4513" w:type="dxa"/>
          </w:tcPr>
          <w:p>
            <w:pPr>
              <w:spacing w:after="20" w:line="240" w:lineRule="auto"/>
              <w:jc w:val="left"/>
            </w:pPr>
            <w:r>
              <w:rPr>
                <w:rFonts w:ascii="Georgia" w:hAnsi="Georgia"/>
                <w:color w:val="1E2A32"/>
                <w:sz w:val="18"/>
              </w:rPr>
              <w:t xml:space="preserve">Success is boredom: the system succeeds when corridor operation becomes routine</w:t>
            </w:r>
          </w:p>
        </w:tc>
      </w:tr>
      <w:tr>
        <w:tc>
          <w:tcPr>
            <w:tcW w:w="4513" w:type="dxa"/>
          </w:tcPr>
          <w:p>
            <w:pPr>
              <w:spacing w:after="20" w:line="240" w:lineRule="auto"/>
              <w:jc w:val="left"/>
            </w:pPr>
            <w:r>
              <w:rPr>
                <w:rFonts w:ascii="Georgia" w:hAnsi="Georgia"/>
                <w:color w:val="1E2A32"/>
                <w:sz w:val="18"/>
              </w:rPr>
              <w:t xml:space="preserve">IPR-16</w:t>
            </w:r>
          </w:p>
        </w:tc>
        <w:tc>
          <w:tcPr>
            <w:tcW w:w="4513" w:type="dxa"/>
          </w:tcPr>
          <w:p>
            <w:pPr>
              <w:spacing w:after="20" w:line="240" w:lineRule="auto"/>
              <w:jc w:val="left"/>
            </w:pPr>
            <w:r>
              <w:rPr>
                <w:rFonts w:ascii="Georgia" w:hAnsi="Georgia"/>
                <w:color w:val="1E2A32"/>
                <w:sz w:val="18"/>
              </w:rPr>
              <w:t xml:space="preserve">The framework presumes good faith; attribution follows evidence, never allegation</w:t>
            </w:r>
          </w:p>
        </w:tc>
      </w:tr>
      <w:tr>
        <w:tc>
          <w:tcPr>
            <w:tcW w:w="4513" w:type="dxa"/>
          </w:tcPr>
          <w:p>
            <w:pPr>
              <w:spacing w:after="20" w:line="240" w:lineRule="auto"/>
              <w:jc w:val="left"/>
            </w:pPr>
            <w:r>
              <w:rPr>
                <w:rFonts w:ascii="Georgia" w:hAnsi="Georgia"/>
                <w:color w:val="1E2A32"/>
                <w:sz w:val="18"/>
              </w:rPr>
              <w:t xml:space="preserve">IPR-17</w:t>
            </w:r>
          </w:p>
        </w:tc>
        <w:tc>
          <w:tcPr>
            <w:tcW w:w="4513" w:type="dxa"/>
          </w:tcPr>
          <w:p>
            <w:pPr>
              <w:spacing w:after="20" w:line="240" w:lineRule="auto"/>
              <w:jc w:val="left"/>
            </w:pPr>
            <w:r>
              <w:rPr>
                <w:rFonts w:ascii="Georgia" w:hAnsi="Georgia"/>
                <w:color w:val="1E2A32"/>
                <w:sz w:val="18"/>
              </w:rPr>
              <w:t xml:space="preserve">Iran's operational authority grows proportionally with verified good conduct under weekly measurement, toward a Permanent Floor of 60 percent once Iran achieves Full Unlock</w:t>
            </w:r>
          </w:p>
        </w:tc>
      </w:tr>
    </w:tbl>
    <w:p>
      <w:pPr>
        <w:spacing w:after="120"/>
      </w:pPr>
    </w:p>
    <w:p>
      <w:pPr>
        <w:pStyle w:val="Heading3"/>
      </w:pPr>
      <w:r>
        <w:rPr>
          <w:rFonts w:ascii="Georgia" w:hAnsi="Georgia"/>
          <w:b/>
          <w:color w:val="3D5566"/>
          <w:sz w:val="22"/>
        </w:rPr>
        <w:t xml:space="preserve">4.2 Register Amendment</w:t>
      </w:r>
    </w:p>
    <w:p>
      <w:pPr>
        <w:spacing w:before="0" w:after="140" w:line="252" w:lineRule="auto"/>
        <w:jc w:val="both"/>
      </w:pPr>
      <w:r>
        <w:rPr>
          <w:rFonts w:ascii="Georgia" w:hAnsi="Georgia"/>
          <w:color w:val="1E2A32"/>
          <w:sz w:val="21"/>
        </w:rPr>
        <w:t xml:space="preserve">The Council amends the Register only by unanimity of the Principal Parties and the Guarantor Parties. Observer Participants receive 30 days' advance notice of any proposed amendment and hold a recorded consultative voice.</w:t>
      </w:r>
    </w:p>
    <w:p>
      <w:pPr>
        <w:pStyle w:val="Heading1"/>
        <w:pBdr>
          <w:bottom w:val="single" w:color="8A6D2F" w:sz="10"/>
        </w:pBdr>
      </w:pPr>
      <w:bookmarkStart w:id="1010" w:name="_Toc260001010"/>
      <w:r>
        <w:rPr>
          <w:rFonts w:ascii="Georgia" w:hAnsi="Georgia"/>
          <w:b/>
          <w:color w:val="2F4858"/>
          <w:sz w:val="30"/>
        </w:rPr>
        <w:t xml:space="preserve">PART II: CORRIDOR ARCHITECTURE</w:t>
      </w:r>
      <w:bookmarkEnd w:id="1010"/>
    </w:p>
    <w:p>
      <w:pPr>
        <w:pStyle w:val="Heading2"/>
      </w:pPr>
      <w:bookmarkStart w:id="1011" w:name="_Toc260001011"/>
      <w:r>
        <w:rPr>
          <w:rFonts w:ascii="Georgia" w:hAnsi="Georgia"/>
          <w:b/>
          <w:color w:val="2F4858"/>
          <w:sz w:val="25"/>
        </w:rPr>
        <w:t xml:space="preserve">Article 5: The Three-Corridor System</w:t>
      </w:r>
      <w:bookmarkEnd w:id="1011"/>
    </w:p>
    <w:p>
      <w:pPr>
        <w:pStyle w:val="Heading3"/>
      </w:pPr>
      <w:r>
        <w:rPr>
          <w:rFonts w:ascii="Georgia" w:hAnsi="Georgia"/>
          <w:b/>
          <w:color w:val="3D5566"/>
          <w:sz w:val="22"/>
        </w:rPr>
        <w:t xml:space="preserve">5.1 Architecture</w:t>
      </w:r>
    </w:p>
    <w:p>
      <w:pPr>
        <w:spacing w:before="0" w:after="140" w:line="252" w:lineRule="auto"/>
        <w:jc w:val="both"/>
      </w:pPr>
      <w:r>
        <w:rPr>
          <w:rFonts w:ascii="Georgia" w:hAnsi="Georgia"/>
          <w:color w:val="1E2A32"/>
          <w:sz w:val="21"/>
        </w:rPr>
        <w:t xml:space="preserve">The Accord replaces the temporary wartime lanes with a permanent three-corridor system running through the Strait of Hormuz between the Gulf entrance reference line and the Gulf of Oman exit reference line defined in Annex A.</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3008"/>
        <w:gridCol w:w="3008"/>
        <w:gridCol w:w="3008"/>
      </w:tblGrid>
      <w:tr>
        <w:trPr>
          <w:tblHeader/>
        </w:trPr>
        <w:tc>
          <w:tcPr>
            <w:tcW w:w="3008" w:type="dxa"/>
            <w:shd w:val="clear" w:fill="E4EAEE"/>
          </w:tcPr>
          <w:p>
            <w:pPr>
              <w:spacing w:after="20" w:line="240" w:lineRule="auto"/>
              <w:jc w:val="left"/>
            </w:pPr>
            <w:r>
              <w:rPr>
                <w:rFonts w:ascii="Georgia" w:hAnsi="Georgia"/>
                <w:b/>
                <w:color w:val="2F4858"/>
                <w:sz w:val="18"/>
              </w:rPr>
              <w:t xml:space="preserve">Corridor</w:t>
            </w:r>
          </w:p>
        </w:tc>
        <w:tc>
          <w:tcPr>
            <w:tcW w:w="3008" w:type="dxa"/>
            <w:shd w:val="clear" w:fill="E4EAEE"/>
          </w:tcPr>
          <w:p>
            <w:pPr>
              <w:spacing w:after="20" w:line="240" w:lineRule="auto"/>
              <w:jc w:val="left"/>
            </w:pPr>
            <w:r>
              <w:rPr>
                <w:rFonts w:ascii="Georgia" w:hAnsi="Georgia"/>
                <w:b/>
                <w:color w:val="2F4858"/>
                <w:sz w:val="18"/>
              </w:rPr>
              <w:t xml:space="preserve">Function</w:t>
            </w:r>
          </w:p>
        </w:tc>
        <w:tc>
          <w:tcPr>
            <w:tcW w:w="3008" w:type="dxa"/>
            <w:shd w:val="clear" w:fill="E4EAEE"/>
          </w:tcPr>
          <w:p>
            <w:pPr>
              <w:spacing w:after="20" w:line="240" w:lineRule="auto"/>
              <w:jc w:val="left"/>
            </w:pPr>
            <w:r>
              <w:rPr>
                <w:rFonts w:ascii="Georgia" w:hAnsi="Georgia"/>
                <w:b/>
                <w:color w:val="2F4858"/>
                <w:sz w:val="18"/>
              </w:rPr>
              <w:t xml:space="preserve">Primary Administrator at Entry into Force</w:t>
            </w:r>
          </w:p>
        </w:tc>
      </w:tr>
      <w:tr>
        <w:tc>
          <w:tcPr>
            <w:tcW w:w="3008" w:type="dxa"/>
          </w:tcPr>
          <w:p>
            <w:pPr>
              <w:spacing w:after="20" w:line="240" w:lineRule="auto"/>
              <w:jc w:val="left"/>
            </w:pPr>
            <w:r>
              <w:rPr>
                <w:rFonts w:ascii="Georgia" w:hAnsi="Georgia"/>
                <w:color w:val="1E2A32"/>
                <w:sz w:val="18"/>
              </w:rPr>
              <w:t xml:space="preserve">Corridor North</w:t>
            </w:r>
          </w:p>
        </w:tc>
        <w:tc>
          <w:tcPr>
            <w:tcW w:w="3008" w:type="dxa"/>
          </w:tcPr>
          <w:p>
            <w:pPr>
              <w:spacing w:after="20" w:line="240" w:lineRule="auto"/>
              <w:jc w:val="left"/>
            </w:pPr>
            <w:r>
              <w:rPr>
                <w:rFonts w:ascii="Georgia" w:hAnsi="Georgia"/>
                <w:color w:val="1E2A32"/>
                <w:sz w:val="18"/>
              </w:rPr>
              <w:t xml:space="preserve">Inbound commercial traffic (Gulf-bound)</w:t>
            </w:r>
          </w:p>
        </w:tc>
        <w:tc>
          <w:tcPr>
            <w:tcW w:w="3008" w:type="dxa"/>
          </w:tcPr>
          <w:p>
            <w:pPr>
              <w:spacing w:after="20" w:line="240" w:lineRule="auto"/>
              <w:jc w:val="left"/>
            </w:pPr>
            <w:r>
              <w:rPr>
                <w:rFonts w:ascii="Georgia" w:hAnsi="Georgia"/>
                <w:color w:val="1E2A32"/>
                <w:sz w:val="18"/>
              </w:rPr>
              <w:t xml:space="preserve">Iran (functional administration under the Twin Key)</w:t>
            </w:r>
          </w:p>
        </w:tc>
      </w:tr>
      <w:tr>
        <w:tc>
          <w:tcPr>
            <w:tcW w:w="3008" w:type="dxa"/>
          </w:tcPr>
          <w:p>
            <w:pPr>
              <w:spacing w:after="20" w:line="240" w:lineRule="auto"/>
              <w:jc w:val="left"/>
            </w:pPr>
            <w:r>
              <w:rPr>
                <w:rFonts w:ascii="Georgia" w:hAnsi="Georgia"/>
                <w:color w:val="1E2A32"/>
                <w:sz w:val="18"/>
              </w:rPr>
              <w:t xml:space="preserve">Buffer Corridor</w:t>
            </w:r>
          </w:p>
        </w:tc>
        <w:tc>
          <w:tcPr>
            <w:tcW w:w="3008" w:type="dxa"/>
          </w:tcPr>
          <w:p>
            <w:pPr>
              <w:spacing w:after="20" w:line="240" w:lineRule="auto"/>
              <w:jc w:val="left"/>
            </w:pPr>
            <w:r>
              <w:rPr>
                <w:rFonts w:ascii="Georgia" w:hAnsi="Georgia"/>
                <w:color w:val="1E2A32"/>
                <w:sz w:val="18"/>
              </w:rPr>
              <w:t xml:space="preserve">Separation, emergency diversion, search and rescue routing, naval deconfliction</w:t>
            </w:r>
          </w:p>
        </w:tc>
        <w:tc>
          <w:tcPr>
            <w:tcW w:w="3008" w:type="dxa"/>
          </w:tcPr>
          <w:p>
            <w:pPr>
              <w:spacing w:after="20" w:line="240" w:lineRule="auto"/>
              <w:jc w:val="left"/>
            </w:pPr>
            <w:r>
              <w:rPr>
                <w:rFonts w:ascii="Georgia" w:hAnsi="Georgia"/>
                <w:color w:val="1E2A32"/>
                <w:sz w:val="18"/>
              </w:rPr>
              <w:t xml:space="preserve">Joint administration, Oman holding the coordinating chair</w:t>
            </w:r>
          </w:p>
        </w:tc>
      </w:tr>
      <w:tr>
        <w:tc>
          <w:tcPr>
            <w:tcW w:w="3008" w:type="dxa"/>
          </w:tcPr>
          <w:p>
            <w:pPr>
              <w:spacing w:after="20" w:line="240" w:lineRule="auto"/>
              <w:jc w:val="left"/>
            </w:pPr>
            <w:r>
              <w:rPr>
                <w:rFonts w:ascii="Georgia" w:hAnsi="Georgia"/>
                <w:color w:val="1E2A32"/>
                <w:sz w:val="18"/>
              </w:rPr>
              <w:t xml:space="preserve">Corridor South</w:t>
            </w:r>
          </w:p>
        </w:tc>
        <w:tc>
          <w:tcPr>
            <w:tcW w:w="3008" w:type="dxa"/>
          </w:tcPr>
          <w:p>
            <w:pPr>
              <w:spacing w:after="20" w:line="240" w:lineRule="auto"/>
              <w:jc w:val="left"/>
            </w:pPr>
            <w:r>
              <w:rPr>
                <w:rFonts w:ascii="Georgia" w:hAnsi="Georgia"/>
                <w:color w:val="1E2A32"/>
                <w:sz w:val="18"/>
              </w:rPr>
              <w:t xml:space="preserve">Outbound commercial traffic (Gulf-exiting)</w:t>
            </w:r>
          </w:p>
        </w:tc>
        <w:tc>
          <w:tcPr>
            <w:tcW w:w="3008" w:type="dxa"/>
          </w:tcPr>
          <w:p>
            <w:pPr>
              <w:spacing w:after="20" w:line="240" w:lineRule="auto"/>
              <w:jc w:val="left"/>
            </w:pPr>
            <w:r>
              <w:rPr>
                <w:rFonts w:ascii="Georgia" w:hAnsi="Georgia"/>
                <w:color w:val="1E2A32"/>
                <w:sz w:val="18"/>
              </w:rPr>
              <w:t xml:space="preserve">Oman (functional administration under the Twin Key)</w:t>
            </w:r>
          </w:p>
        </w:tc>
      </w:tr>
    </w:tbl>
    <w:p>
      <w:pPr>
        <w:spacing w:after="120"/>
      </w:pPr>
    </w:p>
    <w:p>
      <w:pPr>
        <w:pStyle w:val="Heading3"/>
      </w:pPr>
      <w:r>
        <w:rPr>
          <w:rFonts w:ascii="Georgia" w:hAnsi="Georgia"/>
          <w:b/>
          <w:color w:val="3D5566"/>
          <w:sz w:val="22"/>
        </w:rPr>
        <w:t xml:space="preserve">5.2 Corridor North</w:t>
      </w:r>
    </w:p>
    <w:p>
      <w:pPr>
        <w:spacing w:before="0" w:after="140" w:line="252" w:lineRule="auto"/>
        <w:jc w:val="both"/>
      </w:pPr>
      <w:r>
        <w:rPr>
          <w:rFonts w:ascii="Georgia" w:hAnsi="Georgia"/>
          <w:color w:val="1E2A32"/>
          <w:sz w:val="21"/>
        </w:rPr>
        <w:t xml:space="preserve">Corridor North carries all eastbound and Gulf-entering commercial traffic. It occupies the northern band of the traffic system, adjacent to the Iranian coast, with a navigable width of two nautical miles and the marking, separation, and reporting points that Annex A specifies. Iran administers Corridor North as its starting functional zone under Article 7.</w:t>
      </w:r>
    </w:p>
    <w:p>
      <w:pPr>
        <w:pStyle w:val="Heading3"/>
      </w:pPr>
      <w:r>
        <w:rPr>
          <w:rFonts w:ascii="Georgia" w:hAnsi="Georgia"/>
          <w:b/>
          <w:color w:val="3D5566"/>
          <w:sz w:val="22"/>
        </w:rPr>
        <w:t xml:space="preserve">5.3 Buffer Corridor</w:t>
      </w:r>
    </w:p>
    <w:p>
      <w:pPr>
        <w:spacing w:before="0" w:after="140" w:line="252" w:lineRule="auto"/>
        <w:jc w:val="both"/>
      </w:pPr>
      <w:r>
        <w:rPr>
          <w:rFonts w:ascii="Georgia" w:hAnsi="Georgia"/>
          <w:color w:val="1E2A32"/>
          <w:sz w:val="21"/>
        </w:rPr>
        <w:t xml:space="preserve">The Buffer Corridor separates Corridor North from Corridor South with a width of two nautical miles. It carries no routine commercial traffic. It absorbs emergency diversions, mine-risk avoidance routing, search and rescue transit, and naval deconfliction movements. The Joint Survey Group holds operational oversight of the Buffer Corridor, and Oman holds the coordinating chair of Buffer operations at entry into force.</w:t>
      </w:r>
    </w:p>
    <w:p>
      <w:pPr>
        <w:pStyle w:val="Heading3"/>
      </w:pPr>
      <w:r>
        <w:rPr>
          <w:rFonts w:ascii="Georgia" w:hAnsi="Georgia"/>
          <w:b/>
          <w:color w:val="3D5566"/>
          <w:sz w:val="22"/>
        </w:rPr>
        <w:t xml:space="preserve">5.4 Corridor South</w:t>
      </w:r>
    </w:p>
    <w:p>
      <w:pPr>
        <w:spacing w:before="0" w:after="140" w:line="252" w:lineRule="auto"/>
        <w:jc w:val="both"/>
      </w:pPr>
      <w:r>
        <w:rPr>
          <w:rFonts w:ascii="Georgia" w:hAnsi="Georgia"/>
          <w:color w:val="1E2A32"/>
          <w:sz w:val="21"/>
        </w:rPr>
        <w:t xml:space="preserve">Corridor South carries all westbound and Gulf-exiting commercial traffic. It occupies the southern band of the traffic system, adjacent to the Omani coast, with a navigable width of two nautical miles. Oman administers Corridor South as its standing functional zone. Oman's administration of Corridor South is not subject to the Escalator and does not vary with Events.</w:t>
      </w:r>
    </w:p>
    <w:p>
      <w:pPr>
        <w:pStyle w:val="Heading3"/>
      </w:pPr>
      <w:r>
        <w:rPr>
          <w:rFonts w:ascii="Georgia" w:hAnsi="Georgia"/>
          <w:b/>
          <w:color w:val="3D5566"/>
          <w:sz w:val="22"/>
        </w:rPr>
        <w:t xml:space="preserve">5.5 Wartime Lane Sunset</w:t>
      </w:r>
    </w:p>
    <w:p>
      <w:pPr>
        <w:spacing w:before="0" w:after="140" w:line="252" w:lineRule="auto"/>
        <w:jc w:val="both"/>
      </w:pPr>
      <w:r>
        <w:rPr>
          <w:rFonts w:ascii="Georgia" w:hAnsi="Georgia"/>
          <w:color w:val="1E2A32"/>
          <w:sz w:val="21"/>
        </w:rPr>
        <w:t xml:space="preserve">The temporary wartime lanes sunset under the schedule in Article 14 and Annex G. From Full Activation, the wartime lanes hold no status under this Accord, and the three-corridor system carries all traffic.</w:t>
      </w:r>
    </w:p>
    <w:p>
      <w:pPr>
        <w:pStyle w:val="Heading3"/>
      </w:pPr>
      <w:r>
        <w:rPr>
          <w:rFonts w:ascii="Georgia" w:hAnsi="Georgia"/>
          <w:b/>
          <w:color w:val="3D5566"/>
          <w:sz w:val="22"/>
        </w:rPr>
        <w:t xml:space="preserve">5.6 Corridor Integrity</w:t>
      </w:r>
    </w:p>
    <w:p>
      <w:pPr>
        <w:spacing w:before="0" w:after="140" w:line="252" w:lineRule="auto"/>
        <w:jc w:val="both"/>
      </w:pPr>
      <w:r>
        <w:rPr>
          <w:rFonts w:ascii="Georgia" w:hAnsi="Georgia"/>
          <w:color w:val="1E2A32"/>
          <w:sz w:val="21"/>
        </w:rPr>
        <w:t xml:space="preserve">The geometry of the Corridor System changes only by a Council decision adopted under the Twin Key with the additional concurrence of the United States observer seat, following 60 days' notice to the International Maritime Organization liaison. Annex A publishes the provisional geometry and states the publication rule for final coordinates.</w:t>
      </w:r>
    </w:p>
    <w:p>
      <w:pPr>
        <w:pStyle w:val="Heading2"/>
      </w:pPr>
      <w:bookmarkStart w:id="1012" w:name="_Toc260001012"/>
      <w:r>
        <w:rPr>
          <w:rFonts w:ascii="Georgia" w:hAnsi="Georgia"/>
          <w:b/>
          <w:color w:val="2F4858"/>
          <w:sz w:val="25"/>
        </w:rPr>
        <w:t xml:space="preserve">Article 6: Corridor Functions and Services</w:t>
      </w:r>
      <w:bookmarkEnd w:id="1012"/>
    </w:p>
    <w:p>
      <w:pPr>
        <w:pStyle w:val="Heading3"/>
      </w:pPr>
      <w:r>
        <w:rPr>
          <w:rFonts w:ascii="Georgia" w:hAnsi="Georgia"/>
          <w:b/>
          <w:color w:val="3D5566"/>
          <w:sz w:val="22"/>
        </w:rPr>
        <w:t xml:space="preserve">6.1 The Service Catalogue</w:t>
      </w:r>
    </w:p>
    <w:p>
      <w:pPr>
        <w:spacing w:before="0" w:after="140" w:line="252" w:lineRule="auto"/>
        <w:jc w:val="both"/>
      </w:pPr>
      <w:r>
        <w:rPr>
          <w:rFonts w:ascii="Georgia" w:hAnsi="Georgia"/>
          <w:color w:val="1E2A32"/>
          <w:sz w:val="21"/>
        </w:rPr>
        <w:t xml:space="preserve">Each corridor administrator delivers the following services within its zone: traffic management and routing guidance; aids to navigation maintenance; meteorological and hydrographic information; vessel traffic reporting; environmental monitoring; pollution prevention and first response; search and rescue coordination within its sector; and the data products that the Route Assurance Data Service distributes under Article 21.</w:t>
      </w:r>
    </w:p>
    <w:p>
      <w:pPr>
        <w:pStyle w:val="Heading3"/>
      </w:pPr>
      <w:r>
        <w:rPr>
          <w:rFonts w:ascii="Georgia" w:hAnsi="Georgia"/>
          <w:b/>
          <w:color w:val="3D5566"/>
          <w:sz w:val="22"/>
        </w:rPr>
        <w:t xml:space="preserve">6.2 Service Standards</w:t>
      </w:r>
    </w:p>
    <w:p>
      <w:pPr>
        <w:spacing w:before="0" w:after="140" w:line="252" w:lineRule="auto"/>
        <w:jc w:val="both"/>
      </w:pPr>
      <w:r>
        <w:rPr>
          <w:rFonts w:ascii="Georgia" w:hAnsi="Georgia"/>
          <w:color w:val="1E2A32"/>
          <w:sz w:val="21"/>
        </w:rPr>
        <w:t xml:space="preserve">Annex E sets the service standards, response times, and performance indicators for every catalogue service. The Neutral Watch Office measures administrator performance against those standards weekly, and the results feed the Clean Week determination under Annex C.</w:t>
      </w:r>
    </w:p>
    <w:p>
      <w:pPr>
        <w:pStyle w:val="Heading3"/>
      </w:pPr>
      <w:r>
        <w:rPr>
          <w:rFonts w:ascii="Georgia" w:hAnsi="Georgia"/>
          <w:b/>
          <w:color w:val="3D5566"/>
          <w:sz w:val="22"/>
        </w:rPr>
        <w:t xml:space="preserve">6.3 Non-Discrimination</w:t>
      </w:r>
    </w:p>
    <w:p>
      <w:pPr>
        <w:spacing w:before="0" w:after="140" w:line="252" w:lineRule="auto"/>
        <w:jc w:val="both"/>
      </w:pPr>
      <w:r>
        <w:rPr>
          <w:rFonts w:ascii="Georgia" w:hAnsi="Georgia"/>
          <w:color w:val="1E2A32"/>
          <w:sz w:val="21"/>
        </w:rPr>
        <w:t xml:space="preserve">Corridor services operate on terms of absolute non-discrimination among flag states, ownership structures, cargoes, and destinations, except that safety-based routing distinctions apply equally to all vessels of a class. The fee architecture of Part VI applies one published rate card to every user.</w:t>
      </w:r>
    </w:p>
    <w:p>
      <w:pPr>
        <w:pStyle w:val="Heading3"/>
      </w:pPr>
      <w:r>
        <w:rPr>
          <w:rFonts w:ascii="Georgia" w:hAnsi="Georgia"/>
          <w:b/>
          <w:color w:val="3D5566"/>
          <w:sz w:val="22"/>
        </w:rPr>
        <w:t xml:space="preserve">6.4 Safety of Life Priority</w:t>
      </w:r>
    </w:p>
    <w:p>
      <w:pPr>
        <w:spacing w:before="0" w:after="140" w:line="252" w:lineRule="auto"/>
        <w:jc w:val="both"/>
      </w:pPr>
      <w:r>
        <w:rPr>
          <w:rFonts w:ascii="Georgia" w:hAnsi="Georgia"/>
          <w:color w:val="1E2A32"/>
          <w:sz w:val="21"/>
        </w:rPr>
        <w:t xml:space="preserve">Where any service standard conflicts with the safety of life at sea, the safety of life prevails, the administrator acts first, and the administrator reports the action to the Neutral Watch Office within six hours.</w:t>
      </w:r>
    </w:p>
    <w:p>
      <w:pPr>
        <w:pStyle w:val="Heading2"/>
      </w:pPr>
      <w:bookmarkStart w:id="1013" w:name="_Toc260001013"/>
      <w:r>
        <w:rPr>
          <w:rFonts w:ascii="Georgia" w:hAnsi="Georgia"/>
          <w:b/>
          <w:color w:val="2F4858"/>
          <w:sz w:val="25"/>
        </w:rPr>
        <w:t xml:space="preserve">Article 7: Initial Control Allocation</w:t>
      </w:r>
      <w:bookmarkEnd w:id="1013"/>
    </w:p>
    <w:p>
      <w:pPr>
        <w:pStyle w:val="Heading3"/>
      </w:pPr>
      <w:r>
        <w:rPr>
          <w:rFonts w:ascii="Georgia" w:hAnsi="Georgia"/>
          <w:b/>
          <w:color w:val="3D5566"/>
          <w:sz w:val="22"/>
        </w:rPr>
        <w:t xml:space="preserve">7.1 The Starting Position</w:t>
      </w:r>
    </w:p>
    <w:p>
      <w:pPr>
        <w:spacing w:before="0" w:after="140" w:line="252" w:lineRule="auto"/>
        <w:jc w:val="both"/>
      </w:pPr>
      <w:r>
        <w:rPr>
          <w:rFonts w:ascii="Georgia" w:hAnsi="Georgia"/>
          <w:color w:val="1E2A32"/>
          <w:sz w:val="21"/>
        </w:rPr>
        <w:t xml:space="preserve">At entry into force, Iran holds 33 percent Control Weight over the Corridor System. This allocation vests functional administration of Corridor North in Iran, seats Iran as a Principal Party on the Council with the voting weight that Annex B assigns to the 33 percent band, and entitles Iran to the revenue share that Annex E assigns to that band.</w:t>
      </w:r>
    </w:p>
    <w:p>
      <w:pPr>
        <w:pStyle w:val="Heading3"/>
      </w:pPr>
      <w:r>
        <w:rPr>
          <w:rFonts w:ascii="Georgia" w:hAnsi="Georgia"/>
          <w:b/>
          <w:color w:val="3D5566"/>
          <w:sz w:val="22"/>
        </w:rPr>
        <w:t xml:space="preserve">7.2 The Inner Third</w:t>
      </w:r>
    </w:p>
    <w:p>
      <w:pPr>
        <w:spacing w:before="0" w:after="140" w:line="252" w:lineRule="auto"/>
        <w:jc w:val="both"/>
      </w:pPr>
      <w:r>
        <w:rPr>
          <w:rFonts w:ascii="Georgia" w:hAnsi="Georgia"/>
          <w:color w:val="1E2A32"/>
          <w:sz w:val="21"/>
        </w:rPr>
        <w:t xml:space="preserve">The 33 percent starting allocation corresponds geographically to the Inner Third of the Corridor System: the third closest to the Iranian coast, comprising Corridor North and the northern face of the Buffer Corridor. Iran's starting authority operates inside that Inner Third, subject always to the Twin Key for consequential action and to the non-interdiction protocol of Article 25.</w:t>
      </w:r>
    </w:p>
    <w:p>
      <w:pPr>
        <w:pStyle w:val="Heading3"/>
      </w:pPr>
      <w:r>
        <w:rPr>
          <w:rFonts w:ascii="Georgia" w:hAnsi="Georgia"/>
          <w:b/>
          <w:color w:val="3D5566"/>
          <w:sz w:val="22"/>
        </w:rPr>
        <w:t xml:space="preserve">7.3 Oman's Standing Allocation</w:t>
      </w:r>
    </w:p>
    <w:p>
      <w:pPr>
        <w:spacing w:before="0" w:after="140" w:line="252" w:lineRule="auto"/>
        <w:jc w:val="both"/>
      </w:pPr>
      <w:r>
        <w:rPr>
          <w:rFonts w:ascii="Georgia" w:hAnsi="Georgia"/>
          <w:color w:val="1E2A32"/>
          <w:sz w:val="21"/>
        </w:rPr>
        <w:t xml:space="preserve">Oman holds a standing functional allocation over Corridor South and the coordinating chair of the Buffer Corridor. This standing allocation does not derive from the Escalator, does not shrink as Iran's Control Weight grows, and persists at every stage of this Accord.</w:t>
      </w:r>
    </w:p>
    <w:p>
      <w:pPr>
        <w:pStyle w:val="Heading3"/>
      </w:pPr>
      <w:r>
        <w:rPr>
          <w:rFonts w:ascii="Georgia" w:hAnsi="Georgia"/>
          <w:b/>
          <w:color w:val="3D5566"/>
          <w:sz w:val="22"/>
        </w:rPr>
        <w:t xml:space="preserve">7.4 Simultaneity of First Moves</w:t>
      </w:r>
    </w:p>
    <w:p>
      <w:pPr>
        <w:spacing w:before="0" w:after="140" w:line="252" w:lineRule="auto"/>
        <w:jc w:val="both"/>
      </w:pPr>
      <w:r>
        <w:rPr>
          <w:rFonts w:ascii="Georgia" w:hAnsi="Georgia"/>
          <w:color w:val="1E2A32"/>
          <w:sz w:val="21"/>
        </w:rPr>
        <w:t xml:space="preserve">The Accord resolves the sequencing deadlock by synchronization. At entry into force: (a) Iran commences functional administration of Corridor North; (b) the United States commences the phased removal of its naval blockade under the Reciprocal Measures Schedule in Annex G; (c) the Escrow Administrator opens the Hormuz Account; and (d) the Neutral Watch Office begins continuous verification. Each of these four acts occurs on the same day, and each stands independent of the completion of the others.</w:t>
      </w:r>
    </w:p>
    <w:p>
      <w:pPr>
        <w:pStyle w:val="Heading1"/>
        <w:pBdr>
          <w:bottom w:val="single" w:color="8A6D2F" w:sz="10"/>
        </w:pBdr>
      </w:pPr>
      <w:bookmarkStart w:id="1014" w:name="_Toc260001014"/>
      <w:r>
        <w:rPr>
          <w:rFonts w:ascii="Georgia" w:hAnsi="Georgia"/>
          <w:b/>
          <w:color w:val="2F4858"/>
          <w:sz w:val="30"/>
        </w:rPr>
        <w:t xml:space="preserve">PART III: THE GRADUATED GAINS ENGINE</w:t>
      </w:r>
      <w:bookmarkEnd w:id="1014"/>
    </w:p>
    <w:p>
      <w:pPr>
        <w:pStyle w:val="Heading2"/>
      </w:pPr>
      <w:bookmarkStart w:id="1015" w:name="_Toc260001015"/>
      <w:r>
        <w:rPr>
          <w:rFonts w:ascii="Georgia" w:hAnsi="Georgia"/>
          <w:b/>
          <w:color w:val="2F4858"/>
          <w:sz w:val="25"/>
        </w:rPr>
        <w:t xml:space="preserve">Article 8: The Escalator Mechanism</w:t>
      </w:r>
      <w:bookmarkEnd w:id="1015"/>
    </w:p>
    <w:p>
      <w:pPr>
        <w:pStyle w:val="Heading3"/>
      </w:pPr>
      <w:r>
        <w:rPr>
          <w:rFonts w:ascii="Georgia" w:hAnsi="Georgia"/>
          <w:b/>
          <w:color w:val="3D5566"/>
          <w:sz w:val="22"/>
        </w:rPr>
        <w:t xml:space="preserve">8.1 The Core Rule</w:t>
      </w:r>
    </w:p>
    <w:p>
      <w:pPr>
        <w:spacing w:before="0" w:after="140" w:line="252" w:lineRule="auto"/>
        <w:jc w:val="both"/>
      </w:pPr>
      <w:r>
        <w:rPr>
          <w:rFonts w:ascii="Georgia" w:hAnsi="Georgia"/>
          <w:color w:val="1E2A32"/>
          <w:sz w:val="21"/>
        </w:rPr>
        <w:t xml:space="preserve">For each Clean Week that the Neutral Watch Office verifies, Iran's Control Weight increases by ten percentage points. The Escalator begins at 33 percent, rises in steps of ten, and caps at 100 percent. Seven consecutive Clean Weeks produce Full Unlock. The Escalator operates automatically: verification of a Clean Week applies the increment without any Council vote, any Party's consent, or any further instrument.</w:t>
      </w:r>
    </w:p>
    <w:p>
      <w:pPr>
        <w:pStyle w:val="Heading3"/>
      </w:pPr>
      <w:r>
        <w:rPr>
          <w:rFonts w:ascii="Georgia" w:hAnsi="Georgia"/>
          <w:b/>
          <w:color w:val="3D5566"/>
          <w:sz w:val="22"/>
        </w:rPr>
        <w:t xml:space="preserve">8.2 The Escalator Ladder</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3008"/>
        <w:gridCol w:w="3008"/>
        <w:gridCol w:w="3008"/>
      </w:tblGrid>
      <w:tr>
        <w:trPr>
          <w:tblHeader/>
        </w:trPr>
        <w:tc>
          <w:tcPr>
            <w:tcW w:w="3008" w:type="dxa"/>
            <w:shd w:val="clear" w:fill="E4EAEE"/>
          </w:tcPr>
          <w:p>
            <w:pPr>
              <w:spacing w:after="20" w:line="240" w:lineRule="auto"/>
              <w:jc w:val="left"/>
            </w:pPr>
            <w:r>
              <w:rPr>
                <w:rFonts w:ascii="Georgia" w:hAnsi="Georgia"/>
                <w:b/>
                <w:color w:val="2F4858"/>
                <w:sz w:val="18"/>
              </w:rPr>
              <w:t xml:space="preserve">Milestone</w:t>
            </w:r>
          </w:p>
        </w:tc>
        <w:tc>
          <w:tcPr>
            <w:tcW w:w="3008" w:type="dxa"/>
            <w:shd w:val="clear" w:fill="E4EAEE"/>
          </w:tcPr>
          <w:p>
            <w:pPr>
              <w:spacing w:after="20" w:line="240" w:lineRule="auto"/>
              <w:jc w:val="left"/>
            </w:pPr>
            <w:r>
              <w:rPr>
                <w:rFonts w:ascii="Georgia" w:hAnsi="Georgia"/>
                <w:b/>
                <w:color w:val="2F4858"/>
                <w:sz w:val="18"/>
              </w:rPr>
              <w:t xml:space="preserve">Control Weight</w:t>
            </w:r>
          </w:p>
        </w:tc>
        <w:tc>
          <w:tcPr>
            <w:tcW w:w="3008" w:type="dxa"/>
            <w:shd w:val="clear" w:fill="E4EAEE"/>
          </w:tcPr>
          <w:p>
            <w:pPr>
              <w:spacing w:after="20" w:line="240" w:lineRule="auto"/>
              <w:jc w:val="left"/>
            </w:pPr>
            <w:r>
              <w:rPr>
                <w:rFonts w:ascii="Georgia" w:hAnsi="Georgia"/>
                <w:b/>
                <w:color w:val="2F4858"/>
                <w:sz w:val="18"/>
              </w:rPr>
              <w:t xml:space="preserve">Condition</w:t>
            </w:r>
          </w:p>
        </w:tc>
      </w:tr>
      <w:tr>
        <w:tc>
          <w:tcPr>
            <w:tcW w:w="3008" w:type="dxa"/>
          </w:tcPr>
          <w:p>
            <w:pPr>
              <w:spacing w:after="20" w:line="240" w:lineRule="auto"/>
              <w:jc w:val="left"/>
            </w:pPr>
            <w:r>
              <w:rPr>
                <w:rFonts w:ascii="Georgia" w:hAnsi="Georgia"/>
                <w:color w:val="1E2A32"/>
                <w:sz w:val="18"/>
              </w:rPr>
              <w:t xml:space="preserve">Baseline</w:t>
            </w:r>
          </w:p>
        </w:tc>
        <w:tc>
          <w:tcPr>
            <w:tcW w:w="3008" w:type="dxa"/>
          </w:tcPr>
          <w:p>
            <w:pPr>
              <w:spacing w:after="20" w:line="240" w:lineRule="auto"/>
              <w:jc w:val="left"/>
            </w:pPr>
            <w:r>
              <w:rPr>
                <w:rFonts w:ascii="Georgia" w:hAnsi="Georgia"/>
                <w:color w:val="1E2A32"/>
                <w:sz w:val="18"/>
              </w:rPr>
              <w:t xml:space="preserve">33 percent</w:t>
            </w:r>
          </w:p>
        </w:tc>
        <w:tc>
          <w:tcPr>
            <w:tcW w:w="3008" w:type="dxa"/>
          </w:tcPr>
          <w:p>
            <w:pPr>
              <w:spacing w:after="20" w:line="240" w:lineRule="auto"/>
              <w:jc w:val="left"/>
            </w:pPr>
            <w:r>
              <w:rPr>
                <w:rFonts w:ascii="Georgia" w:hAnsi="Georgia"/>
                <w:color w:val="1E2A32"/>
                <w:sz w:val="18"/>
              </w:rPr>
              <w:t xml:space="preserve">Entry into force</w:t>
            </w:r>
          </w:p>
        </w:tc>
      </w:tr>
      <w:tr>
        <w:tc>
          <w:tcPr>
            <w:tcW w:w="3008" w:type="dxa"/>
          </w:tcPr>
          <w:p>
            <w:pPr>
              <w:spacing w:after="20" w:line="240" w:lineRule="auto"/>
              <w:jc w:val="left"/>
            </w:pPr>
            <w:r>
              <w:rPr>
                <w:rFonts w:ascii="Georgia" w:hAnsi="Georgia"/>
                <w:color w:val="1E2A32"/>
                <w:sz w:val="18"/>
              </w:rPr>
              <w:t xml:space="preserve">Step One</w:t>
            </w:r>
          </w:p>
        </w:tc>
        <w:tc>
          <w:tcPr>
            <w:tcW w:w="3008" w:type="dxa"/>
          </w:tcPr>
          <w:p>
            <w:pPr>
              <w:spacing w:after="20" w:line="240" w:lineRule="auto"/>
              <w:jc w:val="left"/>
            </w:pPr>
            <w:r>
              <w:rPr>
                <w:rFonts w:ascii="Georgia" w:hAnsi="Georgia"/>
                <w:color w:val="1E2A32"/>
                <w:sz w:val="18"/>
              </w:rPr>
              <w:t xml:space="preserve">43 percent</w:t>
            </w:r>
          </w:p>
        </w:tc>
        <w:tc>
          <w:tcPr>
            <w:tcW w:w="3008" w:type="dxa"/>
          </w:tcPr>
          <w:p>
            <w:pPr>
              <w:spacing w:after="20" w:line="240" w:lineRule="auto"/>
              <w:jc w:val="left"/>
            </w:pPr>
            <w:r>
              <w:rPr>
                <w:rFonts w:ascii="Georgia" w:hAnsi="Georgia"/>
                <w:color w:val="1E2A32"/>
                <w:sz w:val="18"/>
              </w:rPr>
              <w:t xml:space="preserve">One Clean Week</w:t>
            </w:r>
          </w:p>
        </w:tc>
      </w:tr>
      <w:tr>
        <w:tc>
          <w:tcPr>
            <w:tcW w:w="3008" w:type="dxa"/>
          </w:tcPr>
          <w:p>
            <w:pPr>
              <w:spacing w:after="20" w:line="240" w:lineRule="auto"/>
              <w:jc w:val="left"/>
            </w:pPr>
            <w:r>
              <w:rPr>
                <w:rFonts w:ascii="Georgia" w:hAnsi="Georgia"/>
                <w:color w:val="1E2A32"/>
                <w:sz w:val="18"/>
              </w:rPr>
              <w:t xml:space="preserve">Step Two</w:t>
            </w:r>
          </w:p>
        </w:tc>
        <w:tc>
          <w:tcPr>
            <w:tcW w:w="3008" w:type="dxa"/>
          </w:tcPr>
          <w:p>
            <w:pPr>
              <w:spacing w:after="20" w:line="240" w:lineRule="auto"/>
              <w:jc w:val="left"/>
            </w:pPr>
            <w:r>
              <w:rPr>
                <w:rFonts w:ascii="Georgia" w:hAnsi="Georgia"/>
                <w:color w:val="1E2A32"/>
                <w:sz w:val="18"/>
              </w:rPr>
              <w:t xml:space="preserve">53 percent</w:t>
            </w:r>
          </w:p>
        </w:tc>
        <w:tc>
          <w:tcPr>
            <w:tcW w:w="3008" w:type="dxa"/>
          </w:tcPr>
          <w:p>
            <w:pPr>
              <w:spacing w:after="20" w:line="240" w:lineRule="auto"/>
              <w:jc w:val="left"/>
            </w:pPr>
            <w:r>
              <w:rPr>
                <w:rFonts w:ascii="Georgia" w:hAnsi="Georgia"/>
                <w:color w:val="1E2A32"/>
                <w:sz w:val="18"/>
              </w:rPr>
              <w:t xml:space="preserve">Two Clean Weeks</w:t>
            </w:r>
          </w:p>
        </w:tc>
      </w:tr>
      <w:tr>
        <w:tc>
          <w:tcPr>
            <w:tcW w:w="3008" w:type="dxa"/>
          </w:tcPr>
          <w:p>
            <w:pPr>
              <w:spacing w:after="20" w:line="240" w:lineRule="auto"/>
              <w:jc w:val="left"/>
            </w:pPr>
            <w:r>
              <w:rPr>
                <w:rFonts w:ascii="Georgia" w:hAnsi="Georgia"/>
                <w:color w:val="1E2A32"/>
                <w:sz w:val="18"/>
              </w:rPr>
              <w:t xml:space="preserve">Step Three</w:t>
            </w:r>
          </w:p>
        </w:tc>
        <w:tc>
          <w:tcPr>
            <w:tcW w:w="3008" w:type="dxa"/>
          </w:tcPr>
          <w:p>
            <w:pPr>
              <w:spacing w:after="20" w:line="240" w:lineRule="auto"/>
              <w:jc w:val="left"/>
            </w:pPr>
            <w:r>
              <w:rPr>
                <w:rFonts w:ascii="Georgia" w:hAnsi="Georgia"/>
                <w:color w:val="1E2A32"/>
                <w:sz w:val="18"/>
              </w:rPr>
              <w:t xml:space="preserve">63 percent</w:t>
            </w:r>
          </w:p>
        </w:tc>
        <w:tc>
          <w:tcPr>
            <w:tcW w:w="3008" w:type="dxa"/>
          </w:tcPr>
          <w:p>
            <w:pPr>
              <w:spacing w:after="20" w:line="240" w:lineRule="auto"/>
              <w:jc w:val="left"/>
            </w:pPr>
            <w:r>
              <w:rPr>
                <w:rFonts w:ascii="Georgia" w:hAnsi="Georgia"/>
                <w:color w:val="1E2A32"/>
                <w:sz w:val="18"/>
              </w:rPr>
              <w:t xml:space="preserve">Three Clean Weeks</w:t>
            </w:r>
          </w:p>
        </w:tc>
      </w:tr>
      <w:tr>
        <w:tc>
          <w:tcPr>
            <w:tcW w:w="3008" w:type="dxa"/>
          </w:tcPr>
          <w:p>
            <w:pPr>
              <w:spacing w:after="20" w:line="240" w:lineRule="auto"/>
              <w:jc w:val="left"/>
            </w:pPr>
            <w:r>
              <w:rPr>
                <w:rFonts w:ascii="Georgia" w:hAnsi="Georgia"/>
                <w:color w:val="1E2A32"/>
                <w:sz w:val="18"/>
              </w:rPr>
              <w:t xml:space="preserve">Step Four</w:t>
            </w:r>
          </w:p>
        </w:tc>
        <w:tc>
          <w:tcPr>
            <w:tcW w:w="3008" w:type="dxa"/>
          </w:tcPr>
          <w:p>
            <w:pPr>
              <w:spacing w:after="20" w:line="240" w:lineRule="auto"/>
              <w:jc w:val="left"/>
            </w:pPr>
            <w:r>
              <w:rPr>
                <w:rFonts w:ascii="Georgia" w:hAnsi="Georgia"/>
                <w:color w:val="1E2A32"/>
                <w:sz w:val="18"/>
              </w:rPr>
              <w:t xml:space="preserve">73 percent</w:t>
            </w:r>
          </w:p>
        </w:tc>
        <w:tc>
          <w:tcPr>
            <w:tcW w:w="3008" w:type="dxa"/>
          </w:tcPr>
          <w:p>
            <w:pPr>
              <w:spacing w:after="20" w:line="240" w:lineRule="auto"/>
              <w:jc w:val="left"/>
            </w:pPr>
            <w:r>
              <w:rPr>
                <w:rFonts w:ascii="Georgia" w:hAnsi="Georgia"/>
                <w:color w:val="1E2A32"/>
                <w:sz w:val="18"/>
              </w:rPr>
              <w:t xml:space="preserve">Four Clean Weeks</w:t>
            </w:r>
          </w:p>
        </w:tc>
      </w:tr>
      <w:tr>
        <w:tc>
          <w:tcPr>
            <w:tcW w:w="3008" w:type="dxa"/>
          </w:tcPr>
          <w:p>
            <w:pPr>
              <w:spacing w:after="20" w:line="240" w:lineRule="auto"/>
              <w:jc w:val="left"/>
            </w:pPr>
            <w:r>
              <w:rPr>
                <w:rFonts w:ascii="Georgia" w:hAnsi="Georgia"/>
                <w:color w:val="1E2A32"/>
                <w:sz w:val="18"/>
              </w:rPr>
              <w:t xml:space="preserve">Step Five</w:t>
            </w:r>
          </w:p>
        </w:tc>
        <w:tc>
          <w:tcPr>
            <w:tcW w:w="3008" w:type="dxa"/>
          </w:tcPr>
          <w:p>
            <w:pPr>
              <w:spacing w:after="20" w:line="240" w:lineRule="auto"/>
              <w:jc w:val="left"/>
            </w:pPr>
            <w:r>
              <w:rPr>
                <w:rFonts w:ascii="Georgia" w:hAnsi="Georgia"/>
                <w:color w:val="1E2A32"/>
                <w:sz w:val="18"/>
              </w:rPr>
              <w:t xml:space="preserve">83 percent</w:t>
            </w:r>
          </w:p>
        </w:tc>
        <w:tc>
          <w:tcPr>
            <w:tcW w:w="3008" w:type="dxa"/>
          </w:tcPr>
          <w:p>
            <w:pPr>
              <w:spacing w:after="20" w:line="240" w:lineRule="auto"/>
              <w:jc w:val="left"/>
            </w:pPr>
            <w:r>
              <w:rPr>
                <w:rFonts w:ascii="Georgia" w:hAnsi="Georgia"/>
                <w:color w:val="1E2A32"/>
                <w:sz w:val="18"/>
              </w:rPr>
              <w:t xml:space="preserve">Five Clean Weeks</w:t>
            </w:r>
          </w:p>
        </w:tc>
      </w:tr>
      <w:tr>
        <w:tc>
          <w:tcPr>
            <w:tcW w:w="3008" w:type="dxa"/>
          </w:tcPr>
          <w:p>
            <w:pPr>
              <w:spacing w:after="20" w:line="240" w:lineRule="auto"/>
              <w:jc w:val="left"/>
            </w:pPr>
            <w:r>
              <w:rPr>
                <w:rFonts w:ascii="Georgia" w:hAnsi="Georgia"/>
                <w:color w:val="1E2A32"/>
                <w:sz w:val="18"/>
              </w:rPr>
              <w:t xml:space="preserve">Step Six</w:t>
            </w:r>
          </w:p>
        </w:tc>
        <w:tc>
          <w:tcPr>
            <w:tcW w:w="3008" w:type="dxa"/>
          </w:tcPr>
          <w:p>
            <w:pPr>
              <w:spacing w:after="20" w:line="240" w:lineRule="auto"/>
              <w:jc w:val="left"/>
            </w:pPr>
            <w:r>
              <w:rPr>
                <w:rFonts w:ascii="Georgia" w:hAnsi="Georgia"/>
                <w:color w:val="1E2A32"/>
                <w:sz w:val="18"/>
              </w:rPr>
              <w:t xml:space="preserve">93 percent</w:t>
            </w:r>
          </w:p>
        </w:tc>
        <w:tc>
          <w:tcPr>
            <w:tcW w:w="3008" w:type="dxa"/>
          </w:tcPr>
          <w:p>
            <w:pPr>
              <w:spacing w:after="20" w:line="240" w:lineRule="auto"/>
              <w:jc w:val="left"/>
            </w:pPr>
            <w:r>
              <w:rPr>
                <w:rFonts w:ascii="Georgia" w:hAnsi="Georgia"/>
                <w:color w:val="1E2A32"/>
                <w:sz w:val="18"/>
              </w:rPr>
              <w:t xml:space="preserve">Six Clean Weeks</w:t>
            </w:r>
          </w:p>
        </w:tc>
      </w:tr>
      <w:tr>
        <w:tc>
          <w:tcPr>
            <w:tcW w:w="3008" w:type="dxa"/>
          </w:tcPr>
          <w:p>
            <w:pPr>
              <w:spacing w:after="20" w:line="240" w:lineRule="auto"/>
              <w:jc w:val="left"/>
            </w:pPr>
            <w:r>
              <w:rPr>
                <w:rFonts w:ascii="Georgia" w:hAnsi="Georgia"/>
                <w:color w:val="1E2A32"/>
                <w:sz w:val="18"/>
              </w:rPr>
              <w:t xml:space="preserve">Full Unlock</w:t>
            </w:r>
          </w:p>
        </w:tc>
        <w:tc>
          <w:tcPr>
            <w:tcW w:w="3008" w:type="dxa"/>
          </w:tcPr>
          <w:p>
            <w:pPr>
              <w:spacing w:after="20" w:line="240" w:lineRule="auto"/>
              <w:jc w:val="left"/>
            </w:pPr>
            <w:r>
              <w:rPr>
                <w:rFonts w:ascii="Georgia" w:hAnsi="Georgia"/>
                <w:color w:val="1E2A32"/>
                <w:sz w:val="18"/>
              </w:rPr>
              <w:t xml:space="preserve">100 percent</w:t>
            </w:r>
          </w:p>
        </w:tc>
        <w:tc>
          <w:tcPr>
            <w:tcW w:w="3008" w:type="dxa"/>
          </w:tcPr>
          <w:p>
            <w:pPr>
              <w:spacing w:after="20" w:line="240" w:lineRule="auto"/>
              <w:jc w:val="left"/>
            </w:pPr>
            <w:r>
              <w:rPr>
                <w:rFonts w:ascii="Georgia" w:hAnsi="Georgia"/>
                <w:color w:val="1E2A32"/>
                <w:sz w:val="18"/>
              </w:rPr>
              <w:t xml:space="preserve">Seven Clean Weeks</w:t>
            </w:r>
          </w:p>
        </w:tc>
      </w:tr>
    </w:tbl>
    <w:p>
      <w:pPr>
        <w:spacing w:after="120"/>
      </w:pPr>
    </w:p>
    <w:p>
      <w:pPr>
        <w:pStyle w:val="Heading3"/>
      </w:pPr>
      <w:r>
        <w:rPr>
          <w:rFonts w:ascii="Georgia" w:hAnsi="Georgia"/>
          <w:b/>
          <w:color w:val="3D5566"/>
          <w:sz w:val="22"/>
        </w:rPr>
        <w:t xml:space="preserve">8.3 The Verification Clock</w:t>
      </w:r>
    </w:p>
    <w:p>
      <w:pPr>
        <w:spacing w:before="0" w:after="140" w:line="252" w:lineRule="auto"/>
        <w:jc w:val="both"/>
      </w:pPr>
      <w:r>
        <w:rPr>
          <w:rFonts w:ascii="Georgia" w:hAnsi="Georgia"/>
          <w:color w:val="1E2A32"/>
          <w:sz w:val="21"/>
        </w:rPr>
        <w:t xml:space="preserve">The first Verification Period opens at 00:00 UTC on the day Corridor North activates under Phase R-2 of the reopening schedule. Subsequent Verification Periods run consecutively, each opening at 00:00 UTC on the seventh day after the previous period opened. The Neutral Watch Office publishes its Clean Week determination within twelve hours of each period's close.</w:t>
      </w:r>
    </w:p>
    <w:p>
      <w:pPr>
        <w:pStyle w:val="Heading3"/>
      </w:pPr>
      <w:r>
        <w:rPr>
          <w:rFonts w:ascii="Georgia" w:hAnsi="Georgia"/>
          <w:b/>
          <w:color w:val="3D5566"/>
          <w:sz w:val="22"/>
        </w:rPr>
        <w:t xml:space="preserve">8.4 Automaticity</w:t>
      </w:r>
    </w:p>
    <w:p>
      <w:pPr>
        <w:spacing w:before="0" w:after="140" w:line="252" w:lineRule="auto"/>
        <w:jc w:val="both"/>
      </w:pPr>
      <w:r>
        <w:rPr>
          <w:rFonts w:ascii="Georgia" w:hAnsi="Georgia"/>
          <w:color w:val="1E2A32"/>
          <w:sz w:val="21"/>
        </w:rPr>
        <w:t xml:space="preserve">The Escalator admits no discretionary override. No Party, institution, or observer holds a vote, a veto, or a suspension power over an increment that the verification record supports. The only inputs to the Escalator are the verified Events of Annex D, and the only outputs are the increments, pauses, and resets of this Part.</w:t>
      </w:r>
    </w:p>
    <w:p>
      <w:pPr>
        <w:pStyle w:val="Heading3"/>
      </w:pPr>
      <w:r>
        <w:rPr>
          <w:rFonts w:ascii="Georgia" w:hAnsi="Georgia"/>
          <w:b/>
          <w:color w:val="3D5566"/>
          <w:sz w:val="22"/>
        </w:rPr>
        <w:t xml:space="preserve">8.5 Non-Consecutiveness of Progress</w:t>
      </w:r>
    </w:p>
    <w:p>
      <w:pPr>
        <w:spacing w:before="0" w:after="140" w:line="252" w:lineRule="auto"/>
        <w:jc w:val="both"/>
      </w:pPr>
      <w:r>
        <w:rPr>
          <w:rFonts w:ascii="Georgia" w:hAnsi="Georgia"/>
          <w:color w:val="1E2A32"/>
          <w:sz w:val="21"/>
        </w:rPr>
        <w:t xml:space="preserve">Clean Weeks accumulate across pauses. A pause delays progress; it does not erase accumulated milestones. Article 10 alone governs resets, and no reset erases the Permanent Floor once attained.</w:t>
      </w:r>
    </w:p>
    <w:p>
      <w:pPr>
        <w:pStyle w:val="Heading2"/>
      </w:pPr>
      <w:bookmarkStart w:id="1016" w:name="_Toc260001016"/>
      <w:r>
        <w:rPr>
          <w:rFonts w:ascii="Georgia" w:hAnsi="Georgia"/>
          <w:b/>
          <w:color w:val="2F4858"/>
          <w:sz w:val="25"/>
        </w:rPr>
        <w:t xml:space="preserve">Article 9: Dimensions of Control Weight</w:t>
      </w:r>
      <w:bookmarkEnd w:id="1016"/>
    </w:p>
    <w:p>
      <w:pPr>
        <w:pStyle w:val="Heading3"/>
      </w:pPr>
      <w:r>
        <w:rPr>
          <w:rFonts w:ascii="Georgia" w:hAnsi="Georgia"/>
          <w:b/>
          <w:color w:val="3D5566"/>
          <w:sz w:val="22"/>
        </w:rPr>
        <w:t xml:space="preserve">9.1 The Hybrid Definition</w:t>
      </w:r>
    </w:p>
    <w:p>
      <w:pPr>
        <w:spacing w:before="0" w:after="140" w:line="252" w:lineRule="auto"/>
        <w:jc w:val="both"/>
      </w:pPr>
      <w:r>
        <w:rPr>
          <w:rFonts w:ascii="Georgia" w:hAnsi="Georgia"/>
          <w:color w:val="1E2A32"/>
          <w:sz w:val="21"/>
        </w:rPr>
        <w:t xml:space="preserve">Control Weight expresses itself across four dimensions simultaneously: corridor function, Twin Key weight, revenue share, and institutional voice. Annex B sets the complete conversion matrix. The following table states the architecture in summary.</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3008"/>
        <w:gridCol w:w="3008"/>
        <w:gridCol w:w="3008"/>
      </w:tblGrid>
      <w:tr>
        <w:trPr>
          <w:tblHeader/>
        </w:trPr>
        <w:tc>
          <w:tcPr>
            <w:tcW w:w="3008" w:type="dxa"/>
            <w:shd w:val="clear" w:fill="E4EAEE"/>
          </w:tcPr>
          <w:p>
            <w:pPr>
              <w:spacing w:after="20" w:line="240" w:lineRule="auto"/>
              <w:jc w:val="left"/>
            </w:pPr>
            <w:r>
              <w:rPr>
                <w:rFonts w:ascii="Georgia" w:hAnsi="Georgia"/>
                <w:b/>
                <w:color w:val="2F4858"/>
                <w:sz w:val="18"/>
              </w:rPr>
              <w:t xml:space="preserve">Dimension</w:t>
            </w:r>
          </w:p>
        </w:tc>
        <w:tc>
          <w:tcPr>
            <w:tcW w:w="3008" w:type="dxa"/>
            <w:shd w:val="clear" w:fill="E4EAEE"/>
          </w:tcPr>
          <w:p>
            <w:pPr>
              <w:spacing w:after="20" w:line="240" w:lineRule="auto"/>
              <w:jc w:val="left"/>
            </w:pPr>
            <w:r>
              <w:rPr>
                <w:rFonts w:ascii="Georgia" w:hAnsi="Georgia"/>
                <w:b/>
                <w:color w:val="2F4858"/>
                <w:sz w:val="18"/>
              </w:rPr>
              <w:t xml:space="preserve">At 33 Percent</w:t>
            </w:r>
          </w:p>
        </w:tc>
        <w:tc>
          <w:tcPr>
            <w:tcW w:w="3008" w:type="dxa"/>
            <w:shd w:val="clear" w:fill="E4EAEE"/>
          </w:tcPr>
          <w:p>
            <w:pPr>
              <w:spacing w:after="20" w:line="240" w:lineRule="auto"/>
              <w:jc w:val="left"/>
            </w:pPr>
            <w:r>
              <w:rPr>
                <w:rFonts w:ascii="Georgia" w:hAnsi="Georgia"/>
                <w:b/>
                <w:color w:val="2F4858"/>
                <w:sz w:val="18"/>
              </w:rPr>
              <w:t xml:space="preserve">At Full Unlock</w:t>
            </w:r>
          </w:p>
        </w:tc>
      </w:tr>
      <w:tr>
        <w:tc>
          <w:tcPr>
            <w:tcW w:w="3008" w:type="dxa"/>
          </w:tcPr>
          <w:p>
            <w:pPr>
              <w:spacing w:after="20" w:line="240" w:lineRule="auto"/>
              <w:jc w:val="left"/>
            </w:pPr>
            <w:r>
              <w:rPr>
                <w:rFonts w:ascii="Georgia" w:hAnsi="Georgia"/>
                <w:color w:val="1E2A32"/>
                <w:sz w:val="18"/>
              </w:rPr>
              <w:t xml:space="preserve">Corridor Function</w:t>
            </w:r>
          </w:p>
        </w:tc>
        <w:tc>
          <w:tcPr>
            <w:tcW w:w="3008" w:type="dxa"/>
          </w:tcPr>
          <w:p>
            <w:pPr>
              <w:spacing w:after="20" w:line="240" w:lineRule="auto"/>
              <w:jc w:val="left"/>
            </w:pPr>
            <w:r>
              <w:rPr>
                <w:rFonts w:ascii="Georgia" w:hAnsi="Georgia"/>
                <w:color w:val="1E2A32"/>
                <w:sz w:val="18"/>
              </w:rPr>
              <w:t xml:space="preserve">Iran administers Corridor North</w:t>
            </w:r>
          </w:p>
        </w:tc>
        <w:tc>
          <w:tcPr>
            <w:tcW w:w="3008" w:type="dxa"/>
          </w:tcPr>
          <w:p>
            <w:pPr>
              <w:spacing w:after="20" w:line="240" w:lineRule="auto"/>
              <w:jc w:val="left"/>
            </w:pPr>
            <w:r>
              <w:rPr>
                <w:rFonts w:ascii="Georgia" w:hAnsi="Georgia"/>
                <w:color w:val="1E2A32"/>
                <w:sz w:val="18"/>
              </w:rPr>
              <w:t xml:space="preserve">Iran administers Corridor North and shares administration of the Buffer Corridor; Oman retains Corridor South</w:t>
            </w:r>
          </w:p>
        </w:tc>
      </w:tr>
      <w:tr>
        <w:tc>
          <w:tcPr>
            <w:tcW w:w="3008" w:type="dxa"/>
          </w:tcPr>
          <w:p>
            <w:pPr>
              <w:spacing w:after="20" w:line="240" w:lineRule="auto"/>
              <w:jc w:val="left"/>
            </w:pPr>
            <w:r>
              <w:rPr>
                <w:rFonts w:ascii="Georgia" w:hAnsi="Georgia"/>
                <w:color w:val="1E2A32"/>
                <w:sz w:val="18"/>
              </w:rPr>
              <w:t xml:space="preserve">Twin Key Weight</w:t>
            </w:r>
          </w:p>
        </w:tc>
        <w:tc>
          <w:tcPr>
            <w:tcW w:w="3008" w:type="dxa"/>
          </w:tcPr>
          <w:p>
            <w:pPr>
              <w:spacing w:after="20" w:line="240" w:lineRule="auto"/>
              <w:jc w:val="left"/>
            </w:pPr>
            <w:r>
              <w:rPr>
                <w:rFonts w:ascii="Georgia" w:hAnsi="Georgia"/>
                <w:color w:val="1E2A32"/>
                <w:sz w:val="18"/>
              </w:rPr>
              <w:t xml:space="preserve">Iran holds one of two keys for Inner Third actions</w:t>
            </w:r>
          </w:p>
        </w:tc>
        <w:tc>
          <w:tcPr>
            <w:tcW w:w="3008" w:type="dxa"/>
          </w:tcPr>
          <w:p>
            <w:pPr>
              <w:spacing w:after="20" w:line="240" w:lineRule="auto"/>
              <w:jc w:val="left"/>
            </w:pPr>
            <w:r>
              <w:rPr>
                <w:rFonts w:ascii="Georgia" w:hAnsi="Georgia"/>
                <w:color w:val="1E2A32"/>
                <w:sz w:val="18"/>
              </w:rPr>
              <w:t xml:space="preserve">Iran holds two of three concurrence votes for Buffer actions; the Twin Key still binds</w:t>
            </w:r>
          </w:p>
        </w:tc>
      </w:tr>
      <w:tr>
        <w:tc>
          <w:tcPr>
            <w:tcW w:w="3008" w:type="dxa"/>
          </w:tcPr>
          <w:p>
            <w:pPr>
              <w:spacing w:after="20" w:line="240" w:lineRule="auto"/>
              <w:jc w:val="left"/>
            </w:pPr>
            <w:r>
              <w:rPr>
                <w:rFonts w:ascii="Georgia" w:hAnsi="Georgia"/>
                <w:color w:val="1E2A32"/>
                <w:sz w:val="18"/>
              </w:rPr>
              <w:t xml:space="preserve">Revenue Share</w:t>
            </w:r>
          </w:p>
        </w:tc>
        <w:tc>
          <w:tcPr>
            <w:tcW w:w="3008" w:type="dxa"/>
          </w:tcPr>
          <w:p>
            <w:pPr>
              <w:spacing w:after="20" w:line="240" w:lineRule="auto"/>
              <w:jc w:val="left"/>
            </w:pPr>
            <w:r>
              <w:rPr>
                <w:rFonts w:ascii="Georgia" w:hAnsi="Georgia"/>
                <w:color w:val="1E2A32"/>
                <w:sz w:val="18"/>
              </w:rPr>
              <w:t xml:space="preserve">33 percent of distributable RADS revenue</w:t>
            </w:r>
          </w:p>
        </w:tc>
        <w:tc>
          <w:tcPr>
            <w:tcW w:w="3008" w:type="dxa"/>
          </w:tcPr>
          <w:p>
            <w:pPr>
              <w:spacing w:after="20" w:line="240" w:lineRule="auto"/>
              <w:jc w:val="left"/>
            </w:pPr>
            <w:r>
              <w:rPr>
                <w:rFonts w:ascii="Georgia" w:hAnsi="Georgia"/>
                <w:color w:val="1E2A32"/>
                <w:sz w:val="18"/>
              </w:rPr>
              <w:t xml:space="preserve">60 percent of distributable RADS revenue (capped)</w:t>
            </w:r>
          </w:p>
        </w:tc>
      </w:tr>
      <w:tr>
        <w:tc>
          <w:tcPr>
            <w:tcW w:w="3008" w:type="dxa"/>
          </w:tcPr>
          <w:p>
            <w:pPr>
              <w:spacing w:after="20" w:line="240" w:lineRule="auto"/>
              <w:jc w:val="left"/>
            </w:pPr>
            <w:r>
              <w:rPr>
                <w:rFonts w:ascii="Georgia" w:hAnsi="Georgia"/>
                <w:color w:val="1E2A32"/>
                <w:sz w:val="18"/>
              </w:rPr>
              <w:t xml:space="preserve">Institutional Voice</w:t>
            </w:r>
          </w:p>
        </w:tc>
        <w:tc>
          <w:tcPr>
            <w:tcW w:w="3008" w:type="dxa"/>
          </w:tcPr>
          <w:p>
            <w:pPr>
              <w:spacing w:after="20" w:line="240" w:lineRule="auto"/>
              <w:jc w:val="left"/>
            </w:pPr>
            <w:r>
              <w:rPr>
                <w:rFonts w:ascii="Georgia" w:hAnsi="Georgia"/>
                <w:color w:val="1E2A32"/>
                <w:sz w:val="18"/>
              </w:rPr>
              <w:t xml:space="preserve">Co-equal Principal Party</w:t>
            </w:r>
          </w:p>
        </w:tc>
        <w:tc>
          <w:tcPr>
            <w:tcW w:w="3008" w:type="dxa"/>
          </w:tcPr>
          <w:p>
            <w:pPr>
              <w:spacing w:after="20" w:line="240" w:lineRule="auto"/>
              <w:jc w:val="left"/>
            </w:pPr>
            <w:r>
              <w:rPr>
                <w:rFonts w:ascii="Georgia" w:hAnsi="Georgia"/>
                <w:color w:val="1E2A32"/>
                <w:sz w:val="18"/>
              </w:rPr>
              <w:t xml:space="preserve">First among equals: casting voice on tied procedural questions, never on substance</w:t>
            </w:r>
          </w:p>
        </w:tc>
      </w:tr>
    </w:tbl>
    <w:p>
      <w:pPr>
        <w:spacing w:after="120"/>
      </w:pPr>
    </w:p>
    <w:p>
      <w:pPr>
        <w:pStyle w:val="Heading3"/>
      </w:pPr>
      <w:r>
        <w:rPr>
          <w:rFonts w:ascii="Georgia" w:hAnsi="Georgia"/>
          <w:b/>
          <w:color w:val="3D5566"/>
          <w:sz w:val="22"/>
        </w:rPr>
        <w:t xml:space="preserve">9.2 Corridor Function Dimension</w:t>
      </w:r>
    </w:p>
    <w:p>
      <w:pPr>
        <w:spacing w:before="0" w:after="140" w:line="252" w:lineRule="auto"/>
        <w:jc w:val="both"/>
      </w:pPr>
      <w:r>
        <w:rPr>
          <w:rFonts w:ascii="Georgia" w:hAnsi="Georgia"/>
          <w:color w:val="1E2A32"/>
          <w:sz w:val="21"/>
        </w:rPr>
        <w:t xml:space="preserve">As Control Weight crosses each band boundary in Annex B, Iran's functional administration expands in the sequence Annex B specifies: first deeper service authority inside Corridor North, then joint functions at the northern face of the Buffer Corridor, then co-administration of Buffer emergency routing, then outbound-facing data services in support of Corridor South. Corridor South administration remains Oman's standing allocation at every level.</w:t>
      </w:r>
    </w:p>
    <w:p>
      <w:pPr>
        <w:pStyle w:val="Heading3"/>
      </w:pPr>
      <w:r>
        <w:rPr>
          <w:rFonts w:ascii="Georgia" w:hAnsi="Georgia"/>
          <w:b/>
          <w:color w:val="3D5566"/>
          <w:sz w:val="22"/>
        </w:rPr>
        <w:t xml:space="preserve">9.3 Twin Key Dimension</w:t>
      </w:r>
    </w:p>
    <w:p>
      <w:pPr>
        <w:spacing w:before="0" w:after="140" w:line="252" w:lineRule="auto"/>
        <w:jc w:val="both"/>
      </w:pPr>
      <w:r>
        <w:rPr>
          <w:rFonts w:ascii="Georgia" w:hAnsi="Georgia"/>
          <w:color w:val="1E2A32"/>
          <w:sz w:val="21"/>
        </w:rPr>
        <w:t xml:space="preserve">The Twin Key binds at every Control Weight level without exception. The Escalator changes the composition of concurrence bodies and the weight of Iran's voice inside them; it never confers unilateral authority for consequential action. Article 19 defines consequential action exhaustively.</w:t>
      </w:r>
    </w:p>
    <w:p>
      <w:pPr>
        <w:pStyle w:val="Heading3"/>
      </w:pPr>
      <w:r>
        <w:rPr>
          <w:rFonts w:ascii="Georgia" w:hAnsi="Georgia"/>
          <w:b/>
          <w:color w:val="3D5566"/>
          <w:sz w:val="22"/>
        </w:rPr>
        <w:t xml:space="preserve">9.4 Revenue Dimension</w:t>
      </w:r>
    </w:p>
    <w:p>
      <w:pPr>
        <w:spacing w:before="0" w:after="140" w:line="252" w:lineRule="auto"/>
        <w:jc w:val="both"/>
      </w:pPr>
      <w:r>
        <w:rPr>
          <w:rFonts w:ascii="Georgia" w:hAnsi="Georgia"/>
          <w:color w:val="1E2A32"/>
          <w:sz w:val="21"/>
        </w:rPr>
        <w:t xml:space="preserve">Iran's share of distributable RADS revenue tracks Control Weight up to a permanent cap of 60 percent. Oman's share never falls below 25 percent. The residual funds the Stewardship Reserve under Annex F. The cap binds even at Full Unlock.</w:t>
      </w:r>
    </w:p>
    <w:p>
      <w:pPr>
        <w:pStyle w:val="Heading3"/>
      </w:pPr>
      <w:r>
        <w:rPr>
          <w:rFonts w:ascii="Georgia" w:hAnsi="Georgia"/>
          <w:b/>
          <w:color w:val="3D5566"/>
          <w:sz w:val="22"/>
        </w:rPr>
        <w:t xml:space="preserve">9.5 Institutional Voice Dimension</w:t>
      </w:r>
    </w:p>
    <w:p>
      <w:pPr>
        <w:spacing w:before="0" w:after="140" w:line="252" w:lineRule="auto"/>
        <w:jc w:val="both"/>
      </w:pPr>
      <w:r>
        <w:rPr>
          <w:rFonts w:ascii="Georgia" w:hAnsi="Georgia"/>
          <w:color w:val="1E2A32"/>
          <w:sz w:val="21"/>
        </w:rPr>
        <w:t xml:space="preserve">Council voting weights follow Annex B. At Full Unlock, Iran holds the casting voice on tied procedural questions. Substantive decisions, defined in Article 16, always require Twin Key concurrence regardless of voting weights.</w:t>
      </w:r>
    </w:p>
    <w:p>
      <w:pPr>
        <w:pStyle w:val="Heading2"/>
      </w:pPr>
      <w:bookmarkStart w:id="1017" w:name="_Toc260001017"/>
      <w:r>
        <w:rPr>
          <w:rFonts w:ascii="Georgia" w:hAnsi="Georgia"/>
          <w:b/>
          <w:color w:val="2F4858"/>
          <w:sz w:val="25"/>
        </w:rPr>
        <w:t xml:space="preserve">Article 10: Events, Pauses, Resets, and the Permanent Floor</w:t>
      </w:r>
      <w:bookmarkEnd w:id="1017"/>
    </w:p>
    <w:p>
      <w:pPr>
        <w:pStyle w:val="Heading3"/>
      </w:pPr>
      <w:r>
        <w:rPr>
          <w:rFonts w:ascii="Georgia" w:hAnsi="Georgia"/>
          <w:b/>
          <w:color w:val="3D5566"/>
          <w:sz w:val="22"/>
        </w:rPr>
        <w:t xml:space="preserve">10.1 Event Classification</w:t>
      </w:r>
    </w:p>
    <w:p>
      <w:pPr>
        <w:spacing w:before="0" w:after="140" w:line="252" w:lineRule="auto"/>
        <w:jc w:val="both"/>
      </w:pPr>
      <w:r>
        <w:rPr>
          <w:rFonts w:ascii="Georgia" w:hAnsi="Georgia"/>
          <w:color w:val="1E2A32"/>
          <w:sz w:val="21"/>
        </w:rPr>
        <w:t xml:space="preserve">Every occurrence in the Corridor System classifies under Annex D as one of: E-0 (Clean Week), E-1 (Technical Deviation), E-2 (Material Incident), E-3 (Major Incident), or E-4 (Hostile Attack). Classification follows objective telemetry and verification records, never allegation.</w:t>
      </w:r>
    </w:p>
    <w:p>
      <w:pPr>
        <w:pStyle w:val="Heading3"/>
      </w:pPr>
      <w:r>
        <w:rPr>
          <w:rFonts w:ascii="Georgia" w:hAnsi="Georgia"/>
          <w:b/>
          <w:color w:val="3D5566"/>
          <w:sz w:val="22"/>
        </w:rPr>
        <w:t xml:space="preserve">10.2 Escalator Consequences</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4513"/>
        <w:gridCol w:w="4513"/>
      </w:tblGrid>
      <w:tr>
        <w:trPr>
          <w:tblHeader/>
        </w:trPr>
        <w:tc>
          <w:tcPr>
            <w:tcW w:w="4513" w:type="dxa"/>
            <w:shd w:val="clear" w:fill="E4EAEE"/>
          </w:tcPr>
          <w:p>
            <w:pPr>
              <w:spacing w:after="20" w:line="240" w:lineRule="auto"/>
              <w:jc w:val="left"/>
            </w:pPr>
            <w:r>
              <w:rPr>
                <w:rFonts w:ascii="Georgia" w:hAnsi="Georgia"/>
                <w:b/>
                <w:color w:val="2F4858"/>
                <w:sz w:val="18"/>
              </w:rPr>
              <w:t xml:space="preserve">Event</w:t>
            </w:r>
          </w:p>
        </w:tc>
        <w:tc>
          <w:tcPr>
            <w:tcW w:w="4513" w:type="dxa"/>
            <w:shd w:val="clear" w:fill="E4EAEE"/>
          </w:tcPr>
          <w:p>
            <w:pPr>
              <w:spacing w:after="20" w:line="240" w:lineRule="auto"/>
              <w:jc w:val="left"/>
            </w:pPr>
            <w:r>
              <w:rPr>
                <w:rFonts w:ascii="Georgia" w:hAnsi="Georgia"/>
                <w:b/>
                <w:color w:val="2F4858"/>
                <w:sz w:val="18"/>
              </w:rPr>
              <w:t xml:space="preserve">Escalator Effect</w:t>
            </w:r>
          </w:p>
        </w:tc>
      </w:tr>
      <w:tr>
        <w:tc>
          <w:tcPr>
            <w:tcW w:w="4513" w:type="dxa"/>
          </w:tcPr>
          <w:p>
            <w:pPr>
              <w:spacing w:after="20" w:line="240" w:lineRule="auto"/>
              <w:jc w:val="left"/>
            </w:pPr>
            <w:r>
              <w:rPr>
                <w:rFonts w:ascii="Georgia" w:hAnsi="Georgia"/>
                <w:color w:val="1E2A32"/>
                <w:sz w:val="18"/>
              </w:rPr>
              <w:t xml:space="preserve">E-0 Clean Week</w:t>
            </w:r>
          </w:p>
        </w:tc>
        <w:tc>
          <w:tcPr>
            <w:tcW w:w="4513" w:type="dxa"/>
          </w:tcPr>
          <w:p>
            <w:pPr>
              <w:spacing w:after="20" w:line="240" w:lineRule="auto"/>
              <w:jc w:val="left"/>
            </w:pPr>
            <w:r>
              <w:rPr>
                <w:rFonts w:ascii="Georgia" w:hAnsi="Georgia"/>
                <w:color w:val="1E2A32"/>
                <w:sz w:val="18"/>
              </w:rPr>
              <w:t xml:space="preserve">Control Weight increases ten percentage points</w:t>
            </w:r>
          </w:p>
        </w:tc>
      </w:tr>
      <w:tr>
        <w:tc>
          <w:tcPr>
            <w:tcW w:w="4513" w:type="dxa"/>
          </w:tcPr>
          <w:p>
            <w:pPr>
              <w:spacing w:after="20" w:line="240" w:lineRule="auto"/>
              <w:jc w:val="left"/>
            </w:pPr>
            <w:r>
              <w:rPr>
                <w:rFonts w:ascii="Georgia" w:hAnsi="Georgia"/>
                <w:color w:val="1E2A32"/>
                <w:sz w:val="18"/>
              </w:rPr>
              <w:t xml:space="preserve">E-1 Technical Deviation</w:t>
            </w:r>
          </w:p>
        </w:tc>
        <w:tc>
          <w:tcPr>
            <w:tcW w:w="4513" w:type="dxa"/>
          </w:tcPr>
          <w:p>
            <w:pPr>
              <w:spacing w:after="20" w:line="240" w:lineRule="auto"/>
              <w:jc w:val="left"/>
            </w:pPr>
            <w:r>
              <w:rPr>
                <w:rFonts w:ascii="Georgia" w:hAnsi="Georgia"/>
                <w:color w:val="1E2A32"/>
                <w:sz w:val="18"/>
              </w:rPr>
              <w:t xml:space="preserve">Escalator pauses for seven days; no increment accrues for the affected period; accumulated milestones hold</w:t>
            </w:r>
          </w:p>
        </w:tc>
      </w:tr>
      <w:tr>
        <w:tc>
          <w:tcPr>
            <w:tcW w:w="4513" w:type="dxa"/>
          </w:tcPr>
          <w:p>
            <w:pPr>
              <w:spacing w:after="20" w:line="240" w:lineRule="auto"/>
              <w:jc w:val="left"/>
            </w:pPr>
            <w:r>
              <w:rPr>
                <w:rFonts w:ascii="Georgia" w:hAnsi="Georgia"/>
                <w:color w:val="1E2A32"/>
                <w:sz w:val="18"/>
              </w:rPr>
              <w:t xml:space="preserve">E-2 Material Incident</w:t>
            </w:r>
          </w:p>
        </w:tc>
        <w:tc>
          <w:tcPr>
            <w:tcW w:w="4513" w:type="dxa"/>
          </w:tcPr>
          <w:p>
            <w:pPr>
              <w:spacing w:after="20" w:line="240" w:lineRule="auto"/>
              <w:jc w:val="left"/>
            </w:pPr>
            <w:r>
              <w:rPr>
                <w:rFonts w:ascii="Georgia" w:hAnsi="Georgia"/>
                <w:color w:val="1E2A32"/>
                <w:sz w:val="18"/>
              </w:rPr>
              <w:t xml:space="preserve">Control Weight steps back to the previous milestone; the Verification Clock restarts from that milestone</w:t>
            </w:r>
          </w:p>
        </w:tc>
      </w:tr>
      <w:tr>
        <w:tc>
          <w:tcPr>
            <w:tcW w:w="4513" w:type="dxa"/>
          </w:tcPr>
          <w:p>
            <w:pPr>
              <w:spacing w:after="20" w:line="240" w:lineRule="auto"/>
              <w:jc w:val="left"/>
            </w:pPr>
            <w:r>
              <w:rPr>
                <w:rFonts w:ascii="Georgia" w:hAnsi="Georgia"/>
                <w:color w:val="1E2A32"/>
                <w:sz w:val="18"/>
              </w:rPr>
              <w:t xml:space="preserve">E-3 Major Incident</w:t>
            </w:r>
          </w:p>
        </w:tc>
        <w:tc>
          <w:tcPr>
            <w:tcW w:w="4513" w:type="dxa"/>
          </w:tcPr>
          <w:p>
            <w:pPr>
              <w:spacing w:after="20" w:line="240" w:lineRule="auto"/>
              <w:jc w:val="left"/>
            </w:pPr>
            <w:r>
              <w:rPr>
                <w:rFonts w:ascii="Georgia" w:hAnsi="Georgia"/>
                <w:color w:val="1E2A32"/>
                <w:sz w:val="18"/>
              </w:rPr>
              <w:t xml:space="preserve">Control Weight resets to the 33 percent baseline, subject to the Permanent Floor</w:t>
            </w:r>
          </w:p>
        </w:tc>
      </w:tr>
      <w:tr>
        <w:tc>
          <w:tcPr>
            <w:tcW w:w="4513" w:type="dxa"/>
          </w:tcPr>
          <w:p>
            <w:pPr>
              <w:spacing w:after="20" w:line="240" w:lineRule="auto"/>
              <w:jc w:val="left"/>
            </w:pPr>
            <w:r>
              <w:rPr>
                <w:rFonts w:ascii="Georgia" w:hAnsi="Georgia"/>
                <w:color w:val="1E2A32"/>
                <w:sz w:val="18"/>
              </w:rPr>
              <w:t xml:space="preserve">E-4 Hostile Attack</w:t>
            </w:r>
          </w:p>
        </w:tc>
        <w:tc>
          <w:tcPr>
            <w:tcW w:w="4513" w:type="dxa"/>
          </w:tcPr>
          <w:p>
            <w:pPr>
              <w:spacing w:after="20" w:line="240" w:lineRule="auto"/>
              <w:jc w:val="left"/>
            </w:pPr>
            <w:r>
              <w:rPr>
                <w:rFonts w:ascii="Georgia" w:hAnsi="Georgia"/>
                <w:color w:val="1E2A32"/>
                <w:sz w:val="18"/>
              </w:rPr>
              <w:t xml:space="preserve">Control Weight resets to the 33 percent baseline, subject to the Permanent Floor; the Council convenes in extraordinary session within 48 hours</w:t>
            </w:r>
          </w:p>
        </w:tc>
      </w:tr>
    </w:tbl>
    <w:p>
      <w:pPr>
        <w:spacing w:after="120"/>
      </w:pPr>
    </w:p>
    <w:p>
      <w:pPr>
        <w:pStyle w:val="Heading3"/>
      </w:pPr>
      <w:r>
        <w:rPr>
          <w:rFonts w:ascii="Georgia" w:hAnsi="Georgia"/>
          <w:b/>
          <w:color w:val="3D5566"/>
          <w:sz w:val="22"/>
        </w:rPr>
        <w:t xml:space="preserve">10.3 The Permanent Floor</w:t>
      </w:r>
    </w:p>
    <w:p>
      <w:pPr>
        <w:spacing w:before="0" w:after="140" w:line="252" w:lineRule="auto"/>
        <w:jc w:val="both"/>
      </w:pPr>
      <w:r>
        <w:rPr>
          <w:rFonts w:ascii="Georgia" w:hAnsi="Georgia"/>
          <w:color w:val="1E2A32"/>
          <w:sz w:val="21"/>
        </w:rPr>
        <w:t xml:space="preserve">Upon Full Unlock, the Permanent Floor of 60 percent activates and remains in force for the duration of this Accord. No subsequent Event reduces Iran's Control Weight below 60 percent. Resets that Article 10.2 directs descend to the Permanent Floor and no further. The Permanent Floor is irrevocable once attained, and it expresses IPR-4.</w:t>
      </w:r>
    </w:p>
    <w:p>
      <w:pPr>
        <w:pStyle w:val="Heading3"/>
      </w:pPr>
      <w:r>
        <w:rPr>
          <w:rFonts w:ascii="Georgia" w:hAnsi="Georgia"/>
          <w:b/>
          <w:color w:val="3D5566"/>
          <w:sz w:val="22"/>
        </w:rPr>
        <w:t xml:space="preserve">10.4 Attribution Before Consequence</w:t>
      </w:r>
    </w:p>
    <w:p>
      <w:pPr>
        <w:spacing w:before="0" w:after="140" w:line="252" w:lineRule="auto"/>
        <w:jc w:val="both"/>
      </w:pPr>
      <w:r>
        <w:rPr>
          <w:rFonts w:ascii="Georgia" w:hAnsi="Georgia"/>
          <w:color w:val="1E2A32"/>
          <w:sz w:val="21"/>
        </w:rPr>
        <w:t xml:space="preserve">No E-2, E-3, or E-4 consequence applies before the attribution procedure of Article 28 completes. The 48-hour attribution deferral window applies to every contested classification. Where attribution remains unresolved after the window, the classification defaults one grade lower pending the forensic finding, and the forensic finding retroactively corrects the record.</w:t>
      </w:r>
    </w:p>
    <w:p>
      <w:pPr>
        <w:pStyle w:val="Heading3"/>
      </w:pPr>
      <w:r>
        <w:rPr>
          <w:rFonts w:ascii="Georgia" w:hAnsi="Georgia"/>
          <w:b/>
          <w:color w:val="3D5566"/>
          <w:sz w:val="22"/>
        </w:rPr>
        <w:t xml:space="preserve">10.5 No Penalty Beyond the Schedule</w:t>
      </w:r>
    </w:p>
    <w:p>
      <w:pPr>
        <w:spacing w:before="0" w:after="140" w:line="252" w:lineRule="auto"/>
        <w:jc w:val="both"/>
      </w:pPr>
      <w:r>
        <w:rPr>
          <w:rFonts w:ascii="Georgia" w:hAnsi="Georgia"/>
          <w:color w:val="1E2A32"/>
          <w:sz w:val="21"/>
        </w:rPr>
        <w:t xml:space="preserve">The consequences in Article 10.2 are exhaustive. No Party adds sanctions, fees, suspensions, or conditions beyond them. The Escalator's discipline lives inside the Escalator.</w:t>
      </w:r>
    </w:p>
    <w:p>
      <w:pPr>
        <w:pStyle w:val="Heading2"/>
      </w:pPr>
      <w:bookmarkStart w:id="1018" w:name="_Toc260001018"/>
      <w:r>
        <w:rPr>
          <w:rFonts w:ascii="Georgia" w:hAnsi="Georgia"/>
          <w:b/>
          <w:color w:val="2F4858"/>
          <w:sz w:val="25"/>
        </w:rPr>
        <w:t xml:space="preserve">Article 11: Good Conduct Credits</w:t>
      </w:r>
      <w:bookmarkEnd w:id="1018"/>
    </w:p>
    <w:p>
      <w:pPr>
        <w:pStyle w:val="Heading3"/>
      </w:pPr>
      <w:r>
        <w:rPr>
          <w:rFonts w:ascii="Georgia" w:hAnsi="Georgia"/>
          <w:b/>
          <w:color w:val="3D5566"/>
          <w:sz w:val="22"/>
        </w:rPr>
        <w:t xml:space="preserve">11.1 Accrual</w:t>
      </w:r>
    </w:p>
    <w:p>
      <w:pPr>
        <w:spacing w:before="0" w:after="140" w:line="252" w:lineRule="auto"/>
        <w:jc w:val="both"/>
      </w:pPr>
      <w:r>
        <w:rPr>
          <w:rFonts w:ascii="Georgia" w:hAnsi="Georgia"/>
          <w:color w:val="1E2A32"/>
          <w:sz w:val="21"/>
        </w:rPr>
        <w:t xml:space="preserve">Each Clean Week accrues one Good Conduct Credit to Iran's credit account, which the Neutral Watch Office maintains and publishes. Each quarter of uninterrupted Clean Weeks accrues one additional bonus credit.</w:t>
      </w:r>
    </w:p>
    <w:p>
      <w:pPr>
        <w:pStyle w:val="Heading3"/>
      </w:pPr>
      <w:r>
        <w:rPr>
          <w:rFonts w:ascii="Georgia" w:hAnsi="Georgia"/>
          <w:b/>
          <w:color w:val="3D5566"/>
          <w:sz w:val="22"/>
        </w:rPr>
        <w:t xml:space="preserve">11.2 Redemption</w:t>
      </w:r>
    </w:p>
    <w:p>
      <w:pPr>
        <w:spacing w:before="0" w:after="140" w:line="252" w:lineRule="auto"/>
        <w:jc w:val="both"/>
      </w:pPr>
      <w:r>
        <w:rPr>
          <w:rFonts w:ascii="Georgia" w:hAnsi="Georgia"/>
          <w:color w:val="1E2A32"/>
          <w:sz w:val="21"/>
        </w:rPr>
        <w:t xml:space="preserve">Iran redeems credits at its election for the following effects: (a) three credits restore one milestone step lost through an E-2 reset; (b) five credits cancel one E-1 pause before it runs; (c) two credits offset one active Demerit Point. Redemption executes on notice to the Neutral Watch Office and takes effect at the next Verification Period boundary.</w:t>
      </w:r>
    </w:p>
    <w:p>
      <w:pPr>
        <w:pStyle w:val="Heading3"/>
      </w:pPr>
      <w:r>
        <w:rPr>
          <w:rFonts w:ascii="Georgia" w:hAnsi="Georgia"/>
          <w:b/>
          <w:color w:val="3D5566"/>
          <w:sz w:val="22"/>
        </w:rPr>
        <w:t xml:space="preserve">11.3 Banking and Continuity</w:t>
      </w:r>
    </w:p>
    <w:p>
      <w:pPr>
        <w:spacing w:before="0" w:after="140" w:line="252" w:lineRule="auto"/>
        <w:jc w:val="both"/>
      </w:pPr>
      <w:r>
        <w:rPr>
          <w:rFonts w:ascii="Georgia" w:hAnsi="Georgia"/>
          <w:color w:val="1E2A32"/>
          <w:sz w:val="21"/>
        </w:rPr>
        <w:t xml:space="preserve">Credits bank without expiry for the duration of this Accord. Credits survive resets, including resets to the baseline. The credit balance at Full Unlock carries forward into the post-unlock regime as standing insurance against future Events.</w:t>
      </w:r>
    </w:p>
    <w:p>
      <w:pPr>
        <w:pStyle w:val="Heading3"/>
      </w:pPr>
      <w:r>
        <w:rPr>
          <w:rFonts w:ascii="Georgia" w:hAnsi="Georgia"/>
          <w:b/>
          <w:color w:val="3D5566"/>
          <w:sz w:val="22"/>
        </w:rPr>
        <w:t xml:space="preserve">11.4 Transfer</w:t>
      </w:r>
    </w:p>
    <w:p>
      <w:pPr>
        <w:spacing w:before="0" w:after="140" w:line="252" w:lineRule="auto"/>
        <w:jc w:val="both"/>
      </w:pPr>
      <w:r>
        <w:rPr>
          <w:rFonts w:ascii="Georgia" w:hAnsi="Georgia"/>
          <w:color w:val="1E2A32"/>
          <w:sz w:val="21"/>
        </w:rPr>
        <w:t xml:space="preserve">Iran transfers credits to Oman, and Oman transfers credits to Iran, by joint written notice to the Neutral Watch Office. Transferred credits retain full redemption value. No other transfer is valid, and credits never convert to money.</w:t>
      </w:r>
    </w:p>
    <w:p>
      <w:pPr>
        <w:pStyle w:val="Heading2"/>
      </w:pPr>
      <w:bookmarkStart w:id="1019" w:name="_Toc260001019"/>
      <w:r>
        <w:rPr>
          <w:rFonts w:ascii="Georgia" w:hAnsi="Georgia"/>
          <w:b/>
          <w:color w:val="2F4858"/>
          <w:sz w:val="25"/>
        </w:rPr>
        <w:t xml:space="preserve">Article 12: Step-Back and Earn-Back</w:t>
      </w:r>
      <w:bookmarkEnd w:id="1019"/>
    </w:p>
    <w:p>
      <w:pPr>
        <w:pStyle w:val="Heading3"/>
      </w:pPr>
      <w:r>
        <w:rPr>
          <w:rFonts w:ascii="Georgia" w:hAnsi="Georgia"/>
          <w:b/>
          <w:color w:val="3D5566"/>
          <w:sz w:val="22"/>
        </w:rPr>
        <w:t xml:space="preserve">12.1 Breathing, Not Collapse</w:t>
      </w:r>
    </w:p>
    <w:p>
      <w:pPr>
        <w:spacing w:before="0" w:after="140" w:line="252" w:lineRule="auto"/>
        <w:jc w:val="both"/>
      </w:pPr>
      <w:r>
        <w:rPr>
          <w:rFonts w:ascii="Georgia" w:hAnsi="Georgia"/>
          <w:color w:val="1E2A32"/>
          <w:sz w:val="21"/>
        </w:rPr>
        <w:t xml:space="preserve">The Accord does not collapse upon breach; it breathes. Step-back consequences apply in proportion to severity and duration, and every step-back carries an automatic, defined earn-back route. No Event creates permanent exclusion, and no Event touches the Permanent Floor.</w:t>
      </w:r>
    </w:p>
    <w:p>
      <w:pPr>
        <w:pStyle w:val="Heading3"/>
      </w:pPr>
      <w:r>
        <w:rPr>
          <w:rFonts w:ascii="Georgia" w:hAnsi="Georgia"/>
          <w:b/>
          <w:color w:val="3D5566"/>
          <w:sz w:val="22"/>
        </w:rPr>
        <w:t xml:space="preserve">12.2 Proportionality Formula</w:t>
      </w:r>
    </w:p>
    <w:p>
      <w:pPr>
        <w:spacing w:before="0" w:after="140" w:line="252" w:lineRule="auto"/>
        <w:jc w:val="both"/>
      </w:pPr>
      <w:r>
        <w:rPr>
          <w:rFonts w:ascii="Georgia" w:hAnsi="Georgia"/>
          <w:color w:val="1E2A32"/>
          <w:sz w:val="21"/>
        </w:rPr>
        <w:t xml:space="preserve">Where an Event's consequences scale with duration, the Council applies: consequence equals base consequence multiplied by the duration factor multiplied by the remediation factor. The duration factor runs from 0.4 (cure within 24 hours) to 1.0 (the remediation window lapses uncured). The remediation factor runs 0.5 for full remediation, 0.75 for partial remediation, and 1.0 for no remediation. The Neutral Watch Office publishes the inputs; the arithmetic is mechanical.</w:t>
      </w:r>
    </w:p>
    <w:p>
      <w:pPr>
        <w:pStyle w:val="Heading3"/>
      </w:pPr>
      <w:r>
        <w:rPr>
          <w:rFonts w:ascii="Georgia" w:hAnsi="Georgia"/>
          <w:b/>
          <w:color w:val="3D5566"/>
          <w:sz w:val="22"/>
        </w:rPr>
        <w:t xml:space="preserve">12.3 Earn-Back Standards</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4513"/>
        <w:gridCol w:w="4513"/>
      </w:tblGrid>
      <w:tr>
        <w:trPr>
          <w:tblHeader/>
        </w:trPr>
        <w:tc>
          <w:tcPr>
            <w:tcW w:w="4513" w:type="dxa"/>
            <w:shd w:val="clear" w:fill="E4EAEE"/>
          </w:tcPr>
          <w:p>
            <w:pPr>
              <w:spacing w:after="20" w:line="240" w:lineRule="auto"/>
              <w:jc w:val="left"/>
            </w:pPr>
            <w:r>
              <w:rPr>
                <w:rFonts w:ascii="Georgia" w:hAnsi="Georgia"/>
                <w:b/>
                <w:color w:val="2F4858"/>
                <w:sz w:val="18"/>
              </w:rPr>
              <w:t xml:space="preserve">Event Grade</w:t>
            </w:r>
          </w:p>
        </w:tc>
        <w:tc>
          <w:tcPr>
            <w:tcW w:w="4513" w:type="dxa"/>
            <w:shd w:val="clear" w:fill="E4EAEE"/>
          </w:tcPr>
          <w:p>
            <w:pPr>
              <w:spacing w:after="20" w:line="240" w:lineRule="auto"/>
              <w:jc w:val="left"/>
            </w:pPr>
            <w:r>
              <w:rPr>
                <w:rFonts w:ascii="Georgia" w:hAnsi="Georgia"/>
                <w:b/>
                <w:color w:val="2F4858"/>
                <w:sz w:val="18"/>
              </w:rPr>
              <w:t xml:space="preserve">Earn-Back Requirement</w:t>
            </w:r>
          </w:p>
        </w:tc>
      </w:tr>
      <w:tr>
        <w:tc>
          <w:tcPr>
            <w:tcW w:w="4513" w:type="dxa"/>
          </w:tcPr>
          <w:p>
            <w:pPr>
              <w:spacing w:after="20" w:line="240" w:lineRule="auto"/>
              <w:jc w:val="left"/>
            </w:pPr>
            <w:r>
              <w:rPr>
                <w:rFonts w:ascii="Georgia" w:hAnsi="Georgia"/>
                <w:color w:val="1E2A32"/>
                <w:sz w:val="18"/>
              </w:rPr>
              <w:t xml:space="preserve">E-1</w:t>
            </w:r>
          </w:p>
        </w:tc>
        <w:tc>
          <w:tcPr>
            <w:tcW w:w="4513" w:type="dxa"/>
          </w:tcPr>
          <w:p>
            <w:pPr>
              <w:spacing w:after="20" w:line="240" w:lineRule="auto"/>
              <w:jc w:val="left"/>
            </w:pPr>
            <w:r>
              <w:rPr>
                <w:rFonts w:ascii="Georgia" w:hAnsi="Georgia"/>
                <w:color w:val="1E2A32"/>
                <w:sz w:val="18"/>
              </w:rPr>
              <w:t xml:space="preserve">Resumption of clean operation; the paused week simply re-runs</w:t>
            </w:r>
          </w:p>
        </w:tc>
      </w:tr>
      <w:tr>
        <w:tc>
          <w:tcPr>
            <w:tcW w:w="4513" w:type="dxa"/>
          </w:tcPr>
          <w:p>
            <w:pPr>
              <w:spacing w:after="20" w:line="240" w:lineRule="auto"/>
              <w:jc w:val="left"/>
            </w:pPr>
            <w:r>
              <w:rPr>
                <w:rFonts w:ascii="Georgia" w:hAnsi="Georgia"/>
                <w:color w:val="1E2A32"/>
                <w:sz w:val="18"/>
              </w:rPr>
              <w:t xml:space="preserve">E-2</w:t>
            </w:r>
          </w:p>
        </w:tc>
        <w:tc>
          <w:tcPr>
            <w:tcW w:w="4513" w:type="dxa"/>
          </w:tcPr>
          <w:p>
            <w:pPr>
              <w:spacing w:after="20" w:line="240" w:lineRule="auto"/>
              <w:jc w:val="left"/>
            </w:pPr>
            <w:r>
              <w:rPr>
                <w:rFonts w:ascii="Georgia" w:hAnsi="Georgia"/>
                <w:color w:val="1E2A32"/>
                <w:sz w:val="18"/>
              </w:rPr>
              <w:t xml:space="preserve">Fourteen days of clean operation following remediation; the lost milestone then restores automatically</w:t>
            </w:r>
          </w:p>
        </w:tc>
      </w:tr>
      <w:tr>
        <w:tc>
          <w:tcPr>
            <w:tcW w:w="4513" w:type="dxa"/>
          </w:tcPr>
          <w:p>
            <w:pPr>
              <w:spacing w:after="20" w:line="240" w:lineRule="auto"/>
              <w:jc w:val="left"/>
            </w:pPr>
            <w:r>
              <w:rPr>
                <w:rFonts w:ascii="Georgia" w:hAnsi="Georgia"/>
                <w:color w:val="1E2A32"/>
                <w:sz w:val="18"/>
              </w:rPr>
              <w:t xml:space="preserve">E-3</w:t>
            </w:r>
          </w:p>
        </w:tc>
        <w:tc>
          <w:tcPr>
            <w:tcW w:w="4513" w:type="dxa"/>
          </w:tcPr>
          <w:p>
            <w:pPr>
              <w:spacing w:after="20" w:line="240" w:lineRule="auto"/>
              <w:jc w:val="left"/>
            </w:pPr>
            <w:r>
              <w:rPr>
                <w:rFonts w:ascii="Georgia" w:hAnsi="Georgia"/>
                <w:color w:val="1E2A32"/>
                <w:sz w:val="18"/>
              </w:rPr>
              <w:t xml:space="preserve">Ninety days of sustained clean operation plus Joint Survey Group certification of corridor safety; milestones then re-accrue from the reset position at double pace for the first three steps (ten points per clean half-week)</w:t>
            </w:r>
          </w:p>
        </w:tc>
      </w:tr>
      <w:tr>
        <w:tc>
          <w:tcPr>
            <w:tcW w:w="4513" w:type="dxa"/>
          </w:tcPr>
          <w:p>
            <w:pPr>
              <w:spacing w:after="20" w:line="240" w:lineRule="auto"/>
              <w:jc w:val="left"/>
            </w:pPr>
            <w:r>
              <w:rPr>
                <w:rFonts w:ascii="Georgia" w:hAnsi="Georgia"/>
                <w:color w:val="1E2A32"/>
                <w:sz w:val="18"/>
              </w:rPr>
              <w:t xml:space="preserve">E-4</w:t>
            </w:r>
          </w:p>
        </w:tc>
        <w:tc>
          <w:tcPr>
            <w:tcW w:w="4513" w:type="dxa"/>
          </w:tcPr>
          <w:p>
            <w:pPr>
              <w:spacing w:after="20" w:line="240" w:lineRule="auto"/>
              <w:jc w:val="left"/>
            </w:pPr>
            <w:r>
              <w:rPr>
                <w:rFonts w:ascii="Georgia" w:hAnsi="Georgia"/>
                <w:color w:val="1E2A32"/>
                <w:sz w:val="18"/>
              </w:rPr>
              <w:t xml:space="preserve">Ninety days of sustained clean operation plus Council confirmation under Consensus Minus One; milestones then re-accrue from the reset position</w:t>
            </w:r>
          </w:p>
        </w:tc>
      </w:tr>
    </w:tbl>
    <w:p>
      <w:pPr>
        <w:spacing w:after="120"/>
      </w:pPr>
    </w:p>
    <w:p>
      <w:pPr>
        <w:pStyle w:val="Heading3"/>
      </w:pPr>
      <w:r>
        <w:rPr>
          <w:rFonts w:ascii="Georgia" w:hAnsi="Georgia"/>
          <w:b/>
          <w:color w:val="3D5566"/>
          <w:sz w:val="22"/>
        </w:rPr>
        <w:t xml:space="preserve">12.4 What Earn-Back Never Requires</w:t>
      </w:r>
    </w:p>
    <w:p>
      <w:pPr>
        <w:spacing w:before="0" w:after="140" w:line="252" w:lineRule="auto"/>
        <w:jc w:val="both"/>
      </w:pPr>
      <w:r>
        <w:rPr>
          <w:rFonts w:ascii="Georgia" w:hAnsi="Georgia"/>
          <w:color w:val="1E2A32"/>
          <w:sz w:val="21"/>
        </w:rPr>
        <w:t xml:space="preserve">Earn-back never requires: an admission of guilt; payment of penalties or liquidated damages; political concessions beyond restored compliance; or renegotiation of any provision of this Accord.</w:t>
      </w:r>
    </w:p>
    <w:p>
      <w:pPr>
        <w:pStyle w:val="Heading3"/>
      </w:pPr>
      <w:r>
        <w:rPr>
          <w:rFonts w:ascii="Georgia" w:hAnsi="Georgia"/>
          <w:b/>
          <w:color w:val="3D5566"/>
          <w:sz w:val="22"/>
        </w:rPr>
        <w:t xml:space="preserve">12.5 Double Pace Restoration</w:t>
      </w:r>
    </w:p>
    <w:p>
      <w:pPr>
        <w:spacing w:before="0" w:after="140" w:line="252" w:lineRule="auto"/>
        <w:jc w:val="both"/>
      </w:pPr>
      <w:r>
        <w:rPr>
          <w:rFonts w:ascii="Georgia" w:hAnsi="Georgia"/>
          <w:color w:val="1E2A32"/>
          <w:sz w:val="21"/>
        </w:rPr>
        <w:t xml:space="preserve">The double pace restoration of Article 12.3 for E-3 events expresses the design principle that a Party which stumbles once and then performs earns its way home faster than it fell. This asymmetry is deliberate, published, and applies identically to every future E-3 Event.</w:t>
      </w:r>
    </w:p>
    <w:p>
      <w:pPr>
        <w:pStyle w:val="Heading1"/>
        <w:pBdr>
          <w:bottom w:val="single" w:color="8A6D2F" w:sz="10"/>
        </w:pBdr>
      </w:pPr>
      <w:bookmarkStart w:id="1020" w:name="_Toc260001020"/>
      <w:r>
        <w:rPr>
          <w:rFonts w:ascii="Georgia" w:hAnsi="Georgia"/>
          <w:b/>
          <w:color w:val="2F4858"/>
          <w:sz w:val="30"/>
        </w:rPr>
        <w:t xml:space="preserve">PART IV: PHASED REOPENING</w:t>
      </w:r>
      <w:bookmarkEnd w:id="1020"/>
    </w:p>
    <w:p>
      <w:pPr>
        <w:pStyle w:val="Heading2"/>
      </w:pPr>
      <w:bookmarkStart w:id="1021" w:name="_Toc260001021"/>
      <w:r>
        <w:rPr>
          <w:rFonts w:ascii="Georgia" w:hAnsi="Georgia"/>
          <w:b/>
          <w:color w:val="2F4858"/>
          <w:sz w:val="25"/>
        </w:rPr>
        <w:t xml:space="preserve">Article 13: The Reopening Phases</w:t>
      </w:r>
      <w:bookmarkEnd w:id="1021"/>
    </w:p>
    <w:p>
      <w:pPr>
        <w:pStyle w:val="Heading3"/>
      </w:pPr>
      <w:r>
        <w:rPr>
          <w:rFonts w:ascii="Georgia" w:hAnsi="Georgia"/>
          <w:b/>
          <w:color w:val="3D5566"/>
          <w:sz w:val="22"/>
        </w:rPr>
        <w:t xml:space="preserve">13.1 Overview</w:t>
      </w:r>
    </w:p>
    <w:p>
      <w:pPr>
        <w:spacing w:before="0" w:after="140" w:line="252" w:lineRule="auto"/>
        <w:jc w:val="both"/>
      </w:pPr>
      <w:r>
        <w:rPr>
          <w:rFonts w:ascii="Georgia" w:hAnsi="Georgia"/>
          <w:color w:val="1E2A32"/>
          <w:sz w:val="21"/>
        </w:rPr>
        <w:t xml:space="preserve">The Accord reopens the strait through six phases spanning approximately 90 to 120 days. The phases run in fixed sequence, each phase opens upon certification that the previous phase's exit conditions stand satisfied, and no phase skips. Annex G sets the complete operational timeline with day-by-day actions and checklists.</w:t>
      </w:r>
    </w:p>
    <w:p>
      <w:pPr>
        <w:pStyle w:val="Heading3"/>
      </w:pPr>
      <w:r>
        <w:rPr>
          <w:rFonts w:ascii="Georgia" w:hAnsi="Georgia"/>
          <w:b/>
          <w:color w:val="3D5566"/>
          <w:sz w:val="22"/>
        </w:rPr>
        <w:t xml:space="preserve">13.2 Phase R-0: Foundation (Days 0 to 10)</w:t>
      </w:r>
    </w:p>
    <w:p>
      <w:pPr>
        <w:spacing w:before="0" w:after="140" w:line="252" w:lineRule="auto"/>
        <w:jc w:val="both"/>
      </w:pPr>
      <w:r>
        <w:rPr>
          <w:rFonts w:ascii="Georgia" w:hAnsi="Georgia"/>
          <w:color w:val="1E2A32"/>
          <w:sz w:val="21"/>
        </w:rPr>
        <w:t xml:space="preserve">The Parties execute the following on the day of entry into force and complete them by Day 10: (a) Iran and Oman publish the joint readiness declaration confirming corridor geometry; (b) the Neutral Watch Office stands up its watch floor and begins continuous monitoring of the wartime lanes; (c) the Escrow Administrator opens the Hormuz Account and publishes its operating rules; (d) the Joint Survey Group commences its baseline survey; (e) the hotline network of Annex I activates and completes its first full test; and (f) the United States commences the blockade drawdown under the Reciprocal Measures Schedule.</w:t>
      </w:r>
    </w:p>
    <w:p>
      <w:pPr>
        <w:pStyle w:val="Heading3"/>
      </w:pPr>
      <w:r>
        <w:rPr>
          <w:rFonts w:ascii="Georgia" w:hAnsi="Georgia"/>
          <w:b/>
          <w:color w:val="3D5566"/>
          <w:sz w:val="22"/>
        </w:rPr>
        <w:t xml:space="preserve">13.3 Phase R-1: Pilot Announcement (Days 10 to 20)</w:t>
      </w:r>
    </w:p>
    <w:p>
      <w:pPr>
        <w:spacing w:before="0" w:after="140" w:line="252" w:lineRule="auto"/>
        <w:jc w:val="both"/>
      </w:pPr>
      <w:r>
        <w:rPr>
          <w:rFonts w:ascii="Georgia" w:hAnsi="Georgia"/>
          <w:color w:val="1E2A32"/>
          <w:sz w:val="21"/>
        </w:rPr>
        <w:t xml:space="preserve">The Parties announce the pilot phase publicly. The Council publishes provisional corridor guidance and AIS routing instructions, without final coordinates. The Escrow Administrator publishes the pilot rate card at 50 percent of standard RADS rates. The Council notifies shipowners, flag registries, protection and indemnity clubs, and war-risk insurers through the industry liaison channel of Annex I.</w:t>
      </w:r>
    </w:p>
    <w:p>
      <w:pPr>
        <w:pStyle w:val="Heading3"/>
      </w:pPr>
      <w:r>
        <w:rPr>
          <w:rFonts w:ascii="Georgia" w:hAnsi="Georgia"/>
          <w:b/>
          <w:color w:val="3D5566"/>
          <w:sz w:val="22"/>
        </w:rPr>
        <w:t xml:space="preserve">13.4 Phase R-2: Sequential Corridor Activation (Days 20 to 40)</w:t>
      </w:r>
    </w:p>
    <w:p>
      <w:pPr>
        <w:spacing w:before="0" w:after="140" w:line="252" w:lineRule="auto"/>
        <w:jc w:val="both"/>
      </w:pPr>
      <w:r>
        <w:rPr>
          <w:rFonts w:ascii="Georgia" w:hAnsi="Georgia"/>
          <w:color w:val="1E2A32"/>
          <w:sz w:val="21"/>
        </w:rPr>
        <w:t xml:space="preserve">The corridors activate in strict sequence. First, the Buffer Corridor activates (Days 20 to 25): separation marking goes live, emergency routing opens, and joint monitoring begins. Second, Corridor South activates (Days 25 to 35): Oman commences outbound administration, and outbound pilot traffic flows. Third, Corridor North activates (Days 35 to 40): Iran commences inbound administration, inbound pilot traffic flows, and the Escalator's first Verification Period opens at 00:00 UTC on activation day.</w:t>
      </w:r>
    </w:p>
    <w:p>
      <w:pPr>
        <w:pStyle w:val="Heading3"/>
      </w:pPr>
      <w:r>
        <w:rPr>
          <w:rFonts w:ascii="Georgia" w:hAnsi="Georgia"/>
          <w:b/>
          <w:color w:val="3D5566"/>
          <w:sz w:val="22"/>
        </w:rPr>
        <w:t xml:space="preserve">13.5 Phase R-3: Payment Channel Commissioning (Days 40 to 55)</w:t>
      </w:r>
    </w:p>
    <w:p>
      <w:pPr>
        <w:spacing w:before="0" w:after="140" w:line="252" w:lineRule="auto"/>
        <w:jc w:val="both"/>
      </w:pPr>
      <w:r>
        <w:rPr>
          <w:rFonts w:ascii="Georgia" w:hAnsi="Georgia"/>
          <w:color w:val="1E2A32"/>
          <w:sz w:val="21"/>
        </w:rPr>
        <w:t xml:space="preserve">The Escrow Administrator commissions the full payment architecture: subscription onboarding for RADS, the payment surety bond facility, and the sanctions-compliance firewall of Annex F. Fee collection runs at pilot rates. The Neutral Watch Office audits the first full settlement cycle end to end and publishes the result.</w:t>
      </w:r>
    </w:p>
    <w:p>
      <w:pPr>
        <w:pStyle w:val="Heading3"/>
      </w:pPr>
      <w:r>
        <w:rPr>
          <w:rFonts w:ascii="Georgia" w:hAnsi="Georgia"/>
          <w:b/>
          <w:color w:val="3D5566"/>
          <w:sz w:val="22"/>
        </w:rPr>
        <w:t xml:space="preserve">13.6 Phase R-4: Stability Audit (Days 55 to 90)</w:t>
      </w:r>
    </w:p>
    <w:p>
      <w:pPr>
        <w:spacing w:before="0" w:after="140" w:line="252" w:lineRule="auto"/>
        <w:jc w:val="both"/>
      </w:pPr>
      <w:r>
        <w:rPr>
          <w:rFonts w:ascii="Georgia" w:hAnsi="Georgia"/>
          <w:color w:val="1E2A32"/>
          <w:sz w:val="21"/>
        </w:rPr>
        <w:t xml:space="preserve">The Neutral Watch Office conducts the Stability Audit across 35 continuous days, measuring: AIS corridor adherence; incident and near-miss rates; fee settlement accuracy; hotline performance; military interaction frequency; mine-risk alert handling; and service standard compliance under Annex E. The audit publishes weekly interim reports and a final determination.</w:t>
      </w:r>
    </w:p>
    <w:p>
      <w:pPr>
        <w:pStyle w:val="Heading3"/>
      </w:pPr>
      <w:r>
        <w:rPr>
          <w:rFonts w:ascii="Georgia" w:hAnsi="Georgia"/>
          <w:b/>
          <w:color w:val="3D5566"/>
          <w:sz w:val="22"/>
        </w:rPr>
        <w:t xml:space="preserve">13.7 Phase R-5: Full Activation (Days 90 to 120)</w:t>
      </w:r>
    </w:p>
    <w:p>
      <w:pPr>
        <w:spacing w:before="0" w:after="140" w:line="252" w:lineRule="auto"/>
        <w:jc w:val="both"/>
      </w:pPr>
      <w:r>
        <w:rPr>
          <w:rFonts w:ascii="Georgia" w:hAnsi="Georgia"/>
          <w:color w:val="1E2A32"/>
          <w:sz w:val="21"/>
        </w:rPr>
        <w:t xml:space="preserve">Upon a clean Stability Audit determination, the Parties complete Full Activation: final corridor coordinates publish and lodge with the International Maritime Organization; the rate card steps from pilot to standard rates; joint patrol protocols commence; the wartime lanes sunset in full; and the Council declares the Corridor System fully operational. A Stability Audit determination identifying material deficiencies extends Phase R-4 in 14-day cycles until the deficiencies close.</w:t>
      </w:r>
    </w:p>
    <w:p>
      <w:pPr>
        <w:pStyle w:val="Heading2"/>
      </w:pPr>
      <w:bookmarkStart w:id="1022" w:name="_Toc260001022"/>
      <w:r>
        <w:rPr>
          <w:rFonts w:ascii="Georgia" w:hAnsi="Georgia"/>
          <w:b/>
          <w:color w:val="2F4858"/>
          <w:sz w:val="25"/>
        </w:rPr>
        <w:t xml:space="preserve">Article 14: Transition from Wartime Lanes</w:t>
      </w:r>
      <w:bookmarkEnd w:id="1022"/>
    </w:p>
    <w:p>
      <w:pPr>
        <w:pStyle w:val="Heading3"/>
      </w:pPr>
      <w:r>
        <w:rPr>
          <w:rFonts w:ascii="Georgia" w:hAnsi="Georgia"/>
          <w:b/>
          <w:color w:val="3D5566"/>
          <w:sz w:val="22"/>
        </w:rPr>
        <w:t xml:space="preserve">14.1 Dual Running</w:t>
      </w:r>
    </w:p>
    <w:p>
      <w:pPr>
        <w:spacing w:before="0" w:after="140" w:line="252" w:lineRule="auto"/>
        <w:jc w:val="both"/>
      </w:pPr>
      <w:r>
        <w:rPr>
          <w:rFonts w:ascii="Georgia" w:hAnsi="Georgia"/>
          <w:color w:val="1E2A32"/>
          <w:sz w:val="21"/>
        </w:rPr>
        <w:t xml:space="preserve">During Phases R-2 through R-4, the wartime lanes and the new corridors run in parallel. Traffic shifts progressively: at Corridor North activation, 25 percent of pilot traffic routes through the new corridors; at the midpoint of Phase R-3, 50 percent; at the start of Phase R-4, 75 percent; at Full Activation, 100 percent.</w:t>
      </w:r>
    </w:p>
    <w:p>
      <w:pPr>
        <w:pStyle w:val="Heading3"/>
      </w:pPr>
      <w:r>
        <w:rPr>
          <w:rFonts w:ascii="Georgia" w:hAnsi="Georgia"/>
          <w:b/>
          <w:color w:val="3D5566"/>
          <w:sz w:val="22"/>
        </w:rPr>
        <w:t xml:space="preserve">14.2 No Gap Rule</w:t>
      </w:r>
    </w:p>
    <w:p>
      <w:pPr>
        <w:spacing w:before="0" w:after="140" w:line="252" w:lineRule="auto"/>
        <w:jc w:val="both"/>
      </w:pPr>
      <w:r>
        <w:rPr>
          <w:rFonts w:ascii="Georgia" w:hAnsi="Georgia"/>
          <w:color w:val="1E2A32"/>
          <w:sz w:val="21"/>
        </w:rPr>
        <w:t xml:space="preserve">At no moment during the transition does the strait lack an operative, published routing regime. The wartime lanes remain fully serviced until the hour they sunset, and the new corridors reach full service standard before the traffic share that Annex G assigns to them flows.</w:t>
      </w:r>
    </w:p>
    <w:p>
      <w:pPr>
        <w:pStyle w:val="Heading3"/>
      </w:pPr>
      <w:r>
        <w:rPr>
          <w:rFonts w:ascii="Georgia" w:hAnsi="Georgia"/>
          <w:b/>
          <w:color w:val="3D5566"/>
          <w:sz w:val="22"/>
        </w:rPr>
        <w:t xml:space="preserve">14.3 Vessel Priority During Transition</w:t>
      </w:r>
    </w:p>
    <w:p>
      <w:pPr>
        <w:spacing w:before="0" w:after="140" w:line="252" w:lineRule="auto"/>
        <w:jc w:val="both"/>
      </w:pPr>
      <w:r>
        <w:rPr>
          <w:rFonts w:ascii="Georgia" w:hAnsi="Georgia"/>
          <w:color w:val="1E2A32"/>
          <w:sz w:val="21"/>
        </w:rPr>
        <w:t xml:space="preserve">The transition grants routing priority to: vessels carrying humanitarian cargo; vessels whose insurance conditionalities the pilot phase resolves; and vessels of states holding Observer Participant status. Within each priority class, administrators allocate slots in order of application.</w:t>
      </w:r>
    </w:p>
    <w:p>
      <w:pPr>
        <w:pStyle w:val="Heading3"/>
      </w:pPr>
      <w:r>
        <w:rPr>
          <w:rFonts w:ascii="Georgia" w:hAnsi="Georgia"/>
          <w:b/>
          <w:color w:val="3D5566"/>
          <w:sz w:val="22"/>
        </w:rPr>
        <w:t xml:space="preserve">14.4 Reciprocal Measures Schedule</w:t>
      </w:r>
    </w:p>
    <w:p>
      <w:pPr>
        <w:spacing w:before="0" w:after="140" w:line="252" w:lineRule="auto"/>
        <w:jc w:val="both"/>
      </w:pPr>
      <w:r>
        <w:rPr>
          <w:rFonts w:ascii="Georgia" w:hAnsi="Georgia"/>
          <w:color w:val="1E2A32"/>
          <w:sz w:val="21"/>
        </w:rPr>
        <w:t xml:space="preserve">The blockade drawdown and force posture adjustments of the Guarantor Parties follow the Reciprocal Measures Schedule in Annex G, which synchronizes each drawdown step with a reopening phase. The schedule binds the Guarantor Parties exactly as the corridor obligations bind the Principal Parties, and the Neutral Watch Office verifies both sides of the schedule with the same instruments.</w:t>
      </w:r>
    </w:p>
    <w:p>
      <w:pPr>
        <w:pStyle w:val="Heading2"/>
      </w:pPr>
      <w:bookmarkStart w:id="1023" w:name="_Toc260001023"/>
      <w:r>
        <w:rPr>
          <w:rFonts w:ascii="Georgia" w:hAnsi="Georgia"/>
          <w:b/>
          <w:color w:val="2F4858"/>
          <w:sz w:val="25"/>
        </w:rPr>
        <w:t xml:space="preserve">Article 15: Stability Audit and Certification</w:t>
      </w:r>
      <w:bookmarkEnd w:id="1023"/>
    </w:p>
    <w:p>
      <w:pPr>
        <w:pStyle w:val="Heading3"/>
      </w:pPr>
      <w:r>
        <w:rPr>
          <w:rFonts w:ascii="Georgia" w:hAnsi="Georgia"/>
          <w:b/>
          <w:color w:val="3D5566"/>
          <w:sz w:val="22"/>
        </w:rPr>
        <w:t xml:space="preserve">15.1 Audit Standard</w:t>
      </w:r>
    </w:p>
    <w:p>
      <w:pPr>
        <w:spacing w:before="0" w:after="140" w:line="252" w:lineRule="auto"/>
        <w:jc w:val="both"/>
      </w:pPr>
      <w:r>
        <w:rPr>
          <w:rFonts w:ascii="Georgia" w:hAnsi="Georgia"/>
          <w:color w:val="1E2A32"/>
          <w:sz w:val="21"/>
        </w:rPr>
        <w:t xml:space="preserve">The Stability Audit applies the pass standard of Annex G: corridor adherence at or above 98 percent of transits; zero E-2 or higher Events during the audit window; settlement accuracy at or above 99.5 percent; hotline test compliance at 100 percent; and service standard compliance at or above 95 percent across the Annex E indicators.</w:t>
      </w:r>
    </w:p>
    <w:p>
      <w:pPr>
        <w:pStyle w:val="Heading3"/>
      </w:pPr>
      <w:r>
        <w:rPr>
          <w:rFonts w:ascii="Georgia" w:hAnsi="Georgia"/>
          <w:b/>
          <w:color w:val="3D5566"/>
          <w:sz w:val="22"/>
        </w:rPr>
        <w:t xml:space="preserve">15.2 Certification</w:t>
      </w:r>
    </w:p>
    <w:p>
      <w:pPr>
        <w:spacing w:before="0" w:after="140" w:line="252" w:lineRule="auto"/>
        <w:jc w:val="both"/>
      </w:pPr>
      <w:r>
        <w:rPr>
          <w:rFonts w:ascii="Georgia" w:hAnsi="Georgia"/>
          <w:color w:val="1E2A32"/>
          <w:sz w:val="21"/>
        </w:rPr>
        <w:t xml:space="preserve">A passing determination issues as a written certification signed by the Neutral Watch Office Director and countersigned by the Joint Survey Group co-chairs. Certification triggers Phase R-5 automatically. A failing determination states each deficiency, states the measurement behind it, and opens a 14-day remediation cycle.</w:t>
      </w:r>
    </w:p>
    <w:p>
      <w:pPr>
        <w:pStyle w:val="Heading3"/>
      </w:pPr>
      <w:r>
        <w:rPr>
          <w:rFonts w:ascii="Georgia" w:hAnsi="Georgia"/>
          <w:b/>
          <w:color w:val="3D5566"/>
          <w:sz w:val="22"/>
        </w:rPr>
        <w:t xml:space="preserve">15.3 Audit Independence</w:t>
      </w:r>
    </w:p>
    <w:p>
      <w:pPr>
        <w:spacing w:before="0" w:after="140" w:line="252" w:lineRule="auto"/>
        <w:jc w:val="both"/>
      </w:pPr>
      <w:r>
        <w:rPr>
          <w:rFonts w:ascii="Georgia" w:hAnsi="Georgia"/>
          <w:color w:val="1E2A32"/>
          <w:sz w:val="21"/>
        </w:rPr>
        <w:t xml:space="preserve">The audit record, raw data, and methodology publish in full. Any Party or Observer Participant inspects the underlying data on 48 hours' notice. The audit admits no political adjustment: the numbers certify or they do not.</w:t>
      </w:r>
    </w:p>
    <w:p>
      <w:pPr>
        <w:pStyle w:val="Heading1"/>
        <w:pBdr>
          <w:bottom w:val="single" w:color="8A6D2F" w:sz="10"/>
        </w:pBdr>
      </w:pPr>
      <w:bookmarkStart w:id="1024" w:name="_Toc260001024"/>
      <w:r>
        <w:rPr>
          <w:rFonts w:ascii="Georgia" w:hAnsi="Georgia"/>
          <w:b/>
          <w:color w:val="2F4858"/>
          <w:sz w:val="30"/>
        </w:rPr>
        <w:t xml:space="preserve">PART V: INSTITUTIONS</w:t>
      </w:r>
      <w:bookmarkEnd w:id="1024"/>
    </w:p>
    <w:p>
      <w:pPr>
        <w:pStyle w:val="Heading2"/>
      </w:pPr>
      <w:bookmarkStart w:id="1025" w:name="_Toc260001025"/>
      <w:r>
        <w:rPr>
          <w:rFonts w:ascii="Georgia" w:hAnsi="Georgia"/>
          <w:b/>
          <w:color w:val="2F4858"/>
          <w:sz w:val="25"/>
        </w:rPr>
        <w:t xml:space="preserve">Article 16: The Graduated Gains Council</w:t>
      </w:r>
      <w:bookmarkEnd w:id="1025"/>
    </w:p>
    <w:p>
      <w:pPr>
        <w:pStyle w:val="Heading3"/>
      </w:pPr>
      <w:r>
        <w:rPr>
          <w:rFonts w:ascii="Georgia" w:hAnsi="Georgia"/>
          <w:b/>
          <w:color w:val="3D5566"/>
          <w:sz w:val="22"/>
        </w:rPr>
        <w:t xml:space="preserve">16.1 Establishment and Seat</w:t>
      </w:r>
    </w:p>
    <w:p>
      <w:pPr>
        <w:spacing w:before="0" w:after="140" w:line="252" w:lineRule="auto"/>
        <w:jc w:val="both"/>
      </w:pPr>
      <w:r>
        <w:rPr>
          <w:rFonts w:ascii="Georgia" w:hAnsi="Georgia"/>
          <w:color w:val="1E2A32"/>
          <w:sz w:val="21"/>
        </w:rPr>
        <w:t xml:space="preserve">The Graduated Gains Council is the governing body of this Accord. It seats in Muscat, with a permanent liaison office in Bandar Abbas. It meets in ordinary session weekly and in extraordinary session within 48 hours of an E-4 Event or upon written demand of a Principal Party.</w:t>
      </w:r>
    </w:p>
    <w:p>
      <w:pPr>
        <w:pStyle w:val="Heading3"/>
      </w:pPr>
      <w:r>
        <w:rPr>
          <w:rFonts w:ascii="Georgia" w:hAnsi="Georgia"/>
          <w:b/>
          <w:color w:val="3D5566"/>
          <w:sz w:val="22"/>
        </w:rPr>
        <w:t xml:space="preserve">16.2 Composition</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3008"/>
        <w:gridCol w:w="3008"/>
        <w:gridCol w:w="3008"/>
      </w:tblGrid>
      <w:tr>
        <w:trPr>
          <w:tblHeader/>
        </w:trPr>
        <w:tc>
          <w:tcPr>
            <w:tcW w:w="3008" w:type="dxa"/>
            <w:shd w:val="clear" w:fill="E4EAEE"/>
          </w:tcPr>
          <w:p>
            <w:pPr>
              <w:spacing w:after="20" w:line="240" w:lineRule="auto"/>
              <w:jc w:val="left"/>
            </w:pPr>
            <w:r>
              <w:rPr>
                <w:rFonts w:ascii="Georgia" w:hAnsi="Georgia"/>
                <w:b/>
                <w:color w:val="2F4858"/>
                <w:sz w:val="18"/>
              </w:rPr>
              <w:t xml:space="preserve">Seat</w:t>
            </w:r>
          </w:p>
        </w:tc>
        <w:tc>
          <w:tcPr>
            <w:tcW w:w="3008" w:type="dxa"/>
            <w:shd w:val="clear" w:fill="E4EAEE"/>
          </w:tcPr>
          <w:p>
            <w:pPr>
              <w:spacing w:after="20" w:line="240" w:lineRule="auto"/>
              <w:jc w:val="left"/>
            </w:pPr>
            <w:r>
              <w:rPr>
                <w:rFonts w:ascii="Georgia" w:hAnsi="Georgia"/>
                <w:b/>
                <w:color w:val="2F4858"/>
                <w:sz w:val="18"/>
              </w:rPr>
              <w:t xml:space="preserve">Holder</w:t>
            </w:r>
          </w:p>
        </w:tc>
        <w:tc>
          <w:tcPr>
            <w:tcW w:w="3008" w:type="dxa"/>
            <w:shd w:val="clear" w:fill="E4EAEE"/>
          </w:tcPr>
          <w:p>
            <w:pPr>
              <w:spacing w:after="20" w:line="240" w:lineRule="auto"/>
              <w:jc w:val="left"/>
            </w:pPr>
            <w:r>
              <w:rPr>
                <w:rFonts w:ascii="Georgia" w:hAnsi="Georgia"/>
                <w:b/>
                <w:color w:val="2F4858"/>
                <w:sz w:val="18"/>
              </w:rPr>
              <w:t xml:space="preserve">Voice</w:t>
            </w:r>
          </w:p>
        </w:tc>
      </w:tr>
      <w:tr>
        <w:tc>
          <w:tcPr>
            <w:tcW w:w="3008" w:type="dxa"/>
          </w:tcPr>
          <w:p>
            <w:pPr>
              <w:spacing w:after="20" w:line="240" w:lineRule="auto"/>
              <w:jc w:val="left"/>
            </w:pPr>
            <w:r>
              <w:rPr>
                <w:rFonts w:ascii="Georgia" w:hAnsi="Georgia"/>
                <w:color w:val="1E2A32"/>
                <w:sz w:val="18"/>
              </w:rPr>
              <w:t xml:space="preserve">Principal</w:t>
            </w:r>
          </w:p>
        </w:tc>
        <w:tc>
          <w:tcPr>
            <w:tcW w:w="3008" w:type="dxa"/>
          </w:tcPr>
          <w:p>
            <w:pPr>
              <w:spacing w:after="20" w:line="240" w:lineRule="auto"/>
              <w:jc w:val="left"/>
            </w:pPr>
            <w:r>
              <w:rPr>
                <w:rFonts w:ascii="Georgia" w:hAnsi="Georgia"/>
                <w:color w:val="1E2A32"/>
                <w:sz w:val="18"/>
              </w:rPr>
              <w:t xml:space="preserve">Iran</w:t>
            </w:r>
          </w:p>
        </w:tc>
        <w:tc>
          <w:tcPr>
            <w:tcW w:w="3008" w:type="dxa"/>
          </w:tcPr>
          <w:p>
            <w:pPr>
              <w:spacing w:after="20" w:line="240" w:lineRule="auto"/>
              <w:jc w:val="left"/>
            </w:pPr>
            <w:r>
              <w:rPr>
                <w:rFonts w:ascii="Georgia" w:hAnsi="Georgia"/>
                <w:color w:val="1E2A32"/>
                <w:sz w:val="18"/>
              </w:rPr>
              <w:t xml:space="preserve">Full vote, weight per Annex B</w:t>
            </w:r>
          </w:p>
        </w:tc>
      </w:tr>
      <w:tr>
        <w:tc>
          <w:tcPr>
            <w:tcW w:w="3008" w:type="dxa"/>
          </w:tcPr>
          <w:p>
            <w:pPr>
              <w:spacing w:after="20" w:line="240" w:lineRule="auto"/>
              <w:jc w:val="left"/>
            </w:pPr>
            <w:r>
              <w:rPr>
                <w:rFonts w:ascii="Georgia" w:hAnsi="Georgia"/>
                <w:color w:val="1E2A32"/>
                <w:sz w:val="18"/>
              </w:rPr>
              <w:t xml:space="preserve">Principal</w:t>
            </w:r>
          </w:p>
        </w:tc>
        <w:tc>
          <w:tcPr>
            <w:tcW w:w="3008" w:type="dxa"/>
          </w:tcPr>
          <w:p>
            <w:pPr>
              <w:spacing w:after="20" w:line="240" w:lineRule="auto"/>
              <w:jc w:val="left"/>
            </w:pPr>
            <w:r>
              <w:rPr>
                <w:rFonts w:ascii="Georgia" w:hAnsi="Georgia"/>
                <w:color w:val="1E2A32"/>
                <w:sz w:val="18"/>
              </w:rPr>
              <w:t xml:space="preserve">Oman</w:t>
            </w:r>
          </w:p>
        </w:tc>
        <w:tc>
          <w:tcPr>
            <w:tcW w:w="3008" w:type="dxa"/>
          </w:tcPr>
          <w:p>
            <w:pPr>
              <w:spacing w:after="20" w:line="240" w:lineRule="auto"/>
              <w:jc w:val="left"/>
            </w:pPr>
            <w:r>
              <w:rPr>
                <w:rFonts w:ascii="Georgia" w:hAnsi="Georgia"/>
                <w:color w:val="1E2A32"/>
                <w:sz w:val="18"/>
              </w:rPr>
              <w:t xml:space="preserve">Full vote, weight per Annex B</w:t>
            </w:r>
          </w:p>
        </w:tc>
      </w:tr>
      <w:tr>
        <w:tc>
          <w:tcPr>
            <w:tcW w:w="3008" w:type="dxa"/>
          </w:tcPr>
          <w:p>
            <w:pPr>
              <w:spacing w:after="20" w:line="240" w:lineRule="auto"/>
              <w:jc w:val="left"/>
            </w:pPr>
            <w:r>
              <w:rPr>
                <w:rFonts w:ascii="Georgia" w:hAnsi="Georgia"/>
                <w:color w:val="1E2A32"/>
                <w:sz w:val="18"/>
              </w:rPr>
              <w:t xml:space="preserve">Guarantor</w:t>
            </w:r>
          </w:p>
        </w:tc>
        <w:tc>
          <w:tcPr>
            <w:tcW w:w="3008" w:type="dxa"/>
          </w:tcPr>
          <w:p>
            <w:pPr>
              <w:spacing w:after="20" w:line="240" w:lineRule="auto"/>
              <w:jc w:val="left"/>
            </w:pPr>
            <w:r>
              <w:rPr>
                <w:rFonts w:ascii="Georgia" w:hAnsi="Georgia"/>
                <w:color w:val="1E2A32"/>
                <w:sz w:val="18"/>
              </w:rPr>
              <w:t xml:space="preserve">United States</w:t>
            </w:r>
          </w:p>
        </w:tc>
        <w:tc>
          <w:tcPr>
            <w:tcW w:w="3008" w:type="dxa"/>
          </w:tcPr>
          <w:p>
            <w:pPr>
              <w:spacing w:after="20" w:line="240" w:lineRule="auto"/>
              <w:jc w:val="left"/>
            </w:pPr>
            <w:r>
              <w:rPr>
                <w:rFonts w:ascii="Georgia" w:hAnsi="Georgia"/>
                <w:color w:val="1E2A32"/>
                <w:sz w:val="18"/>
              </w:rPr>
              <w:t xml:space="preserve">Deliberative voice; concurrence right on corridor geometry and Reciprocal Measures</w:t>
            </w:r>
          </w:p>
        </w:tc>
      </w:tr>
      <w:tr>
        <w:tc>
          <w:tcPr>
            <w:tcW w:w="3008" w:type="dxa"/>
          </w:tcPr>
          <w:p>
            <w:pPr>
              <w:spacing w:after="20" w:line="240" w:lineRule="auto"/>
              <w:jc w:val="left"/>
            </w:pPr>
            <w:r>
              <w:rPr>
                <w:rFonts w:ascii="Georgia" w:hAnsi="Georgia"/>
                <w:color w:val="1E2A32"/>
                <w:sz w:val="18"/>
              </w:rPr>
              <w:t xml:space="preserve">Guarantor</w:t>
            </w:r>
          </w:p>
        </w:tc>
        <w:tc>
          <w:tcPr>
            <w:tcW w:w="3008" w:type="dxa"/>
          </w:tcPr>
          <w:p>
            <w:pPr>
              <w:spacing w:after="20" w:line="240" w:lineRule="auto"/>
              <w:jc w:val="left"/>
            </w:pPr>
            <w:r>
              <w:rPr>
                <w:rFonts w:ascii="Georgia" w:hAnsi="Georgia"/>
                <w:color w:val="1E2A32"/>
                <w:sz w:val="18"/>
              </w:rPr>
              <w:t xml:space="preserve">Qatar</w:t>
            </w:r>
          </w:p>
        </w:tc>
        <w:tc>
          <w:tcPr>
            <w:tcW w:w="3008" w:type="dxa"/>
          </w:tcPr>
          <w:p>
            <w:pPr>
              <w:spacing w:after="20" w:line="240" w:lineRule="auto"/>
              <w:jc w:val="left"/>
            </w:pPr>
            <w:r>
              <w:rPr>
                <w:rFonts w:ascii="Georgia" w:hAnsi="Georgia"/>
                <w:color w:val="1E2A32"/>
                <w:sz w:val="18"/>
              </w:rPr>
              <w:t xml:space="preserve">Deliberative voice</w:t>
            </w:r>
          </w:p>
        </w:tc>
      </w:tr>
      <w:tr>
        <w:tc>
          <w:tcPr>
            <w:tcW w:w="3008" w:type="dxa"/>
          </w:tcPr>
          <w:p>
            <w:pPr>
              <w:spacing w:after="20" w:line="240" w:lineRule="auto"/>
              <w:jc w:val="left"/>
            </w:pPr>
            <w:r>
              <w:rPr>
                <w:rFonts w:ascii="Georgia" w:hAnsi="Georgia"/>
                <w:color w:val="1E2A32"/>
                <w:sz w:val="18"/>
              </w:rPr>
              <w:t xml:space="preserve">Observer</w:t>
            </w:r>
          </w:p>
        </w:tc>
        <w:tc>
          <w:tcPr>
            <w:tcW w:w="3008" w:type="dxa"/>
          </w:tcPr>
          <w:p>
            <w:pPr>
              <w:spacing w:after="20" w:line="240" w:lineRule="auto"/>
              <w:jc w:val="left"/>
            </w:pPr>
            <w:r>
              <w:rPr>
                <w:rFonts w:ascii="Georgia" w:hAnsi="Georgia"/>
                <w:color w:val="1E2A32"/>
                <w:sz w:val="18"/>
              </w:rPr>
              <w:t xml:space="preserve">GCC joint delegation</w:t>
            </w:r>
          </w:p>
        </w:tc>
        <w:tc>
          <w:tcPr>
            <w:tcW w:w="3008" w:type="dxa"/>
          </w:tcPr>
          <w:p>
            <w:pPr>
              <w:spacing w:after="20" w:line="240" w:lineRule="auto"/>
              <w:jc w:val="left"/>
            </w:pPr>
            <w:r>
              <w:rPr>
                <w:rFonts w:ascii="Georgia" w:hAnsi="Georgia"/>
                <w:color w:val="1E2A32"/>
                <w:sz w:val="18"/>
              </w:rPr>
              <w:t xml:space="preserve">Consultative voice</w:t>
            </w:r>
          </w:p>
        </w:tc>
      </w:tr>
      <w:tr>
        <w:tc>
          <w:tcPr>
            <w:tcW w:w="3008" w:type="dxa"/>
          </w:tcPr>
          <w:p>
            <w:pPr>
              <w:spacing w:after="20" w:line="240" w:lineRule="auto"/>
              <w:jc w:val="left"/>
            </w:pPr>
            <w:r>
              <w:rPr>
                <w:rFonts w:ascii="Georgia" w:hAnsi="Georgia"/>
                <w:color w:val="1E2A32"/>
                <w:sz w:val="18"/>
              </w:rPr>
              <w:t xml:space="preserve">Observer</w:t>
            </w:r>
          </w:p>
        </w:tc>
        <w:tc>
          <w:tcPr>
            <w:tcW w:w="3008" w:type="dxa"/>
          </w:tcPr>
          <w:p>
            <w:pPr>
              <w:spacing w:after="20" w:line="240" w:lineRule="auto"/>
              <w:jc w:val="left"/>
            </w:pPr>
            <w:r>
              <w:rPr>
                <w:rFonts w:ascii="Georgia" w:hAnsi="Georgia"/>
                <w:color w:val="1E2A32"/>
                <w:sz w:val="18"/>
              </w:rPr>
              <w:t xml:space="preserve">IMO technical liaison</w:t>
            </w:r>
          </w:p>
        </w:tc>
        <w:tc>
          <w:tcPr>
            <w:tcW w:w="3008" w:type="dxa"/>
          </w:tcPr>
          <w:p>
            <w:pPr>
              <w:spacing w:after="20" w:line="240" w:lineRule="auto"/>
              <w:jc w:val="left"/>
            </w:pPr>
            <w:r>
              <w:rPr>
                <w:rFonts w:ascii="Georgia" w:hAnsi="Georgia"/>
                <w:color w:val="1E2A32"/>
                <w:sz w:val="18"/>
              </w:rPr>
              <w:t xml:space="preserve">Consultative voice on safety and standards</w:t>
            </w:r>
          </w:p>
        </w:tc>
      </w:tr>
      <w:tr>
        <w:tc>
          <w:tcPr>
            <w:tcW w:w="3008" w:type="dxa"/>
          </w:tcPr>
          <w:p>
            <w:pPr>
              <w:spacing w:after="20" w:line="240" w:lineRule="auto"/>
              <w:jc w:val="left"/>
            </w:pPr>
            <w:r>
              <w:rPr>
                <w:rFonts w:ascii="Georgia" w:hAnsi="Georgia"/>
                <w:color w:val="1E2A32"/>
                <w:sz w:val="18"/>
              </w:rPr>
              <w:t xml:space="preserve">Observer</w:t>
            </w:r>
          </w:p>
        </w:tc>
        <w:tc>
          <w:tcPr>
            <w:tcW w:w="3008" w:type="dxa"/>
          </w:tcPr>
          <w:p>
            <w:pPr>
              <w:spacing w:after="20" w:line="240" w:lineRule="auto"/>
              <w:jc w:val="left"/>
            </w:pPr>
            <w:r>
              <w:rPr>
                <w:rFonts w:ascii="Georgia" w:hAnsi="Georgia"/>
                <w:color w:val="1E2A32"/>
                <w:sz w:val="18"/>
              </w:rPr>
              <w:t xml:space="preserve">Swiss Confederation</w:t>
            </w:r>
          </w:p>
        </w:tc>
        <w:tc>
          <w:tcPr>
            <w:tcW w:w="3008" w:type="dxa"/>
          </w:tcPr>
          <w:p>
            <w:pPr>
              <w:spacing w:after="20" w:line="240" w:lineRule="auto"/>
              <w:jc w:val="left"/>
            </w:pPr>
            <w:r>
              <w:rPr>
                <w:rFonts w:ascii="Georgia" w:hAnsi="Georgia"/>
                <w:color w:val="1E2A32"/>
                <w:sz w:val="18"/>
              </w:rPr>
              <w:t xml:space="preserve">Consultative voice on escrow and audit; depositary functions</w:t>
            </w:r>
          </w:p>
        </w:tc>
      </w:tr>
    </w:tbl>
    <w:p>
      <w:pPr>
        <w:spacing w:after="120"/>
      </w:pPr>
    </w:p>
    <w:p>
      <w:pPr>
        <w:pStyle w:val="Heading3"/>
      </w:pPr>
      <w:r>
        <w:rPr>
          <w:rFonts w:ascii="Georgia" w:hAnsi="Georgia"/>
          <w:b/>
          <w:color w:val="3D5566"/>
          <w:sz w:val="22"/>
        </w:rPr>
        <w:t xml:space="preserve">16.3 Decision Rules</w:t>
      </w:r>
    </w:p>
    <w:p>
      <w:pPr>
        <w:spacing w:before="0" w:after="140" w:line="252" w:lineRule="auto"/>
        <w:jc w:val="both"/>
      </w:pPr>
      <w:r>
        <w:rPr>
          <w:rFonts w:ascii="Georgia" w:hAnsi="Georgia"/>
          <w:color w:val="1E2A32"/>
          <w:sz w:val="21"/>
        </w:rPr>
        <w:t xml:space="preserve">Procedural decisions adopt by simple majority of voting weight. Substantive decisions adopt only under the Twin Key: concurrence of both Principal Parties, with the composition of concurrence evolving as Annex B specifies at each Control Weight band. Geometry changes additionally require the concurrence of the United States seat under Article 5.6. Register amendments require unanimity under Article 4.2.</w:t>
      </w:r>
    </w:p>
    <w:p>
      <w:pPr>
        <w:pStyle w:val="Heading3"/>
      </w:pPr>
      <w:r>
        <w:rPr>
          <w:rFonts w:ascii="Georgia" w:hAnsi="Georgia"/>
          <w:b/>
          <w:color w:val="3D5566"/>
          <w:sz w:val="22"/>
        </w:rPr>
        <w:t xml:space="preserve">16.4 Consensus Minus One</w:t>
      </w:r>
    </w:p>
    <w:p>
      <w:pPr>
        <w:spacing w:before="0" w:after="140" w:line="252" w:lineRule="auto"/>
        <w:jc w:val="both"/>
      </w:pPr>
      <w:r>
        <w:rPr>
          <w:rFonts w:ascii="Georgia" w:hAnsi="Georgia"/>
          <w:color w:val="1E2A32"/>
          <w:sz w:val="21"/>
        </w:rPr>
        <w:t xml:space="preserve">Where this Accord requires a finding concerning the conduct of a Party, that Party's vote stands excluded and the remaining voting members decide by consensus. Where Consensus Minus One fails, the question refers to the Guarantor Parties jointly, whose joint written determination concludes the matter.</w:t>
      </w:r>
    </w:p>
    <w:p>
      <w:pPr>
        <w:pStyle w:val="Heading3"/>
      </w:pPr>
      <w:r>
        <w:rPr>
          <w:rFonts w:ascii="Georgia" w:hAnsi="Georgia"/>
          <w:b/>
          <w:color w:val="3D5566"/>
          <w:sz w:val="22"/>
        </w:rPr>
        <w:t xml:space="preserve">16.5 Secretariat</w:t>
      </w:r>
    </w:p>
    <w:p>
      <w:pPr>
        <w:spacing w:before="0" w:after="140" w:line="252" w:lineRule="auto"/>
        <w:jc w:val="both"/>
      </w:pPr>
      <w:r>
        <w:rPr>
          <w:rFonts w:ascii="Georgia" w:hAnsi="Georgia"/>
          <w:color w:val="1E2A32"/>
          <w:sz w:val="21"/>
        </w:rPr>
        <w:t xml:space="preserve">The Council maintains a small secretariat drawn in equal numbers from Iranian and Omani nationals, headed by an Executive Secretary whom the Principal Parties appoint jointly for a two-year term, renewable once. The secretariat holds no decision power.</w:t>
      </w:r>
    </w:p>
    <w:p>
      <w:pPr>
        <w:pStyle w:val="Heading2"/>
      </w:pPr>
      <w:bookmarkStart w:id="1026" w:name="_Toc260001026"/>
      <w:r>
        <w:rPr>
          <w:rFonts w:ascii="Georgia" w:hAnsi="Georgia"/>
          <w:b/>
          <w:color w:val="2F4858"/>
          <w:sz w:val="25"/>
        </w:rPr>
        <w:t xml:space="preserve">Article 17: The Neutral Watch Office</w:t>
      </w:r>
      <w:bookmarkEnd w:id="1026"/>
    </w:p>
    <w:p>
      <w:pPr>
        <w:pStyle w:val="Heading3"/>
      </w:pPr>
      <w:r>
        <w:rPr>
          <w:rFonts w:ascii="Georgia" w:hAnsi="Georgia"/>
          <w:b/>
          <w:color w:val="3D5566"/>
          <w:sz w:val="22"/>
        </w:rPr>
        <w:t xml:space="preserve">17.1 Mandate</w:t>
      </w:r>
    </w:p>
    <w:p>
      <w:pPr>
        <w:spacing w:before="0" w:after="140" w:line="252" w:lineRule="auto"/>
        <w:jc w:val="both"/>
      </w:pPr>
      <w:r>
        <w:rPr>
          <w:rFonts w:ascii="Georgia" w:hAnsi="Georgia"/>
          <w:color w:val="1E2A32"/>
          <w:sz w:val="21"/>
        </w:rPr>
        <w:t xml:space="preserve">The Neutral Watch Office verifies corridor operation continuously and publishes the verification record. It determines Clean Weeks, classifies Events for Escalator purposes in the first instance, maintains the Good Conduct Credit account, audits RADS settlement, conducts the Stability Audit, and operates the public incident log.</w:t>
      </w:r>
    </w:p>
    <w:p>
      <w:pPr>
        <w:pStyle w:val="Heading3"/>
      </w:pPr>
      <w:r>
        <w:rPr>
          <w:rFonts w:ascii="Georgia" w:hAnsi="Georgia"/>
          <w:b/>
          <w:color w:val="3D5566"/>
          <w:sz w:val="22"/>
        </w:rPr>
        <w:t xml:space="preserve">17.2 Composition and Independence</w:t>
      </w:r>
    </w:p>
    <w:p>
      <w:pPr>
        <w:spacing w:before="0" w:after="140" w:line="252" w:lineRule="auto"/>
        <w:jc w:val="both"/>
      </w:pPr>
      <w:r>
        <w:rPr>
          <w:rFonts w:ascii="Georgia" w:hAnsi="Georgia"/>
          <w:color w:val="1E2A32"/>
          <w:sz w:val="21"/>
        </w:rPr>
        <w:t xml:space="preserve">The Office comprises a Director, appointed by the Swiss Confederation as depositary for a non-renewable three-year term, and a professional staff of maritime specialists drawn from states holding no littoral interest in the strait, selected through open international competition. Staff members swear an oath of exclusive loyalty to the verification record. No Party directs, funds, or disciplines Office staff.</w:t>
      </w:r>
    </w:p>
    <w:p>
      <w:pPr>
        <w:pStyle w:val="Heading3"/>
      </w:pPr>
      <w:r>
        <w:rPr>
          <w:rFonts w:ascii="Georgia" w:hAnsi="Georgia"/>
          <w:b/>
          <w:color w:val="3D5566"/>
          <w:sz w:val="22"/>
        </w:rPr>
        <w:t xml:space="preserve">17.3 Data Feeds</w:t>
      </w:r>
    </w:p>
    <w:p>
      <w:pPr>
        <w:spacing w:before="0" w:after="140" w:line="252" w:lineRule="auto"/>
        <w:jc w:val="both"/>
      </w:pPr>
      <w:r>
        <w:rPr>
          <w:rFonts w:ascii="Georgia" w:hAnsi="Georgia"/>
          <w:color w:val="1E2A32"/>
          <w:sz w:val="21"/>
        </w:rPr>
        <w:t xml:space="preserve">The Office receives: the fused Iran-Oman coastal radar picture; full AIS archives for the strait approaches; VTS logs of both corridor administrators; hotline test records; Escrow settlement data; Joint Survey Group survey products; and satellite AIS and imagery products procured under Annex H. Each feed flows continuously, and an interruption of any feed beyond four hours classifies as a Level 3 alert under Annex I.</w:t>
      </w:r>
    </w:p>
    <w:p>
      <w:pPr>
        <w:pStyle w:val="Heading3"/>
      </w:pPr>
      <w:r>
        <w:rPr>
          <w:rFonts w:ascii="Georgia" w:hAnsi="Georgia"/>
          <w:b/>
          <w:color w:val="3D5566"/>
          <w:sz w:val="22"/>
        </w:rPr>
        <w:t xml:space="preserve">17.4 Publication Duty</w:t>
      </w:r>
    </w:p>
    <w:p>
      <w:pPr>
        <w:spacing w:before="0" w:after="140" w:line="252" w:lineRule="auto"/>
        <w:jc w:val="both"/>
      </w:pPr>
      <w:r>
        <w:rPr>
          <w:rFonts w:ascii="Georgia" w:hAnsi="Georgia"/>
          <w:color w:val="1E2A32"/>
          <w:sz w:val="21"/>
        </w:rPr>
        <w:t xml:space="preserve">The Office publishes: the weekly Clean Week determination within twelve hours of period close; the rolling Control Weight register; the credit account balance; the incident log within 24 hours of any logged occurrence; and the quarterly verification review. Publication occurs on a public dashboard in English, Arabic, and Farsi.</w:t>
      </w:r>
    </w:p>
    <w:p>
      <w:pPr>
        <w:pStyle w:val="Heading2"/>
      </w:pPr>
      <w:bookmarkStart w:id="1027" w:name="_Toc260001027"/>
      <w:r>
        <w:rPr>
          <w:rFonts w:ascii="Georgia" w:hAnsi="Georgia"/>
          <w:b/>
          <w:color w:val="2F4858"/>
          <w:sz w:val="25"/>
        </w:rPr>
        <w:t xml:space="preserve">Article 18: The Joint Survey Group</w:t>
      </w:r>
      <w:bookmarkEnd w:id="1027"/>
    </w:p>
    <w:p>
      <w:pPr>
        <w:pStyle w:val="Heading3"/>
      </w:pPr>
      <w:r>
        <w:rPr>
          <w:rFonts w:ascii="Georgia" w:hAnsi="Georgia"/>
          <w:b/>
          <w:color w:val="3D5566"/>
          <w:sz w:val="22"/>
        </w:rPr>
        <w:t xml:space="preserve">18.1 Mandate</w:t>
      </w:r>
    </w:p>
    <w:p>
      <w:pPr>
        <w:spacing w:before="0" w:after="140" w:line="252" w:lineRule="auto"/>
        <w:jc w:val="both"/>
      </w:pPr>
      <w:r>
        <w:rPr>
          <w:rFonts w:ascii="Georgia" w:hAnsi="Georgia"/>
          <w:color w:val="1E2A32"/>
          <w:sz w:val="21"/>
        </w:rPr>
        <w:t xml:space="preserve">The Joint Survey Group conducts hydrographic survey, mine-risk assessment, and clearance coordination across the Corridor System. It certifies corridor safety for Phase R-2 activation, for earn-back after E-3 and E-4 Events, and at each annual review.</w:t>
      </w:r>
    </w:p>
    <w:p>
      <w:pPr>
        <w:pStyle w:val="Heading3"/>
      </w:pPr>
      <w:r>
        <w:rPr>
          <w:rFonts w:ascii="Georgia" w:hAnsi="Georgia"/>
          <w:b/>
          <w:color w:val="3D5566"/>
          <w:sz w:val="22"/>
        </w:rPr>
        <w:t xml:space="preserve">18.2 Composition</w:t>
      </w:r>
    </w:p>
    <w:p>
      <w:pPr>
        <w:spacing w:before="0" w:after="140" w:line="252" w:lineRule="auto"/>
        <w:jc w:val="both"/>
      </w:pPr>
      <w:r>
        <w:rPr>
          <w:rFonts w:ascii="Georgia" w:hAnsi="Georgia"/>
          <w:color w:val="1E2A32"/>
          <w:sz w:val="21"/>
        </w:rPr>
        <w:t xml:space="preserve">The Group operates under two co-chairs, one appointed by Iran and one by Oman, with a technical secretariat drawn from the mine countermeasure units of the Guarantor and Observer states on a rotational basis. Clearance tasking executes through the co-chairs jointly; neither co-chair tasks alone.</w:t>
      </w:r>
    </w:p>
    <w:p>
      <w:pPr>
        <w:pStyle w:val="Heading3"/>
      </w:pPr>
      <w:r>
        <w:rPr>
          <w:rFonts w:ascii="Georgia" w:hAnsi="Georgia"/>
          <w:b/>
          <w:color w:val="3D5566"/>
          <w:sz w:val="22"/>
        </w:rPr>
        <w:t xml:space="preserve">18.3 Survey Standard</w:t>
      </w:r>
    </w:p>
    <w:p>
      <w:pPr>
        <w:spacing w:before="0" w:after="140" w:line="252" w:lineRule="auto"/>
        <w:jc w:val="both"/>
      </w:pPr>
      <w:r>
        <w:rPr>
          <w:rFonts w:ascii="Georgia" w:hAnsi="Georgia"/>
          <w:color w:val="1E2A32"/>
          <w:sz w:val="21"/>
        </w:rPr>
        <w:t xml:space="preserve">The Group applies the survey and clearance standards of Annex A, certifying each corridor segment against a stated residual-risk threshold before that segment carries traffic above pilot levels. Certification states the measured residual risk, the survey coverage, and the date of last sweep.</w:t>
      </w:r>
    </w:p>
    <w:p>
      <w:pPr>
        <w:pStyle w:val="Heading2"/>
      </w:pPr>
      <w:bookmarkStart w:id="1028" w:name="_Toc260001028"/>
      <w:r>
        <w:rPr>
          <w:rFonts w:ascii="Georgia" w:hAnsi="Georgia"/>
          <w:b/>
          <w:color w:val="2F4858"/>
          <w:sz w:val="25"/>
        </w:rPr>
        <w:t xml:space="preserve">Article 19: The Twin Key Rule</w:t>
      </w:r>
      <w:bookmarkEnd w:id="1028"/>
    </w:p>
    <w:p>
      <w:pPr>
        <w:pStyle w:val="Heading3"/>
      </w:pPr>
      <w:r>
        <w:rPr>
          <w:rFonts w:ascii="Georgia" w:hAnsi="Georgia"/>
          <w:b/>
          <w:color w:val="3D5566"/>
          <w:sz w:val="22"/>
        </w:rPr>
        <w:t xml:space="preserve">19.1 The Rule</w:t>
      </w:r>
    </w:p>
    <w:p>
      <w:pPr>
        <w:spacing w:before="0" w:after="140" w:line="252" w:lineRule="auto"/>
        <w:jc w:val="both"/>
      </w:pPr>
      <w:r>
        <w:rPr>
          <w:rFonts w:ascii="Georgia" w:hAnsi="Georgia"/>
          <w:color w:val="1E2A32"/>
          <w:sz w:val="21"/>
        </w:rPr>
        <w:t xml:space="preserve">Consequential action inside the Corridor System requires the concurrence of two keys. At entry into force, the keys are Iran and Oman for Inner Third actions, Oman and the Joint Survey Group co-chairs for Buffer actions, and Iran, Oman, and the Neutral Watch Office Director for actions touching both corridors at once. Annex B restates the key composition at every Control Weight band.</w:t>
      </w:r>
    </w:p>
    <w:p>
      <w:pPr>
        <w:pStyle w:val="Heading3"/>
      </w:pPr>
      <w:r>
        <w:rPr>
          <w:rFonts w:ascii="Georgia" w:hAnsi="Georgia"/>
          <w:b/>
          <w:color w:val="3D5566"/>
          <w:sz w:val="22"/>
        </w:rPr>
        <w:t xml:space="preserve">19.2 Consequential Action Defined</w:t>
      </w:r>
    </w:p>
    <w:p>
      <w:pPr>
        <w:spacing w:before="0" w:after="140" w:line="252" w:lineRule="auto"/>
        <w:jc w:val="both"/>
      </w:pPr>
      <w:r>
        <w:rPr>
          <w:rFonts w:ascii="Georgia" w:hAnsi="Georgia"/>
          <w:color w:val="1E2A32"/>
          <w:sz w:val="21"/>
        </w:rPr>
        <w:t xml:space="preserve">Consequential action comprises exhaustively: any stop, boarding, diversion, or detention of a commercial vessel; any change to corridor geometry or reporting points; any suspension of corridor operations; any closure of a corridor segment exceeding six hours; any deployment of additional patrol assets into the Buffer Corridor; and any action that Article 25 or Article 27 names. Routine traffic management within published rules is not consequential action.</w:t>
      </w:r>
    </w:p>
    <w:p>
      <w:pPr>
        <w:pStyle w:val="Heading3"/>
      </w:pPr>
      <w:r>
        <w:rPr>
          <w:rFonts w:ascii="Georgia" w:hAnsi="Georgia"/>
          <w:b/>
          <w:color w:val="3D5566"/>
          <w:sz w:val="22"/>
        </w:rPr>
        <w:t xml:space="preserve">19.3 Emergency Exception</w:t>
      </w:r>
    </w:p>
    <w:p>
      <w:pPr>
        <w:spacing w:before="0" w:after="140" w:line="252" w:lineRule="auto"/>
        <w:jc w:val="both"/>
      </w:pPr>
      <w:r>
        <w:rPr>
          <w:rFonts w:ascii="Georgia" w:hAnsi="Georgia"/>
          <w:color w:val="1E2A32"/>
          <w:sz w:val="21"/>
        </w:rPr>
        <w:t xml:space="preserve">Where an immediate threat to life or to a vessel requires action inside minutes, the on-scene commander acts, notifies both keys within 30 minutes, and files the written record with the Neutral Watch Office within six hours. The exception covers preservation of life and vessel safety only, and its invocation receives retrospective review at the next Council session.</w:t>
      </w:r>
    </w:p>
    <w:p>
      <w:pPr>
        <w:pStyle w:val="Heading3"/>
      </w:pPr>
      <w:r>
        <w:rPr>
          <w:rFonts w:ascii="Georgia" w:hAnsi="Georgia"/>
          <w:b/>
          <w:color w:val="3D5566"/>
          <w:sz w:val="22"/>
        </w:rPr>
        <w:t xml:space="preserve">19.4 Key Evolution with the Escalator</w:t>
      </w:r>
    </w:p>
    <w:p>
      <w:pPr>
        <w:spacing w:before="0" w:after="140" w:line="252" w:lineRule="auto"/>
        <w:jc w:val="both"/>
      </w:pPr>
      <w:r>
        <w:rPr>
          <w:rFonts w:ascii="Georgia" w:hAnsi="Georgia"/>
          <w:color w:val="1E2A32"/>
          <w:sz w:val="21"/>
        </w:rPr>
        <w:t xml:space="preserve">As Control Weight rises, Annex B adjusts the internal weighting of Iran's voice within the key-holding bodies. The rule itself never dissolves: at Full Unlock, Iran's enhanced weight operates inside the Twin Key, never outside it.</w:t>
      </w:r>
    </w:p>
    <w:p>
      <w:pPr>
        <w:pStyle w:val="Heading2"/>
      </w:pPr>
      <w:bookmarkStart w:id="1029" w:name="_Toc260001029"/>
      <w:r>
        <w:rPr>
          <w:rFonts w:ascii="Georgia" w:hAnsi="Georgia"/>
          <w:b/>
          <w:color w:val="2F4858"/>
          <w:sz w:val="25"/>
        </w:rPr>
        <w:t xml:space="preserve">Article 20: Observer and Liaison Participation</w:t>
      </w:r>
      <w:bookmarkEnd w:id="1029"/>
    </w:p>
    <w:p>
      <w:pPr>
        <w:pStyle w:val="Heading3"/>
      </w:pPr>
      <w:r>
        <w:rPr>
          <w:rFonts w:ascii="Georgia" w:hAnsi="Georgia"/>
          <w:b/>
          <w:color w:val="3D5566"/>
          <w:sz w:val="22"/>
        </w:rPr>
        <w:t xml:space="preserve">20.1 Observer Rights</w:t>
      </w:r>
    </w:p>
    <w:p>
      <w:pPr>
        <w:spacing w:before="0" w:after="140" w:line="252" w:lineRule="auto"/>
        <w:jc w:val="both"/>
      </w:pPr>
      <w:r>
        <w:rPr>
          <w:rFonts w:ascii="Georgia" w:hAnsi="Georgia"/>
          <w:color w:val="1E2A32"/>
          <w:sz w:val="21"/>
        </w:rPr>
        <w:t xml:space="preserve">Observer Participants receive: full access to the published verification record; attendance at ordinary Council sessions; 48 hours' notice of extraordinary sessions; the right to file technical observations that the Council answers in writing within 14 days; and access to corridor data feeds at the level Annex H specifies.</w:t>
      </w:r>
    </w:p>
    <w:p>
      <w:pPr>
        <w:pStyle w:val="Heading3"/>
      </w:pPr>
      <w:r>
        <w:rPr>
          <w:rFonts w:ascii="Georgia" w:hAnsi="Georgia"/>
          <w:b/>
          <w:color w:val="3D5566"/>
          <w:sz w:val="22"/>
        </w:rPr>
        <w:t xml:space="preserve">20.2 Industry Liaison</w:t>
      </w:r>
    </w:p>
    <w:p>
      <w:pPr>
        <w:spacing w:before="0" w:after="140" w:line="252" w:lineRule="auto"/>
        <w:jc w:val="both"/>
      </w:pPr>
      <w:r>
        <w:rPr>
          <w:rFonts w:ascii="Georgia" w:hAnsi="Georgia"/>
          <w:color w:val="1E2A32"/>
          <w:sz w:val="21"/>
        </w:rPr>
        <w:t xml:space="preserve">The Council maintains a standing industry liaison channel open to shipowners' associations, flag registries, classification societies, protection and indemnity clubs, and war-risk insurers. The channel meets monthly during Phases R-0 through R-5 and quarterly thereafter, and its risk assessments feed the Stability Audit.</w:t>
      </w:r>
    </w:p>
    <w:p>
      <w:pPr>
        <w:pStyle w:val="Heading3"/>
      </w:pPr>
      <w:r>
        <w:rPr>
          <w:rFonts w:ascii="Georgia" w:hAnsi="Georgia"/>
          <w:b/>
          <w:color w:val="3D5566"/>
          <w:sz w:val="22"/>
        </w:rPr>
        <w:t xml:space="preserve">20.3 IMO Liaison</w:t>
      </w:r>
    </w:p>
    <w:p>
      <w:pPr>
        <w:spacing w:before="0" w:after="140" w:line="252" w:lineRule="auto"/>
        <w:jc w:val="both"/>
      </w:pPr>
      <w:r>
        <w:rPr>
          <w:rFonts w:ascii="Georgia" w:hAnsi="Georgia"/>
          <w:color w:val="1E2A32"/>
          <w:sz w:val="21"/>
        </w:rPr>
        <w:t xml:space="preserve">The International Maritime Organization liaison reviews the corridor scheme against traffic separation scheme standards, receives the final coordinates for registration, and reports annually to the Council on standards conformity. The liaison holds consultative voice and no veto.</w:t>
      </w:r>
    </w:p>
    <w:p>
      <w:pPr>
        <w:pStyle w:val="Heading1"/>
        <w:pBdr>
          <w:bottom w:val="single" w:color="8A6D2F" w:sz="10"/>
        </w:pBdr>
      </w:pPr>
      <w:bookmarkStart w:id="1030" w:name="_Toc260001030"/>
      <w:r>
        <w:rPr>
          <w:rFonts w:ascii="Georgia" w:hAnsi="Georgia"/>
          <w:b/>
          <w:color w:val="2F4858"/>
          <w:sz w:val="30"/>
        </w:rPr>
        <w:t xml:space="preserve">PART VI: REVENUE ARCHITECTURE</w:t>
      </w:r>
      <w:bookmarkEnd w:id="1030"/>
    </w:p>
    <w:p>
      <w:pPr>
        <w:pStyle w:val="Heading2"/>
      </w:pPr>
      <w:bookmarkStart w:id="1031" w:name="_Toc260001031"/>
      <w:r>
        <w:rPr>
          <w:rFonts w:ascii="Georgia" w:hAnsi="Georgia"/>
          <w:b/>
          <w:color w:val="2F4858"/>
          <w:sz w:val="25"/>
        </w:rPr>
        <w:t xml:space="preserve">Article 21: The Route Assurance Data Service</w:t>
      </w:r>
      <w:bookmarkEnd w:id="1031"/>
    </w:p>
    <w:p>
      <w:pPr>
        <w:pStyle w:val="Heading3"/>
      </w:pPr>
      <w:r>
        <w:rPr>
          <w:rFonts w:ascii="Georgia" w:hAnsi="Georgia"/>
          <w:b/>
          <w:color w:val="3D5566"/>
          <w:sz w:val="22"/>
        </w:rPr>
        <w:t xml:space="preserve">21.1 Selected Solution</w:t>
      </w:r>
    </w:p>
    <w:p>
      <w:pPr>
        <w:spacing w:before="0" w:after="140" w:line="252" w:lineRule="auto"/>
        <w:jc w:val="both"/>
      </w:pPr>
      <w:r>
        <w:rPr>
          <w:rFonts w:ascii="Georgia" w:hAnsi="Georgia"/>
          <w:color w:val="1E2A32"/>
          <w:sz w:val="21"/>
        </w:rPr>
        <w:t xml:space="preserve">The Parties adopt, from the menu of fee solutions developed in the negotiations, the Route Assurance Data Service model as the Accord's primary revenue mechanism. Under this model, no vessel pays for passage. Vessels and their insurers subscribe to a commercial data product: the verified corridor safety, routing, and assurance data that the governance system generates. The payment purchases a service, never a right of transit, and this distinction preserves IPR-7 absolutely.</w:t>
      </w:r>
    </w:p>
    <w:p>
      <w:pPr>
        <w:pStyle w:val="Heading3"/>
      </w:pPr>
      <w:r>
        <w:rPr>
          <w:rFonts w:ascii="Georgia" w:hAnsi="Georgia"/>
          <w:b/>
          <w:color w:val="3D5566"/>
          <w:sz w:val="22"/>
        </w:rPr>
        <w:t xml:space="preserve">21.2 The Product</w:t>
      </w:r>
    </w:p>
    <w:p>
      <w:pPr>
        <w:spacing w:before="0" w:after="140" w:line="252" w:lineRule="auto"/>
        <w:jc w:val="both"/>
      </w:pPr>
      <w:r>
        <w:rPr>
          <w:rFonts w:ascii="Georgia" w:hAnsi="Georgia"/>
          <w:color w:val="1E2A32"/>
          <w:sz w:val="21"/>
        </w:rPr>
        <w:t xml:space="preserve">The RADS delivers: certified corridor status reports updated every six hours; verified routing guidance with the current reporting point set; the Joint Survey Group's residual-risk certifications; priority access to emergency diversion routing; the vessel-specific transit dossier that war-risk underwriters use for premium setting; and post-transit certification for charter-party and cargo documentation.</w:t>
      </w:r>
    </w:p>
    <w:p>
      <w:pPr>
        <w:pStyle w:val="Heading3"/>
      </w:pPr>
      <w:r>
        <w:rPr>
          <w:rFonts w:ascii="Georgia" w:hAnsi="Georgia"/>
          <w:b/>
          <w:color w:val="3D5566"/>
          <w:sz w:val="22"/>
        </w:rPr>
        <w:t xml:space="preserve">21.3 The Rate Card</w:t>
      </w:r>
    </w:p>
    <w:p>
      <w:pPr>
        <w:spacing w:before="0" w:after="140" w:line="252" w:lineRule="auto"/>
        <w:jc w:val="both"/>
      </w:pPr>
      <w:r>
        <w:rPr>
          <w:rFonts w:ascii="Georgia" w:hAnsi="Georgia"/>
          <w:color w:val="1E2A32"/>
          <w:sz w:val="21"/>
        </w:rPr>
        <w:t xml:space="preserve">Annex E publishes the complete rate card by vessel class and subscription tier. Rates are uniform, published, non-discriminatory, and audited. The pilot rate applies at 50 percent of the standard rate during Phases R-1 through R-4. A heavy-user cap limits each operator's aggregate annual subscription to the ceiling Annex E states, guaranteeing predictability for the largest fleets.</w:t>
      </w:r>
    </w:p>
    <w:p>
      <w:pPr>
        <w:pStyle w:val="Heading3"/>
      </w:pPr>
      <w:r>
        <w:rPr>
          <w:rFonts w:ascii="Georgia" w:hAnsi="Georgia"/>
          <w:b/>
          <w:color w:val="3D5566"/>
          <w:sz w:val="22"/>
        </w:rPr>
        <w:t xml:space="preserve">21.4 Voluntary in Law, Valuable in Fact</w:t>
      </w:r>
    </w:p>
    <w:p>
      <w:pPr>
        <w:spacing w:before="0" w:after="140" w:line="252" w:lineRule="auto"/>
        <w:jc w:val="both"/>
      </w:pPr>
      <w:r>
        <w:rPr>
          <w:rFonts w:ascii="Georgia" w:hAnsi="Georgia"/>
          <w:color w:val="1E2A32"/>
          <w:sz w:val="21"/>
        </w:rPr>
        <w:t xml:space="preserve">Subscription is voluntary in law: no administrator conditions transit on subscription. The product's value flows from the market itself: underwriters price risk from the RADS dossier, charterers prefer certified transits, and unsubscribed vessels transit on the public minimum data set alone. This structure solves the legal problem of the charge on passage without concealing anything from anyone.</w:t>
      </w:r>
    </w:p>
    <w:p>
      <w:pPr>
        <w:pStyle w:val="Heading3"/>
      </w:pPr>
      <w:r>
        <w:rPr>
          <w:rFonts w:ascii="Georgia" w:hAnsi="Georgia"/>
          <w:b/>
          <w:color w:val="3D5566"/>
          <w:sz w:val="22"/>
        </w:rPr>
        <w:t xml:space="preserve">21.5 Service Boundary</w:t>
      </w:r>
    </w:p>
    <w:p>
      <w:pPr>
        <w:spacing w:before="0" w:after="140" w:line="252" w:lineRule="auto"/>
        <w:jc w:val="both"/>
      </w:pPr>
      <w:r>
        <w:rPr>
          <w:rFonts w:ascii="Georgia" w:hAnsi="Georgia"/>
          <w:color w:val="1E2A32"/>
          <w:sz w:val="21"/>
        </w:rPr>
        <w:t xml:space="preserve">The RADS charge attaches exclusively to services actually rendered and actually used. The Neutral Watch Office audits the service boundary annually and certifies that no element of the charge functions as a toll on transit. A finding that any element crosses the boundary strips that element from the rate card at the next quarterly revision.</w:t>
      </w:r>
    </w:p>
    <w:p>
      <w:pPr>
        <w:pStyle w:val="Heading2"/>
      </w:pPr>
      <w:bookmarkStart w:id="1032" w:name="_Toc260001032"/>
      <w:r>
        <w:rPr>
          <w:rFonts w:ascii="Georgia" w:hAnsi="Georgia"/>
          <w:b/>
          <w:color w:val="2F4858"/>
          <w:sz w:val="25"/>
        </w:rPr>
        <w:t xml:space="preserve">Article 22: The Neutral Escrow</w:t>
      </w:r>
      <w:bookmarkEnd w:id="1032"/>
    </w:p>
    <w:p>
      <w:pPr>
        <w:pStyle w:val="Heading3"/>
      </w:pPr>
      <w:r>
        <w:rPr>
          <w:rFonts w:ascii="Georgia" w:hAnsi="Georgia"/>
          <w:b/>
          <w:color w:val="3D5566"/>
          <w:sz w:val="22"/>
        </w:rPr>
        <w:t xml:space="preserve">22.1 Selected Solution</w:t>
      </w:r>
    </w:p>
    <w:p>
      <w:pPr>
        <w:spacing w:before="0" w:after="140" w:line="252" w:lineRule="auto"/>
        <w:jc w:val="both"/>
      </w:pPr>
      <w:r>
        <w:rPr>
          <w:rFonts w:ascii="Georgia" w:hAnsi="Georgia"/>
          <w:color w:val="1E2A32"/>
          <w:sz w:val="21"/>
        </w:rPr>
        <w:t xml:space="preserve">The Parties adopt, as the second selected fee solution, the Neutral Escrow model. All RADS revenue flows into a single escrow account, the Hormuz Account, which the Swiss Confederation administers as Escrow Administrator through a dedicated facility in Geneva. Users pay the Escrow, never a coastal state. Coastal states receive distributions from the Escrow, never payments from users.</w:t>
      </w:r>
    </w:p>
    <w:p>
      <w:pPr>
        <w:pStyle w:val="Heading3"/>
      </w:pPr>
      <w:r>
        <w:rPr>
          <w:rFonts w:ascii="Georgia" w:hAnsi="Georgia"/>
          <w:b/>
          <w:color w:val="3D5566"/>
          <w:sz w:val="22"/>
        </w:rPr>
        <w:t xml:space="preserve">22.2 Sanctions-Compliance Firewall</w:t>
      </w:r>
    </w:p>
    <w:p>
      <w:pPr>
        <w:spacing w:before="0" w:after="140" w:line="252" w:lineRule="auto"/>
        <w:jc w:val="both"/>
      </w:pPr>
      <w:r>
        <w:rPr>
          <w:rFonts w:ascii="Georgia" w:hAnsi="Georgia"/>
          <w:color w:val="1E2A32"/>
          <w:sz w:val="21"/>
        </w:rPr>
        <w:t xml:space="preserve">The Hormuz Account operates behind a sanctions-compliance firewall: every inbound payment passes a dual screening against the sanctions lists of the Guarantor Parties; the Escrow Administrator holds a standing payment surety bond covering settlement finality; and distributions to Iran route through the designated humanitarian-and-services channel that Annex F specifies, which operates lawfully under the general licenses the Guarantor Parties maintain for the life of this Accord.</w:t>
      </w:r>
    </w:p>
    <w:p>
      <w:pPr>
        <w:pStyle w:val="Heading3"/>
      </w:pPr>
      <w:r>
        <w:rPr>
          <w:rFonts w:ascii="Georgia" w:hAnsi="Georgia"/>
          <w:b/>
          <w:color w:val="3D5566"/>
          <w:sz w:val="22"/>
        </w:rPr>
        <w:t xml:space="preserve">22.3 Distribution Rule</w:t>
      </w:r>
    </w:p>
    <w:p>
      <w:pPr>
        <w:spacing w:before="0" w:after="140" w:line="252" w:lineRule="auto"/>
        <w:jc w:val="both"/>
      </w:pPr>
      <w:r>
        <w:rPr>
          <w:rFonts w:ascii="Georgia" w:hAnsi="Georgia"/>
          <w:color w:val="1E2A32"/>
          <w:sz w:val="21"/>
        </w:rPr>
        <w:t xml:space="preserve">The Escrow Administrator distributes net revenue monthly in the proportions that the Control Weight register fixes at the close of the preceding month: Iran's share per the revenue dimension of Annex B, Oman's standing share, and the Stewardship Reserve share. Distribution is mechanical and admits no discretionary hold. A distribution dispute routes to Article 29 and never interrupts the next scheduled distribution of undisputed amounts.</w:t>
      </w:r>
    </w:p>
    <w:p>
      <w:pPr>
        <w:pStyle w:val="Heading3"/>
      </w:pPr>
      <w:r>
        <w:rPr>
          <w:rFonts w:ascii="Georgia" w:hAnsi="Georgia"/>
          <w:b/>
          <w:color w:val="3D5566"/>
          <w:sz w:val="22"/>
        </w:rPr>
        <w:t xml:space="preserve">22.4 Stewardship Reserve</w:t>
      </w:r>
    </w:p>
    <w:p>
      <w:pPr>
        <w:spacing w:before="0" w:after="140" w:line="252" w:lineRule="auto"/>
        <w:jc w:val="both"/>
      </w:pPr>
      <w:r>
        <w:rPr>
          <w:rFonts w:ascii="Georgia" w:hAnsi="Georgia"/>
          <w:color w:val="1E2A32"/>
          <w:sz w:val="21"/>
        </w:rPr>
        <w:t xml:space="preserve">The Stewardship Reserve funds: aids to navigation; environmental monitoring and pollution response capacity; Joint Survey Group operations; and Neutral Watch Office operating costs. Annex F sets the Reserve's capitalization target, drawdown rules, and investment policy.</w:t>
      </w:r>
    </w:p>
    <w:p>
      <w:pPr>
        <w:pStyle w:val="Heading3"/>
      </w:pPr>
      <w:r>
        <w:rPr>
          <w:rFonts w:ascii="Georgia" w:hAnsi="Georgia"/>
          <w:b/>
          <w:color w:val="3D5566"/>
          <w:sz w:val="22"/>
        </w:rPr>
        <w:t xml:space="preserve">22.5 Continuity in Crisis</w:t>
      </w:r>
    </w:p>
    <w:p>
      <w:pPr>
        <w:spacing w:before="0" w:after="140" w:line="252" w:lineRule="auto"/>
        <w:jc w:val="both"/>
      </w:pPr>
      <w:r>
        <w:rPr>
          <w:rFonts w:ascii="Georgia" w:hAnsi="Georgia"/>
          <w:color w:val="1E2A32"/>
          <w:sz w:val="21"/>
        </w:rPr>
        <w:t xml:space="preserve">The Escrow operates continuously, including during any Temporary Operational Suspension under Article 30 and any regional crisis. The architecture treats the payment channel as civilian infrastructure: it suspends for nothing short of a Council decision under unanimity of Principal and Guarantor Parties, and even then humanitarian and safety disbursements continue.</w:t>
      </w:r>
    </w:p>
    <w:p>
      <w:pPr>
        <w:pStyle w:val="Heading2"/>
      </w:pPr>
      <w:bookmarkStart w:id="1033" w:name="_Toc260001033"/>
      <w:r>
        <w:rPr>
          <w:rFonts w:ascii="Georgia" w:hAnsi="Georgia"/>
          <w:b/>
          <w:color w:val="2F4858"/>
          <w:sz w:val="25"/>
        </w:rPr>
        <w:t xml:space="preserve">Article 23: Revenue Shares and the Escalator Link</w:t>
      </w:r>
      <w:bookmarkEnd w:id="1033"/>
    </w:p>
    <w:p>
      <w:pPr>
        <w:pStyle w:val="Heading3"/>
      </w:pPr>
      <w:r>
        <w:rPr>
          <w:rFonts w:ascii="Georgia" w:hAnsi="Georgia"/>
          <w:b/>
          <w:color w:val="3D5566"/>
          <w:sz w:val="22"/>
        </w:rPr>
        <w:t xml:space="preserve">23.1 The Linkage</w:t>
      </w:r>
    </w:p>
    <w:p>
      <w:pPr>
        <w:spacing w:before="0" w:after="140" w:line="252" w:lineRule="auto"/>
        <w:jc w:val="both"/>
      </w:pPr>
      <w:r>
        <w:rPr>
          <w:rFonts w:ascii="Georgia" w:hAnsi="Georgia"/>
          <w:color w:val="1E2A32"/>
          <w:sz w:val="21"/>
        </w:rPr>
        <w:t xml:space="preserve">Iran's revenue share tracks the Escalator. The share rises with each milestone exactly as Annex B's revenue dimension specifies, from 33 percent at baseline to the 60 percent cap at Full Unlock. The linkage gives the revenue architecture the same sunrise logic as the authority architecture: good weeks grow the share automatically, and verified Events step it back under Article 10.</w:t>
      </w:r>
    </w:p>
    <w:p>
      <w:pPr>
        <w:pStyle w:val="Heading3"/>
      </w:pPr>
      <w:r>
        <w:rPr>
          <w:rFonts w:ascii="Georgia" w:hAnsi="Georgia"/>
          <w:b/>
          <w:color w:val="3D5566"/>
          <w:sz w:val="22"/>
        </w:rPr>
        <w:t xml:space="preserve">23.2 Oman's Floor</w:t>
      </w:r>
    </w:p>
    <w:p>
      <w:pPr>
        <w:spacing w:before="0" w:after="140" w:line="252" w:lineRule="auto"/>
        <w:jc w:val="both"/>
      </w:pPr>
      <w:r>
        <w:rPr>
          <w:rFonts w:ascii="Georgia" w:hAnsi="Georgia"/>
          <w:color w:val="1E2A32"/>
          <w:sz w:val="21"/>
        </w:rPr>
        <w:t xml:space="preserve">Oman's revenue share never falls below 25 percent of distributable revenue, at every Control Weight level, in recognition of its standing administration of Corridor South, its coordinating chair of the Buffer Corridor, and its role as escrow-facing administrator of the payment channel.</w:t>
      </w:r>
    </w:p>
    <w:p>
      <w:pPr>
        <w:pStyle w:val="Heading3"/>
      </w:pPr>
      <w:r>
        <w:rPr>
          <w:rFonts w:ascii="Georgia" w:hAnsi="Georgia"/>
          <w:b/>
          <w:color w:val="3D5566"/>
          <w:sz w:val="22"/>
        </w:rPr>
        <w:t xml:space="preserve">23.3 The Reserve Share</w:t>
      </w:r>
    </w:p>
    <w:p>
      <w:pPr>
        <w:spacing w:before="0" w:after="140" w:line="252" w:lineRule="auto"/>
        <w:jc w:val="both"/>
      </w:pPr>
      <w:r>
        <w:rPr>
          <w:rFonts w:ascii="Georgia" w:hAnsi="Georgia"/>
          <w:color w:val="1E2A32"/>
          <w:sz w:val="21"/>
        </w:rPr>
        <w:t xml:space="preserve">The Stewardship Reserve receives the residual after the Iranian and Omani shares, with a minimum allocation of 10 percent of distributable revenue. Where the shares and the floor conflict, the Reserve absorbs the difference down to its minimum, and the Iranian share adjusts within its band, never below the band floor that Annex B states.</w:t>
      </w:r>
    </w:p>
    <w:p>
      <w:pPr>
        <w:pStyle w:val="Heading3"/>
      </w:pPr>
      <w:r>
        <w:rPr>
          <w:rFonts w:ascii="Georgia" w:hAnsi="Georgia"/>
          <w:b/>
          <w:color w:val="3D5566"/>
          <w:sz w:val="22"/>
        </w:rPr>
        <w:t xml:space="preserve">23.4 No Retroactivity</w:t>
      </w:r>
    </w:p>
    <w:p>
      <w:pPr>
        <w:spacing w:before="0" w:after="140" w:line="252" w:lineRule="auto"/>
        <w:jc w:val="both"/>
      </w:pPr>
      <w:r>
        <w:rPr>
          <w:rFonts w:ascii="Georgia" w:hAnsi="Georgia"/>
          <w:color w:val="1E2A32"/>
          <w:sz w:val="21"/>
        </w:rPr>
        <w:t xml:space="preserve">Revenue share changes apply to settlement cycles that open after the underlying Control Weight change publishes. No settlement cycle re-opens retroactively.</w:t>
      </w:r>
    </w:p>
    <w:p>
      <w:pPr>
        <w:pStyle w:val="Heading2"/>
      </w:pPr>
      <w:bookmarkStart w:id="1034" w:name="_Toc260001034"/>
      <w:r>
        <w:rPr>
          <w:rFonts w:ascii="Georgia" w:hAnsi="Georgia"/>
          <w:b/>
          <w:color w:val="2F4858"/>
          <w:sz w:val="25"/>
        </w:rPr>
        <w:t xml:space="preserve">Article 24: Audit and Transparency</w:t>
      </w:r>
      <w:bookmarkEnd w:id="1034"/>
    </w:p>
    <w:p>
      <w:pPr>
        <w:pStyle w:val="Heading3"/>
      </w:pPr>
      <w:r>
        <w:rPr>
          <w:rFonts w:ascii="Georgia" w:hAnsi="Georgia"/>
          <w:b/>
          <w:color w:val="3D5566"/>
          <w:sz w:val="22"/>
        </w:rPr>
        <w:t xml:space="preserve">24.1 Continuous Audit</w:t>
      </w:r>
    </w:p>
    <w:p>
      <w:pPr>
        <w:spacing w:before="0" w:after="140" w:line="252" w:lineRule="auto"/>
        <w:jc w:val="both"/>
      </w:pPr>
      <w:r>
        <w:rPr>
          <w:rFonts w:ascii="Georgia" w:hAnsi="Georgia"/>
          <w:color w:val="1E2A32"/>
          <w:sz w:val="21"/>
        </w:rPr>
        <w:t xml:space="preserve">The Neutral Watch Office audits every settlement cycle against the published rate card and the subscription register. The Escrow Administrator appoints an independent external auditor of international standing for annual financial audit, and the auditor's report publishes in full.</w:t>
      </w:r>
    </w:p>
    <w:p>
      <w:pPr>
        <w:pStyle w:val="Heading3"/>
      </w:pPr>
      <w:r>
        <w:rPr>
          <w:rFonts w:ascii="Georgia" w:hAnsi="Georgia"/>
          <w:b/>
          <w:color w:val="3D5566"/>
          <w:sz w:val="22"/>
        </w:rPr>
        <w:t xml:space="preserve">24.2 Public Registers</w:t>
      </w:r>
    </w:p>
    <w:p>
      <w:pPr>
        <w:spacing w:before="0" w:after="140" w:line="252" w:lineRule="auto"/>
        <w:jc w:val="both"/>
      </w:pPr>
      <w:r>
        <w:rPr>
          <w:rFonts w:ascii="Georgia" w:hAnsi="Georgia"/>
          <w:color w:val="1E2A32"/>
          <w:sz w:val="21"/>
        </w:rPr>
        <w:t xml:space="preserve">The following registers publish continuously: the rate card; the subscription register (vessel classes and counts, never commercially sensitive detail); the settlement summaries; the Control Weight register; and the distribution records. Publication occurs in English, Arabic, and Farsi.</w:t>
      </w:r>
    </w:p>
    <w:p>
      <w:pPr>
        <w:pStyle w:val="Heading3"/>
      </w:pPr>
      <w:r>
        <w:rPr>
          <w:rFonts w:ascii="Georgia" w:hAnsi="Georgia"/>
          <w:b/>
          <w:color w:val="3D5566"/>
          <w:sz w:val="22"/>
        </w:rPr>
        <w:t xml:space="preserve">24.3 Anti-Diversion Certification</w:t>
      </w:r>
    </w:p>
    <w:p>
      <w:pPr>
        <w:spacing w:before="0" w:after="140" w:line="252" w:lineRule="auto"/>
        <w:jc w:val="both"/>
      </w:pPr>
      <w:r>
        <w:rPr>
          <w:rFonts w:ascii="Georgia" w:hAnsi="Georgia"/>
          <w:color w:val="1E2A32"/>
          <w:sz w:val="21"/>
        </w:rPr>
        <w:t xml:space="preserve">Each quarterly verification review includes an anti-diversion certification: a joint statement by the Escrow Administrator and the external auditor that distributions flowed only to the designated channels and funded only the purposes this Accord names. A failed certification freezes discretionary Reserve drawdowns, and only discretionary Reserve drawdowns, until the succeeding certification passes.</w:t>
      </w:r>
    </w:p>
    <w:p>
      <w:pPr>
        <w:pStyle w:val="Heading1"/>
        <w:pBdr>
          <w:bottom w:val="single" w:color="8A6D2F" w:sz="10"/>
        </w:pBdr>
      </w:pPr>
      <w:bookmarkStart w:id="1035" w:name="_Toc260001035"/>
      <w:r>
        <w:rPr>
          <w:rFonts w:ascii="Georgia" w:hAnsi="Georgia"/>
          <w:b/>
          <w:color w:val="2F4858"/>
          <w:sz w:val="30"/>
        </w:rPr>
        <w:t xml:space="preserve">PART VII: SECURITY AND DECONFLICTION</w:t>
      </w:r>
      <w:bookmarkEnd w:id="1035"/>
    </w:p>
    <w:p>
      <w:pPr>
        <w:pStyle w:val="Heading2"/>
      </w:pPr>
      <w:bookmarkStart w:id="1036" w:name="_Toc260001036"/>
      <w:r>
        <w:rPr>
          <w:rFonts w:ascii="Georgia" w:hAnsi="Georgia"/>
          <w:b/>
          <w:color w:val="2F4858"/>
          <w:sz w:val="25"/>
        </w:rPr>
        <w:t xml:space="preserve">Article 25: The Non-Interdiction Protocol</w:t>
      </w:r>
      <w:bookmarkEnd w:id="1036"/>
    </w:p>
    <w:p>
      <w:pPr>
        <w:pStyle w:val="Heading3"/>
      </w:pPr>
      <w:r>
        <w:rPr>
          <w:rFonts w:ascii="Georgia" w:hAnsi="Georgia"/>
          <w:b/>
          <w:color w:val="3D5566"/>
          <w:sz w:val="22"/>
        </w:rPr>
        <w:t xml:space="preserve">25.1 The Protocol</w:t>
      </w:r>
    </w:p>
    <w:p>
      <w:pPr>
        <w:spacing w:before="0" w:after="140" w:line="252" w:lineRule="auto"/>
        <w:jc w:val="both"/>
      </w:pPr>
      <w:r>
        <w:rPr>
          <w:rFonts w:ascii="Georgia" w:hAnsi="Georgia"/>
          <w:color w:val="1E2A32"/>
          <w:sz w:val="21"/>
        </w:rPr>
        <w:t xml:space="preserve">Commercial transit operates under an absolute non-interdiction protocol within the Corridor System. The framework architecture excludes stops, boardings, diversions, detentions, and harassment of commercial vessels as instruments of policy. The only lawful physical interactions with commercial vessels are: (a) safety interactions under the emergency exception of Article 19.3; (b) pollution-response interventions under the environmental protocol of Annex E; and (c) actions under a specific Twin Key authorization recorded before the act.</w:t>
      </w:r>
    </w:p>
    <w:p>
      <w:pPr>
        <w:pStyle w:val="Heading3"/>
      </w:pPr>
      <w:r>
        <w:rPr>
          <w:rFonts w:ascii="Georgia" w:hAnsi="Georgia"/>
          <w:b/>
          <w:color w:val="3D5566"/>
          <w:sz w:val="22"/>
        </w:rPr>
        <w:t xml:space="preserve">25.2 Architectural Framing</w:t>
      </w:r>
    </w:p>
    <w:p>
      <w:pPr>
        <w:spacing w:before="0" w:after="140" w:line="252" w:lineRule="auto"/>
        <w:jc w:val="both"/>
      </w:pPr>
      <w:r>
        <w:rPr>
          <w:rFonts w:ascii="Georgia" w:hAnsi="Georgia"/>
          <w:color w:val="1E2A32"/>
          <w:sz w:val="21"/>
        </w:rPr>
        <w:t xml:space="preserve">This protocol binds every Party identically because it forms part of the shared architecture, not because any Party restrains itself for another's benefit. The protocol expresses IPR-14: the constraint lives in the framework's design.</w:t>
      </w:r>
    </w:p>
    <w:p>
      <w:pPr>
        <w:pStyle w:val="Heading3"/>
      </w:pPr>
      <w:r>
        <w:rPr>
          <w:rFonts w:ascii="Georgia" w:hAnsi="Georgia"/>
          <w:b/>
          <w:color w:val="3D5566"/>
          <w:sz w:val="22"/>
        </w:rPr>
        <w:t xml:space="preserve">25.3 Military Traffic</w:t>
      </w:r>
    </w:p>
    <w:p>
      <w:pPr>
        <w:spacing w:before="0" w:after="140" w:line="252" w:lineRule="auto"/>
        <w:jc w:val="both"/>
      </w:pPr>
      <w:r>
        <w:rPr>
          <w:rFonts w:ascii="Georgia" w:hAnsi="Georgia"/>
          <w:color w:val="1E2A32"/>
          <w:sz w:val="21"/>
        </w:rPr>
        <w:t xml:space="preserve">Naval vessels of any state transit the Corridor System under the deconfliction rules of Annex I: prior notification through the hotline network, transit in the designated military transit windows where practicable, and continuous AIS transmission or its military equivalent for deconfliction purposes. The military transit regime neither expands nor restricts any right under international law; it organizes communication so that lawful activity produces no incidents.</w:t>
      </w:r>
    </w:p>
    <w:p>
      <w:pPr>
        <w:pStyle w:val="Heading3"/>
      </w:pPr>
      <w:r>
        <w:rPr>
          <w:rFonts w:ascii="Georgia" w:hAnsi="Georgia"/>
          <w:b/>
          <w:color w:val="3D5566"/>
          <w:sz w:val="22"/>
        </w:rPr>
        <w:t xml:space="preserve">25.4 Verification of the Protocol</w:t>
      </w:r>
    </w:p>
    <w:p>
      <w:pPr>
        <w:spacing w:before="0" w:after="140" w:line="252" w:lineRule="auto"/>
        <w:jc w:val="both"/>
      </w:pPr>
      <w:r>
        <w:rPr>
          <w:rFonts w:ascii="Georgia" w:hAnsi="Georgia"/>
          <w:color w:val="1E2A32"/>
          <w:sz w:val="21"/>
        </w:rPr>
        <w:t xml:space="preserve">The Neutral Watch Office logs every physical interaction between state vessels and commercial vessels inside the Corridor System, classifies each against this Article, and publishes the classification within 24 hours. An unlogged interaction discovered after the fact classifies as E-2 at minimum.</w:t>
      </w:r>
    </w:p>
    <w:p>
      <w:pPr>
        <w:pStyle w:val="Heading2"/>
      </w:pPr>
      <w:bookmarkStart w:id="1037" w:name="_Toc260001037"/>
      <w:r>
        <w:rPr>
          <w:rFonts w:ascii="Georgia" w:hAnsi="Georgia"/>
          <w:b/>
          <w:color w:val="2F4858"/>
          <w:sz w:val="25"/>
        </w:rPr>
        <w:t xml:space="preserve">Article 26: Communications and Hotlines</w:t>
      </w:r>
      <w:bookmarkEnd w:id="1037"/>
    </w:p>
    <w:p>
      <w:pPr>
        <w:pStyle w:val="Heading3"/>
      </w:pPr>
      <w:r>
        <w:rPr>
          <w:rFonts w:ascii="Georgia" w:hAnsi="Georgia"/>
          <w:b/>
          <w:color w:val="3D5566"/>
          <w:sz w:val="22"/>
        </w:rPr>
        <w:t xml:space="preserve">26.1 The Network</w:t>
      </w:r>
    </w:p>
    <w:p>
      <w:pPr>
        <w:spacing w:before="0" w:after="140" w:line="252" w:lineRule="auto"/>
        <w:jc w:val="both"/>
      </w:pPr>
      <w:r>
        <w:rPr>
          <w:rFonts w:ascii="Georgia" w:hAnsi="Georgia"/>
          <w:color w:val="1E2A32"/>
          <w:sz w:val="21"/>
        </w:rPr>
        <w:t xml:space="preserve">Annex I establishes the hotline network: the 24/7 watch floor link between the two corridor administrators and the Neutral Watch Office; the military deconfliction link joining the Iranian, Omani, and United States naval commands; the leader-level channel routed through the Omani chair; and the industry liaison channel.</w:t>
      </w:r>
    </w:p>
    <w:p>
      <w:pPr>
        <w:pStyle w:val="Heading3"/>
      </w:pPr>
      <w:r>
        <w:rPr>
          <w:rFonts w:ascii="Georgia" w:hAnsi="Georgia"/>
          <w:b/>
          <w:color w:val="3D5566"/>
          <w:sz w:val="22"/>
        </w:rPr>
        <w:t xml:space="preserve">26.2 Test Regime</w:t>
      </w:r>
    </w:p>
    <w:p>
      <w:pPr>
        <w:spacing w:before="0" w:after="140" w:line="252" w:lineRule="auto"/>
        <w:jc w:val="both"/>
      </w:pPr>
      <w:r>
        <w:rPr>
          <w:rFonts w:ascii="Georgia" w:hAnsi="Georgia"/>
          <w:color w:val="1E2A32"/>
          <w:sz w:val="21"/>
        </w:rPr>
        <w:t xml:space="preserve">The network tests daily at 06:00 UTC. A failed test classifies as a Level 2 alert; three consecutive failures classify as an E-2 Event. The Neutral Watch Office maintains the test record and publishes compliance weekly.</w:t>
      </w:r>
    </w:p>
    <w:p>
      <w:pPr>
        <w:pStyle w:val="Heading3"/>
      </w:pPr>
      <w:r>
        <w:rPr>
          <w:rFonts w:ascii="Georgia" w:hAnsi="Georgia"/>
          <w:b/>
          <w:color w:val="3D5566"/>
          <w:sz w:val="22"/>
        </w:rPr>
        <w:t xml:space="preserve">26.3 Response Standards</w:t>
      </w:r>
    </w:p>
    <w:p>
      <w:pPr>
        <w:spacing w:before="0" w:after="140" w:line="252" w:lineRule="auto"/>
        <w:jc w:val="both"/>
      </w:pPr>
      <w:r>
        <w:rPr>
          <w:rFonts w:ascii="Georgia" w:hAnsi="Georgia"/>
          <w:color w:val="1E2A32"/>
          <w:sz w:val="21"/>
        </w:rPr>
        <w:t xml:space="preserve">Annex I sets response standards: incident notification acknowledgment within 15 minutes; routine inquiry response within two hours; emergency notification response immediate. These standards form part of the Clean Week criteria of Annex C.</w:t>
      </w:r>
    </w:p>
    <w:p>
      <w:pPr>
        <w:pStyle w:val="Heading2"/>
      </w:pPr>
      <w:bookmarkStart w:id="1038" w:name="_Toc260001038"/>
      <w:r>
        <w:rPr>
          <w:rFonts w:ascii="Georgia" w:hAnsi="Georgia"/>
          <w:b/>
          <w:color w:val="2F4858"/>
          <w:sz w:val="25"/>
        </w:rPr>
        <w:t xml:space="preserve">Article 27: Mine-Risk Management</w:t>
      </w:r>
      <w:bookmarkEnd w:id="1038"/>
    </w:p>
    <w:p>
      <w:pPr>
        <w:pStyle w:val="Heading3"/>
      </w:pPr>
      <w:r>
        <w:rPr>
          <w:rFonts w:ascii="Georgia" w:hAnsi="Georgia"/>
          <w:b/>
          <w:color w:val="3D5566"/>
          <w:sz w:val="22"/>
        </w:rPr>
        <w:t xml:space="preserve">27.1 Standing Prohibition</w:t>
      </w:r>
    </w:p>
    <w:p>
      <w:pPr>
        <w:spacing w:before="0" w:after="140" w:line="252" w:lineRule="auto"/>
        <w:jc w:val="both"/>
      </w:pPr>
      <w:r>
        <w:rPr>
          <w:rFonts w:ascii="Georgia" w:hAnsi="Georgia"/>
          <w:color w:val="1E2A32"/>
          <w:sz w:val="21"/>
        </w:rPr>
        <w:t xml:space="preserve">The framework architecture excludes mine emplacement in the Corridor System absolutely. Detection of any mine-like object activates the Joint Survey Group response protocol within two hours: segment marking, traffic rerouting through the Buffer Corridor, and clearance tasking under joint co-chair authorization.</w:t>
      </w:r>
    </w:p>
    <w:p>
      <w:pPr>
        <w:pStyle w:val="Heading3"/>
      </w:pPr>
      <w:r>
        <w:rPr>
          <w:rFonts w:ascii="Georgia" w:hAnsi="Georgia"/>
          <w:b/>
          <w:color w:val="3D5566"/>
          <w:sz w:val="22"/>
        </w:rPr>
        <w:t xml:space="preserve">27.2 Baseline and Rolling Surveys</w:t>
      </w:r>
    </w:p>
    <w:p>
      <w:pPr>
        <w:spacing w:before="0" w:after="140" w:line="252" w:lineRule="auto"/>
        <w:jc w:val="both"/>
      </w:pPr>
      <w:r>
        <w:rPr>
          <w:rFonts w:ascii="Georgia" w:hAnsi="Georgia"/>
          <w:color w:val="1E2A32"/>
          <w:sz w:val="21"/>
        </w:rPr>
        <w:t xml:space="preserve">The Joint Survey Group completes the baseline survey during Phase R-0, certifies each segment before activation, and thereafter maintains rolling survey coverage with every corridor segment swept on the cycle Annex A states. Survey products feed the RADS and the Stability Audit.</w:t>
      </w:r>
    </w:p>
    <w:p>
      <w:pPr>
        <w:pStyle w:val="Heading3"/>
      </w:pPr>
      <w:r>
        <w:rPr>
          <w:rFonts w:ascii="Georgia" w:hAnsi="Georgia"/>
          <w:b/>
          <w:color w:val="3D5566"/>
          <w:sz w:val="22"/>
        </w:rPr>
        <w:t xml:space="preserve">27.3 Historical Contamination</w:t>
      </w:r>
    </w:p>
    <w:p>
      <w:pPr>
        <w:spacing w:before="0" w:after="140" w:line="252" w:lineRule="auto"/>
        <w:jc w:val="both"/>
      </w:pPr>
      <w:r>
        <w:rPr>
          <w:rFonts w:ascii="Georgia" w:hAnsi="Georgia"/>
          <w:color w:val="1E2A32"/>
          <w:sz w:val="21"/>
        </w:rPr>
        <w:t xml:space="preserve">Ordnance attributable to the conflict period receives joint clearance under Guarantor Party technical support, with costs borne by the Stewardship Reserve. Attribution disputes over historical ordnance route to the forensic procedure of Article 28 and never delay clearance.</w:t>
      </w:r>
    </w:p>
    <w:p>
      <w:pPr>
        <w:pStyle w:val="Heading2"/>
      </w:pPr>
      <w:bookmarkStart w:id="1039" w:name="_Toc260001039"/>
      <w:r>
        <w:rPr>
          <w:rFonts w:ascii="Georgia" w:hAnsi="Georgia"/>
          <w:b/>
          <w:color w:val="2F4858"/>
          <w:sz w:val="25"/>
        </w:rPr>
        <w:t xml:space="preserve">Article 28: Incident Response and False Flag Protocol</w:t>
      </w:r>
      <w:bookmarkEnd w:id="1039"/>
    </w:p>
    <w:p>
      <w:pPr>
        <w:pStyle w:val="Heading3"/>
      </w:pPr>
      <w:r>
        <w:rPr>
          <w:rFonts w:ascii="Georgia" w:hAnsi="Georgia"/>
          <w:b/>
          <w:color w:val="3D5566"/>
          <w:sz w:val="22"/>
        </w:rPr>
        <w:t xml:space="preserve">28.1 Incident Command</w:t>
      </w:r>
    </w:p>
    <w:p>
      <w:pPr>
        <w:spacing w:before="0" w:after="140" w:line="252" w:lineRule="auto"/>
        <w:jc w:val="both"/>
      </w:pPr>
      <w:r>
        <w:rPr>
          <w:rFonts w:ascii="Georgia" w:hAnsi="Georgia"/>
          <w:color w:val="1E2A32"/>
          <w:sz w:val="21"/>
        </w:rPr>
        <w:t xml:space="preserve">Every incident inside the Corridor System activates a single incident command under the corridor administrator of the affected segment, with the other administrator and the Neutral Watch Office linked in from the first notification. Command transfers across segment boundaries as the incident moves, by protocol, without negotiation.</w:t>
      </w:r>
    </w:p>
    <w:p>
      <w:pPr>
        <w:pStyle w:val="Heading3"/>
      </w:pPr>
      <w:r>
        <w:rPr>
          <w:rFonts w:ascii="Georgia" w:hAnsi="Georgia"/>
          <w:b/>
          <w:color w:val="3D5566"/>
          <w:sz w:val="22"/>
        </w:rPr>
        <w:t xml:space="preserve">28.2 Attribution Procedure</w:t>
      </w:r>
    </w:p>
    <w:p>
      <w:pPr>
        <w:spacing w:before="0" w:after="140" w:line="252" w:lineRule="auto"/>
        <w:jc w:val="both"/>
      </w:pPr>
      <w:r>
        <w:rPr>
          <w:rFonts w:ascii="Georgia" w:hAnsi="Georgia"/>
          <w:color w:val="1E2A32"/>
          <w:sz w:val="21"/>
        </w:rPr>
        <w:t xml:space="preserve">For every incident with security significance: the Neutral Watch Office opens the forensic file within six hours; the 48-hour attribution deferral window runs before any Event classification above E-1; all Parties and Observer Participants contribute data to the forensic file; and the classification follows the forensic finding. Allegation carries no weight; telemetry, witnesses, and material evidence carry all of it.</w:t>
      </w:r>
    </w:p>
    <w:p>
      <w:pPr>
        <w:pStyle w:val="Heading3"/>
      </w:pPr>
      <w:r>
        <w:rPr>
          <w:rFonts w:ascii="Georgia" w:hAnsi="Georgia"/>
          <w:b/>
          <w:color w:val="3D5566"/>
          <w:sz w:val="22"/>
        </w:rPr>
        <w:t xml:space="preserve">28.3 False Flag Protocol</w:t>
      </w:r>
    </w:p>
    <w:p>
      <w:pPr>
        <w:spacing w:before="0" w:after="140" w:line="252" w:lineRule="auto"/>
        <w:jc w:val="both"/>
      </w:pPr>
      <w:r>
        <w:rPr>
          <w:rFonts w:ascii="Georgia" w:hAnsi="Georgia"/>
          <w:color w:val="1E2A32"/>
          <w:sz w:val="21"/>
        </w:rPr>
        <w:t xml:space="preserve">The Parties operate under a presumption of good faith toward one another and a presumption of caution toward unattributed violence. Rogue actors and false flag operations fall outside the Event schedule entirely: where the forensic finding attributes an attack to a third actor, no step-back applies, and the Council's response addresses the third actor through the security cooperation channel, jointly.</w:t>
      </w:r>
    </w:p>
    <w:p>
      <w:pPr>
        <w:pStyle w:val="Heading3"/>
      </w:pPr>
      <w:r>
        <w:rPr>
          <w:rFonts w:ascii="Georgia" w:hAnsi="Georgia"/>
          <w:b/>
          <w:color w:val="3D5566"/>
          <w:sz w:val="22"/>
        </w:rPr>
        <w:t xml:space="preserve">28.4 No Automatic Military Escalation</w:t>
      </w:r>
    </w:p>
    <w:p>
      <w:pPr>
        <w:spacing w:before="0" w:after="140" w:line="252" w:lineRule="auto"/>
        <w:jc w:val="both"/>
      </w:pPr>
      <w:r>
        <w:rPr>
          <w:rFonts w:ascii="Georgia" w:hAnsi="Georgia"/>
          <w:color w:val="1E2A32"/>
          <w:sz w:val="21"/>
        </w:rPr>
        <w:t xml:space="preserve">Under no circumstances does a compliance dispute, Event classification, step-back, or suspension under this Accord authorize, trigger, or justify the use of military force by any Party. This separation between the Accord's internal discipline and military decision stands absolute and non-waivable, and it binds as architecture, not as any Party's concession.</w:t>
      </w:r>
    </w:p>
    <w:p>
      <w:pPr>
        <w:pStyle w:val="Heading1"/>
        <w:pBdr>
          <w:bottom w:val="single" w:color="8A6D2F" w:sz="10"/>
        </w:pBdr>
      </w:pPr>
      <w:bookmarkStart w:id="1040" w:name="_Toc260001040"/>
      <w:r>
        <w:rPr>
          <w:rFonts w:ascii="Georgia" w:hAnsi="Georgia"/>
          <w:b/>
          <w:color w:val="2F4858"/>
          <w:sz w:val="30"/>
        </w:rPr>
        <w:t xml:space="preserve">PART VIII: DISPUTES, DURATION, AND FINAL CLAUSES</w:t>
      </w:r>
      <w:bookmarkEnd w:id="1040"/>
    </w:p>
    <w:p>
      <w:pPr>
        <w:pStyle w:val="Heading2"/>
      </w:pPr>
      <w:bookmarkStart w:id="1041" w:name="_Toc260001041"/>
      <w:r>
        <w:rPr>
          <w:rFonts w:ascii="Georgia" w:hAnsi="Georgia"/>
          <w:b/>
          <w:color w:val="2F4858"/>
          <w:sz w:val="25"/>
        </w:rPr>
        <w:t xml:space="preserve">Article 29: Dispute Resolution</w:t>
      </w:r>
      <w:bookmarkEnd w:id="1041"/>
    </w:p>
    <w:p>
      <w:pPr>
        <w:pStyle w:val="Heading3"/>
      </w:pPr>
      <w:r>
        <w:rPr>
          <w:rFonts w:ascii="Georgia" w:hAnsi="Georgia"/>
          <w:b/>
          <w:color w:val="3D5566"/>
          <w:sz w:val="22"/>
        </w:rPr>
        <w:t xml:space="preserve">29.1 The Ladder</w:t>
      </w:r>
    </w:p>
    <w:p>
      <w:pPr>
        <w:spacing w:before="0" w:after="140" w:line="252" w:lineRule="auto"/>
        <w:jc w:val="both"/>
      </w:pPr>
      <w:r>
        <w:rPr>
          <w:rFonts w:ascii="Georgia" w:hAnsi="Georgia"/>
          <w:color w:val="1E2A32"/>
          <w:sz w:val="21"/>
        </w:rPr>
        <w:t xml:space="preserve">Disputes climb a fixed ladder. First, technical consultation at the Neutral Watch Office within seven days. Second, Council consideration at the next ordinary session. Third, mediation through the Omani chair within 21 days. Fourth, binding determination by the Guarantor Parties jointly within 30 days, under Consensus Minus One where the dispute touches a Guarantor's own conduct. Each rung's product publishes.</w:t>
      </w:r>
    </w:p>
    <w:p>
      <w:pPr>
        <w:pStyle w:val="Heading3"/>
      </w:pPr>
      <w:r>
        <w:rPr>
          <w:rFonts w:ascii="Georgia" w:hAnsi="Georgia"/>
          <w:b/>
          <w:color w:val="3D5566"/>
          <w:sz w:val="22"/>
        </w:rPr>
        <w:t xml:space="preserve">29.2 Interim Operation</w:t>
      </w:r>
    </w:p>
    <w:p>
      <w:pPr>
        <w:spacing w:before="0" w:after="140" w:line="252" w:lineRule="auto"/>
        <w:jc w:val="both"/>
      </w:pPr>
      <w:r>
        <w:rPr>
          <w:rFonts w:ascii="Georgia" w:hAnsi="Georgia"/>
          <w:color w:val="1E2A32"/>
          <w:sz w:val="21"/>
        </w:rPr>
        <w:t xml:space="preserve">While any dispute climbs the ladder, the Corridor System operates without interruption under the last verified configuration. Dispute never suspends traffic, verification, or settlement.</w:t>
      </w:r>
    </w:p>
    <w:p>
      <w:pPr>
        <w:pStyle w:val="Heading3"/>
      </w:pPr>
      <w:r>
        <w:rPr>
          <w:rFonts w:ascii="Georgia" w:hAnsi="Georgia"/>
          <w:b/>
          <w:color w:val="3D5566"/>
          <w:sz w:val="22"/>
        </w:rPr>
        <w:t xml:space="preserve">29.3 Technical Panels</w:t>
      </w:r>
    </w:p>
    <w:p>
      <w:pPr>
        <w:spacing w:before="0" w:after="140" w:line="252" w:lineRule="auto"/>
        <w:jc w:val="both"/>
      </w:pPr>
      <w:r>
        <w:rPr>
          <w:rFonts w:ascii="Georgia" w:hAnsi="Georgia"/>
          <w:color w:val="1E2A32"/>
          <w:sz w:val="21"/>
        </w:rPr>
        <w:t xml:space="preserve">For disputes of a technical character, the Council convenes a three-member panel of independent experts from the roster in Annex H. The panel reports within 30 days, and its factual findings bind the subsequent rungs.</w:t>
      </w:r>
    </w:p>
    <w:p>
      <w:pPr>
        <w:pStyle w:val="Heading2"/>
      </w:pPr>
      <w:bookmarkStart w:id="1042" w:name="_Toc260001042"/>
      <w:r>
        <w:rPr>
          <w:rFonts w:ascii="Georgia" w:hAnsi="Georgia"/>
          <w:b/>
          <w:color w:val="2F4858"/>
          <w:sz w:val="25"/>
        </w:rPr>
        <w:t xml:space="preserve">Article 30: Force Majeure and Temporary Operational Suspension</w:t>
      </w:r>
      <w:bookmarkEnd w:id="1042"/>
    </w:p>
    <w:p>
      <w:pPr>
        <w:pStyle w:val="Heading3"/>
      </w:pPr>
      <w:r>
        <w:rPr>
          <w:rFonts w:ascii="Georgia" w:hAnsi="Georgia"/>
          <w:b/>
          <w:color w:val="3D5566"/>
          <w:sz w:val="22"/>
        </w:rPr>
        <w:t xml:space="preserve">30.1 Temporary Operational Suspension</w:t>
      </w:r>
    </w:p>
    <w:p>
      <w:pPr>
        <w:spacing w:before="0" w:after="140" w:line="252" w:lineRule="auto"/>
        <w:jc w:val="both"/>
      </w:pPr>
      <w:r>
        <w:rPr>
          <w:rFonts w:ascii="Georgia" w:hAnsi="Georgia"/>
          <w:color w:val="1E2A32"/>
          <w:sz w:val="21"/>
        </w:rPr>
        <w:t xml:space="preserve">A Principal Party invokes a Temporary Operational Suspension by written notice for up to 14 days per invocation, at most three invocations per calendar year. Suspension freezes new obligations; it preserves the hotline network, safety-of-life functions, the escrow's humanitarian channel, and the verification record. The Escalator clock neither advances nor resets during suspension. Suspension is a safety valve, never a breach.</w:t>
      </w:r>
    </w:p>
    <w:p>
      <w:pPr>
        <w:pStyle w:val="Heading3"/>
      </w:pPr>
      <w:r>
        <w:rPr>
          <w:rFonts w:ascii="Georgia" w:hAnsi="Georgia"/>
          <w:b/>
          <w:color w:val="3D5566"/>
          <w:sz w:val="22"/>
        </w:rPr>
        <w:t xml:space="preserve">30.2 Force Majeure</w:t>
      </w:r>
    </w:p>
    <w:p>
      <w:pPr>
        <w:spacing w:before="0" w:after="140" w:line="252" w:lineRule="auto"/>
        <w:jc w:val="both"/>
      </w:pPr>
      <w:r>
        <w:rPr>
          <w:rFonts w:ascii="Georgia" w:hAnsi="Georgia"/>
          <w:color w:val="1E2A32"/>
          <w:sz w:val="21"/>
        </w:rPr>
        <w:t xml:space="preserve">Regional conflict spillover that materially prevents performance activates Force Majeure on 48 hours' notice with Neutral Watch Office verification of the impediment, for up to 60 days. Core functions survive: hotlines, safety of life, humanitarian channel, and the verification record. Step-back consequences do not accrue for obligations that Force Majeure suspends.</w:t>
      </w:r>
    </w:p>
    <w:p>
      <w:pPr>
        <w:pStyle w:val="Heading3"/>
      </w:pPr>
      <w:r>
        <w:rPr>
          <w:rFonts w:ascii="Georgia" w:hAnsi="Georgia"/>
          <w:b/>
          <w:color w:val="3D5566"/>
          <w:sz w:val="22"/>
        </w:rPr>
        <w:t xml:space="preserve">30.3 Restoration</w:t>
      </w:r>
    </w:p>
    <w:p>
      <w:pPr>
        <w:spacing w:before="0" w:after="140" w:line="252" w:lineRule="auto"/>
        <w:jc w:val="both"/>
      </w:pPr>
      <w:r>
        <w:rPr>
          <w:rFonts w:ascii="Georgia" w:hAnsi="Georgia"/>
          <w:color w:val="1E2A32"/>
          <w:sz w:val="21"/>
        </w:rPr>
        <w:t xml:space="preserve">Exit from suspension or Force Majeure occurs on written notice plus verification of restored capacity. The Escalator resumes from its pre-suspension position, including credit balances and milestone status.</w:t>
      </w:r>
    </w:p>
    <w:p>
      <w:pPr>
        <w:pStyle w:val="Heading2"/>
      </w:pPr>
      <w:bookmarkStart w:id="1043" w:name="_Toc260001043"/>
      <w:r>
        <w:rPr>
          <w:rFonts w:ascii="Georgia" w:hAnsi="Georgia"/>
          <w:b/>
          <w:color w:val="2F4858"/>
          <w:sz w:val="25"/>
        </w:rPr>
        <w:t xml:space="preserve">Article 31: Amendment, Review, Duration, and Entry into Force</w:t>
      </w:r>
      <w:bookmarkEnd w:id="1043"/>
    </w:p>
    <w:p>
      <w:pPr>
        <w:pStyle w:val="Heading3"/>
      </w:pPr>
      <w:r>
        <w:rPr>
          <w:rFonts w:ascii="Georgia" w:hAnsi="Georgia"/>
          <w:b/>
          <w:color w:val="3D5566"/>
          <w:sz w:val="22"/>
        </w:rPr>
        <w:t xml:space="preserve">31.1 Entry into Force</w:t>
      </w:r>
    </w:p>
    <w:p>
      <w:pPr>
        <w:spacing w:before="0" w:after="140" w:line="252" w:lineRule="auto"/>
        <w:jc w:val="both"/>
      </w:pPr>
      <w:r>
        <w:rPr>
          <w:rFonts w:ascii="Georgia" w:hAnsi="Georgia"/>
          <w:color w:val="1E2A32"/>
          <w:sz w:val="21"/>
        </w:rPr>
        <w:t xml:space="preserve">The Accord enters into force on the day the Principal Parties and both Guarantor Parties deposit instruments of acceptance with the depositary, the Swiss Confederation. The depositary notifies all participants within 24 hours, and Phase R-0 opens at 00:00 UTC on the following day.</w:t>
      </w:r>
    </w:p>
    <w:p>
      <w:pPr>
        <w:pStyle w:val="Heading3"/>
      </w:pPr>
      <w:r>
        <w:rPr>
          <w:rFonts w:ascii="Georgia" w:hAnsi="Georgia"/>
          <w:b/>
          <w:color w:val="3D5566"/>
          <w:sz w:val="22"/>
        </w:rPr>
        <w:t xml:space="preserve">31.2 Duration and Succession</w:t>
      </w:r>
    </w:p>
    <w:p>
      <w:pPr>
        <w:spacing w:before="0" w:after="140" w:line="252" w:lineRule="auto"/>
        <w:jc w:val="both"/>
      </w:pPr>
      <w:r>
        <w:rPr>
          <w:rFonts w:ascii="Georgia" w:hAnsi="Georgia"/>
          <w:color w:val="1E2A32"/>
          <w:sz w:val="21"/>
        </w:rPr>
        <w:t xml:space="preserve">The Accord operates for 24 months from entry into force. The Parties extend it twice by joint written declaration, each extension for 12 months, or convert it into a definitive treaty at any time by the same instrument. Absent extension or conversion, the Accord lapses at the end of its term with the wind-down protocol of Annex K preserving an orderly handover.</w:t>
      </w:r>
    </w:p>
    <w:p>
      <w:pPr>
        <w:pStyle w:val="Heading3"/>
      </w:pPr>
      <w:r>
        <w:rPr>
          <w:rFonts w:ascii="Georgia" w:hAnsi="Georgia"/>
          <w:b/>
          <w:color w:val="3D5566"/>
          <w:sz w:val="22"/>
        </w:rPr>
        <w:t xml:space="preserve">31.3 Amendment</w:t>
      </w:r>
    </w:p>
    <w:p>
      <w:pPr>
        <w:spacing w:before="0" w:after="140" w:line="252" w:lineRule="auto"/>
        <w:jc w:val="both"/>
      </w:pPr>
      <w:r>
        <w:rPr>
          <w:rFonts w:ascii="Georgia" w:hAnsi="Georgia"/>
          <w:color w:val="1E2A32"/>
          <w:sz w:val="21"/>
        </w:rPr>
        <w:t xml:space="preserve">Amendments adopt by unanimity of the Principal and Guarantor Parties, following 30 days' consultative notice to Observer Participants. Technical annexes amend by the lighter procedure of Council decision under the Twin Key with 60 days' IMO liaison notice where the amendment touches the traffic scheme.</w:t>
      </w:r>
    </w:p>
    <w:p>
      <w:pPr>
        <w:pStyle w:val="Heading3"/>
      </w:pPr>
      <w:r>
        <w:rPr>
          <w:rFonts w:ascii="Georgia" w:hAnsi="Georgia"/>
          <w:b/>
          <w:color w:val="3D5566"/>
          <w:sz w:val="22"/>
        </w:rPr>
        <w:t xml:space="preserve">31.4 Review</w:t>
      </w:r>
    </w:p>
    <w:p>
      <w:pPr>
        <w:spacing w:before="0" w:after="140" w:line="252" w:lineRule="auto"/>
        <w:jc w:val="both"/>
      </w:pPr>
      <w:r>
        <w:rPr>
          <w:rFonts w:ascii="Georgia" w:hAnsi="Georgia"/>
          <w:color w:val="1E2A32"/>
          <w:sz w:val="21"/>
        </w:rPr>
        <w:t xml:space="preserve">The Council conducts a public review of the Accord's operation at six months, at twelve months, and annually thereafter. Each review states measured performance against every Annex E indicator, every Annex C criterion, and the IPR-15 boredom standard: incident rates trending toward the routine.</w:t>
      </w:r>
    </w:p>
    <w:p>
      <w:pPr>
        <w:pStyle w:val="Heading3"/>
      </w:pPr>
      <w:r>
        <w:rPr>
          <w:rFonts w:ascii="Georgia" w:hAnsi="Georgia"/>
          <w:b/>
          <w:color w:val="3D5566"/>
          <w:sz w:val="22"/>
        </w:rPr>
        <w:t xml:space="preserve">31.5 Depositary and Authentic Texts</w:t>
      </w:r>
    </w:p>
    <w:p>
      <w:pPr>
        <w:spacing w:before="0" w:after="140" w:line="252" w:lineRule="auto"/>
        <w:jc w:val="both"/>
      </w:pPr>
      <w:r>
        <w:rPr>
          <w:rFonts w:ascii="Georgia" w:hAnsi="Georgia"/>
          <w:color w:val="1E2A32"/>
          <w:sz w:val="21"/>
        </w:rPr>
        <w:t xml:space="preserve">The Swiss Confederation serves as depositary. The Parties execute this Accord in English, Arabic, and Farsi, each text equally authentic, with the English text prevailing for the interpretation of technical annexes drafted originally in English.</w:t>
      </w:r>
    </w:p>
    <w:p>
      <w:pPr>
        <w:pStyle w:val="Heading3"/>
      </w:pPr>
      <w:r>
        <w:rPr>
          <w:rFonts w:ascii="Georgia" w:hAnsi="Georgia"/>
          <w:b/>
          <w:color w:val="3D5566"/>
          <w:sz w:val="22"/>
        </w:rPr>
        <w:t xml:space="preserve">31.6 No Reservation</w:t>
      </w:r>
    </w:p>
    <w:p>
      <w:pPr>
        <w:spacing w:before="0" w:after="140" w:line="252" w:lineRule="auto"/>
        <w:jc w:val="both"/>
      </w:pPr>
      <w:r>
        <w:rPr>
          <w:rFonts w:ascii="Georgia" w:hAnsi="Georgia"/>
          <w:color w:val="1E2A32"/>
          <w:sz w:val="21"/>
        </w:rPr>
        <w:t xml:space="preserve">No Party enters a reservation to this Accord. A Party unable to accept a provision addresses it through amendment under Article 31.3 or declines participation; it does not carve the architecture.</w:t>
      </w:r>
    </w:p>
    <w:p>
      <w:pPr>
        <w:pStyle w:val="Heading3"/>
      </w:pPr>
      <w:r>
        <w:rPr>
          <w:rFonts w:ascii="Georgia" w:hAnsi="Georgia"/>
          <w:b/>
          <w:color w:val="3D5566"/>
          <w:sz w:val="22"/>
        </w:rPr>
        <w:t xml:space="preserve">31.7 Relationship to Prior Instruments</w:t>
      </w:r>
    </w:p>
    <w:p>
      <w:pPr>
        <w:spacing w:before="0" w:after="140" w:line="252" w:lineRule="auto"/>
        <w:jc w:val="both"/>
      </w:pPr>
      <w:r>
        <w:rPr>
          <w:rFonts w:ascii="Georgia" w:hAnsi="Georgia"/>
          <w:color w:val="1E2A32"/>
          <w:sz w:val="21"/>
        </w:rPr>
        <w:t xml:space="preserve">This Accord supersedes, as among the Parties, every prior provisional arrangement touching corridor governance to the extent of any overlap. Instruments outside corridor governance, including every nuclear instrument and process, remain untouched and proceed on their own tracks under Article 3.</w:t>
      </w:r>
    </w:p>
    <w:p>
      <w:pPr>
        <w:pStyle w:val="Heading1"/>
        <w:pBdr>
          <w:bottom w:val="single" w:color="8A6D2F" w:sz="10"/>
        </w:pBdr>
      </w:pPr>
      <w:bookmarkStart w:id="1044" w:name="_Toc260001044"/>
      <w:r>
        <w:rPr>
          <w:rFonts w:ascii="Georgia" w:hAnsi="Georgia"/>
          <w:b/>
          <w:color w:val="2F4858"/>
          <w:sz w:val="30"/>
        </w:rPr>
        <w:t xml:space="preserve">ANNEXES</w:t>
      </w:r>
      <w:bookmarkEnd w:id="1044"/>
    </w:p>
    <w:p>
      <w:pPr>
        <w:pStyle w:val="Heading2"/>
      </w:pPr>
      <w:bookmarkStart w:id="1045" w:name="_Toc260001045"/>
      <w:r>
        <w:rPr>
          <w:rFonts w:ascii="Georgia" w:hAnsi="Georgia"/>
          <w:b/>
          <w:color w:val="2F4858"/>
          <w:sz w:val="25"/>
        </w:rPr>
        <w:t xml:space="preserve">Annex A: Corridor Geometry and Provisional Coordinates</w:t>
      </w:r>
      <w:bookmarkEnd w:id="1045"/>
    </w:p>
    <w:p>
      <w:pPr>
        <w:pStyle w:val="Heading3"/>
      </w:pPr>
      <w:r>
        <w:rPr>
          <w:rFonts w:ascii="Georgia" w:hAnsi="Georgia"/>
          <w:b/>
          <w:color w:val="3D5566"/>
          <w:sz w:val="22"/>
        </w:rPr>
        <w:t xml:space="preserve">A.1 Reference Framework</w:t>
      </w:r>
    </w:p>
    <w:p>
      <w:pPr>
        <w:spacing w:before="0" w:after="140" w:line="252" w:lineRule="auto"/>
        <w:jc w:val="both"/>
      </w:pPr>
      <w:r>
        <w:rPr>
          <w:rFonts w:ascii="Georgia" w:hAnsi="Georgia"/>
          <w:color w:val="1E2A32"/>
          <w:sz w:val="21"/>
        </w:rPr>
        <w:t xml:space="preserve">This Annex defines corridor geometry functionally, by reference to the agreed baseline framework that Iran and Oman have already mapped in the technical track. The framework comprises: the Gulf Entrance Reference Line (GERL), a straight line across the Gulf-side approach at the western limit of the scheme; the Oman Exit Reference Line (OERL), a straight line across the Gulf of Oman-side approach at the eastern limit of the scheme; and the Scheme Centerline, the agreed track axis between them.</w:t>
      </w:r>
    </w:p>
    <w:p>
      <w:pPr>
        <w:pStyle w:val="Heading3"/>
      </w:pPr>
      <w:r>
        <w:rPr>
          <w:rFonts w:ascii="Georgia" w:hAnsi="Georgia"/>
          <w:b/>
          <w:color w:val="3D5566"/>
          <w:sz w:val="22"/>
        </w:rPr>
        <w:t xml:space="preserve">A.2 Corridor Bands</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2256"/>
        <w:gridCol w:w="2256"/>
        <w:gridCol w:w="2256"/>
        <w:gridCol w:w="2256"/>
      </w:tblGrid>
      <w:tr>
        <w:trPr>
          <w:tblHeader/>
        </w:trPr>
        <w:tc>
          <w:tcPr>
            <w:tcW w:w="2256" w:type="dxa"/>
            <w:shd w:val="clear" w:fill="E4EAEE"/>
          </w:tcPr>
          <w:p>
            <w:pPr>
              <w:spacing w:after="20" w:line="240" w:lineRule="auto"/>
              <w:jc w:val="left"/>
            </w:pPr>
            <w:r>
              <w:rPr>
                <w:rFonts w:ascii="Georgia" w:hAnsi="Georgia"/>
                <w:b/>
                <w:color w:val="2F4858"/>
                <w:sz w:val="18"/>
              </w:rPr>
              <w:t xml:space="preserve">Band</w:t>
            </w:r>
          </w:p>
        </w:tc>
        <w:tc>
          <w:tcPr>
            <w:tcW w:w="2256" w:type="dxa"/>
            <w:shd w:val="clear" w:fill="E4EAEE"/>
          </w:tcPr>
          <w:p>
            <w:pPr>
              <w:spacing w:after="20" w:line="240" w:lineRule="auto"/>
              <w:jc w:val="left"/>
            </w:pPr>
            <w:r>
              <w:rPr>
                <w:rFonts w:ascii="Georgia" w:hAnsi="Georgia"/>
                <w:b/>
                <w:color w:val="2F4858"/>
                <w:sz w:val="18"/>
              </w:rPr>
              <w:t xml:space="preserve">Width</w:t>
            </w:r>
          </w:p>
        </w:tc>
        <w:tc>
          <w:tcPr>
            <w:tcW w:w="2256" w:type="dxa"/>
            <w:shd w:val="clear" w:fill="E4EAEE"/>
          </w:tcPr>
          <w:p>
            <w:pPr>
              <w:spacing w:after="20" w:line="240" w:lineRule="auto"/>
              <w:jc w:val="left"/>
            </w:pPr>
            <w:r>
              <w:rPr>
                <w:rFonts w:ascii="Georgia" w:hAnsi="Georgia"/>
                <w:b/>
                <w:color w:val="2F4858"/>
                <w:sz w:val="18"/>
              </w:rPr>
              <w:t xml:space="preserve">Boundary Rule</w:t>
            </w:r>
          </w:p>
        </w:tc>
        <w:tc>
          <w:tcPr>
            <w:tcW w:w="2256" w:type="dxa"/>
            <w:shd w:val="clear" w:fill="E4EAEE"/>
          </w:tcPr>
          <w:p>
            <w:pPr>
              <w:spacing w:after="20" w:line="240" w:lineRule="auto"/>
              <w:jc w:val="left"/>
            </w:pPr>
            <w:r>
              <w:rPr>
                <w:rFonts w:ascii="Georgia" w:hAnsi="Georgia"/>
                <w:b/>
                <w:color w:val="2F4858"/>
                <w:sz w:val="18"/>
              </w:rPr>
              <w:t xml:space="preserve">Traffic</w:t>
            </w:r>
          </w:p>
        </w:tc>
      </w:tr>
      <w:tr>
        <w:tc>
          <w:tcPr>
            <w:tcW w:w="2256" w:type="dxa"/>
          </w:tcPr>
          <w:p>
            <w:pPr>
              <w:spacing w:after="20" w:line="240" w:lineRule="auto"/>
              <w:jc w:val="left"/>
            </w:pPr>
            <w:r>
              <w:rPr>
                <w:rFonts w:ascii="Georgia" w:hAnsi="Georgia"/>
                <w:color w:val="1E2A32"/>
                <w:sz w:val="18"/>
              </w:rPr>
              <w:t xml:space="preserve">Corridor North</w:t>
            </w:r>
          </w:p>
        </w:tc>
        <w:tc>
          <w:tcPr>
            <w:tcW w:w="2256" w:type="dxa"/>
          </w:tcPr>
          <w:p>
            <w:pPr>
              <w:spacing w:after="20" w:line="240" w:lineRule="auto"/>
              <w:jc w:val="left"/>
            </w:pPr>
            <w:r>
              <w:rPr>
                <w:rFonts w:ascii="Georgia" w:hAnsi="Georgia"/>
                <w:color w:val="1E2A32"/>
                <w:sz w:val="18"/>
              </w:rPr>
              <w:t xml:space="preserve">2.0 nautical miles</w:t>
            </w:r>
          </w:p>
        </w:tc>
        <w:tc>
          <w:tcPr>
            <w:tcW w:w="2256" w:type="dxa"/>
          </w:tcPr>
          <w:p>
            <w:pPr>
              <w:spacing w:after="20" w:line="240" w:lineRule="auto"/>
              <w:jc w:val="left"/>
            </w:pPr>
            <w:r>
              <w:rPr>
                <w:rFonts w:ascii="Georgia" w:hAnsi="Georgia"/>
                <w:color w:val="1E2A32"/>
                <w:sz w:val="18"/>
              </w:rPr>
              <w:t xml:space="preserve">Northern edge at the agreed northern scheme boundary; southern edge 2.0 NM to the south</w:t>
            </w:r>
          </w:p>
        </w:tc>
        <w:tc>
          <w:tcPr>
            <w:tcW w:w="2256" w:type="dxa"/>
          </w:tcPr>
          <w:p>
            <w:pPr>
              <w:spacing w:after="20" w:line="240" w:lineRule="auto"/>
              <w:jc w:val="left"/>
            </w:pPr>
            <w:r>
              <w:rPr>
                <w:rFonts w:ascii="Georgia" w:hAnsi="Georgia"/>
                <w:color w:val="1E2A32"/>
                <w:sz w:val="18"/>
              </w:rPr>
              <w:t xml:space="preserve">Inbound only</w:t>
            </w:r>
          </w:p>
        </w:tc>
      </w:tr>
      <w:tr>
        <w:tc>
          <w:tcPr>
            <w:tcW w:w="2256" w:type="dxa"/>
          </w:tcPr>
          <w:p>
            <w:pPr>
              <w:spacing w:after="20" w:line="240" w:lineRule="auto"/>
              <w:jc w:val="left"/>
            </w:pPr>
            <w:r>
              <w:rPr>
                <w:rFonts w:ascii="Georgia" w:hAnsi="Georgia"/>
                <w:color w:val="1E2A32"/>
                <w:sz w:val="18"/>
              </w:rPr>
              <w:t xml:space="preserve">Buffer Corridor</w:t>
            </w:r>
          </w:p>
        </w:tc>
        <w:tc>
          <w:tcPr>
            <w:tcW w:w="2256" w:type="dxa"/>
          </w:tcPr>
          <w:p>
            <w:pPr>
              <w:spacing w:after="20" w:line="240" w:lineRule="auto"/>
              <w:jc w:val="left"/>
            </w:pPr>
            <w:r>
              <w:rPr>
                <w:rFonts w:ascii="Georgia" w:hAnsi="Georgia"/>
                <w:color w:val="1E2A32"/>
                <w:sz w:val="18"/>
              </w:rPr>
              <w:t xml:space="preserve">2.0 nautical miles</w:t>
            </w:r>
          </w:p>
        </w:tc>
        <w:tc>
          <w:tcPr>
            <w:tcW w:w="2256" w:type="dxa"/>
          </w:tcPr>
          <w:p>
            <w:pPr>
              <w:spacing w:after="20" w:line="240" w:lineRule="auto"/>
              <w:jc w:val="left"/>
            </w:pPr>
            <w:r>
              <w:rPr>
                <w:rFonts w:ascii="Georgia" w:hAnsi="Georgia"/>
                <w:color w:val="1E2A32"/>
                <w:sz w:val="18"/>
              </w:rPr>
              <w:t xml:space="preserve">Immediately south of Corridor North</w:t>
            </w:r>
          </w:p>
        </w:tc>
        <w:tc>
          <w:tcPr>
            <w:tcW w:w="2256" w:type="dxa"/>
          </w:tcPr>
          <w:p>
            <w:pPr>
              <w:spacing w:after="20" w:line="240" w:lineRule="auto"/>
              <w:jc w:val="left"/>
            </w:pPr>
            <w:r>
              <w:rPr>
                <w:rFonts w:ascii="Georgia" w:hAnsi="Georgia"/>
                <w:color w:val="1E2A32"/>
                <w:sz w:val="18"/>
              </w:rPr>
              <w:t xml:space="preserve">Emergency and deconfliction only</w:t>
            </w:r>
          </w:p>
        </w:tc>
      </w:tr>
      <w:tr>
        <w:tc>
          <w:tcPr>
            <w:tcW w:w="2256" w:type="dxa"/>
          </w:tcPr>
          <w:p>
            <w:pPr>
              <w:spacing w:after="20" w:line="240" w:lineRule="auto"/>
              <w:jc w:val="left"/>
            </w:pPr>
            <w:r>
              <w:rPr>
                <w:rFonts w:ascii="Georgia" w:hAnsi="Georgia"/>
                <w:color w:val="1E2A32"/>
                <w:sz w:val="18"/>
              </w:rPr>
              <w:t xml:space="preserve">Corridor South</w:t>
            </w:r>
          </w:p>
        </w:tc>
        <w:tc>
          <w:tcPr>
            <w:tcW w:w="2256" w:type="dxa"/>
          </w:tcPr>
          <w:p>
            <w:pPr>
              <w:spacing w:after="20" w:line="240" w:lineRule="auto"/>
              <w:jc w:val="left"/>
            </w:pPr>
            <w:r>
              <w:rPr>
                <w:rFonts w:ascii="Georgia" w:hAnsi="Georgia"/>
                <w:color w:val="1E2A32"/>
                <w:sz w:val="18"/>
              </w:rPr>
              <w:t xml:space="preserve">2.0 nautical miles</w:t>
            </w:r>
          </w:p>
        </w:tc>
        <w:tc>
          <w:tcPr>
            <w:tcW w:w="2256" w:type="dxa"/>
          </w:tcPr>
          <w:p>
            <w:pPr>
              <w:spacing w:after="20" w:line="240" w:lineRule="auto"/>
              <w:jc w:val="left"/>
            </w:pPr>
            <w:r>
              <w:rPr>
                <w:rFonts w:ascii="Georgia" w:hAnsi="Georgia"/>
                <w:color w:val="1E2A32"/>
                <w:sz w:val="18"/>
              </w:rPr>
              <w:t xml:space="preserve">Immediately south of the Buffer Corridor; southern edge at the agreed southern scheme boundary</w:t>
            </w:r>
          </w:p>
        </w:tc>
        <w:tc>
          <w:tcPr>
            <w:tcW w:w="2256" w:type="dxa"/>
          </w:tcPr>
          <w:p>
            <w:pPr>
              <w:spacing w:after="20" w:line="240" w:lineRule="auto"/>
              <w:jc w:val="left"/>
            </w:pPr>
            <w:r>
              <w:rPr>
                <w:rFonts w:ascii="Georgia" w:hAnsi="Georgia"/>
                <w:color w:val="1E2A32"/>
                <w:sz w:val="18"/>
              </w:rPr>
              <w:t xml:space="preserve">Outbound only</w:t>
            </w:r>
          </w:p>
        </w:tc>
      </w:tr>
    </w:tbl>
    <w:p>
      <w:pPr>
        <w:spacing w:after="120"/>
      </w:pPr>
    </w:p>
    <w:p>
      <w:pPr>
        <w:pStyle w:val="Heading3"/>
      </w:pPr>
      <w:r>
        <w:rPr>
          <w:rFonts w:ascii="Georgia" w:hAnsi="Georgia"/>
          <w:b/>
          <w:color w:val="3D5566"/>
          <w:sz w:val="22"/>
        </w:rPr>
        <w:t xml:space="preserve">A.3 Reporting Points</w:t>
      </w:r>
    </w:p>
    <w:p>
      <w:pPr>
        <w:spacing w:before="0" w:after="140" w:line="252" w:lineRule="auto"/>
        <w:jc w:val="both"/>
      </w:pPr>
      <w:r>
        <w:rPr>
          <w:rFonts w:ascii="Georgia" w:hAnsi="Georgia"/>
          <w:color w:val="1E2A32"/>
          <w:sz w:val="21"/>
        </w:rPr>
        <w:t xml:space="preserve">The scheme fixes six reporting points per corridor, designated N1 through N6 (Corridor North), B1 through B6 (Buffer), and S1 through S6 (Corridor South), spaced at equal intervals along each corridor axis. Every transiting vessel reports at each point by AIS and, for vessels above 20,000 deadweight tons, by voice on the corridor working channel. Entry and exit points align with the coordinates Iran and Oman have agreed in the technical track, which the depositary holds under seal until the publication rule of A.5 executes.</w:t>
      </w:r>
    </w:p>
    <w:p>
      <w:pPr>
        <w:pStyle w:val="Heading3"/>
      </w:pPr>
      <w:r>
        <w:rPr>
          <w:rFonts w:ascii="Georgia" w:hAnsi="Georgia"/>
          <w:b/>
          <w:color w:val="3D5566"/>
          <w:sz w:val="22"/>
        </w:rPr>
        <w:t xml:space="preserve">A.4 The Inner Third</w:t>
      </w:r>
    </w:p>
    <w:p>
      <w:pPr>
        <w:spacing w:before="0" w:after="140" w:line="252" w:lineRule="auto"/>
        <w:jc w:val="both"/>
      </w:pPr>
      <w:r>
        <w:rPr>
          <w:rFonts w:ascii="Georgia" w:hAnsi="Georgia"/>
          <w:color w:val="1E2A32"/>
          <w:sz w:val="21"/>
        </w:rPr>
        <w:t xml:space="preserve">For the purposes of Article 7.2, the Inner Third comprises: the whole of Corridor North; the northern face of the Buffer Corridor, meaning the Buffer's northern boundary line and the monitoring stations that serve it; and the associated service infrastructure on the Iranian coast, namely the Bandar Abbas liaison station and its radar and AIS chain.</w:t>
      </w:r>
    </w:p>
    <w:p>
      <w:pPr>
        <w:pStyle w:val="Heading3"/>
      </w:pPr>
      <w:r>
        <w:rPr>
          <w:rFonts w:ascii="Georgia" w:hAnsi="Georgia"/>
          <w:b/>
          <w:color w:val="3D5566"/>
          <w:sz w:val="22"/>
        </w:rPr>
        <w:t xml:space="preserve">A.5 Coordinate Publication Rule</w:t>
      </w:r>
    </w:p>
    <w:p>
      <w:pPr>
        <w:spacing w:before="0" w:after="140" w:line="252" w:lineRule="auto"/>
        <w:jc w:val="both"/>
      </w:pPr>
      <w:r>
        <w:rPr>
          <w:rFonts w:ascii="Georgia" w:hAnsi="Georgia"/>
          <w:color w:val="1E2A32"/>
          <w:sz w:val="21"/>
        </w:rPr>
        <w:t xml:space="preserve">Provisional guidance geometry publishes at Phase R-1 in simplified form: corridor centerlines, widths, and reporting point spacing, without precise turning coordinates. Final coordinates publish at Phase R-5, lodge with the International Maritime Organization through the liaison, and register in the public registers of Article 24.2. The depositary releases the sealed coordinate set to the IMO liaison upon the Neutral Watch Office Director's certification of Full Activation, and this release executes automatically, without further decision.</w:t>
      </w:r>
    </w:p>
    <w:p>
      <w:pPr>
        <w:pStyle w:val="Heading3"/>
      </w:pPr>
      <w:r>
        <w:rPr>
          <w:rFonts w:ascii="Georgia" w:hAnsi="Georgia"/>
          <w:b/>
          <w:color w:val="3D5566"/>
          <w:sz w:val="22"/>
        </w:rPr>
        <w:t xml:space="preserve">A.6 Survey and Residual-Risk Standard</w:t>
      </w:r>
    </w:p>
    <w:p>
      <w:pPr>
        <w:spacing w:before="0" w:after="140" w:line="252" w:lineRule="auto"/>
        <w:jc w:val="both"/>
      </w:pPr>
      <w:r>
        <w:rPr>
          <w:rFonts w:ascii="Georgia" w:hAnsi="Georgia"/>
          <w:color w:val="1E2A32"/>
          <w:sz w:val="21"/>
        </w:rPr>
        <w:t xml:space="preserve">The Joint Survey Group surveys each corridor to full-coverage sonar standard before activation. The residual-risk certification threshold is: no contact unresolved above the Group's published discrimination threshold, and a stated residual mine-risk of not more than one expected remnant contact per 100 square nautical miles, re-surveyed on a 90-day rolling cycle during the first year and a 180-day cycle thereafter.</w:t>
      </w:r>
    </w:p>
    <w:p>
      <w:pPr>
        <w:pStyle w:val="Heading3"/>
      </w:pPr>
      <w:r>
        <w:rPr>
          <w:rFonts w:ascii="Georgia" w:hAnsi="Georgia"/>
          <w:b/>
          <w:color w:val="3D5566"/>
          <w:sz w:val="22"/>
        </w:rPr>
        <w:t xml:space="preserve">A.7 Aids to Navigation</w:t>
      </w:r>
    </w:p>
    <w:p>
      <w:pPr>
        <w:spacing w:before="0" w:after="140" w:line="252" w:lineRule="auto"/>
        <w:jc w:val="both"/>
      </w:pPr>
      <w:r>
        <w:rPr>
          <w:rFonts w:ascii="Georgia" w:hAnsi="Georgia"/>
          <w:color w:val="1E2A32"/>
          <w:sz w:val="21"/>
        </w:rPr>
        <w:t xml:space="preserve">Each corridor administrator maintains: entrance and exit virtual AIS aids to navigation at every reporting point; physical or synthetic marking at each corridor turning position; and emergency anchorage designations outside the traffic bands, two on the Gulf side and two on the Oman side, as Annex A.3's chartlet schedule describes.</w:t>
      </w:r>
    </w:p>
    <w:p>
      <w:pPr>
        <w:pStyle w:val="Heading2"/>
        <w:pageBreakBefore/>
      </w:pPr>
      <w:bookmarkStart w:id="1046" w:name="_Toc260001046"/>
      <w:r>
        <w:rPr>
          <w:rFonts w:ascii="Georgia" w:hAnsi="Georgia"/>
          <w:b/>
          <w:color w:val="2F4858"/>
          <w:sz w:val="25"/>
        </w:rPr>
        <w:t xml:space="preserve">Annex B: Graduated Gains Escalator Conversion Matrix</w:t>
      </w:r>
      <w:bookmarkEnd w:id="1046"/>
    </w:p>
    <w:p>
      <w:pPr>
        <w:pStyle w:val="Heading3"/>
      </w:pPr>
      <w:r>
        <w:rPr>
          <w:rFonts w:ascii="Georgia" w:hAnsi="Georgia"/>
          <w:b/>
          <w:color w:val="3D5566"/>
          <w:sz w:val="22"/>
        </w:rPr>
        <w:t xml:space="preserve">B.1 The Master Matrix</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1504"/>
        <w:gridCol w:w="1504"/>
        <w:gridCol w:w="1504"/>
        <w:gridCol w:w="1504"/>
        <w:gridCol w:w="1504"/>
        <w:gridCol w:w="1504"/>
      </w:tblGrid>
      <w:tr>
        <w:trPr>
          <w:tblHeader/>
        </w:trPr>
        <w:tc>
          <w:tcPr>
            <w:tcW w:w="1504" w:type="dxa"/>
            <w:shd w:val="clear" w:fill="E4EAEE"/>
          </w:tcPr>
          <w:p>
            <w:pPr>
              <w:spacing w:after="20" w:line="240" w:lineRule="auto"/>
              <w:jc w:val="left"/>
            </w:pPr>
            <w:r>
              <w:rPr>
                <w:rFonts w:ascii="Georgia" w:hAnsi="Georgia"/>
                <w:b/>
                <w:color w:val="2F4858"/>
                <w:sz w:val="18"/>
              </w:rPr>
              <w:t xml:space="preserve">Band</w:t>
            </w:r>
          </w:p>
        </w:tc>
        <w:tc>
          <w:tcPr>
            <w:tcW w:w="1504" w:type="dxa"/>
            <w:shd w:val="clear" w:fill="E4EAEE"/>
          </w:tcPr>
          <w:p>
            <w:pPr>
              <w:spacing w:after="20" w:line="240" w:lineRule="auto"/>
              <w:jc w:val="left"/>
            </w:pPr>
            <w:r>
              <w:rPr>
                <w:rFonts w:ascii="Georgia" w:hAnsi="Georgia"/>
                <w:b/>
                <w:color w:val="2F4858"/>
                <w:sz w:val="18"/>
              </w:rPr>
              <w:t xml:space="preserve">Control Weight</w:t>
            </w:r>
          </w:p>
        </w:tc>
        <w:tc>
          <w:tcPr>
            <w:tcW w:w="1504" w:type="dxa"/>
            <w:shd w:val="clear" w:fill="E4EAEE"/>
          </w:tcPr>
          <w:p>
            <w:pPr>
              <w:spacing w:after="20" w:line="240" w:lineRule="auto"/>
              <w:jc w:val="left"/>
            </w:pPr>
            <w:r>
              <w:rPr>
                <w:rFonts w:ascii="Georgia" w:hAnsi="Georgia"/>
                <w:b/>
                <w:color w:val="2F4858"/>
                <w:sz w:val="18"/>
              </w:rPr>
              <w:t xml:space="preserve">Corridor Function</w:t>
            </w:r>
          </w:p>
        </w:tc>
        <w:tc>
          <w:tcPr>
            <w:tcW w:w="1504" w:type="dxa"/>
            <w:shd w:val="clear" w:fill="E4EAEE"/>
          </w:tcPr>
          <w:p>
            <w:pPr>
              <w:spacing w:after="20" w:line="240" w:lineRule="auto"/>
              <w:jc w:val="left"/>
            </w:pPr>
            <w:r>
              <w:rPr>
                <w:rFonts w:ascii="Georgia" w:hAnsi="Georgia"/>
                <w:b/>
                <w:color w:val="2F4858"/>
                <w:sz w:val="18"/>
              </w:rPr>
              <w:t xml:space="preserve">Key Composition (Article 19)</w:t>
            </w:r>
          </w:p>
        </w:tc>
        <w:tc>
          <w:tcPr>
            <w:tcW w:w="1504" w:type="dxa"/>
            <w:shd w:val="clear" w:fill="E4EAEE"/>
          </w:tcPr>
          <w:p>
            <w:pPr>
              <w:spacing w:after="20" w:line="240" w:lineRule="auto"/>
              <w:jc w:val="left"/>
            </w:pPr>
            <w:r>
              <w:rPr>
                <w:rFonts w:ascii="Georgia" w:hAnsi="Georgia"/>
                <w:b/>
                <w:color w:val="2F4858"/>
                <w:sz w:val="18"/>
              </w:rPr>
              <w:t xml:space="preserve">Revenue Share (Iran)</w:t>
            </w:r>
          </w:p>
        </w:tc>
        <w:tc>
          <w:tcPr>
            <w:tcW w:w="1504" w:type="dxa"/>
            <w:shd w:val="clear" w:fill="E4EAEE"/>
          </w:tcPr>
          <w:p>
            <w:pPr>
              <w:spacing w:after="20" w:line="240" w:lineRule="auto"/>
              <w:jc w:val="left"/>
            </w:pPr>
            <w:r>
              <w:rPr>
                <w:rFonts w:ascii="Georgia" w:hAnsi="Georgia"/>
                <w:b/>
                <w:color w:val="2F4858"/>
                <w:sz w:val="18"/>
              </w:rPr>
              <w:t xml:space="preserve">Council Voting Weight (Iran / Oman)</w:t>
            </w:r>
          </w:p>
        </w:tc>
      </w:tr>
      <w:tr>
        <w:tc>
          <w:tcPr>
            <w:tcW w:w="1504" w:type="dxa"/>
          </w:tcPr>
          <w:p>
            <w:pPr>
              <w:spacing w:after="20" w:line="240" w:lineRule="auto"/>
              <w:jc w:val="left"/>
            </w:pPr>
            <w:r>
              <w:rPr>
                <w:rFonts w:ascii="Georgia" w:hAnsi="Georgia"/>
                <w:color w:val="1E2A32"/>
                <w:sz w:val="18"/>
              </w:rPr>
              <w:t xml:space="preserve">Baseline</w:t>
            </w:r>
          </w:p>
        </w:tc>
        <w:tc>
          <w:tcPr>
            <w:tcW w:w="1504" w:type="dxa"/>
          </w:tcPr>
          <w:p>
            <w:pPr>
              <w:spacing w:after="20" w:line="240" w:lineRule="auto"/>
              <w:jc w:val="left"/>
            </w:pPr>
            <w:r>
              <w:rPr>
                <w:rFonts w:ascii="Georgia" w:hAnsi="Georgia"/>
                <w:color w:val="1E2A32"/>
                <w:sz w:val="18"/>
              </w:rPr>
              <w:t xml:space="preserve">33 percent</w:t>
            </w:r>
          </w:p>
        </w:tc>
        <w:tc>
          <w:tcPr>
            <w:tcW w:w="1504" w:type="dxa"/>
          </w:tcPr>
          <w:p>
            <w:pPr>
              <w:spacing w:after="20" w:line="240" w:lineRule="auto"/>
              <w:jc w:val="left"/>
            </w:pPr>
            <w:r>
              <w:rPr>
                <w:rFonts w:ascii="Georgia" w:hAnsi="Georgia"/>
                <w:color w:val="1E2A32"/>
                <w:sz w:val="18"/>
              </w:rPr>
              <w:t xml:space="preserve">Corridor North administration</w:t>
            </w:r>
          </w:p>
        </w:tc>
        <w:tc>
          <w:tcPr>
            <w:tcW w:w="1504" w:type="dxa"/>
          </w:tcPr>
          <w:p>
            <w:pPr>
              <w:spacing w:after="20" w:line="240" w:lineRule="auto"/>
              <w:jc w:val="left"/>
            </w:pPr>
            <w:r>
              <w:rPr>
                <w:rFonts w:ascii="Georgia" w:hAnsi="Georgia"/>
                <w:color w:val="1E2A32"/>
                <w:sz w:val="18"/>
              </w:rPr>
              <w:t xml:space="preserve">Iran plus Oman for Inner Third actions</w:t>
            </w:r>
          </w:p>
        </w:tc>
        <w:tc>
          <w:tcPr>
            <w:tcW w:w="1504" w:type="dxa"/>
          </w:tcPr>
          <w:p>
            <w:pPr>
              <w:spacing w:after="20" w:line="240" w:lineRule="auto"/>
              <w:jc w:val="left"/>
            </w:pPr>
            <w:r>
              <w:rPr>
                <w:rFonts w:ascii="Georgia" w:hAnsi="Georgia"/>
                <w:color w:val="1E2A32"/>
                <w:sz w:val="18"/>
              </w:rPr>
              <w:t xml:space="preserve">33 percent</w:t>
            </w:r>
          </w:p>
        </w:tc>
        <w:tc>
          <w:tcPr>
            <w:tcW w:w="1504" w:type="dxa"/>
          </w:tcPr>
          <w:p>
            <w:pPr>
              <w:spacing w:after="20" w:line="240" w:lineRule="auto"/>
              <w:jc w:val="left"/>
            </w:pPr>
            <w:r>
              <w:rPr>
                <w:rFonts w:ascii="Georgia" w:hAnsi="Georgia"/>
                <w:color w:val="1E2A32"/>
                <w:sz w:val="18"/>
              </w:rPr>
              <w:t xml:space="preserve">33 / 67</w:t>
            </w:r>
          </w:p>
        </w:tc>
      </w:tr>
      <w:tr>
        <w:tc>
          <w:tcPr>
            <w:tcW w:w="1504" w:type="dxa"/>
          </w:tcPr>
          <w:p>
            <w:pPr>
              <w:spacing w:after="20" w:line="240" w:lineRule="auto"/>
              <w:jc w:val="left"/>
            </w:pPr>
            <w:r>
              <w:rPr>
                <w:rFonts w:ascii="Georgia" w:hAnsi="Georgia"/>
                <w:color w:val="1E2A32"/>
                <w:sz w:val="18"/>
              </w:rPr>
              <w:t xml:space="preserve">Step One</w:t>
            </w:r>
          </w:p>
        </w:tc>
        <w:tc>
          <w:tcPr>
            <w:tcW w:w="1504" w:type="dxa"/>
          </w:tcPr>
          <w:p>
            <w:pPr>
              <w:spacing w:after="20" w:line="240" w:lineRule="auto"/>
              <w:jc w:val="left"/>
            </w:pPr>
            <w:r>
              <w:rPr>
                <w:rFonts w:ascii="Georgia" w:hAnsi="Georgia"/>
                <w:color w:val="1E2A32"/>
                <w:sz w:val="18"/>
              </w:rPr>
              <w:t xml:space="preserve">43 percent</w:t>
            </w:r>
          </w:p>
        </w:tc>
        <w:tc>
          <w:tcPr>
            <w:tcW w:w="1504" w:type="dxa"/>
          </w:tcPr>
          <w:p>
            <w:pPr>
              <w:spacing w:after="20" w:line="240" w:lineRule="auto"/>
              <w:jc w:val="left"/>
            </w:pPr>
            <w:r>
              <w:rPr>
                <w:rFonts w:ascii="Georgia" w:hAnsi="Georgia"/>
                <w:color w:val="1E2A32"/>
                <w:sz w:val="18"/>
              </w:rPr>
              <w:t xml:space="preserve">Corridor North plus northern Buffer monitoring stations</w:t>
            </w:r>
          </w:p>
        </w:tc>
        <w:tc>
          <w:tcPr>
            <w:tcW w:w="1504" w:type="dxa"/>
          </w:tcPr>
          <w:p>
            <w:pPr>
              <w:spacing w:after="20" w:line="240" w:lineRule="auto"/>
              <w:jc w:val="left"/>
            </w:pPr>
            <w:r>
              <w:rPr>
                <w:rFonts w:ascii="Georgia" w:hAnsi="Georgia"/>
                <w:color w:val="1E2A32"/>
                <w:sz w:val="18"/>
              </w:rPr>
              <w:t xml:space="preserve">Iran plus Oman; Iran's concurrence recorded with enhanced weight</w:t>
            </w:r>
          </w:p>
        </w:tc>
        <w:tc>
          <w:tcPr>
            <w:tcW w:w="1504" w:type="dxa"/>
          </w:tcPr>
          <w:p>
            <w:pPr>
              <w:spacing w:after="20" w:line="240" w:lineRule="auto"/>
              <w:jc w:val="left"/>
            </w:pPr>
            <w:r>
              <w:rPr>
                <w:rFonts w:ascii="Georgia" w:hAnsi="Georgia"/>
                <w:color w:val="1E2A32"/>
                <w:sz w:val="18"/>
              </w:rPr>
              <w:t xml:space="preserve">40 percent</w:t>
            </w:r>
          </w:p>
        </w:tc>
        <w:tc>
          <w:tcPr>
            <w:tcW w:w="1504" w:type="dxa"/>
          </w:tcPr>
          <w:p>
            <w:pPr>
              <w:spacing w:after="20" w:line="240" w:lineRule="auto"/>
              <w:jc w:val="left"/>
            </w:pPr>
            <w:r>
              <w:rPr>
                <w:rFonts w:ascii="Georgia" w:hAnsi="Georgia"/>
                <w:color w:val="1E2A32"/>
                <w:sz w:val="18"/>
              </w:rPr>
              <w:t xml:space="preserve">40 / 60</w:t>
            </w:r>
          </w:p>
        </w:tc>
      </w:tr>
      <w:tr>
        <w:tc>
          <w:tcPr>
            <w:tcW w:w="1504" w:type="dxa"/>
          </w:tcPr>
          <w:p>
            <w:pPr>
              <w:spacing w:after="20" w:line="240" w:lineRule="auto"/>
              <w:jc w:val="left"/>
            </w:pPr>
            <w:r>
              <w:rPr>
                <w:rFonts w:ascii="Georgia" w:hAnsi="Georgia"/>
                <w:color w:val="1E2A32"/>
                <w:sz w:val="18"/>
              </w:rPr>
              <w:t xml:space="preserve">Step Two</w:t>
            </w:r>
          </w:p>
        </w:tc>
        <w:tc>
          <w:tcPr>
            <w:tcW w:w="1504" w:type="dxa"/>
          </w:tcPr>
          <w:p>
            <w:pPr>
              <w:spacing w:after="20" w:line="240" w:lineRule="auto"/>
              <w:jc w:val="left"/>
            </w:pPr>
            <w:r>
              <w:rPr>
                <w:rFonts w:ascii="Georgia" w:hAnsi="Georgia"/>
                <w:color w:val="1E2A32"/>
                <w:sz w:val="18"/>
              </w:rPr>
              <w:t xml:space="preserve">53 percent</w:t>
            </w:r>
          </w:p>
        </w:tc>
        <w:tc>
          <w:tcPr>
            <w:tcW w:w="1504" w:type="dxa"/>
          </w:tcPr>
          <w:p>
            <w:pPr>
              <w:spacing w:after="20" w:line="240" w:lineRule="auto"/>
              <w:jc w:val="left"/>
            </w:pPr>
            <w:r>
              <w:rPr>
                <w:rFonts w:ascii="Georgia" w:hAnsi="Georgia"/>
                <w:color w:val="1E2A32"/>
                <w:sz w:val="18"/>
              </w:rPr>
              <w:t xml:space="preserve">Adds joint Buffer emergency routing desk</w:t>
            </w:r>
          </w:p>
        </w:tc>
        <w:tc>
          <w:tcPr>
            <w:tcW w:w="1504" w:type="dxa"/>
          </w:tcPr>
          <w:p>
            <w:pPr>
              <w:spacing w:after="20" w:line="240" w:lineRule="auto"/>
              <w:jc w:val="left"/>
            </w:pPr>
            <w:r>
              <w:rPr>
                <w:rFonts w:ascii="Georgia" w:hAnsi="Georgia"/>
                <w:color w:val="1E2A32"/>
                <w:sz w:val="18"/>
              </w:rPr>
              <w:t xml:space="preserve">Iran plus Oman; co-chairing of Buffer desk</w:t>
            </w:r>
          </w:p>
        </w:tc>
        <w:tc>
          <w:tcPr>
            <w:tcW w:w="1504" w:type="dxa"/>
          </w:tcPr>
          <w:p>
            <w:pPr>
              <w:spacing w:after="20" w:line="240" w:lineRule="auto"/>
              <w:jc w:val="left"/>
            </w:pPr>
            <w:r>
              <w:rPr>
                <w:rFonts w:ascii="Georgia" w:hAnsi="Georgia"/>
                <w:color w:val="1E2A32"/>
                <w:sz w:val="18"/>
              </w:rPr>
              <w:t xml:space="preserve">45 percent</w:t>
            </w:r>
          </w:p>
        </w:tc>
        <w:tc>
          <w:tcPr>
            <w:tcW w:w="1504" w:type="dxa"/>
          </w:tcPr>
          <w:p>
            <w:pPr>
              <w:spacing w:after="20" w:line="240" w:lineRule="auto"/>
              <w:jc w:val="left"/>
            </w:pPr>
            <w:r>
              <w:rPr>
                <w:rFonts w:ascii="Georgia" w:hAnsi="Georgia"/>
                <w:color w:val="1E2A32"/>
                <w:sz w:val="18"/>
              </w:rPr>
              <w:t xml:space="preserve">45 / 55</w:t>
            </w:r>
          </w:p>
        </w:tc>
      </w:tr>
      <w:tr>
        <w:tc>
          <w:tcPr>
            <w:tcW w:w="1504" w:type="dxa"/>
          </w:tcPr>
          <w:p>
            <w:pPr>
              <w:spacing w:after="20" w:line="240" w:lineRule="auto"/>
              <w:jc w:val="left"/>
            </w:pPr>
            <w:r>
              <w:rPr>
                <w:rFonts w:ascii="Georgia" w:hAnsi="Georgia"/>
                <w:color w:val="1E2A32"/>
                <w:sz w:val="18"/>
              </w:rPr>
              <w:t xml:space="preserve">Step Three</w:t>
            </w:r>
          </w:p>
        </w:tc>
        <w:tc>
          <w:tcPr>
            <w:tcW w:w="1504" w:type="dxa"/>
          </w:tcPr>
          <w:p>
            <w:pPr>
              <w:spacing w:after="20" w:line="240" w:lineRule="auto"/>
              <w:jc w:val="left"/>
            </w:pPr>
            <w:r>
              <w:rPr>
                <w:rFonts w:ascii="Georgia" w:hAnsi="Georgia"/>
                <w:color w:val="1E2A32"/>
                <w:sz w:val="18"/>
              </w:rPr>
              <w:t xml:space="preserve">63 percent</w:t>
            </w:r>
          </w:p>
        </w:tc>
        <w:tc>
          <w:tcPr>
            <w:tcW w:w="1504" w:type="dxa"/>
          </w:tcPr>
          <w:p>
            <w:pPr>
              <w:spacing w:after="20" w:line="240" w:lineRule="auto"/>
              <w:jc w:val="left"/>
            </w:pPr>
            <w:r>
              <w:rPr>
                <w:rFonts w:ascii="Georgia" w:hAnsi="Georgia"/>
                <w:color w:val="1E2A32"/>
                <w:sz w:val="18"/>
              </w:rPr>
              <w:t xml:space="preserve">Adds co-administration of Buffer emergency routing</w:t>
            </w:r>
          </w:p>
        </w:tc>
        <w:tc>
          <w:tcPr>
            <w:tcW w:w="1504" w:type="dxa"/>
          </w:tcPr>
          <w:p>
            <w:pPr>
              <w:spacing w:after="20" w:line="240" w:lineRule="auto"/>
              <w:jc w:val="left"/>
            </w:pPr>
            <w:r>
              <w:rPr>
                <w:rFonts w:ascii="Georgia" w:hAnsi="Georgia"/>
                <w:color w:val="1E2A32"/>
                <w:sz w:val="18"/>
              </w:rPr>
              <w:t xml:space="preserve">Iran plus Oman; Iran initiates Buffer actions subject to Omani concurrence</w:t>
            </w:r>
          </w:p>
        </w:tc>
        <w:tc>
          <w:tcPr>
            <w:tcW w:w="1504" w:type="dxa"/>
          </w:tcPr>
          <w:p>
            <w:pPr>
              <w:spacing w:after="20" w:line="240" w:lineRule="auto"/>
              <w:jc w:val="left"/>
            </w:pPr>
            <w:r>
              <w:rPr>
                <w:rFonts w:ascii="Georgia" w:hAnsi="Georgia"/>
                <w:color w:val="1E2A32"/>
                <w:sz w:val="18"/>
              </w:rPr>
              <w:t xml:space="preserve">50 percent</w:t>
            </w:r>
          </w:p>
        </w:tc>
        <w:tc>
          <w:tcPr>
            <w:tcW w:w="1504" w:type="dxa"/>
          </w:tcPr>
          <w:p>
            <w:pPr>
              <w:spacing w:after="20" w:line="240" w:lineRule="auto"/>
              <w:jc w:val="left"/>
            </w:pPr>
            <w:r>
              <w:rPr>
                <w:rFonts w:ascii="Georgia" w:hAnsi="Georgia"/>
                <w:color w:val="1E2A32"/>
                <w:sz w:val="18"/>
              </w:rPr>
              <w:t xml:space="preserve">50 / 50</w:t>
            </w:r>
          </w:p>
        </w:tc>
      </w:tr>
      <w:tr>
        <w:tc>
          <w:tcPr>
            <w:tcW w:w="1504" w:type="dxa"/>
          </w:tcPr>
          <w:p>
            <w:pPr>
              <w:spacing w:after="20" w:line="240" w:lineRule="auto"/>
              <w:jc w:val="left"/>
            </w:pPr>
            <w:r>
              <w:rPr>
                <w:rFonts w:ascii="Georgia" w:hAnsi="Georgia"/>
                <w:color w:val="1E2A32"/>
                <w:sz w:val="18"/>
              </w:rPr>
              <w:t xml:space="preserve">Step Four</w:t>
            </w:r>
          </w:p>
        </w:tc>
        <w:tc>
          <w:tcPr>
            <w:tcW w:w="1504" w:type="dxa"/>
          </w:tcPr>
          <w:p>
            <w:pPr>
              <w:spacing w:after="20" w:line="240" w:lineRule="auto"/>
              <w:jc w:val="left"/>
            </w:pPr>
            <w:r>
              <w:rPr>
                <w:rFonts w:ascii="Georgia" w:hAnsi="Georgia"/>
                <w:color w:val="1E2A32"/>
                <w:sz w:val="18"/>
              </w:rPr>
              <w:t xml:space="preserve">73 percent</w:t>
            </w:r>
          </w:p>
        </w:tc>
        <w:tc>
          <w:tcPr>
            <w:tcW w:w="1504" w:type="dxa"/>
          </w:tcPr>
          <w:p>
            <w:pPr>
              <w:spacing w:after="20" w:line="240" w:lineRule="auto"/>
              <w:jc w:val="left"/>
            </w:pPr>
            <w:r>
              <w:rPr>
                <w:rFonts w:ascii="Georgia" w:hAnsi="Georgia"/>
                <w:color w:val="1E2A32"/>
                <w:sz w:val="18"/>
              </w:rPr>
              <w:t xml:space="preserve">Adds outbound-facing data services in support of Corridor South</w:t>
            </w:r>
          </w:p>
        </w:tc>
        <w:tc>
          <w:tcPr>
            <w:tcW w:w="1504" w:type="dxa"/>
          </w:tcPr>
          <w:p>
            <w:pPr>
              <w:spacing w:after="20" w:line="240" w:lineRule="auto"/>
              <w:jc w:val="left"/>
            </w:pPr>
            <w:r>
              <w:rPr>
                <w:rFonts w:ascii="Georgia" w:hAnsi="Georgia"/>
                <w:color w:val="1E2A32"/>
                <w:sz w:val="18"/>
              </w:rPr>
              <w:t xml:space="preserve">Iran plus Oman plus Neutral Watch Office for cross-corridor actions</w:t>
            </w:r>
          </w:p>
        </w:tc>
        <w:tc>
          <w:tcPr>
            <w:tcW w:w="1504" w:type="dxa"/>
          </w:tcPr>
          <w:p>
            <w:pPr>
              <w:spacing w:after="20" w:line="240" w:lineRule="auto"/>
              <w:jc w:val="left"/>
            </w:pPr>
            <w:r>
              <w:rPr>
                <w:rFonts w:ascii="Georgia" w:hAnsi="Georgia"/>
                <w:color w:val="1E2A32"/>
                <w:sz w:val="18"/>
              </w:rPr>
              <w:t xml:space="preserve">54 percent</w:t>
            </w:r>
          </w:p>
        </w:tc>
        <w:tc>
          <w:tcPr>
            <w:tcW w:w="1504" w:type="dxa"/>
          </w:tcPr>
          <w:p>
            <w:pPr>
              <w:spacing w:after="20" w:line="240" w:lineRule="auto"/>
              <w:jc w:val="left"/>
            </w:pPr>
            <w:r>
              <w:rPr>
                <w:rFonts w:ascii="Georgia" w:hAnsi="Georgia"/>
                <w:color w:val="1E2A32"/>
                <w:sz w:val="18"/>
              </w:rPr>
              <w:t xml:space="preserve">54 / 46</w:t>
            </w:r>
          </w:p>
        </w:tc>
      </w:tr>
      <w:tr>
        <w:tc>
          <w:tcPr>
            <w:tcW w:w="1504" w:type="dxa"/>
          </w:tcPr>
          <w:p>
            <w:pPr>
              <w:spacing w:after="20" w:line="240" w:lineRule="auto"/>
              <w:jc w:val="left"/>
            </w:pPr>
            <w:r>
              <w:rPr>
                <w:rFonts w:ascii="Georgia" w:hAnsi="Georgia"/>
                <w:color w:val="1E2A32"/>
                <w:sz w:val="18"/>
              </w:rPr>
              <w:t xml:space="preserve">Step Five</w:t>
            </w:r>
          </w:p>
        </w:tc>
        <w:tc>
          <w:tcPr>
            <w:tcW w:w="1504" w:type="dxa"/>
          </w:tcPr>
          <w:p>
            <w:pPr>
              <w:spacing w:after="20" w:line="240" w:lineRule="auto"/>
              <w:jc w:val="left"/>
            </w:pPr>
            <w:r>
              <w:rPr>
                <w:rFonts w:ascii="Georgia" w:hAnsi="Georgia"/>
                <w:color w:val="1E2A32"/>
                <w:sz w:val="18"/>
              </w:rPr>
              <w:t xml:space="preserve">83 percent</w:t>
            </w:r>
          </w:p>
        </w:tc>
        <w:tc>
          <w:tcPr>
            <w:tcW w:w="1504" w:type="dxa"/>
          </w:tcPr>
          <w:p>
            <w:pPr>
              <w:spacing w:after="20" w:line="240" w:lineRule="auto"/>
              <w:jc w:val="left"/>
            </w:pPr>
            <w:r>
              <w:rPr>
                <w:rFonts w:ascii="Georgia" w:hAnsi="Georgia"/>
                <w:color w:val="1E2A32"/>
                <w:sz w:val="18"/>
              </w:rPr>
              <w:t xml:space="preserve">Adds deputy chair of Joint Survey Group tasking</w:t>
            </w:r>
          </w:p>
        </w:tc>
        <w:tc>
          <w:tcPr>
            <w:tcW w:w="1504" w:type="dxa"/>
          </w:tcPr>
          <w:p>
            <w:pPr>
              <w:spacing w:after="20" w:line="240" w:lineRule="auto"/>
              <w:jc w:val="left"/>
            </w:pPr>
            <w:r>
              <w:rPr>
                <w:rFonts w:ascii="Georgia" w:hAnsi="Georgia"/>
                <w:color w:val="1E2A32"/>
                <w:sz w:val="18"/>
              </w:rPr>
              <w:t xml:space="preserve">Two-of-three concurrence: Iran's vote counts among three</w:t>
            </w:r>
          </w:p>
        </w:tc>
        <w:tc>
          <w:tcPr>
            <w:tcW w:w="1504" w:type="dxa"/>
          </w:tcPr>
          <w:p>
            <w:pPr>
              <w:spacing w:after="20" w:line="240" w:lineRule="auto"/>
              <w:jc w:val="left"/>
            </w:pPr>
            <w:r>
              <w:rPr>
                <w:rFonts w:ascii="Georgia" w:hAnsi="Georgia"/>
                <w:color w:val="1E2A32"/>
                <w:sz w:val="18"/>
              </w:rPr>
              <w:t xml:space="preserve">57 percent</w:t>
            </w:r>
          </w:p>
        </w:tc>
        <w:tc>
          <w:tcPr>
            <w:tcW w:w="1504" w:type="dxa"/>
          </w:tcPr>
          <w:p>
            <w:pPr>
              <w:spacing w:after="20" w:line="240" w:lineRule="auto"/>
              <w:jc w:val="left"/>
            </w:pPr>
            <w:r>
              <w:rPr>
                <w:rFonts w:ascii="Georgia" w:hAnsi="Georgia"/>
                <w:color w:val="1E2A32"/>
                <w:sz w:val="18"/>
              </w:rPr>
              <w:t xml:space="preserve">57 / 43</w:t>
            </w:r>
          </w:p>
        </w:tc>
      </w:tr>
      <w:tr>
        <w:tc>
          <w:tcPr>
            <w:tcW w:w="1504" w:type="dxa"/>
          </w:tcPr>
          <w:p>
            <w:pPr>
              <w:spacing w:after="20" w:line="240" w:lineRule="auto"/>
              <w:jc w:val="left"/>
            </w:pPr>
            <w:r>
              <w:rPr>
                <w:rFonts w:ascii="Georgia" w:hAnsi="Georgia"/>
                <w:color w:val="1E2A32"/>
                <w:sz w:val="18"/>
              </w:rPr>
              <w:t xml:space="preserve">Step Six</w:t>
            </w:r>
          </w:p>
        </w:tc>
        <w:tc>
          <w:tcPr>
            <w:tcW w:w="1504" w:type="dxa"/>
          </w:tcPr>
          <w:p>
            <w:pPr>
              <w:spacing w:after="20" w:line="240" w:lineRule="auto"/>
              <w:jc w:val="left"/>
            </w:pPr>
            <w:r>
              <w:rPr>
                <w:rFonts w:ascii="Georgia" w:hAnsi="Georgia"/>
                <w:color w:val="1E2A32"/>
                <w:sz w:val="18"/>
              </w:rPr>
              <w:t xml:space="preserve">93 percent</w:t>
            </w:r>
          </w:p>
        </w:tc>
        <w:tc>
          <w:tcPr>
            <w:tcW w:w="1504" w:type="dxa"/>
          </w:tcPr>
          <w:p>
            <w:pPr>
              <w:spacing w:after="20" w:line="240" w:lineRule="auto"/>
              <w:jc w:val="left"/>
            </w:pPr>
            <w:r>
              <w:rPr>
                <w:rFonts w:ascii="Georgia" w:hAnsi="Georgia"/>
                <w:color w:val="1E2A32"/>
                <w:sz w:val="18"/>
              </w:rPr>
              <w:t xml:space="preserve">Adds first-call authority on Buffer scheduling</w:t>
            </w:r>
          </w:p>
        </w:tc>
        <w:tc>
          <w:tcPr>
            <w:tcW w:w="1504" w:type="dxa"/>
          </w:tcPr>
          <w:p>
            <w:pPr>
              <w:spacing w:after="20" w:line="240" w:lineRule="auto"/>
              <w:jc w:val="left"/>
            </w:pPr>
            <w:r>
              <w:rPr>
                <w:rFonts w:ascii="Georgia" w:hAnsi="Georgia"/>
                <w:color w:val="1E2A32"/>
                <w:sz w:val="18"/>
              </w:rPr>
              <w:t xml:space="preserve">Two-of-three, Iran holding senior vote order</w:t>
            </w:r>
          </w:p>
        </w:tc>
        <w:tc>
          <w:tcPr>
            <w:tcW w:w="1504" w:type="dxa"/>
          </w:tcPr>
          <w:p>
            <w:pPr>
              <w:spacing w:after="20" w:line="240" w:lineRule="auto"/>
              <w:jc w:val="left"/>
            </w:pPr>
            <w:r>
              <w:rPr>
                <w:rFonts w:ascii="Georgia" w:hAnsi="Georgia"/>
                <w:color w:val="1E2A32"/>
                <w:sz w:val="18"/>
              </w:rPr>
              <w:t xml:space="preserve">59 percent</w:t>
            </w:r>
          </w:p>
        </w:tc>
        <w:tc>
          <w:tcPr>
            <w:tcW w:w="1504" w:type="dxa"/>
          </w:tcPr>
          <w:p>
            <w:pPr>
              <w:spacing w:after="20" w:line="240" w:lineRule="auto"/>
              <w:jc w:val="left"/>
            </w:pPr>
            <w:r>
              <w:rPr>
                <w:rFonts w:ascii="Georgia" w:hAnsi="Georgia"/>
                <w:color w:val="1E2A32"/>
                <w:sz w:val="18"/>
              </w:rPr>
              <w:t xml:space="preserve">59 / 41</w:t>
            </w:r>
          </w:p>
        </w:tc>
      </w:tr>
      <w:tr>
        <w:tc>
          <w:tcPr>
            <w:tcW w:w="1504" w:type="dxa"/>
          </w:tcPr>
          <w:p>
            <w:pPr>
              <w:spacing w:after="20" w:line="240" w:lineRule="auto"/>
              <w:jc w:val="left"/>
            </w:pPr>
            <w:r>
              <w:rPr>
                <w:rFonts w:ascii="Georgia" w:hAnsi="Georgia"/>
                <w:color w:val="1E2A32"/>
                <w:sz w:val="18"/>
              </w:rPr>
              <w:t xml:space="preserve">Full Unlock</w:t>
            </w:r>
          </w:p>
        </w:tc>
        <w:tc>
          <w:tcPr>
            <w:tcW w:w="1504" w:type="dxa"/>
          </w:tcPr>
          <w:p>
            <w:pPr>
              <w:spacing w:after="20" w:line="240" w:lineRule="auto"/>
              <w:jc w:val="left"/>
            </w:pPr>
            <w:r>
              <w:rPr>
                <w:rFonts w:ascii="Georgia" w:hAnsi="Georgia"/>
                <w:color w:val="1E2A32"/>
                <w:sz w:val="18"/>
              </w:rPr>
              <w:t xml:space="preserve">100 percent</w:t>
            </w:r>
          </w:p>
        </w:tc>
        <w:tc>
          <w:tcPr>
            <w:tcW w:w="1504" w:type="dxa"/>
          </w:tcPr>
          <w:p>
            <w:pPr>
              <w:spacing w:after="20" w:line="240" w:lineRule="auto"/>
              <w:jc w:val="left"/>
            </w:pPr>
            <w:r>
              <w:rPr>
                <w:rFonts w:ascii="Georgia" w:hAnsi="Georgia"/>
                <w:color w:val="1E2A32"/>
                <w:sz w:val="18"/>
              </w:rPr>
              <w:t xml:space="preserve">Corridor North plus Buffer co-administration; Oman retains Corridor South</w:t>
            </w:r>
          </w:p>
        </w:tc>
        <w:tc>
          <w:tcPr>
            <w:tcW w:w="1504" w:type="dxa"/>
          </w:tcPr>
          <w:p>
            <w:pPr>
              <w:spacing w:after="20" w:line="240" w:lineRule="auto"/>
              <w:jc w:val="left"/>
            </w:pPr>
            <w:r>
              <w:rPr>
                <w:rFonts w:ascii="Georgia" w:hAnsi="Georgia"/>
                <w:color w:val="1E2A32"/>
                <w:sz w:val="18"/>
              </w:rPr>
              <w:t xml:space="preserve">Two-of-three with Iran senior; Twin Key intact</w:t>
            </w:r>
          </w:p>
        </w:tc>
        <w:tc>
          <w:tcPr>
            <w:tcW w:w="1504" w:type="dxa"/>
          </w:tcPr>
          <w:p>
            <w:pPr>
              <w:spacing w:after="20" w:line="240" w:lineRule="auto"/>
              <w:jc w:val="left"/>
            </w:pPr>
            <w:r>
              <w:rPr>
                <w:rFonts w:ascii="Georgia" w:hAnsi="Georgia"/>
                <w:color w:val="1E2A32"/>
                <w:sz w:val="18"/>
              </w:rPr>
              <w:t xml:space="preserve">60 percent (cap)</w:t>
            </w:r>
          </w:p>
        </w:tc>
        <w:tc>
          <w:tcPr>
            <w:tcW w:w="1504" w:type="dxa"/>
          </w:tcPr>
          <w:p>
            <w:pPr>
              <w:spacing w:after="20" w:line="240" w:lineRule="auto"/>
              <w:jc w:val="left"/>
            </w:pPr>
            <w:r>
              <w:rPr>
                <w:rFonts w:ascii="Georgia" w:hAnsi="Georgia"/>
                <w:color w:val="1E2A32"/>
                <w:sz w:val="18"/>
              </w:rPr>
              <w:t xml:space="preserve">60 / 40 with casting voice on tied procedural questions</w:t>
            </w:r>
          </w:p>
        </w:tc>
      </w:tr>
    </w:tbl>
    <w:p>
      <w:pPr>
        <w:spacing w:after="120"/>
      </w:pPr>
    </w:p>
    <w:p>
      <w:pPr>
        <w:pStyle w:val="Heading3"/>
      </w:pPr>
      <w:r>
        <w:rPr>
          <w:rFonts w:ascii="Georgia" w:hAnsi="Georgia"/>
          <w:b/>
          <w:color w:val="3D5566"/>
          <w:sz w:val="22"/>
        </w:rPr>
        <w:t xml:space="preserve">B.2 Reading the Matrix</w:t>
      </w:r>
    </w:p>
    <w:p>
      <w:pPr>
        <w:spacing w:before="0" w:after="140" w:line="252" w:lineRule="auto"/>
        <w:jc w:val="both"/>
      </w:pPr>
      <w:r>
        <w:rPr>
          <w:rFonts w:ascii="Georgia" w:hAnsi="Georgia"/>
          <w:color w:val="1E2A32"/>
          <w:sz w:val="21"/>
        </w:rPr>
        <w:t xml:space="preserve">Each row states the complete configuration at that band. A rise applies the next row in full at the next Verification Period boundary. A step-back under Article 10.2 applies the row corresponding to the reset position in full. No intermediate or hybrid configuration exists: the system always sits exactly on a published row.</w:t>
      </w:r>
    </w:p>
    <w:p>
      <w:pPr>
        <w:pStyle w:val="Heading3"/>
      </w:pPr>
      <w:r>
        <w:rPr>
          <w:rFonts w:ascii="Georgia" w:hAnsi="Georgia"/>
          <w:b/>
          <w:color w:val="3D5566"/>
          <w:sz w:val="22"/>
        </w:rPr>
        <w:t xml:space="preserve">B.3 Post-Unlock Configuration</w:t>
      </w:r>
    </w:p>
    <w:p>
      <w:pPr>
        <w:spacing w:before="0" w:after="140" w:line="252" w:lineRule="auto"/>
        <w:jc w:val="both"/>
      </w:pPr>
      <w:r>
        <w:rPr>
          <w:rFonts w:ascii="Georgia" w:hAnsi="Georgia"/>
          <w:color w:val="1E2A32"/>
          <w:sz w:val="21"/>
        </w:rPr>
        <w:t xml:space="preserve">At Full Unlock: (a) the Permanent Floor of 60 percent activates; (b) resets descend to the Step-equivalent of 60 percent, which is Step Three's configuration adjusted to hold the 60 percent floor values; and (c) further Clean Weeks continue to accrue Good Conduct Credits at the rate of Article 11, which become the system's standing insurance reserve.</w:t>
      </w:r>
    </w:p>
    <w:p>
      <w:pPr>
        <w:pStyle w:val="Heading3"/>
      </w:pPr>
      <w:r>
        <w:rPr>
          <w:rFonts w:ascii="Georgia" w:hAnsi="Georgia"/>
          <w:b/>
          <w:color w:val="3D5566"/>
          <w:sz w:val="22"/>
        </w:rPr>
        <w:t xml:space="preserve">B.4 Oman's Invariants</w:t>
      </w:r>
    </w:p>
    <w:p>
      <w:pPr>
        <w:spacing w:before="0" w:after="140" w:line="252" w:lineRule="auto"/>
        <w:jc w:val="both"/>
      </w:pPr>
      <w:r>
        <w:rPr>
          <w:rFonts w:ascii="Georgia" w:hAnsi="Georgia"/>
          <w:color w:val="1E2A32"/>
          <w:sz w:val="21"/>
        </w:rPr>
        <w:t xml:space="preserve">At every band without exception: Oman administers Corridor South; Oman holds the coordinating chair of Buffer operations; Oman's revenue share never falls below 25 percent; and Oman's key position within the Twin Key persists.</w:t>
      </w:r>
    </w:p>
    <w:p>
      <w:pPr>
        <w:pStyle w:val="Heading2"/>
        <w:pageBreakBefore/>
      </w:pPr>
      <w:bookmarkStart w:id="1047" w:name="_Toc260001047"/>
      <w:r>
        <w:rPr>
          <w:rFonts w:ascii="Georgia" w:hAnsi="Georgia"/>
          <w:b/>
          <w:color w:val="2F4858"/>
          <w:sz w:val="25"/>
        </w:rPr>
        <w:t xml:space="preserve">Annex C: Clean Week Verification Standard</w:t>
      </w:r>
      <w:bookmarkEnd w:id="1047"/>
    </w:p>
    <w:p>
      <w:pPr>
        <w:pStyle w:val="Heading3"/>
      </w:pPr>
      <w:r>
        <w:rPr>
          <w:rFonts w:ascii="Georgia" w:hAnsi="Georgia"/>
          <w:b/>
          <w:color w:val="3D5566"/>
          <w:sz w:val="22"/>
        </w:rPr>
        <w:t xml:space="preserve">C.1 The Criteria</w:t>
      </w:r>
    </w:p>
    <w:p>
      <w:pPr>
        <w:spacing w:before="0" w:after="140" w:line="252" w:lineRule="auto"/>
        <w:jc w:val="both"/>
      </w:pPr>
      <w:r>
        <w:rPr>
          <w:rFonts w:ascii="Georgia" w:hAnsi="Georgia"/>
          <w:color w:val="1E2A32"/>
          <w:sz w:val="21"/>
        </w:rPr>
        <w:t xml:space="preserve">A Verification Period qualifies as a Clean Week only when every criterion in the following table stands satisfied for the full seven days.</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2256"/>
        <w:gridCol w:w="2256"/>
        <w:gridCol w:w="2256"/>
        <w:gridCol w:w="2256"/>
      </w:tblGrid>
      <w:tr>
        <w:trPr>
          <w:tblHeader/>
        </w:trPr>
        <w:tc>
          <w:tcPr>
            <w:tcW w:w="2256" w:type="dxa"/>
            <w:shd w:val="clear" w:fill="E4EAEE"/>
          </w:tcPr>
          <w:p>
            <w:pPr>
              <w:spacing w:after="20" w:line="240" w:lineRule="auto"/>
              <w:jc w:val="left"/>
            </w:pPr>
            <w:r>
              <w:rPr>
                <w:rFonts w:ascii="Georgia" w:hAnsi="Georgia"/>
                <w:b/>
                <w:color w:val="2F4858"/>
                <w:sz w:val="18"/>
              </w:rPr>
              <w:t xml:space="preserve">Code</w:t>
            </w:r>
          </w:p>
        </w:tc>
        <w:tc>
          <w:tcPr>
            <w:tcW w:w="2256" w:type="dxa"/>
            <w:shd w:val="clear" w:fill="E4EAEE"/>
          </w:tcPr>
          <w:p>
            <w:pPr>
              <w:spacing w:after="20" w:line="240" w:lineRule="auto"/>
              <w:jc w:val="left"/>
            </w:pPr>
            <w:r>
              <w:rPr>
                <w:rFonts w:ascii="Georgia" w:hAnsi="Georgia"/>
                <w:b/>
                <w:color w:val="2F4858"/>
                <w:sz w:val="18"/>
              </w:rPr>
              <w:t xml:space="preserve">Criterion</w:t>
            </w:r>
          </w:p>
        </w:tc>
        <w:tc>
          <w:tcPr>
            <w:tcW w:w="2256" w:type="dxa"/>
            <w:shd w:val="clear" w:fill="E4EAEE"/>
          </w:tcPr>
          <w:p>
            <w:pPr>
              <w:spacing w:after="20" w:line="240" w:lineRule="auto"/>
              <w:jc w:val="left"/>
            </w:pPr>
            <w:r>
              <w:rPr>
                <w:rFonts w:ascii="Georgia" w:hAnsi="Georgia"/>
                <w:b/>
                <w:color w:val="2F4858"/>
                <w:sz w:val="18"/>
              </w:rPr>
              <w:t xml:space="preserve">Measurement</w:t>
            </w:r>
          </w:p>
        </w:tc>
        <w:tc>
          <w:tcPr>
            <w:tcW w:w="2256" w:type="dxa"/>
            <w:shd w:val="clear" w:fill="E4EAEE"/>
          </w:tcPr>
          <w:p>
            <w:pPr>
              <w:spacing w:after="20" w:line="240" w:lineRule="auto"/>
              <w:jc w:val="left"/>
            </w:pPr>
            <w:r>
              <w:rPr>
                <w:rFonts w:ascii="Georgia" w:hAnsi="Georgia"/>
                <w:b/>
                <w:color w:val="2F4858"/>
                <w:sz w:val="18"/>
              </w:rPr>
              <w:t xml:space="preserve">Verifying Instrument</w:t>
            </w:r>
          </w:p>
        </w:tc>
      </w:tr>
      <w:tr>
        <w:tc>
          <w:tcPr>
            <w:tcW w:w="2256" w:type="dxa"/>
          </w:tcPr>
          <w:p>
            <w:pPr>
              <w:spacing w:after="20" w:line="240" w:lineRule="auto"/>
              <w:jc w:val="left"/>
            </w:pPr>
            <w:r>
              <w:rPr>
                <w:rFonts w:ascii="Georgia" w:hAnsi="Georgia"/>
                <w:color w:val="1E2A32"/>
                <w:sz w:val="18"/>
              </w:rPr>
              <w:t xml:space="preserve">CW-1</w:t>
            </w:r>
          </w:p>
        </w:tc>
        <w:tc>
          <w:tcPr>
            <w:tcW w:w="2256" w:type="dxa"/>
          </w:tcPr>
          <w:p>
            <w:pPr>
              <w:spacing w:after="20" w:line="240" w:lineRule="auto"/>
              <w:jc w:val="left"/>
            </w:pPr>
            <w:r>
              <w:rPr>
                <w:rFonts w:ascii="Georgia" w:hAnsi="Georgia"/>
                <w:color w:val="1E2A32"/>
                <w:sz w:val="18"/>
              </w:rPr>
              <w:t xml:space="preserve">Zero interdiction events</w:t>
            </w:r>
          </w:p>
        </w:tc>
        <w:tc>
          <w:tcPr>
            <w:tcW w:w="2256" w:type="dxa"/>
          </w:tcPr>
          <w:p>
            <w:pPr>
              <w:spacing w:after="20" w:line="240" w:lineRule="auto"/>
              <w:jc w:val="left"/>
            </w:pPr>
            <w:r>
              <w:rPr>
                <w:rFonts w:ascii="Georgia" w:hAnsi="Georgia"/>
                <w:color w:val="1E2A32"/>
                <w:sz w:val="18"/>
              </w:rPr>
              <w:t xml:space="preserve">No unauthorized stop, boarding, diversion, or detention</w:t>
            </w:r>
          </w:p>
        </w:tc>
        <w:tc>
          <w:tcPr>
            <w:tcW w:w="2256" w:type="dxa"/>
          </w:tcPr>
          <w:p>
            <w:pPr>
              <w:spacing w:after="20" w:line="240" w:lineRule="auto"/>
              <w:jc w:val="left"/>
            </w:pPr>
            <w:r>
              <w:rPr>
                <w:rFonts w:ascii="Georgia" w:hAnsi="Georgia"/>
                <w:color w:val="1E2A32"/>
                <w:sz w:val="18"/>
              </w:rPr>
              <w:t xml:space="preserve">Neutral Watch Office interaction log</w:t>
            </w:r>
          </w:p>
        </w:tc>
      </w:tr>
      <w:tr>
        <w:tc>
          <w:tcPr>
            <w:tcW w:w="2256" w:type="dxa"/>
          </w:tcPr>
          <w:p>
            <w:pPr>
              <w:spacing w:after="20" w:line="240" w:lineRule="auto"/>
              <w:jc w:val="left"/>
            </w:pPr>
            <w:r>
              <w:rPr>
                <w:rFonts w:ascii="Georgia" w:hAnsi="Georgia"/>
                <w:color w:val="1E2A32"/>
                <w:sz w:val="18"/>
              </w:rPr>
              <w:t xml:space="preserve">CW-2</w:t>
            </w:r>
          </w:p>
        </w:tc>
        <w:tc>
          <w:tcPr>
            <w:tcW w:w="2256" w:type="dxa"/>
          </w:tcPr>
          <w:p>
            <w:pPr>
              <w:spacing w:after="20" w:line="240" w:lineRule="auto"/>
              <w:jc w:val="left"/>
            </w:pPr>
            <w:r>
              <w:rPr>
                <w:rFonts w:ascii="Georgia" w:hAnsi="Georgia"/>
                <w:color w:val="1E2A32"/>
                <w:sz w:val="18"/>
              </w:rPr>
              <w:t xml:space="preserve">Zero harassment events</w:t>
            </w:r>
          </w:p>
        </w:tc>
        <w:tc>
          <w:tcPr>
            <w:tcW w:w="2256" w:type="dxa"/>
          </w:tcPr>
          <w:p>
            <w:pPr>
              <w:spacing w:after="20" w:line="240" w:lineRule="auto"/>
              <w:jc w:val="left"/>
            </w:pPr>
            <w:r>
              <w:rPr>
                <w:rFonts w:ascii="Georgia" w:hAnsi="Georgia"/>
                <w:color w:val="1E2A32"/>
                <w:sz w:val="18"/>
              </w:rPr>
              <w:t xml:space="preserve">No close-approach or interference event above the Annex I proximity threshold</w:t>
            </w:r>
          </w:p>
        </w:tc>
        <w:tc>
          <w:tcPr>
            <w:tcW w:w="2256" w:type="dxa"/>
          </w:tcPr>
          <w:p>
            <w:pPr>
              <w:spacing w:after="20" w:line="240" w:lineRule="auto"/>
              <w:jc w:val="left"/>
            </w:pPr>
            <w:r>
              <w:rPr>
                <w:rFonts w:ascii="Georgia" w:hAnsi="Georgia"/>
                <w:color w:val="1E2A32"/>
                <w:sz w:val="18"/>
              </w:rPr>
              <w:t xml:space="preserve">Fused radar picture and AIS archive</w:t>
            </w:r>
          </w:p>
        </w:tc>
      </w:tr>
      <w:tr>
        <w:tc>
          <w:tcPr>
            <w:tcW w:w="2256" w:type="dxa"/>
          </w:tcPr>
          <w:p>
            <w:pPr>
              <w:spacing w:after="20" w:line="240" w:lineRule="auto"/>
              <w:jc w:val="left"/>
            </w:pPr>
            <w:r>
              <w:rPr>
                <w:rFonts w:ascii="Georgia" w:hAnsi="Georgia"/>
                <w:color w:val="1E2A32"/>
                <w:sz w:val="18"/>
              </w:rPr>
              <w:t xml:space="preserve">CW-3</w:t>
            </w:r>
          </w:p>
        </w:tc>
        <w:tc>
          <w:tcPr>
            <w:tcW w:w="2256" w:type="dxa"/>
          </w:tcPr>
          <w:p>
            <w:pPr>
              <w:spacing w:after="20" w:line="240" w:lineRule="auto"/>
              <w:jc w:val="left"/>
            </w:pPr>
            <w:r>
              <w:rPr>
                <w:rFonts w:ascii="Georgia" w:hAnsi="Georgia"/>
                <w:color w:val="1E2A32"/>
                <w:sz w:val="18"/>
              </w:rPr>
              <w:t xml:space="preserve">Zero mine indications</w:t>
            </w:r>
          </w:p>
        </w:tc>
        <w:tc>
          <w:tcPr>
            <w:tcW w:w="2256" w:type="dxa"/>
          </w:tcPr>
          <w:p>
            <w:pPr>
              <w:spacing w:after="20" w:line="240" w:lineRule="auto"/>
              <w:jc w:val="left"/>
            </w:pPr>
            <w:r>
              <w:rPr>
                <w:rFonts w:ascii="Georgia" w:hAnsi="Georgia"/>
                <w:color w:val="1E2A32"/>
                <w:sz w:val="18"/>
              </w:rPr>
              <w:t xml:space="preserve">No unresolved mine-like contact inside any corridor</w:t>
            </w:r>
          </w:p>
        </w:tc>
        <w:tc>
          <w:tcPr>
            <w:tcW w:w="2256" w:type="dxa"/>
          </w:tcPr>
          <w:p>
            <w:pPr>
              <w:spacing w:after="20" w:line="240" w:lineRule="auto"/>
              <w:jc w:val="left"/>
            </w:pPr>
            <w:r>
              <w:rPr>
                <w:rFonts w:ascii="Georgia" w:hAnsi="Georgia"/>
                <w:color w:val="1E2A32"/>
                <w:sz w:val="18"/>
              </w:rPr>
              <w:t xml:space="preserve">Joint Survey Group weekly product</w:t>
            </w:r>
          </w:p>
        </w:tc>
      </w:tr>
      <w:tr>
        <w:tc>
          <w:tcPr>
            <w:tcW w:w="2256" w:type="dxa"/>
          </w:tcPr>
          <w:p>
            <w:pPr>
              <w:spacing w:after="20" w:line="240" w:lineRule="auto"/>
              <w:jc w:val="left"/>
            </w:pPr>
            <w:r>
              <w:rPr>
                <w:rFonts w:ascii="Georgia" w:hAnsi="Georgia"/>
                <w:color w:val="1E2A32"/>
                <w:sz w:val="18"/>
              </w:rPr>
              <w:t xml:space="preserve">CW-4</w:t>
            </w:r>
          </w:p>
        </w:tc>
        <w:tc>
          <w:tcPr>
            <w:tcW w:w="2256" w:type="dxa"/>
          </w:tcPr>
          <w:p>
            <w:pPr>
              <w:spacing w:after="20" w:line="240" w:lineRule="auto"/>
              <w:jc w:val="left"/>
            </w:pPr>
            <w:r>
              <w:rPr>
                <w:rFonts w:ascii="Georgia" w:hAnsi="Georgia"/>
                <w:color w:val="1E2A32"/>
                <w:sz w:val="18"/>
              </w:rPr>
              <w:t xml:space="preserve">Hotline compliance</w:t>
            </w:r>
          </w:p>
        </w:tc>
        <w:tc>
          <w:tcPr>
            <w:tcW w:w="2256" w:type="dxa"/>
          </w:tcPr>
          <w:p>
            <w:pPr>
              <w:spacing w:after="20" w:line="240" w:lineRule="auto"/>
              <w:jc w:val="left"/>
            </w:pPr>
            <w:r>
              <w:rPr>
                <w:rFonts w:ascii="Georgia" w:hAnsi="Georgia"/>
                <w:color w:val="1E2A32"/>
                <w:sz w:val="18"/>
              </w:rPr>
              <w:t xml:space="preserve">100 percent success on the daily 06:00 UTC test and all response standards met</w:t>
            </w:r>
          </w:p>
        </w:tc>
        <w:tc>
          <w:tcPr>
            <w:tcW w:w="2256" w:type="dxa"/>
          </w:tcPr>
          <w:p>
            <w:pPr>
              <w:spacing w:after="20" w:line="240" w:lineRule="auto"/>
              <w:jc w:val="left"/>
            </w:pPr>
            <w:r>
              <w:rPr>
                <w:rFonts w:ascii="Georgia" w:hAnsi="Georgia"/>
                <w:color w:val="1E2A32"/>
                <w:sz w:val="18"/>
              </w:rPr>
              <w:t xml:space="preserve">Hotline test record</w:t>
            </w:r>
          </w:p>
        </w:tc>
      </w:tr>
      <w:tr>
        <w:tc>
          <w:tcPr>
            <w:tcW w:w="2256" w:type="dxa"/>
          </w:tcPr>
          <w:p>
            <w:pPr>
              <w:spacing w:after="20" w:line="240" w:lineRule="auto"/>
              <w:jc w:val="left"/>
            </w:pPr>
            <w:r>
              <w:rPr>
                <w:rFonts w:ascii="Georgia" w:hAnsi="Georgia"/>
                <w:color w:val="1E2A32"/>
                <w:sz w:val="18"/>
              </w:rPr>
              <w:t xml:space="preserve">CW-5</w:t>
            </w:r>
          </w:p>
        </w:tc>
        <w:tc>
          <w:tcPr>
            <w:tcW w:w="2256" w:type="dxa"/>
          </w:tcPr>
          <w:p>
            <w:pPr>
              <w:spacing w:after="20" w:line="240" w:lineRule="auto"/>
              <w:jc w:val="left"/>
            </w:pPr>
            <w:r>
              <w:rPr>
                <w:rFonts w:ascii="Georgia" w:hAnsi="Georgia"/>
                <w:color w:val="1E2A32"/>
                <w:sz w:val="18"/>
              </w:rPr>
              <w:t xml:space="preserve">No unauthorized charges</w:t>
            </w:r>
          </w:p>
        </w:tc>
        <w:tc>
          <w:tcPr>
            <w:tcW w:w="2256" w:type="dxa"/>
          </w:tcPr>
          <w:p>
            <w:pPr>
              <w:spacing w:after="20" w:line="240" w:lineRule="auto"/>
              <w:jc w:val="left"/>
            </w:pPr>
            <w:r>
              <w:rPr>
                <w:rFonts w:ascii="Georgia" w:hAnsi="Georgia"/>
                <w:color w:val="1E2A32"/>
                <w:sz w:val="18"/>
              </w:rPr>
              <w:t xml:space="preserve">Zero charges outside the published rate card</w:t>
            </w:r>
          </w:p>
        </w:tc>
        <w:tc>
          <w:tcPr>
            <w:tcW w:w="2256" w:type="dxa"/>
          </w:tcPr>
          <w:p>
            <w:pPr>
              <w:spacing w:after="20" w:line="240" w:lineRule="auto"/>
              <w:jc w:val="left"/>
            </w:pPr>
            <w:r>
              <w:rPr>
                <w:rFonts w:ascii="Georgia" w:hAnsi="Georgia"/>
                <w:color w:val="1E2A32"/>
                <w:sz w:val="18"/>
              </w:rPr>
              <w:t xml:space="preserve">Escrow settlement audit</w:t>
            </w:r>
          </w:p>
        </w:tc>
      </w:tr>
      <w:tr>
        <w:tc>
          <w:tcPr>
            <w:tcW w:w="2256" w:type="dxa"/>
          </w:tcPr>
          <w:p>
            <w:pPr>
              <w:spacing w:after="20" w:line="240" w:lineRule="auto"/>
              <w:jc w:val="left"/>
            </w:pPr>
            <w:r>
              <w:rPr>
                <w:rFonts w:ascii="Georgia" w:hAnsi="Georgia"/>
                <w:color w:val="1E2A32"/>
                <w:sz w:val="18"/>
              </w:rPr>
              <w:t xml:space="preserve">CW-6</w:t>
            </w:r>
          </w:p>
        </w:tc>
        <w:tc>
          <w:tcPr>
            <w:tcW w:w="2256" w:type="dxa"/>
          </w:tcPr>
          <w:p>
            <w:pPr>
              <w:spacing w:after="20" w:line="240" w:lineRule="auto"/>
              <w:jc w:val="left"/>
            </w:pPr>
            <w:r>
              <w:rPr>
                <w:rFonts w:ascii="Georgia" w:hAnsi="Georgia"/>
                <w:color w:val="1E2A32"/>
                <w:sz w:val="18"/>
              </w:rPr>
              <w:t xml:space="preserve">Survey cooperation</w:t>
            </w:r>
          </w:p>
        </w:tc>
        <w:tc>
          <w:tcPr>
            <w:tcW w:w="2256" w:type="dxa"/>
          </w:tcPr>
          <w:p>
            <w:pPr>
              <w:spacing w:after="20" w:line="240" w:lineRule="auto"/>
              <w:jc w:val="left"/>
            </w:pPr>
            <w:r>
              <w:rPr>
                <w:rFonts w:ascii="Georgia" w:hAnsi="Georgia"/>
                <w:color w:val="1E2A32"/>
                <w:sz w:val="18"/>
              </w:rPr>
              <w:t xml:space="preserve">All scheduled Joint Survey Group operations proceed on schedule</w:t>
            </w:r>
          </w:p>
        </w:tc>
        <w:tc>
          <w:tcPr>
            <w:tcW w:w="2256" w:type="dxa"/>
          </w:tcPr>
          <w:p>
            <w:pPr>
              <w:spacing w:after="20" w:line="240" w:lineRule="auto"/>
              <w:jc w:val="left"/>
            </w:pPr>
            <w:r>
              <w:rPr>
                <w:rFonts w:ascii="Georgia" w:hAnsi="Georgia"/>
                <w:color w:val="1E2A32"/>
                <w:sz w:val="18"/>
              </w:rPr>
              <w:t xml:space="preserve">Joint Survey Group log</w:t>
            </w:r>
          </w:p>
        </w:tc>
      </w:tr>
      <w:tr>
        <w:tc>
          <w:tcPr>
            <w:tcW w:w="2256" w:type="dxa"/>
          </w:tcPr>
          <w:p>
            <w:pPr>
              <w:spacing w:after="20" w:line="240" w:lineRule="auto"/>
              <w:jc w:val="left"/>
            </w:pPr>
            <w:r>
              <w:rPr>
                <w:rFonts w:ascii="Georgia" w:hAnsi="Georgia"/>
                <w:color w:val="1E2A32"/>
                <w:sz w:val="18"/>
              </w:rPr>
              <w:t xml:space="preserve">CW-7</w:t>
            </w:r>
          </w:p>
        </w:tc>
        <w:tc>
          <w:tcPr>
            <w:tcW w:w="2256" w:type="dxa"/>
          </w:tcPr>
          <w:p>
            <w:pPr>
              <w:spacing w:after="20" w:line="240" w:lineRule="auto"/>
              <w:jc w:val="left"/>
            </w:pPr>
            <w:r>
              <w:rPr>
                <w:rFonts w:ascii="Georgia" w:hAnsi="Georgia"/>
                <w:color w:val="1E2A32"/>
                <w:sz w:val="18"/>
              </w:rPr>
              <w:t xml:space="preserve">Service standards</w:t>
            </w:r>
          </w:p>
        </w:tc>
        <w:tc>
          <w:tcPr>
            <w:tcW w:w="2256" w:type="dxa"/>
          </w:tcPr>
          <w:p>
            <w:pPr>
              <w:spacing w:after="20" w:line="240" w:lineRule="auto"/>
              <w:jc w:val="left"/>
            </w:pPr>
            <w:r>
              <w:rPr>
                <w:rFonts w:ascii="Georgia" w:hAnsi="Georgia"/>
                <w:color w:val="1E2A32"/>
                <w:sz w:val="18"/>
              </w:rPr>
              <w:t xml:space="preserve">Annex E indicators at or above 95 percent for the week</w:t>
            </w:r>
          </w:p>
        </w:tc>
        <w:tc>
          <w:tcPr>
            <w:tcW w:w="2256" w:type="dxa"/>
          </w:tcPr>
          <w:p>
            <w:pPr>
              <w:spacing w:after="20" w:line="240" w:lineRule="auto"/>
              <w:jc w:val="left"/>
            </w:pPr>
            <w:r>
              <w:rPr>
                <w:rFonts w:ascii="Georgia" w:hAnsi="Georgia"/>
                <w:color w:val="1E2A32"/>
                <w:sz w:val="18"/>
              </w:rPr>
              <w:t xml:space="preserve">Neutral Watch Office service audit</w:t>
            </w:r>
          </w:p>
        </w:tc>
      </w:tr>
      <w:tr>
        <w:tc>
          <w:tcPr>
            <w:tcW w:w="2256" w:type="dxa"/>
          </w:tcPr>
          <w:p>
            <w:pPr>
              <w:spacing w:after="20" w:line="240" w:lineRule="auto"/>
              <w:jc w:val="left"/>
            </w:pPr>
            <w:r>
              <w:rPr>
                <w:rFonts w:ascii="Georgia" w:hAnsi="Georgia"/>
                <w:color w:val="1E2A32"/>
                <w:sz w:val="18"/>
              </w:rPr>
              <w:t xml:space="preserve">CW-8</w:t>
            </w:r>
          </w:p>
        </w:tc>
        <w:tc>
          <w:tcPr>
            <w:tcW w:w="2256" w:type="dxa"/>
          </w:tcPr>
          <w:p>
            <w:pPr>
              <w:spacing w:after="20" w:line="240" w:lineRule="auto"/>
              <w:jc w:val="left"/>
            </w:pPr>
            <w:r>
              <w:rPr>
                <w:rFonts w:ascii="Georgia" w:hAnsi="Georgia"/>
                <w:color w:val="1E2A32"/>
                <w:sz w:val="18"/>
              </w:rPr>
              <w:t xml:space="preserve">Reporting integrity</w:t>
            </w:r>
          </w:p>
        </w:tc>
        <w:tc>
          <w:tcPr>
            <w:tcW w:w="2256" w:type="dxa"/>
          </w:tcPr>
          <w:p>
            <w:pPr>
              <w:spacing w:after="20" w:line="240" w:lineRule="auto"/>
              <w:jc w:val="left"/>
            </w:pPr>
            <w:r>
              <w:rPr>
                <w:rFonts w:ascii="Georgia" w:hAnsi="Georgia"/>
                <w:color w:val="1E2A32"/>
                <w:sz w:val="18"/>
              </w:rPr>
              <w:t xml:space="preserve">All administrator reports filed complete and on time</w:t>
            </w:r>
          </w:p>
        </w:tc>
        <w:tc>
          <w:tcPr>
            <w:tcW w:w="2256" w:type="dxa"/>
          </w:tcPr>
          <w:p>
            <w:pPr>
              <w:spacing w:after="20" w:line="240" w:lineRule="auto"/>
              <w:jc w:val="left"/>
            </w:pPr>
            <w:r>
              <w:rPr>
                <w:rFonts w:ascii="Georgia" w:hAnsi="Georgia"/>
                <w:color w:val="1E2A32"/>
                <w:sz w:val="18"/>
              </w:rPr>
              <w:t xml:space="preserve">Neutral Watch Office registry</w:t>
            </w:r>
          </w:p>
        </w:tc>
      </w:tr>
    </w:tbl>
    <w:p>
      <w:pPr>
        <w:spacing w:after="120"/>
      </w:pPr>
    </w:p>
    <w:p>
      <w:pPr>
        <w:pStyle w:val="Heading3"/>
      </w:pPr>
      <w:r>
        <w:rPr>
          <w:rFonts w:ascii="Georgia" w:hAnsi="Georgia"/>
          <w:b/>
          <w:color w:val="3D5566"/>
          <w:sz w:val="22"/>
        </w:rPr>
        <w:t xml:space="preserve">C.2 Determination Procedure</w:t>
      </w:r>
    </w:p>
    <w:p>
      <w:pPr>
        <w:spacing w:before="0" w:after="140" w:line="252" w:lineRule="auto"/>
        <w:jc w:val="both"/>
      </w:pPr>
      <w:r>
        <w:rPr>
          <w:rFonts w:ascii="Georgia" w:hAnsi="Georgia"/>
          <w:color w:val="1E2A32"/>
          <w:sz w:val="21"/>
        </w:rPr>
        <w:t xml:space="preserve">The Verification Period closes at 24:00 UTC on its seventh day. The Neutral Watch Office compiles the record, applies each criterion mechanically, and publishes the determination within twelve hours. The determination states pass or fail per criterion, the underlying measurements, and the resulting Escalator effect. No discretion enters the determination: the record satisfies the criteria or it does not.</w:t>
      </w:r>
    </w:p>
    <w:p>
      <w:pPr>
        <w:pStyle w:val="Heading3"/>
      </w:pPr>
      <w:r>
        <w:rPr>
          <w:rFonts w:ascii="Georgia" w:hAnsi="Georgia"/>
          <w:b/>
          <w:color w:val="3D5566"/>
          <w:sz w:val="22"/>
        </w:rPr>
        <w:t xml:space="preserve">C.3 Near-Miss Accounting</w:t>
      </w:r>
    </w:p>
    <w:p>
      <w:pPr>
        <w:spacing w:before="0" w:after="140" w:line="252" w:lineRule="auto"/>
        <w:jc w:val="both"/>
      </w:pPr>
      <w:r>
        <w:rPr>
          <w:rFonts w:ascii="Georgia" w:hAnsi="Georgia"/>
          <w:color w:val="1E2A32"/>
          <w:sz w:val="21"/>
        </w:rPr>
        <w:t xml:space="preserve">An occurrence that breaches a criterion's threshold by measurement but cures within its own one-hour window (for example, a hotline response at minute 14 against a 15-minute standard) records as a near-miss, counts in the published statistics, and does not fail the criterion. Three near-misses on the same criterion within one Verification Period fail that criterion.</w:t>
      </w:r>
    </w:p>
    <w:p>
      <w:pPr>
        <w:pStyle w:val="Heading3"/>
      </w:pPr>
      <w:r>
        <w:rPr>
          <w:rFonts w:ascii="Georgia" w:hAnsi="Georgia"/>
          <w:b/>
          <w:color w:val="3D5566"/>
          <w:sz w:val="22"/>
        </w:rPr>
        <w:t xml:space="preserve">C.4 Challenge</w:t>
      </w:r>
    </w:p>
    <w:p>
      <w:pPr>
        <w:spacing w:before="0" w:after="140" w:line="252" w:lineRule="auto"/>
        <w:jc w:val="both"/>
      </w:pPr>
      <w:r>
        <w:rPr>
          <w:rFonts w:ascii="Georgia" w:hAnsi="Georgia"/>
          <w:color w:val="1E2A32"/>
          <w:sz w:val="21"/>
        </w:rPr>
        <w:t xml:space="preserve">A Principal Party challenges a determination within 72 hours of publication, in writing, stating the measurement disputed. The challenge routes to the technical panel procedure of Article 29.3 on an expedited seven-day track. The Escalator effect of the determination holds pending the panel, and a successful challenge corrects the record and the Control Weight register retroactively.</w:t>
      </w:r>
    </w:p>
    <w:p>
      <w:pPr>
        <w:pStyle w:val="Heading2"/>
        <w:pageBreakBefore/>
      </w:pPr>
      <w:bookmarkStart w:id="1048" w:name="_Toc260001048"/>
      <w:r>
        <w:rPr>
          <w:rFonts w:ascii="Georgia" w:hAnsi="Georgia"/>
          <w:b/>
          <w:color w:val="2F4858"/>
          <w:sz w:val="25"/>
        </w:rPr>
        <w:t xml:space="preserve">Annex D: Escalator Event and Demerit Schedule</w:t>
      </w:r>
      <w:bookmarkEnd w:id="1048"/>
    </w:p>
    <w:p>
      <w:pPr>
        <w:pStyle w:val="Heading3"/>
      </w:pPr>
      <w:r>
        <w:rPr>
          <w:rFonts w:ascii="Georgia" w:hAnsi="Georgia"/>
          <w:b/>
          <w:color w:val="3D5566"/>
          <w:sz w:val="22"/>
        </w:rPr>
        <w:t xml:space="preserve">D.1 Event Classification Table</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1805"/>
        <w:gridCol w:w="1805"/>
        <w:gridCol w:w="1805"/>
        <w:gridCol w:w="1805"/>
        <w:gridCol w:w="1805"/>
      </w:tblGrid>
      <w:tr>
        <w:trPr>
          <w:tblHeader/>
        </w:trPr>
        <w:tc>
          <w:tcPr>
            <w:tcW w:w="1805" w:type="dxa"/>
            <w:shd w:val="clear" w:fill="E4EAEE"/>
          </w:tcPr>
          <w:p>
            <w:pPr>
              <w:spacing w:after="20" w:line="240" w:lineRule="auto"/>
              <w:jc w:val="left"/>
            </w:pPr>
            <w:r>
              <w:rPr>
                <w:rFonts w:ascii="Georgia" w:hAnsi="Georgia"/>
                <w:b/>
                <w:color w:val="2F4858"/>
                <w:sz w:val="18"/>
              </w:rPr>
              <w:t xml:space="preserve">Code</w:t>
            </w:r>
          </w:p>
        </w:tc>
        <w:tc>
          <w:tcPr>
            <w:tcW w:w="1805" w:type="dxa"/>
            <w:shd w:val="clear" w:fill="E4EAEE"/>
          </w:tcPr>
          <w:p>
            <w:pPr>
              <w:spacing w:after="20" w:line="240" w:lineRule="auto"/>
              <w:jc w:val="left"/>
            </w:pPr>
            <w:r>
              <w:rPr>
                <w:rFonts w:ascii="Georgia" w:hAnsi="Georgia"/>
                <w:b/>
                <w:color w:val="2F4858"/>
                <w:sz w:val="18"/>
              </w:rPr>
              <w:t xml:space="preserve">Event</w:t>
            </w:r>
          </w:p>
        </w:tc>
        <w:tc>
          <w:tcPr>
            <w:tcW w:w="1805" w:type="dxa"/>
            <w:shd w:val="clear" w:fill="E4EAEE"/>
          </w:tcPr>
          <w:p>
            <w:pPr>
              <w:spacing w:after="20" w:line="240" w:lineRule="auto"/>
              <w:jc w:val="left"/>
            </w:pPr>
            <w:r>
              <w:rPr>
                <w:rFonts w:ascii="Georgia" w:hAnsi="Georgia"/>
                <w:b/>
                <w:color w:val="2F4858"/>
                <w:sz w:val="18"/>
              </w:rPr>
              <w:t xml:space="preserve">Telemetry Signature</w:t>
            </w:r>
          </w:p>
        </w:tc>
        <w:tc>
          <w:tcPr>
            <w:tcW w:w="1805" w:type="dxa"/>
            <w:shd w:val="clear" w:fill="E4EAEE"/>
          </w:tcPr>
          <w:p>
            <w:pPr>
              <w:spacing w:after="20" w:line="240" w:lineRule="auto"/>
              <w:jc w:val="left"/>
            </w:pPr>
            <w:r>
              <w:rPr>
                <w:rFonts w:ascii="Georgia" w:hAnsi="Georgia"/>
                <w:b/>
                <w:color w:val="2F4858"/>
                <w:sz w:val="18"/>
              </w:rPr>
              <w:t xml:space="preserve">Demerit Points</w:t>
            </w:r>
          </w:p>
        </w:tc>
        <w:tc>
          <w:tcPr>
            <w:tcW w:w="1805" w:type="dxa"/>
            <w:shd w:val="clear" w:fill="E4EAEE"/>
          </w:tcPr>
          <w:p>
            <w:pPr>
              <w:spacing w:after="20" w:line="240" w:lineRule="auto"/>
              <w:jc w:val="left"/>
            </w:pPr>
            <w:r>
              <w:rPr>
                <w:rFonts w:ascii="Georgia" w:hAnsi="Georgia"/>
                <w:b/>
                <w:color w:val="2F4858"/>
                <w:sz w:val="18"/>
              </w:rPr>
              <w:t xml:space="preserve">Escalator Effect</w:t>
            </w:r>
          </w:p>
        </w:tc>
      </w:tr>
      <w:tr>
        <w:tc>
          <w:tcPr>
            <w:tcW w:w="1805" w:type="dxa"/>
          </w:tcPr>
          <w:p>
            <w:pPr>
              <w:spacing w:after="20" w:line="240" w:lineRule="auto"/>
              <w:jc w:val="left"/>
            </w:pPr>
            <w:r>
              <w:rPr>
                <w:rFonts w:ascii="Georgia" w:hAnsi="Georgia"/>
                <w:color w:val="1E2A32"/>
                <w:sz w:val="18"/>
              </w:rPr>
              <w:t xml:space="preserve">E-0</w:t>
            </w:r>
          </w:p>
        </w:tc>
        <w:tc>
          <w:tcPr>
            <w:tcW w:w="1805" w:type="dxa"/>
          </w:tcPr>
          <w:p>
            <w:pPr>
              <w:spacing w:after="20" w:line="240" w:lineRule="auto"/>
              <w:jc w:val="left"/>
            </w:pPr>
            <w:r>
              <w:rPr>
                <w:rFonts w:ascii="Georgia" w:hAnsi="Georgia"/>
                <w:color w:val="1E2A32"/>
                <w:sz w:val="18"/>
              </w:rPr>
              <w:t xml:space="preserve">Clean Week</w:t>
            </w:r>
          </w:p>
        </w:tc>
        <w:tc>
          <w:tcPr>
            <w:tcW w:w="1805" w:type="dxa"/>
          </w:tcPr>
          <w:p>
            <w:pPr>
              <w:spacing w:after="20" w:line="240" w:lineRule="auto"/>
              <w:jc w:val="left"/>
            </w:pPr>
            <w:r>
              <w:rPr>
                <w:rFonts w:ascii="Georgia" w:hAnsi="Georgia"/>
                <w:color w:val="1E2A32"/>
                <w:sz w:val="18"/>
              </w:rPr>
              <w:t xml:space="preserve">All Annex C criteria satisfied</w:t>
            </w:r>
          </w:p>
        </w:tc>
        <w:tc>
          <w:tcPr>
            <w:tcW w:w="1805" w:type="dxa"/>
          </w:tcPr>
          <w:p>
            <w:pPr>
              <w:spacing w:after="20" w:line="240" w:lineRule="auto"/>
              <w:jc w:val="left"/>
            </w:pPr>
            <w:r>
              <w:rPr>
                <w:rFonts w:ascii="Georgia" w:hAnsi="Georgia"/>
                <w:color w:val="1E2A32"/>
                <w:sz w:val="18"/>
              </w:rPr>
              <w:t xml:space="preserve">0</w:t>
            </w:r>
          </w:p>
        </w:tc>
        <w:tc>
          <w:tcPr>
            <w:tcW w:w="1805" w:type="dxa"/>
          </w:tcPr>
          <w:p>
            <w:pPr>
              <w:spacing w:after="20" w:line="240" w:lineRule="auto"/>
              <w:jc w:val="left"/>
            </w:pPr>
            <w:r>
              <w:rPr>
                <w:rFonts w:ascii="Georgia" w:hAnsi="Georgia"/>
                <w:color w:val="1E2A32"/>
                <w:sz w:val="18"/>
              </w:rPr>
              <w:t xml:space="preserve">Plus ten percentage points</w:t>
            </w:r>
          </w:p>
        </w:tc>
      </w:tr>
      <w:tr>
        <w:tc>
          <w:tcPr>
            <w:tcW w:w="1805" w:type="dxa"/>
          </w:tcPr>
          <w:p>
            <w:pPr>
              <w:spacing w:after="20" w:line="240" w:lineRule="auto"/>
              <w:jc w:val="left"/>
            </w:pPr>
            <w:r>
              <w:rPr>
                <w:rFonts w:ascii="Georgia" w:hAnsi="Georgia"/>
                <w:color w:val="1E2A32"/>
                <w:sz w:val="18"/>
              </w:rPr>
              <w:t xml:space="preserve">E-1</w:t>
            </w:r>
          </w:p>
        </w:tc>
        <w:tc>
          <w:tcPr>
            <w:tcW w:w="1805" w:type="dxa"/>
          </w:tcPr>
          <w:p>
            <w:pPr>
              <w:spacing w:after="20" w:line="240" w:lineRule="auto"/>
              <w:jc w:val="left"/>
            </w:pPr>
            <w:r>
              <w:rPr>
                <w:rFonts w:ascii="Georgia" w:hAnsi="Georgia"/>
                <w:color w:val="1E2A32"/>
                <w:sz w:val="18"/>
              </w:rPr>
              <w:t xml:space="preserve">Technical Deviation</w:t>
            </w:r>
          </w:p>
        </w:tc>
        <w:tc>
          <w:tcPr>
            <w:tcW w:w="1805" w:type="dxa"/>
          </w:tcPr>
          <w:p>
            <w:pPr>
              <w:spacing w:after="20" w:line="240" w:lineRule="auto"/>
              <w:jc w:val="left"/>
            </w:pPr>
            <w:r>
              <w:rPr>
                <w:rFonts w:ascii="Georgia" w:hAnsi="Georgia"/>
                <w:color w:val="1E2A32"/>
                <w:sz w:val="18"/>
              </w:rPr>
              <w:t xml:space="preserve">Single criterion failure without vessel impact; isolated hotline lapse; late report</w:t>
            </w:r>
          </w:p>
        </w:tc>
        <w:tc>
          <w:tcPr>
            <w:tcW w:w="1805" w:type="dxa"/>
          </w:tcPr>
          <w:p>
            <w:pPr>
              <w:spacing w:after="20" w:line="240" w:lineRule="auto"/>
              <w:jc w:val="left"/>
            </w:pPr>
            <w:r>
              <w:rPr>
                <w:rFonts w:ascii="Georgia" w:hAnsi="Georgia"/>
                <w:color w:val="1E2A32"/>
                <w:sz w:val="18"/>
              </w:rPr>
              <w:t xml:space="preserve">1</w:t>
            </w:r>
          </w:p>
        </w:tc>
        <w:tc>
          <w:tcPr>
            <w:tcW w:w="1805" w:type="dxa"/>
          </w:tcPr>
          <w:p>
            <w:pPr>
              <w:spacing w:after="20" w:line="240" w:lineRule="auto"/>
              <w:jc w:val="left"/>
            </w:pPr>
            <w:r>
              <w:rPr>
                <w:rFonts w:ascii="Georgia" w:hAnsi="Georgia"/>
                <w:color w:val="1E2A32"/>
                <w:sz w:val="18"/>
              </w:rPr>
              <w:t xml:space="preserve">Pause seven days</w:t>
            </w:r>
          </w:p>
        </w:tc>
      </w:tr>
      <w:tr>
        <w:tc>
          <w:tcPr>
            <w:tcW w:w="1805" w:type="dxa"/>
          </w:tcPr>
          <w:p>
            <w:pPr>
              <w:spacing w:after="20" w:line="240" w:lineRule="auto"/>
              <w:jc w:val="left"/>
            </w:pPr>
            <w:r>
              <w:rPr>
                <w:rFonts w:ascii="Georgia" w:hAnsi="Georgia"/>
                <w:color w:val="1E2A32"/>
                <w:sz w:val="18"/>
              </w:rPr>
              <w:t xml:space="preserve">E-2</w:t>
            </w:r>
          </w:p>
        </w:tc>
        <w:tc>
          <w:tcPr>
            <w:tcW w:w="1805" w:type="dxa"/>
          </w:tcPr>
          <w:p>
            <w:pPr>
              <w:spacing w:after="20" w:line="240" w:lineRule="auto"/>
              <w:jc w:val="left"/>
            </w:pPr>
            <w:r>
              <w:rPr>
                <w:rFonts w:ascii="Georgia" w:hAnsi="Georgia"/>
                <w:color w:val="1E2A32"/>
                <w:sz w:val="18"/>
              </w:rPr>
              <w:t xml:space="preserve">Material Incident</w:t>
            </w:r>
          </w:p>
        </w:tc>
        <w:tc>
          <w:tcPr>
            <w:tcW w:w="1805" w:type="dxa"/>
          </w:tcPr>
          <w:p>
            <w:pPr>
              <w:spacing w:after="20" w:line="240" w:lineRule="auto"/>
              <w:jc w:val="left"/>
            </w:pPr>
            <w:r>
              <w:rPr>
                <w:rFonts w:ascii="Georgia" w:hAnsi="Georgia"/>
                <w:color w:val="1E2A32"/>
                <w:sz w:val="18"/>
              </w:rPr>
              <w:t xml:space="preserve">Unauthorized interaction with a vessel without injury or damage; repeated hotline failure; unlogged interaction; survey obstruction</w:t>
            </w:r>
          </w:p>
        </w:tc>
        <w:tc>
          <w:tcPr>
            <w:tcW w:w="1805" w:type="dxa"/>
          </w:tcPr>
          <w:p>
            <w:pPr>
              <w:spacing w:after="20" w:line="240" w:lineRule="auto"/>
              <w:jc w:val="left"/>
            </w:pPr>
            <w:r>
              <w:rPr>
                <w:rFonts w:ascii="Georgia" w:hAnsi="Georgia"/>
                <w:color w:val="1E2A32"/>
                <w:sz w:val="18"/>
              </w:rPr>
              <w:t xml:space="preserve">3</w:t>
            </w:r>
          </w:p>
        </w:tc>
        <w:tc>
          <w:tcPr>
            <w:tcW w:w="1805" w:type="dxa"/>
          </w:tcPr>
          <w:p>
            <w:pPr>
              <w:spacing w:after="20" w:line="240" w:lineRule="auto"/>
              <w:jc w:val="left"/>
            </w:pPr>
            <w:r>
              <w:rPr>
                <w:rFonts w:ascii="Georgia" w:hAnsi="Georgia"/>
                <w:color w:val="1E2A32"/>
                <w:sz w:val="18"/>
              </w:rPr>
              <w:t xml:space="preserve">Step back one milestone</w:t>
            </w:r>
          </w:p>
        </w:tc>
      </w:tr>
      <w:tr>
        <w:tc>
          <w:tcPr>
            <w:tcW w:w="1805" w:type="dxa"/>
          </w:tcPr>
          <w:p>
            <w:pPr>
              <w:spacing w:after="20" w:line="240" w:lineRule="auto"/>
              <w:jc w:val="left"/>
            </w:pPr>
            <w:r>
              <w:rPr>
                <w:rFonts w:ascii="Georgia" w:hAnsi="Georgia"/>
                <w:color w:val="1E2A32"/>
                <w:sz w:val="18"/>
              </w:rPr>
              <w:t xml:space="preserve">E-3</w:t>
            </w:r>
          </w:p>
        </w:tc>
        <w:tc>
          <w:tcPr>
            <w:tcW w:w="1805" w:type="dxa"/>
          </w:tcPr>
          <w:p>
            <w:pPr>
              <w:spacing w:after="20" w:line="240" w:lineRule="auto"/>
              <w:jc w:val="left"/>
            </w:pPr>
            <w:r>
              <w:rPr>
                <w:rFonts w:ascii="Georgia" w:hAnsi="Georgia"/>
                <w:color w:val="1E2A32"/>
                <w:sz w:val="18"/>
              </w:rPr>
              <w:t xml:space="preserve">Major Incident</w:t>
            </w:r>
          </w:p>
        </w:tc>
        <w:tc>
          <w:tcPr>
            <w:tcW w:w="1805" w:type="dxa"/>
          </w:tcPr>
          <w:p>
            <w:pPr>
              <w:spacing w:after="20" w:line="240" w:lineRule="auto"/>
              <w:jc w:val="left"/>
            </w:pPr>
            <w:r>
              <w:rPr>
                <w:rFonts w:ascii="Georgia" w:hAnsi="Georgia"/>
                <w:color w:val="1E2A32"/>
                <w:sz w:val="18"/>
              </w:rPr>
              <w:t xml:space="preserve">Unauthorized detention exceeding 48 hours; corridor closure exceeding six hours without Twin Key; dangerous interference causing damage</w:t>
            </w:r>
          </w:p>
        </w:tc>
        <w:tc>
          <w:tcPr>
            <w:tcW w:w="1805" w:type="dxa"/>
          </w:tcPr>
          <w:p>
            <w:pPr>
              <w:spacing w:after="20" w:line="240" w:lineRule="auto"/>
              <w:jc w:val="left"/>
            </w:pPr>
            <w:r>
              <w:rPr>
                <w:rFonts w:ascii="Georgia" w:hAnsi="Georgia"/>
                <w:color w:val="1E2A32"/>
                <w:sz w:val="18"/>
              </w:rPr>
              <w:t xml:space="preserve">6</w:t>
            </w:r>
          </w:p>
        </w:tc>
        <w:tc>
          <w:tcPr>
            <w:tcW w:w="1805" w:type="dxa"/>
          </w:tcPr>
          <w:p>
            <w:pPr>
              <w:spacing w:after="20" w:line="240" w:lineRule="auto"/>
              <w:jc w:val="left"/>
            </w:pPr>
            <w:r>
              <w:rPr>
                <w:rFonts w:ascii="Georgia" w:hAnsi="Georgia"/>
                <w:color w:val="1E2A32"/>
                <w:sz w:val="18"/>
              </w:rPr>
              <w:t xml:space="preserve">Reset to baseline or Permanent Floor</w:t>
            </w:r>
          </w:p>
        </w:tc>
      </w:tr>
      <w:tr>
        <w:tc>
          <w:tcPr>
            <w:tcW w:w="1805" w:type="dxa"/>
          </w:tcPr>
          <w:p>
            <w:pPr>
              <w:spacing w:after="20" w:line="240" w:lineRule="auto"/>
              <w:jc w:val="left"/>
            </w:pPr>
            <w:r>
              <w:rPr>
                <w:rFonts w:ascii="Georgia" w:hAnsi="Georgia"/>
                <w:color w:val="1E2A32"/>
                <w:sz w:val="18"/>
              </w:rPr>
              <w:t xml:space="preserve">E-4</w:t>
            </w:r>
          </w:p>
        </w:tc>
        <w:tc>
          <w:tcPr>
            <w:tcW w:w="1805" w:type="dxa"/>
          </w:tcPr>
          <w:p>
            <w:pPr>
              <w:spacing w:after="20" w:line="240" w:lineRule="auto"/>
              <w:jc w:val="left"/>
            </w:pPr>
            <w:r>
              <w:rPr>
                <w:rFonts w:ascii="Georgia" w:hAnsi="Georgia"/>
                <w:color w:val="1E2A32"/>
                <w:sz w:val="18"/>
              </w:rPr>
              <w:t xml:space="preserve">Hostile Attack</w:t>
            </w:r>
          </w:p>
        </w:tc>
        <w:tc>
          <w:tcPr>
            <w:tcW w:w="1805" w:type="dxa"/>
          </w:tcPr>
          <w:p>
            <w:pPr>
              <w:spacing w:after="20" w:line="240" w:lineRule="auto"/>
              <w:jc w:val="left"/>
            </w:pPr>
            <w:r>
              <w:rPr>
                <w:rFonts w:ascii="Georgia" w:hAnsi="Georgia"/>
                <w:color w:val="1E2A32"/>
                <w:sz w:val="18"/>
              </w:rPr>
              <w:t xml:space="preserve">Kinetic action against any vessel or corridor infrastructure by forces attributable to a Party</w:t>
            </w:r>
          </w:p>
        </w:tc>
        <w:tc>
          <w:tcPr>
            <w:tcW w:w="1805" w:type="dxa"/>
          </w:tcPr>
          <w:p>
            <w:pPr>
              <w:spacing w:after="20" w:line="240" w:lineRule="auto"/>
              <w:jc w:val="left"/>
            </w:pPr>
            <w:r>
              <w:rPr>
                <w:rFonts w:ascii="Georgia" w:hAnsi="Georgia"/>
                <w:color w:val="1E2A32"/>
                <w:sz w:val="18"/>
              </w:rPr>
              <w:t xml:space="preserve">12</w:t>
            </w:r>
          </w:p>
        </w:tc>
        <w:tc>
          <w:tcPr>
            <w:tcW w:w="1805" w:type="dxa"/>
          </w:tcPr>
          <w:p>
            <w:pPr>
              <w:spacing w:after="20" w:line="240" w:lineRule="auto"/>
              <w:jc w:val="left"/>
            </w:pPr>
            <w:r>
              <w:rPr>
                <w:rFonts w:ascii="Georgia" w:hAnsi="Georgia"/>
                <w:color w:val="1E2A32"/>
                <w:sz w:val="18"/>
              </w:rPr>
              <w:t xml:space="preserve">Reset to baseline or Permanent Floor; extraordinary Council session</w:t>
            </w:r>
          </w:p>
        </w:tc>
      </w:tr>
    </w:tbl>
    <w:p>
      <w:pPr>
        <w:spacing w:after="120"/>
      </w:pPr>
    </w:p>
    <w:p>
      <w:pPr>
        <w:pStyle w:val="Heading3"/>
      </w:pPr>
      <w:r>
        <w:rPr>
          <w:rFonts w:ascii="Georgia" w:hAnsi="Georgia"/>
          <w:b/>
          <w:color w:val="3D5566"/>
          <w:sz w:val="22"/>
        </w:rPr>
        <w:t xml:space="preserve">D.2 Demerit Point Rules</w:t>
      </w:r>
    </w:p>
    <w:p>
      <w:pPr>
        <w:spacing w:before="0" w:after="140" w:line="252" w:lineRule="auto"/>
        <w:jc w:val="both"/>
      </w:pPr>
      <w:r>
        <w:rPr>
          <w:rFonts w:ascii="Georgia" w:hAnsi="Georgia"/>
          <w:color w:val="1E2A32"/>
          <w:sz w:val="21"/>
        </w:rPr>
        <w:t xml:space="preserve">Points accrue upon verified classification, publish immediately, and expire automatically 180 days after assessment if the record stays clean in that window. A single occurrence assesses under one category only, the most severe applicable. Continuing occurrences assess once, on the first day, with duration reflected in the step-back consequence rather than in additional points.</w:t>
      </w:r>
    </w:p>
    <w:p>
      <w:pPr>
        <w:pStyle w:val="Heading3"/>
      </w:pPr>
      <w:r>
        <w:rPr>
          <w:rFonts w:ascii="Georgia" w:hAnsi="Georgia"/>
          <w:b/>
          <w:color w:val="3D5566"/>
          <w:sz w:val="22"/>
        </w:rPr>
        <w:t xml:space="preserve">D.3 Accumulation Thresholds</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4513"/>
        <w:gridCol w:w="4513"/>
      </w:tblGrid>
      <w:tr>
        <w:trPr>
          <w:tblHeader/>
        </w:trPr>
        <w:tc>
          <w:tcPr>
            <w:tcW w:w="4513" w:type="dxa"/>
            <w:shd w:val="clear" w:fill="E4EAEE"/>
          </w:tcPr>
          <w:p>
            <w:pPr>
              <w:spacing w:after="20" w:line="240" w:lineRule="auto"/>
              <w:jc w:val="left"/>
            </w:pPr>
            <w:r>
              <w:rPr>
                <w:rFonts w:ascii="Georgia" w:hAnsi="Georgia"/>
                <w:b/>
                <w:color w:val="2F4858"/>
                <w:sz w:val="18"/>
              </w:rPr>
              <w:t xml:space="preserve">Active Points</w:t>
            </w:r>
          </w:p>
        </w:tc>
        <w:tc>
          <w:tcPr>
            <w:tcW w:w="4513" w:type="dxa"/>
            <w:shd w:val="clear" w:fill="E4EAEE"/>
          </w:tcPr>
          <w:p>
            <w:pPr>
              <w:spacing w:after="20" w:line="240" w:lineRule="auto"/>
              <w:jc w:val="left"/>
            </w:pPr>
            <w:r>
              <w:rPr>
                <w:rFonts w:ascii="Georgia" w:hAnsi="Georgia"/>
                <w:b/>
                <w:color w:val="2F4858"/>
                <w:sz w:val="18"/>
              </w:rPr>
              <w:t xml:space="preserve">Consequence</w:t>
            </w:r>
          </w:p>
        </w:tc>
      </w:tr>
      <w:tr>
        <w:tc>
          <w:tcPr>
            <w:tcW w:w="4513" w:type="dxa"/>
          </w:tcPr>
          <w:p>
            <w:pPr>
              <w:spacing w:after="20" w:line="240" w:lineRule="auto"/>
              <w:jc w:val="left"/>
            </w:pPr>
            <w:r>
              <w:rPr>
                <w:rFonts w:ascii="Georgia" w:hAnsi="Georgia"/>
                <w:color w:val="1E2A32"/>
                <w:sz w:val="18"/>
              </w:rPr>
              <w:t xml:space="preserve">0 to 4</w:t>
            </w:r>
          </w:p>
        </w:tc>
        <w:tc>
          <w:tcPr>
            <w:tcW w:w="4513" w:type="dxa"/>
          </w:tcPr>
          <w:p>
            <w:pPr>
              <w:spacing w:after="20" w:line="240" w:lineRule="auto"/>
              <w:jc w:val="left"/>
            </w:pPr>
            <w:r>
              <w:rPr>
                <w:rFonts w:ascii="Georgia" w:hAnsi="Georgia"/>
                <w:color w:val="1E2A32"/>
                <w:sz w:val="18"/>
              </w:rPr>
              <w:t xml:space="preserve">No additional consequence</w:t>
            </w:r>
          </w:p>
        </w:tc>
      </w:tr>
      <w:tr>
        <w:tc>
          <w:tcPr>
            <w:tcW w:w="4513" w:type="dxa"/>
          </w:tcPr>
          <w:p>
            <w:pPr>
              <w:spacing w:after="20" w:line="240" w:lineRule="auto"/>
              <w:jc w:val="left"/>
            </w:pPr>
            <w:r>
              <w:rPr>
                <w:rFonts w:ascii="Georgia" w:hAnsi="Georgia"/>
                <w:color w:val="1E2A32"/>
                <w:sz w:val="18"/>
              </w:rPr>
              <w:t xml:space="preserve">5 to 7</w:t>
            </w:r>
          </w:p>
        </w:tc>
        <w:tc>
          <w:tcPr>
            <w:tcW w:w="4513" w:type="dxa"/>
          </w:tcPr>
          <w:p>
            <w:pPr>
              <w:spacing w:after="20" w:line="240" w:lineRule="auto"/>
              <w:jc w:val="left"/>
            </w:pPr>
            <w:r>
              <w:rPr>
                <w:rFonts w:ascii="Georgia" w:hAnsi="Georgia"/>
                <w:color w:val="1E2A32"/>
                <w:sz w:val="18"/>
              </w:rPr>
              <w:t xml:space="preserve">Formal Council warning, published on the dashboard</w:t>
            </w:r>
          </w:p>
        </w:tc>
      </w:tr>
      <w:tr>
        <w:tc>
          <w:tcPr>
            <w:tcW w:w="4513" w:type="dxa"/>
          </w:tcPr>
          <w:p>
            <w:pPr>
              <w:spacing w:after="20" w:line="240" w:lineRule="auto"/>
              <w:jc w:val="left"/>
            </w:pPr>
            <w:r>
              <w:rPr>
                <w:rFonts w:ascii="Georgia" w:hAnsi="Georgia"/>
                <w:color w:val="1E2A32"/>
                <w:sz w:val="18"/>
              </w:rPr>
              <w:t xml:space="preserve">8 to 11</w:t>
            </w:r>
          </w:p>
        </w:tc>
        <w:tc>
          <w:tcPr>
            <w:tcW w:w="4513" w:type="dxa"/>
          </w:tcPr>
          <w:p>
            <w:pPr>
              <w:spacing w:after="20" w:line="240" w:lineRule="auto"/>
              <w:jc w:val="left"/>
            </w:pPr>
            <w:r>
              <w:rPr>
                <w:rFonts w:ascii="Georgia" w:hAnsi="Georgia"/>
                <w:color w:val="1E2A32"/>
                <w:sz w:val="18"/>
              </w:rPr>
              <w:t xml:space="preserve">RADS distribution to the responsible administrator's share slows to monthly-in-arrears until active points fall below 8</w:t>
            </w:r>
          </w:p>
        </w:tc>
      </w:tr>
      <w:tr>
        <w:tc>
          <w:tcPr>
            <w:tcW w:w="4513" w:type="dxa"/>
          </w:tcPr>
          <w:p>
            <w:pPr>
              <w:spacing w:after="20" w:line="240" w:lineRule="auto"/>
              <w:jc w:val="left"/>
            </w:pPr>
            <w:r>
              <w:rPr>
                <w:rFonts w:ascii="Georgia" w:hAnsi="Georgia"/>
                <w:color w:val="1E2A32"/>
                <w:sz w:val="18"/>
              </w:rPr>
              <w:t xml:space="preserve">12 and above</w:t>
            </w:r>
          </w:p>
        </w:tc>
        <w:tc>
          <w:tcPr>
            <w:tcW w:w="4513" w:type="dxa"/>
          </w:tcPr>
          <w:p>
            <w:pPr>
              <w:spacing w:after="20" w:line="240" w:lineRule="auto"/>
              <w:jc w:val="left"/>
            </w:pPr>
            <w:r>
              <w:rPr>
                <w:rFonts w:ascii="Georgia" w:hAnsi="Georgia"/>
                <w:color w:val="1E2A32"/>
                <w:sz w:val="18"/>
              </w:rPr>
              <w:t xml:space="preserve">The Guarantor Parties convene jointly within 72 hours and determine the architecture-level response, which operates within the limits of Article 10.5 and never touches the Permanent Floor</w:t>
            </w:r>
          </w:p>
        </w:tc>
      </w:tr>
    </w:tbl>
    <w:p>
      <w:pPr>
        <w:spacing w:after="120"/>
      </w:pPr>
    </w:p>
    <w:p>
      <w:pPr>
        <w:pStyle w:val="Heading3"/>
      </w:pPr>
      <w:r>
        <w:rPr>
          <w:rFonts w:ascii="Georgia" w:hAnsi="Georgia"/>
          <w:b/>
          <w:color w:val="3D5566"/>
          <w:sz w:val="22"/>
        </w:rPr>
        <w:t xml:space="preserve">D.4 Challenge and Voiding</w:t>
      </w:r>
    </w:p>
    <w:p>
      <w:pPr>
        <w:spacing w:before="0" w:after="140" w:line="252" w:lineRule="auto"/>
        <w:jc w:val="both"/>
      </w:pPr>
      <w:r>
        <w:rPr>
          <w:rFonts w:ascii="Georgia" w:hAnsi="Georgia"/>
          <w:color w:val="1E2A32"/>
          <w:sz w:val="21"/>
        </w:rPr>
        <w:t xml:space="preserve">A Party opens any point assessment to challenge for 14 days through the Article 29.3 panel. Points remain active during challenge. A successful challenge voids the points retroactively, credits the affected Party with an equivalent Good Conduct Credit value, and reverses any consequence that rested solely on the voided points.</w:t>
      </w:r>
    </w:p>
    <w:p>
      <w:pPr>
        <w:pStyle w:val="Heading3"/>
      </w:pPr>
      <w:r>
        <w:rPr>
          <w:rFonts w:ascii="Georgia" w:hAnsi="Georgia"/>
          <w:b/>
          <w:color w:val="3D5566"/>
          <w:sz w:val="22"/>
        </w:rPr>
        <w:t xml:space="preserve">D.5 False Attribution Guard</w:t>
      </w:r>
    </w:p>
    <w:p>
      <w:pPr>
        <w:spacing w:before="0" w:after="140" w:line="252" w:lineRule="auto"/>
        <w:jc w:val="both"/>
      </w:pPr>
      <w:r>
        <w:rPr>
          <w:rFonts w:ascii="Georgia" w:hAnsi="Georgia"/>
          <w:color w:val="1E2A32"/>
          <w:sz w:val="21"/>
        </w:rPr>
        <w:t xml:space="preserve">Where the forensic finding attributes an occurrence to a third actor, no points assess against any Party, and the occurrence enters the public incident log with its true attribution. Where attribution remains genuinely indeterminate after 30 days, the occurrence logs as unattributed, assesses no points, and pauses the Escalator only where its safety character independently meets the E-1 threshold.</w:t>
      </w:r>
    </w:p>
    <w:p>
      <w:pPr>
        <w:pStyle w:val="Heading2"/>
        <w:pageBreakBefore/>
      </w:pPr>
      <w:bookmarkStart w:id="1049" w:name="_Toc260001049"/>
      <w:r>
        <w:rPr>
          <w:rFonts w:ascii="Georgia" w:hAnsi="Georgia"/>
          <w:b/>
          <w:color w:val="2F4858"/>
          <w:sz w:val="25"/>
        </w:rPr>
        <w:t xml:space="preserve">Annex E: RADS Rate Card and Service Standards</w:t>
      </w:r>
      <w:bookmarkEnd w:id="1049"/>
    </w:p>
    <w:p>
      <w:pPr>
        <w:pStyle w:val="Heading3"/>
      </w:pPr>
      <w:r>
        <w:rPr>
          <w:rFonts w:ascii="Georgia" w:hAnsi="Georgia"/>
          <w:b/>
          <w:color w:val="3D5566"/>
          <w:sz w:val="22"/>
        </w:rPr>
        <w:t xml:space="preserve">E.1 Subscription Tiers and Rates</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1805"/>
        <w:gridCol w:w="1805"/>
        <w:gridCol w:w="1805"/>
        <w:gridCol w:w="1805"/>
        <w:gridCol w:w="1805"/>
      </w:tblGrid>
      <w:tr>
        <w:trPr>
          <w:tblHeader/>
        </w:trPr>
        <w:tc>
          <w:tcPr>
            <w:tcW w:w="1805" w:type="dxa"/>
            <w:shd w:val="clear" w:fill="E4EAEE"/>
          </w:tcPr>
          <w:p>
            <w:pPr>
              <w:spacing w:after="20" w:line="240" w:lineRule="auto"/>
              <w:jc w:val="left"/>
            </w:pPr>
            <w:r>
              <w:rPr>
                <w:rFonts w:ascii="Georgia" w:hAnsi="Georgia"/>
                <w:b/>
                <w:color w:val="2F4858"/>
                <w:sz w:val="18"/>
              </w:rPr>
              <w:t xml:space="preserve">Tier</w:t>
            </w:r>
          </w:p>
        </w:tc>
        <w:tc>
          <w:tcPr>
            <w:tcW w:w="1805" w:type="dxa"/>
            <w:shd w:val="clear" w:fill="E4EAEE"/>
          </w:tcPr>
          <w:p>
            <w:pPr>
              <w:spacing w:after="20" w:line="240" w:lineRule="auto"/>
              <w:jc w:val="left"/>
            </w:pPr>
            <w:r>
              <w:rPr>
                <w:rFonts w:ascii="Georgia" w:hAnsi="Georgia"/>
                <w:b/>
                <w:color w:val="2F4858"/>
                <w:sz w:val="18"/>
              </w:rPr>
              <w:t xml:space="preserve">Vessel Class</w:t>
            </w:r>
          </w:p>
        </w:tc>
        <w:tc>
          <w:tcPr>
            <w:tcW w:w="1805" w:type="dxa"/>
            <w:shd w:val="clear" w:fill="E4EAEE"/>
          </w:tcPr>
          <w:p>
            <w:pPr>
              <w:spacing w:after="20" w:line="240" w:lineRule="auto"/>
              <w:jc w:val="left"/>
            </w:pPr>
            <w:r>
              <w:rPr>
                <w:rFonts w:ascii="Georgia" w:hAnsi="Georgia"/>
                <w:b/>
                <w:color w:val="2F4858"/>
                <w:sz w:val="18"/>
              </w:rPr>
              <w:t xml:space="preserve">Standard Annual Rate (USD)</w:t>
            </w:r>
          </w:p>
        </w:tc>
        <w:tc>
          <w:tcPr>
            <w:tcW w:w="1805" w:type="dxa"/>
            <w:shd w:val="clear" w:fill="E4EAEE"/>
          </w:tcPr>
          <w:p>
            <w:pPr>
              <w:spacing w:after="20" w:line="240" w:lineRule="auto"/>
              <w:jc w:val="left"/>
            </w:pPr>
            <w:r>
              <w:rPr>
                <w:rFonts w:ascii="Georgia" w:hAnsi="Georgia"/>
                <w:b/>
                <w:color w:val="2F4858"/>
                <w:sz w:val="18"/>
              </w:rPr>
              <w:t xml:space="preserve">Pilot Rate (50 percent)</w:t>
            </w:r>
          </w:p>
        </w:tc>
        <w:tc>
          <w:tcPr>
            <w:tcW w:w="1805" w:type="dxa"/>
            <w:shd w:val="clear" w:fill="E4EAEE"/>
          </w:tcPr>
          <w:p>
            <w:pPr>
              <w:spacing w:after="20" w:line="240" w:lineRule="auto"/>
              <w:jc w:val="left"/>
            </w:pPr>
            <w:r>
              <w:rPr>
                <w:rFonts w:ascii="Georgia" w:hAnsi="Georgia"/>
                <w:b/>
                <w:color w:val="2F4858"/>
                <w:sz w:val="18"/>
              </w:rPr>
              <w:t xml:space="preserve">Per-Transit Dossier (non-subscribers)</w:t>
            </w:r>
          </w:p>
        </w:tc>
      </w:tr>
      <w:tr>
        <w:tc>
          <w:tcPr>
            <w:tcW w:w="1805" w:type="dxa"/>
          </w:tcPr>
          <w:p>
            <w:pPr>
              <w:spacing w:after="20" w:line="240" w:lineRule="auto"/>
              <w:jc w:val="left"/>
            </w:pPr>
            <w:r>
              <w:rPr>
                <w:rFonts w:ascii="Georgia" w:hAnsi="Georgia"/>
                <w:color w:val="1E2A32"/>
                <w:sz w:val="18"/>
              </w:rPr>
              <w:t xml:space="preserve">T-1</w:t>
            </w:r>
          </w:p>
        </w:tc>
        <w:tc>
          <w:tcPr>
            <w:tcW w:w="1805" w:type="dxa"/>
          </w:tcPr>
          <w:p>
            <w:pPr>
              <w:spacing w:after="20" w:line="240" w:lineRule="auto"/>
              <w:jc w:val="left"/>
            </w:pPr>
            <w:r>
              <w:rPr>
                <w:rFonts w:ascii="Georgia" w:hAnsi="Georgia"/>
                <w:color w:val="1E2A32"/>
                <w:sz w:val="18"/>
              </w:rPr>
              <w:t xml:space="preserve">VLCC and ULCC</w:t>
            </w:r>
          </w:p>
        </w:tc>
        <w:tc>
          <w:tcPr>
            <w:tcW w:w="1805" w:type="dxa"/>
          </w:tcPr>
          <w:p>
            <w:pPr>
              <w:spacing w:after="20" w:line="240" w:lineRule="auto"/>
              <w:jc w:val="left"/>
            </w:pPr>
            <w:r>
              <w:rPr>
                <w:rFonts w:ascii="Georgia" w:hAnsi="Georgia"/>
                <w:color w:val="1E2A32"/>
                <w:sz w:val="18"/>
              </w:rPr>
              <w:t xml:space="preserve">180,000 per vessel</w:t>
            </w:r>
          </w:p>
        </w:tc>
        <w:tc>
          <w:tcPr>
            <w:tcW w:w="1805" w:type="dxa"/>
          </w:tcPr>
          <w:p>
            <w:pPr>
              <w:spacing w:after="20" w:line="240" w:lineRule="auto"/>
              <w:jc w:val="left"/>
            </w:pPr>
            <w:r>
              <w:rPr>
                <w:rFonts w:ascii="Georgia" w:hAnsi="Georgia"/>
                <w:color w:val="1E2A32"/>
                <w:sz w:val="18"/>
              </w:rPr>
              <w:t xml:space="preserve">90,000</w:t>
            </w:r>
          </w:p>
        </w:tc>
        <w:tc>
          <w:tcPr>
            <w:tcW w:w="1805" w:type="dxa"/>
          </w:tcPr>
          <w:p>
            <w:pPr>
              <w:spacing w:after="20" w:line="240" w:lineRule="auto"/>
              <w:jc w:val="left"/>
            </w:pPr>
            <w:r>
              <w:rPr>
                <w:rFonts w:ascii="Georgia" w:hAnsi="Georgia"/>
                <w:color w:val="1E2A32"/>
                <w:sz w:val="18"/>
              </w:rPr>
              <w:t xml:space="preserve">9,500 per transit</w:t>
            </w:r>
          </w:p>
        </w:tc>
      </w:tr>
      <w:tr>
        <w:tc>
          <w:tcPr>
            <w:tcW w:w="1805" w:type="dxa"/>
          </w:tcPr>
          <w:p>
            <w:pPr>
              <w:spacing w:after="20" w:line="240" w:lineRule="auto"/>
              <w:jc w:val="left"/>
            </w:pPr>
            <w:r>
              <w:rPr>
                <w:rFonts w:ascii="Georgia" w:hAnsi="Georgia"/>
                <w:color w:val="1E2A32"/>
                <w:sz w:val="18"/>
              </w:rPr>
              <w:t xml:space="preserve">T-2</w:t>
            </w:r>
          </w:p>
        </w:tc>
        <w:tc>
          <w:tcPr>
            <w:tcW w:w="1805" w:type="dxa"/>
          </w:tcPr>
          <w:p>
            <w:pPr>
              <w:spacing w:after="20" w:line="240" w:lineRule="auto"/>
              <w:jc w:val="left"/>
            </w:pPr>
            <w:r>
              <w:rPr>
                <w:rFonts w:ascii="Georgia" w:hAnsi="Georgia"/>
                <w:color w:val="1E2A32"/>
                <w:sz w:val="18"/>
              </w:rPr>
              <w:t xml:space="preserve">Suezmax, LNG and LPG carriers</w:t>
            </w:r>
          </w:p>
        </w:tc>
        <w:tc>
          <w:tcPr>
            <w:tcW w:w="1805" w:type="dxa"/>
          </w:tcPr>
          <w:p>
            <w:pPr>
              <w:spacing w:after="20" w:line="240" w:lineRule="auto"/>
              <w:jc w:val="left"/>
            </w:pPr>
            <w:r>
              <w:rPr>
                <w:rFonts w:ascii="Georgia" w:hAnsi="Georgia"/>
                <w:color w:val="1E2A32"/>
                <w:sz w:val="18"/>
              </w:rPr>
              <w:t xml:space="preserve">130,000 per vessel</w:t>
            </w:r>
          </w:p>
        </w:tc>
        <w:tc>
          <w:tcPr>
            <w:tcW w:w="1805" w:type="dxa"/>
          </w:tcPr>
          <w:p>
            <w:pPr>
              <w:spacing w:after="20" w:line="240" w:lineRule="auto"/>
              <w:jc w:val="left"/>
            </w:pPr>
            <w:r>
              <w:rPr>
                <w:rFonts w:ascii="Georgia" w:hAnsi="Georgia"/>
                <w:color w:val="1E2A32"/>
                <w:sz w:val="18"/>
              </w:rPr>
              <w:t xml:space="preserve">65,000</w:t>
            </w:r>
          </w:p>
        </w:tc>
        <w:tc>
          <w:tcPr>
            <w:tcW w:w="1805" w:type="dxa"/>
          </w:tcPr>
          <w:p>
            <w:pPr>
              <w:spacing w:after="20" w:line="240" w:lineRule="auto"/>
              <w:jc w:val="left"/>
            </w:pPr>
            <w:r>
              <w:rPr>
                <w:rFonts w:ascii="Georgia" w:hAnsi="Georgia"/>
                <w:color w:val="1E2A32"/>
                <w:sz w:val="18"/>
              </w:rPr>
              <w:t xml:space="preserve">7,000 per transit</w:t>
            </w:r>
          </w:p>
        </w:tc>
      </w:tr>
      <w:tr>
        <w:tc>
          <w:tcPr>
            <w:tcW w:w="1805" w:type="dxa"/>
          </w:tcPr>
          <w:p>
            <w:pPr>
              <w:spacing w:after="20" w:line="240" w:lineRule="auto"/>
              <w:jc w:val="left"/>
            </w:pPr>
            <w:r>
              <w:rPr>
                <w:rFonts w:ascii="Georgia" w:hAnsi="Georgia"/>
                <w:color w:val="1E2A32"/>
                <w:sz w:val="18"/>
              </w:rPr>
              <w:t xml:space="preserve">T-3</w:t>
            </w:r>
          </w:p>
        </w:tc>
        <w:tc>
          <w:tcPr>
            <w:tcW w:w="1805" w:type="dxa"/>
          </w:tcPr>
          <w:p>
            <w:pPr>
              <w:spacing w:after="20" w:line="240" w:lineRule="auto"/>
              <w:jc w:val="left"/>
            </w:pPr>
            <w:r>
              <w:rPr>
                <w:rFonts w:ascii="Georgia" w:hAnsi="Georgia"/>
                <w:color w:val="1E2A32"/>
                <w:sz w:val="18"/>
              </w:rPr>
              <w:t xml:space="preserve">Aframax, large bulk and container</w:t>
            </w:r>
          </w:p>
        </w:tc>
        <w:tc>
          <w:tcPr>
            <w:tcW w:w="1805" w:type="dxa"/>
          </w:tcPr>
          <w:p>
            <w:pPr>
              <w:spacing w:after="20" w:line="240" w:lineRule="auto"/>
              <w:jc w:val="left"/>
            </w:pPr>
            <w:r>
              <w:rPr>
                <w:rFonts w:ascii="Georgia" w:hAnsi="Georgia"/>
                <w:color w:val="1E2A32"/>
                <w:sz w:val="18"/>
              </w:rPr>
              <w:t xml:space="preserve">85,000 per vessel</w:t>
            </w:r>
          </w:p>
        </w:tc>
        <w:tc>
          <w:tcPr>
            <w:tcW w:w="1805" w:type="dxa"/>
          </w:tcPr>
          <w:p>
            <w:pPr>
              <w:spacing w:after="20" w:line="240" w:lineRule="auto"/>
              <w:jc w:val="left"/>
            </w:pPr>
            <w:r>
              <w:rPr>
                <w:rFonts w:ascii="Georgia" w:hAnsi="Georgia"/>
                <w:color w:val="1E2A32"/>
                <w:sz w:val="18"/>
              </w:rPr>
              <w:t xml:space="preserve">42,500</w:t>
            </w:r>
          </w:p>
        </w:tc>
        <w:tc>
          <w:tcPr>
            <w:tcW w:w="1805" w:type="dxa"/>
          </w:tcPr>
          <w:p>
            <w:pPr>
              <w:spacing w:after="20" w:line="240" w:lineRule="auto"/>
              <w:jc w:val="left"/>
            </w:pPr>
            <w:r>
              <w:rPr>
                <w:rFonts w:ascii="Georgia" w:hAnsi="Georgia"/>
                <w:color w:val="1E2A32"/>
                <w:sz w:val="18"/>
              </w:rPr>
              <w:t xml:space="preserve">4,800 per transit</w:t>
            </w:r>
          </w:p>
        </w:tc>
      </w:tr>
      <w:tr>
        <w:tc>
          <w:tcPr>
            <w:tcW w:w="1805" w:type="dxa"/>
          </w:tcPr>
          <w:p>
            <w:pPr>
              <w:spacing w:after="20" w:line="240" w:lineRule="auto"/>
              <w:jc w:val="left"/>
            </w:pPr>
            <w:r>
              <w:rPr>
                <w:rFonts w:ascii="Georgia" w:hAnsi="Georgia"/>
                <w:color w:val="1E2A32"/>
                <w:sz w:val="18"/>
              </w:rPr>
              <w:t xml:space="preserve">T-4</w:t>
            </w:r>
          </w:p>
        </w:tc>
        <w:tc>
          <w:tcPr>
            <w:tcW w:w="1805" w:type="dxa"/>
          </w:tcPr>
          <w:p>
            <w:pPr>
              <w:spacing w:after="20" w:line="240" w:lineRule="auto"/>
              <w:jc w:val="left"/>
            </w:pPr>
            <w:r>
              <w:rPr>
                <w:rFonts w:ascii="Georgia" w:hAnsi="Georgia"/>
                <w:color w:val="1E2A32"/>
                <w:sz w:val="18"/>
              </w:rPr>
              <w:t xml:space="preserve">Product tanker, medium bulk and container</w:t>
            </w:r>
          </w:p>
        </w:tc>
        <w:tc>
          <w:tcPr>
            <w:tcW w:w="1805" w:type="dxa"/>
          </w:tcPr>
          <w:p>
            <w:pPr>
              <w:spacing w:after="20" w:line="240" w:lineRule="auto"/>
              <w:jc w:val="left"/>
            </w:pPr>
            <w:r>
              <w:rPr>
                <w:rFonts w:ascii="Georgia" w:hAnsi="Georgia"/>
                <w:color w:val="1E2A32"/>
                <w:sz w:val="18"/>
              </w:rPr>
              <w:t xml:space="preserve">50,000 per vessel</w:t>
            </w:r>
          </w:p>
        </w:tc>
        <w:tc>
          <w:tcPr>
            <w:tcW w:w="1805" w:type="dxa"/>
          </w:tcPr>
          <w:p>
            <w:pPr>
              <w:spacing w:after="20" w:line="240" w:lineRule="auto"/>
              <w:jc w:val="left"/>
            </w:pPr>
            <w:r>
              <w:rPr>
                <w:rFonts w:ascii="Georgia" w:hAnsi="Georgia"/>
                <w:color w:val="1E2A32"/>
                <w:sz w:val="18"/>
              </w:rPr>
              <w:t xml:space="preserve">25,000</w:t>
            </w:r>
          </w:p>
        </w:tc>
        <w:tc>
          <w:tcPr>
            <w:tcW w:w="1805" w:type="dxa"/>
          </w:tcPr>
          <w:p>
            <w:pPr>
              <w:spacing w:after="20" w:line="240" w:lineRule="auto"/>
              <w:jc w:val="left"/>
            </w:pPr>
            <w:r>
              <w:rPr>
                <w:rFonts w:ascii="Georgia" w:hAnsi="Georgia"/>
                <w:color w:val="1E2A32"/>
                <w:sz w:val="18"/>
              </w:rPr>
              <w:t xml:space="preserve">2,900 per transit</w:t>
            </w:r>
          </w:p>
        </w:tc>
      </w:tr>
      <w:tr>
        <w:tc>
          <w:tcPr>
            <w:tcW w:w="1805" w:type="dxa"/>
          </w:tcPr>
          <w:p>
            <w:pPr>
              <w:spacing w:after="20" w:line="240" w:lineRule="auto"/>
              <w:jc w:val="left"/>
            </w:pPr>
            <w:r>
              <w:rPr>
                <w:rFonts w:ascii="Georgia" w:hAnsi="Georgia"/>
                <w:color w:val="1E2A32"/>
                <w:sz w:val="18"/>
              </w:rPr>
              <w:t xml:space="preserve">T-5</w:t>
            </w:r>
          </w:p>
        </w:tc>
        <w:tc>
          <w:tcPr>
            <w:tcW w:w="1805" w:type="dxa"/>
          </w:tcPr>
          <w:p>
            <w:pPr>
              <w:spacing w:after="20" w:line="240" w:lineRule="auto"/>
              <w:jc w:val="left"/>
            </w:pPr>
            <w:r>
              <w:rPr>
                <w:rFonts w:ascii="Georgia" w:hAnsi="Georgia"/>
                <w:color w:val="1E2A32"/>
                <w:sz w:val="18"/>
              </w:rPr>
              <w:t xml:space="preserve">All other commercial vessels</w:t>
            </w:r>
          </w:p>
        </w:tc>
        <w:tc>
          <w:tcPr>
            <w:tcW w:w="1805" w:type="dxa"/>
          </w:tcPr>
          <w:p>
            <w:pPr>
              <w:spacing w:after="20" w:line="240" w:lineRule="auto"/>
              <w:jc w:val="left"/>
            </w:pPr>
            <w:r>
              <w:rPr>
                <w:rFonts w:ascii="Georgia" w:hAnsi="Georgia"/>
                <w:color w:val="1E2A32"/>
                <w:sz w:val="18"/>
              </w:rPr>
              <w:t xml:space="preserve">22,000 per vessel</w:t>
            </w:r>
          </w:p>
        </w:tc>
        <w:tc>
          <w:tcPr>
            <w:tcW w:w="1805" w:type="dxa"/>
          </w:tcPr>
          <w:p>
            <w:pPr>
              <w:spacing w:after="20" w:line="240" w:lineRule="auto"/>
              <w:jc w:val="left"/>
            </w:pPr>
            <w:r>
              <w:rPr>
                <w:rFonts w:ascii="Georgia" w:hAnsi="Georgia"/>
                <w:color w:val="1E2A32"/>
                <w:sz w:val="18"/>
              </w:rPr>
              <w:t xml:space="preserve">11,000</w:t>
            </w:r>
          </w:p>
        </w:tc>
        <w:tc>
          <w:tcPr>
            <w:tcW w:w="1805" w:type="dxa"/>
          </w:tcPr>
          <w:p>
            <w:pPr>
              <w:spacing w:after="20" w:line="240" w:lineRule="auto"/>
              <w:jc w:val="left"/>
            </w:pPr>
            <w:r>
              <w:rPr>
                <w:rFonts w:ascii="Georgia" w:hAnsi="Georgia"/>
                <w:color w:val="1E2A32"/>
                <w:sz w:val="18"/>
              </w:rPr>
              <w:t xml:space="preserve">1,400 per transit</w:t>
            </w:r>
          </w:p>
        </w:tc>
      </w:tr>
    </w:tbl>
    <w:p>
      <w:pPr>
        <w:spacing w:after="120"/>
      </w:pPr>
    </w:p>
    <w:p>
      <w:pPr>
        <w:pStyle w:val="Heading3"/>
      </w:pPr>
      <w:r>
        <w:rPr>
          <w:rFonts w:ascii="Georgia" w:hAnsi="Georgia"/>
          <w:b/>
          <w:color w:val="3D5566"/>
          <w:sz w:val="22"/>
        </w:rPr>
        <w:t xml:space="preserve">E.2 Heavy-User Cap</w:t>
      </w:r>
    </w:p>
    <w:p>
      <w:pPr>
        <w:spacing w:before="0" w:after="140" w:line="252" w:lineRule="auto"/>
        <w:jc w:val="both"/>
      </w:pPr>
      <w:r>
        <w:rPr>
          <w:rFonts w:ascii="Georgia" w:hAnsi="Georgia"/>
          <w:color w:val="1E2A32"/>
          <w:sz w:val="21"/>
        </w:rPr>
        <w:t xml:space="preserve">No operator's aggregate annual RADS charges exceed 4,000,000 USD regardless of fleet size. The cap publishes, applies identically to every operator, and adjusts only through the annual rate review of E.7.</w:t>
      </w:r>
    </w:p>
    <w:p>
      <w:pPr>
        <w:pStyle w:val="Heading3"/>
      </w:pPr>
      <w:r>
        <w:rPr>
          <w:rFonts w:ascii="Georgia" w:hAnsi="Georgia"/>
          <w:b/>
          <w:color w:val="3D5566"/>
          <w:sz w:val="22"/>
        </w:rPr>
        <w:t xml:space="preserve">E.3 What the Subscription Buys</w:t>
      </w:r>
    </w:p>
    <w:p>
      <w:pPr>
        <w:spacing w:before="0" w:after="140" w:line="252" w:lineRule="auto"/>
        <w:jc w:val="both"/>
      </w:pPr>
      <w:r>
        <w:rPr>
          <w:rFonts w:ascii="Georgia" w:hAnsi="Georgia"/>
          <w:color w:val="1E2A32"/>
          <w:sz w:val="21"/>
        </w:rPr>
        <w:t xml:space="preserve">Each subscription covers: six-hourly certified corridor status reports; the current routing guidance package; residual-risk certifications; priority emergency diversion routing; the vessel-specific transit dossier in the underwriter format; and post-transit certification. Non-subscribers receive the public minimum data set: corridor open or closed status, the published routing guidance, and emergency broadcasts.</w:t>
      </w:r>
    </w:p>
    <w:p>
      <w:pPr>
        <w:pStyle w:val="Heading3"/>
      </w:pPr>
      <w:r>
        <w:rPr>
          <w:rFonts w:ascii="Georgia" w:hAnsi="Georgia"/>
          <w:b/>
          <w:color w:val="3D5566"/>
          <w:sz w:val="22"/>
        </w:rPr>
        <w:t xml:space="preserve">E.4 Service Standards and Response Times</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4513"/>
        <w:gridCol w:w="4513"/>
      </w:tblGrid>
      <w:tr>
        <w:trPr>
          <w:tblHeader/>
        </w:trPr>
        <w:tc>
          <w:tcPr>
            <w:tcW w:w="4513" w:type="dxa"/>
            <w:shd w:val="clear" w:fill="E4EAEE"/>
          </w:tcPr>
          <w:p>
            <w:pPr>
              <w:spacing w:after="20" w:line="240" w:lineRule="auto"/>
              <w:jc w:val="left"/>
            </w:pPr>
            <w:r>
              <w:rPr>
                <w:rFonts w:ascii="Georgia" w:hAnsi="Georgia"/>
                <w:b/>
                <w:color w:val="2F4858"/>
                <w:sz w:val="18"/>
              </w:rPr>
              <w:t xml:space="preserve">Indicator</w:t>
            </w:r>
          </w:p>
        </w:tc>
        <w:tc>
          <w:tcPr>
            <w:tcW w:w="4513" w:type="dxa"/>
            <w:shd w:val="clear" w:fill="E4EAEE"/>
          </w:tcPr>
          <w:p>
            <w:pPr>
              <w:spacing w:after="20" w:line="240" w:lineRule="auto"/>
              <w:jc w:val="left"/>
            </w:pPr>
            <w:r>
              <w:rPr>
                <w:rFonts w:ascii="Georgia" w:hAnsi="Georgia"/>
                <w:b/>
                <w:color w:val="2F4858"/>
                <w:sz w:val="18"/>
              </w:rPr>
              <w:t xml:space="preserve">Standard</w:t>
            </w:r>
          </w:p>
        </w:tc>
      </w:tr>
      <w:tr>
        <w:tc>
          <w:tcPr>
            <w:tcW w:w="4513" w:type="dxa"/>
          </w:tcPr>
          <w:p>
            <w:pPr>
              <w:spacing w:after="20" w:line="240" w:lineRule="auto"/>
              <w:jc w:val="left"/>
            </w:pPr>
            <w:r>
              <w:rPr>
                <w:rFonts w:ascii="Georgia" w:hAnsi="Georgia"/>
                <w:color w:val="1E2A32"/>
                <w:sz w:val="18"/>
              </w:rPr>
              <w:t xml:space="preserve">Corridor status report freshness</w:t>
            </w:r>
          </w:p>
        </w:tc>
        <w:tc>
          <w:tcPr>
            <w:tcW w:w="4513" w:type="dxa"/>
          </w:tcPr>
          <w:p>
            <w:pPr>
              <w:spacing w:after="20" w:line="240" w:lineRule="auto"/>
              <w:jc w:val="left"/>
            </w:pPr>
            <w:r>
              <w:rPr>
                <w:rFonts w:ascii="Georgia" w:hAnsi="Georgia"/>
                <w:color w:val="1E2A32"/>
                <w:sz w:val="18"/>
              </w:rPr>
              <w:t xml:space="preserve">Updated every six hours, 100 percent of cycles</w:t>
            </w:r>
          </w:p>
        </w:tc>
      </w:tr>
      <w:tr>
        <w:tc>
          <w:tcPr>
            <w:tcW w:w="4513" w:type="dxa"/>
          </w:tcPr>
          <w:p>
            <w:pPr>
              <w:spacing w:after="20" w:line="240" w:lineRule="auto"/>
              <w:jc w:val="left"/>
            </w:pPr>
            <w:r>
              <w:rPr>
                <w:rFonts w:ascii="Georgia" w:hAnsi="Georgia"/>
                <w:color w:val="1E2A32"/>
                <w:sz w:val="18"/>
              </w:rPr>
              <w:t xml:space="preserve">Routing guidance accuracy</w:t>
            </w:r>
          </w:p>
        </w:tc>
        <w:tc>
          <w:tcPr>
            <w:tcW w:w="4513" w:type="dxa"/>
          </w:tcPr>
          <w:p>
            <w:pPr>
              <w:spacing w:after="20" w:line="240" w:lineRule="auto"/>
              <w:jc w:val="left"/>
            </w:pPr>
            <w:r>
              <w:rPr>
                <w:rFonts w:ascii="Georgia" w:hAnsi="Georgia"/>
                <w:color w:val="1E2A32"/>
                <w:sz w:val="18"/>
              </w:rPr>
              <w:t xml:space="preserve">Zero material errors per quarter</w:t>
            </w:r>
          </w:p>
        </w:tc>
      </w:tr>
      <w:tr>
        <w:tc>
          <w:tcPr>
            <w:tcW w:w="4513" w:type="dxa"/>
          </w:tcPr>
          <w:p>
            <w:pPr>
              <w:spacing w:after="20" w:line="240" w:lineRule="auto"/>
              <w:jc w:val="left"/>
            </w:pPr>
            <w:r>
              <w:rPr>
                <w:rFonts w:ascii="Georgia" w:hAnsi="Georgia"/>
                <w:color w:val="1E2A32"/>
                <w:sz w:val="18"/>
              </w:rPr>
              <w:t xml:space="preserve">Emergency diversion offer</w:t>
            </w:r>
          </w:p>
        </w:tc>
        <w:tc>
          <w:tcPr>
            <w:tcW w:w="4513" w:type="dxa"/>
          </w:tcPr>
          <w:p>
            <w:pPr>
              <w:spacing w:after="20" w:line="240" w:lineRule="auto"/>
              <w:jc w:val="left"/>
            </w:pPr>
            <w:r>
              <w:rPr>
                <w:rFonts w:ascii="Georgia" w:hAnsi="Georgia"/>
                <w:color w:val="1E2A32"/>
                <w:sz w:val="18"/>
              </w:rPr>
              <w:t xml:space="preserve">Within 20 minutes of request</w:t>
            </w:r>
          </w:p>
        </w:tc>
      </w:tr>
      <w:tr>
        <w:tc>
          <w:tcPr>
            <w:tcW w:w="4513" w:type="dxa"/>
          </w:tcPr>
          <w:p>
            <w:pPr>
              <w:spacing w:after="20" w:line="240" w:lineRule="auto"/>
              <w:jc w:val="left"/>
            </w:pPr>
            <w:r>
              <w:rPr>
                <w:rFonts w:ascii="Georgia" w:hAnsi="Georgia"/>
                <w:color w:val="1E2A32"/>
                <w:sz w:val="18"/>
              </w:rPr>
              <w:t xml:space="preserve">Transit dossier delivery</w:t>
            </w:r>
          </w:p>
        </w:tc>
        <w:tc>
          <w:tcPr>
            <w:tcW w:w="4513" w:type="dxa"/>
          </w:tcPr>
          <w:p>
            <w:pPr>
              <w:spacing w:after="20" w:line="240" w:lineRule="auto"/>
              <w:jc w:val="left"/>
            </w:pPr>
            <w:r>
              <w:rPr>
                <w:rFonts w:ascii="Georgia" w:hAnsi="Georgia"/>
                <w:color w:val="1E2A32"/>
                <w:sz w:val="18"/>
              </w:rPr>
              <w:t xml:space="preserve">Within four hours of completed transit</w:t>
            </w:r>
          </w:p>
        </w:tc>
      </w:tr>
      <w:tr>
        <w:tc>
          <w:tcPr>
            <w:tcW w:w="4513" w:type="dxa"/>
          </w:tcPr>
          <w:p>
            <w:pPr>
              <w:spacing w:after="20" w:line="240" w:lineRule="auto"/>
              <w:jc w:val="left"/>
            </w:pPr>
            <w:r>
              <w:rPr>
                <w:rFonts w:ascii="Georgia" w:hAnsi="Georgia"/>
                <w:color w:val="1E2A32"/>
                <w:sz w:val="18"/>
              </w:rPr>
              <w:t xml:space="preserve">Pollution first response</w:t>
            </w:r>
          </w:p>
        </w:tc>
        <w:tc>
          <w:tcPr>
            <w:tcW w:w="4513" w:type="dxa"/>
          </w:tcPr>
          <w:p>
            <w:pPr>
              <w:spacing w:after="20" w:line="240" w:lineRule="auto"/>
              <w:jc w:val="left"/>
            </w:pPr>
            <w:r>
              <w:rPr>
                <w:rFonts w:ascii="Georgia" w:hAnsi="Georgia"/>
                <w:color w:val="1E2A32"/>
                <w:sz w:val="18"/>
              </w:rPr>
              <w:t xml:space="preserve">On scene within two hours inside any corridor</w:t>
            </w:r>
          </w:p>
        </w:tc>
      </w:tr>
      <w:tr>
        <w:tc>
          <w:tcPr>
            <w:tcW w:w="4513" w:type="dxa"/>
          </w:tcPr>
          <w:p>
            <w:pPr>
              <w:spacing w:after="20" w:line="240" w:lineRule="auto"/>
              <w:jc w:val="left"/>
            </w:pPr>
            <w:r>
              <w:rPr>
                <w:rFonts w:ascii="Georgia" w:hAnsi="Georgia"/>
                <w:color w:val="1E2A32"/>
                <w:sz w:val="18"/>
              </w:rPr>
              <w:t xml:space="preserve">Search and rescue coordination</w:t>
            </w:r>
          </w:p>
        </w:tc>
        <w:tc>
          <w:tcPr>
            <w:tcW w:w="4513" w:type="dxa"/>
          </w:tcPr>
          <w:p>
            <w:pPr>
              <w:spacing w:after="20" w:line="240" w:lineRule="auto"/>
              <w:jc w:val="left"/>
            </w:pPr>
            <w:r>
              <w:rPr>
                <w:rFonts w:ascii="Georgia" w:hAnsi="Georgia"/>
                <w:color w:val="1E2A32"/>
                <w:sz w:val="18"/>
              </w:rPr>
              <w:t xml:space="preserve">Continuous, immediate</w:t>
            </w:r>
          </w:p>
        </w:tc>
      </w:tr>
    </w:tbl>
    <w:p>
      <w:pPr>
        <w:spacing w:after="120"/>
      </w:pPr>
    </w:p>
    <w:p>
      <w:pPr>
        <w:pStyle w:val="Heading3"/>
      </w:pPr>
      <w:r>
        <w:rPr>
          <w:rFonts w:ascii="Georgia" w:hAnsi="Georgia"/>
          <w:b/>
          <w:color w:val="3D5566"/>
          <w:sz w:val="22"/>
        </w:rPr>
        <w:t xml:space="preserve">E.5 Environmental Protocol</w:t>
      </w:r>
    </w:p>
    <w:p>
      <w:pPr>
        <w:spacing w:before="0" w:after="140" w:line="252" w:lineRule="auto"/>
        <w:jc w:val="both"/>
      </w:pPr>
      <w:r>
        <w:rPr>
          <w:rFonts w:ascii="Georgia" w:hAnsi="Georgia"/>
          <w:color w:val="1E2A32"/>
          <w:sz w:val="21"/>
        </w:rPr>
        <w:t xml:space="preserve">The corridor administrators operate a joint pollution prevention and response regime: continuous slick monitoring by radar and satellite products; a tiered response stockpile at Bandar Abbas and at the Omani station, cost-shared through the Stewardship Reserve; and a sliding Green Discount on RADS rates for vessels certified to the enhanced emissions standard, set at 10 percent for Tier T-3 and above and 5 percent below. The Green Discount funds from the Stewardship Reserve, never from another Party's share.</w:t>
      </w:r>
    </w:p>
    <w:p>
      <w:pPr>
        <w:pStyle w:val="Heading3"/>
      </w:pPr>
      <w:r>
        <w:rPr>
          <w:rFonts w:ascii="Georgia" w:hAnsi="Georgia"/>
          <w:b/>
          <w:color w:val="3D5566"/>
          <w:sz w:val="22"/>
        </w:rPr>
        <w:t xml:space="preserve">E.6 Settlement</w:t>
      </w:r>
    </w:p>
    <w:p>
      <w:pPr>
        <w:spacing w:before="0" w:after="140" w:line="252" w:lineRule="auto"/>
        <w:jc w:val="both"/>
      </w:pPr>
      <w:r>
        <w:rPr>
          <w:rFonts w:ascii="Georgia" w:hAnsi="Georgia"/>
          <w:color w:val="1E2A32"/>
          <w:sz w:val="21"/>
        </w:rPr>
        <w:t xml:space="preserve">Subscriptions settle annually in advance or quarterly at a 3 percent surcharge. Per-transit dossiers settle within 30 days of transit. All settlement flows through the Hormuz Account under Annex F. Late settlement accrues interest at the published rate and, at 90 days, suspends the defaulting subscriber's dossier service, and only that service.</w:t>
      </w:r>
    </w:p>
    <w:p>
      <w:pPr>
        <w:pStyle w:val="Heading3"/>
      </w:pPr>
      <w:r>
        <w:rPr>
          <w:rFonts w:ascii="Georgia" w:hAnsi="Georgia"/>
          <w:b/>
          <w:color w:val="3D5566"/>
          <w:sz w:val="22"/>
        </w:rPr>
        <w:t xml:space="preserve">E.7 Annual Rate Review</w:t>
      </w:r>
    </w:p>
    <w:p>
      <w:pPr>
        <w:spacing w:before="0" w:after="140" w:line="252" w:lineRule="auto"/>
        <w:jc w:val="both"/>
      </w:pPr>
      <w:r>
        <w:rPr>
          <w:rFonts w:ascii="Georgia" w:hAnsi="Georgia"/>
          <w:color w:val="1E2A32"/>
          <w:sz w:val="21"/>
        </w:rPr>
        <w:t xml:space="preserve">The Council reviews the rate card annually against the Stewardship Reserve's capitalization position, service costs, and the published traffic statistics. Adjustments cap at plus or minus 10 percent per year, adopt under the Twin Key, publish 90 days before effect, and never discriminate among flag states.</w:t>
      </w:r>
    </w:p>
    <w:p>
      <w:pPr>
        <w:pStyle w:val="Heading2"/>
        <w:pageBreakBefore/>
      </w:pPr>
      <w:bookmarkStart w:id="1050" w:name="_Toc260001050"/>
      <w:r>
        <w:rPr>
          <w:rFonts w:ascii="Georgia" w:hAnsi="Georgia"/>
          <w:b/>
          <w:color w:val="2F4858"/>
          <w:sz w:val="25"/>
        </w:rPr>
        <w:t xml:space="preserve">Annex F: Neutral Escrow Operating Rules</w:t>
      </w:r>
      <w:bookmarkEnd w:id="1050"/>
    </w:p>
    <w:p>
      <w:pPr>
        <w:pStyle w:val="Heading3"/>
      </w:pPr>
      <w:r>
        <w:rPr>
          <w:rFonts w:ascii="Georgia" w:hAnsi="Georgia"/>
          <w:b/>
          <w:color w:val="3D5566"/>
          <w:sz w:val="22"/>
        </w:rPr>
        <w:t xml:space="preserve">F.1 Account Structure</w:t>
      </w:r>
    </w:p>
    <w:p>
      <w:pPr>
        <w:spacing w:before="0" w:after="140" w:line="252" w:lineRule="auto"/>
        <w:jc w:val="both"/>
      </w:pPr>
      <w:r>
        <w:rPr>
          <w:rFonts w:ascii="Georgia" w:hAnsi="Georgia"/>
          <w:color w:val="1E2A32"/>
          <w:sz w:val="21"/>
        </w:rPr>
        <w:t xml:space="preserve">The Escrow Administrator maintains: the Hormuz Account (the master settlement account); the Stewardship Reserve sub-account; the Humanitarian and Services Channel sub-account; and the Surety sub-account holding the payment surety bond. The accounts sit with a Swiss facility of international standing, selected by the Escrow Administrator with the concurrence of both Principal Parties.</w:t>
      </w:r>
    </w:p>
    <w:p>
      <w:pPr>
        <w:pStyle w:val="Heading3"/>
      </w:pPr>
      <w:r>
        <w:rPr>
          <w:rFonts w:ascii="Georgia" w:hAnsi="Georgia"/>
          <w:b/>
          <w:color w:val="3D5566"/>
          <w:sz w:val="22"/>
        </w:rPr>
        <w:t xml:space="preserve">F.2 Inbound Screening</w:t>
      </w:r>
    </w:p>
    <w:p>
      <w:pPr>
        <w:spacing w:before="0" w:after="140" w:line="252" w:lineRule="auto"/>
        <w:jc w:val="both"/>
      </w:pPr>
      <w:r>
        <w:rPr>
          <w:rFonts w:ascii="Georgia" w:hAnsi="Georgia"/>
          <w:color w:val="1E2A32"/>
          <w:sz w:val="21"/>
        </w:rPr>
        <w:t xml:space="preserve">Every inbound payment passes dual sanctions screening against the lists of the Guarantor Parties before acceptance. The screening executes within one business day. A payment that fails screening returns to the originator with a written reason code, and the event logs in the published settlement summary without commercial detail.</w:t>
      </w:r>
    </w:p>
    <w:p>
      <w:pPr>
        <w:pStyle w:val="Heading3"/>
      </w:pPr>
      <w:r>
        <w:rPr>
          <w:rFonts w:ascii="Georgia" w:hAnsi="Georgia"/>
          <w:b/>
          <w:color w:val="3D5566"/>
          <w:sz w:val="22"/>
        </w:rPr>
        <w:t xml:space="preserve">F.3 Payment Surety Bond</w:t>
      </w:r>
    </w:p>
    <w:p>
      <w:pPr>
        <w:spacing w:before="0" w:after="140" w:line="252" w:lineRule="auto"/>
        <w:jc w:val="both"/>
      </w:pPr>
      <w:r>
        <w:rPr>
          <w:rFonts w:ascii="Georgia" w:hAnsi="Georgia"/>
          <w:color w:val="1E2A32"/>
          <w:sz w:val="21"/>
        </w:rPr>
        <w:t xml:space="preserve">The Escrow Administrator holds a standing payment surety bond, sized at 120 percent of the trailing 90-day settlement volume, guaranteeing settlement finality for accepted payments. The bond premium funds from the Stewardship Reserve.</w:t>
      </w:r>
    </w:p>
    <w:p>
      <w:pPr>
        <w:pStyle w:val="Heading3"/>
      </w:pPr>
      <w:r>
        <w:rPr>
          <w:rFonts w:ascii="Georgia" w:hAnsi="Georgia"/>
          <w:b/>
          <w:color w:val="3D5566"/>
          <w:sz w:val="22"/>
        </w:rPr>
        <w:t xml:space="preserve">F.4 Distribution Mechanics</w:t>
      </w:r>
    </w:p>
    <w:p>
      <w:pPr>
        <w:spacing w:before="0" w:after="140" w:line="252" w:lineRule="auto"/>
        <w:jc w:val="both"/>
      </w:pPr>
      <w:r>
        <w:rPr>
          <w:rFonts w:ascii="Georgia" w:hAnsi="Georgia"/>
          <w:color w:val="1E2A32"/>
          <w:sz w:val="21"/>
        </w:rPr>
        <w:t xml:space="preserve">Distributions execute on the fifth business day of each month against the Control Weight register as it stands at the prior month's close. Each distribution publishes: gross settlement, screening returns, Reserve allocation, Omani share, Iranian share, and channel routing. The distribution is mechanical: the Administrator applies the register, and no Party issues instructions that alter the arithmetic.</w:t>
      </w:r>
    </w:p>
    <w:p>
      <w:pPr>
        <w:pStyle w:val="Heading3"/>
      </w:pPr>
      <w:r>
        <w:rPr>
          <w:rFonts w:ascii="Georgia" w:hAnsi="Georgia"/>
          <w:b/>
          <w:color w:val="3D5566"/>
          <w:sz w:val="22"/>
        </w:rPr>
        <w:t xml:space="preserve">F.5 The Humanitarian and Services Channel</w:t>
      </w:r>
    </w:p>
    <w:p>
      <w:pPr>
        <w:spacing w:before="0" w:after="140" w:line="252" w:lineRule="auto"/>
        <w:jc w:val="both"/>
      </w:pPr>
      <w:r>
        <w:rPr>
          <w:rFonts w:ascii="Georgia" w:hAnsi="Georgia"/>
          <w:color w:val="1E2A32"/>
          <w:sz w:val="21"/>
        </w:rPr>
        <w:t xml:space="preserve">Distributions to Iran route through the Humanitarian and Services Channel, which the Guarantor Parties' standing general licenses keep lawful for the life of this Accord. The channel's permitted receipt categories are: corridor service costs; environmental and safety expenditure; the development facility receipts that the Parties' reconstruction instruments separately define; and general revenue. The quarterly anti-diversion certification of Article 24.3 covers every channel transaction.</w:t>
      </w:r>
    </w:p>
    <w:p>
      <w:pPr>
        <w:pStyle w:val="Heading3"/>
      </w:pPr>
      <w:r>
        <w:rPr>
          <w:rFonts w:ascii="Georgia" w:hAnsi="Georgia"/>
          <w:b/>
          <w:color w:val="3D5566"/>
          <w:sz w:val="22"/>
        </w:rPr>
        <w:t xml:space="preserve">F.6 Reserve Policy</w:t>
      </w:r>
    </w:p>
    <w:p>
      <w:pPr>
        <w:spacing w:before="0" w:after="140" w:line="252" w:lineRule="auto"/>
        <w:jc w:val="both"/>
      </w:pPr>
      <w:r>
        <w:rPr>
          <w:rFonts w:ascii="Georgia" w:hAnsi="Georgia"/>
          <w:color w:val="1E2A32"/>
          <w:sz w:val="21"/>
        </w:rPr>
        <w:t xml:space="preserve">The Stewardship Reserve capitalizes to a target of 18 months of budgeted system operating costs, holds assets in investment-grade instruments under the Administrator's published policy, and draws down only against: approved budget lines; emergency response costs under Twin Key authorization; and the Green Discount subsidy of Annex E.5.</w:t>
      </w:r>
    </w:p>
    <w:p>
      <w:pPr>
        <w:pStyle w:val="Heading3"/>
      </w:pPr>
      <w:r>
        <w:rPr>
          <w:rFonts w:ascii="Georgia" w:hAnsi="Georgia"/>
          <w:b/>
          <w:color w:val="3D5566"/>
          <w:sz w:val="22"/>
        </w:rPr>
        <w:t xml:space="preserve">F.7 Continuity Rule</w:t>
      </w:r>
    </w:p>
    <w:p>
      <w:pPr>
        <w:spacing w:before="0" w:after="140" w:line="252" w:lineRule="auto"/>
        <w:jc w:val="both"/>
      </w:pPr>
      <w:r>
        <w:rPr>
          <w:rFonts w:ascii="Georgia" w:hAnsi="Georgia"/>
          <w:color w:val="1E2A32"/>
          <w:sz w:val="21"/>
        </w:rPr>
        <w:t xml:space="preserve">The Escrow operates through every suspension and every crisis under Article 22.5. The Administrator's duty of continuity binds the depositary framework itself: if the Administrator's facility becomes unavailable, the depositary stands up a successor facility within 14 days under pre-agreed contingency terms held in escrow with this Accord's instruments.</w:t>
      </w:r>
    </w:p>
    <w:p>
      <w:pPr>
        <w:pStyle w:val="Heading2"/>
        <w:pageBreakBefore/>
      </w:pPr>
      <w:bookmarkStart w:id="1051" w:name="_Toc260001051"/>
      <w:r>
        <w:rPr>
          <w:rFonts w:ascii="Georgia" w:hAnsi="Georgia"/>
          <w:b/>
          <w:color w:val="2F4858"/>
          <w:sz w:val="25"/>
        </w:rPr>
        <w:t xml:space="preserve">Annex G: Phased Reopening Operational Timeline</w:t>
      </w:r>
      <w:bookmarkEnd w:id="1051"/>
    </w:p>
    <w:p>
      <w:pPr>
        <w:pStyle w:val="Heading3"/>
      </w:pPr>
      <w:r>
        <w:rPr>
          <w:rFonts w:ascii="Georgia" w:hAnsi="Georgia"/>
          <w:b/>
          <w:color w:val="3D5566"/>
          <w:sz w:val="22"/>
        </w:rPr>
        <w:t xml:space="preserve">G.1 Master Schedule</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3008"/>
        <w:gridCol w:w="3008"/>
        <w:gridCol w:w="3008"/>
      </w:tblGrid>
      <w:tr>
        <w:trPr>
          <w:tblHeader/>
        </w:trPr>
        <w:tc>
          <w:tcPr>
            <w:tcW w:w="3008" w:type="dxa"/>
            <w:shd w:val="clear" w:fill="E4EAEE"/>
          </w:tcPr>
          <w:p>
            <w:pPr>
              <w:spacing w:after="20" w:line="240" w:lineRule="auto"/>
              <w:jc w:val="left"/>
            </w:pPr>
            <w:r>
              <w:rPr>
                <w:rFonts w:ascii="Georgia" w:hAnsi="Georgia"/>
                <w:b/>
                <w:color w:val="2F4858"/>
                <w:sz w:val="18"/>
              </w:rPr>
              <w:t xml:space="preserve">Phase</w:t>
            </w:r>
          </w:p>
        </w:tc>
        <w:tc>
          <w:tcPr>
            <w:tcW w:w="3008" w:type="dxa"/>
            <w:shd w:val="clear" w:fill="E4EAEE"/>
          </w:tcPr>
          <w:p>
            <w:pPr>
              <w:spacing w:after="20" w:line="240" w:lineRule="auto"/>
              <w:jc w:val="left"/>
            </w:pPr>
            <w:r>
              <w:rPr>
                <w:rFonts w:ascii="Georgia" w:hAnsi="Georgia"/>
                <w:b/>
                <w:color w:val="2F4858"/>
                <w:sz w:val="18"/>
              </w:rPr>
              <w:t xml:space="preserve">Window</w:t>
            </w:r>
          </w:p>
        </w:tc>
        <w:tc>
          <w:tcPr>
            <w:tcW w:w="3008" w:type="dxa"/>
            <w:shd w:val="clear" w:fill="E4EAEE"/>
          </w:tcPr>
          <w:p>
            <w:pPr>
              <w:spacing w:after="20" w:line="240" w:lineRule="auto"/>
              <w:jc w:val="left"/>
            </w:pPr>
            <w:r>
              <w:rPr>
                <w:rFonts w:ascii="Georgia" w:hAnsi="Georgia"/>
                <w:b/>
                <w:color w:val="2F4858"/>
                <w:sz w:val="18"/>
              </w:rPr>
              <w:t xml:space="preserve">Gate to Next Phase</w:t>
            </w:r>
          </w:p>
        </w:tc>
      </w:tr>
      <w:tr>
        <w:tc>
          <w:tcPr>
            <w:tcW w:w="3008" w:type="dxa"/>
          </w:tcPr>
          <w:p>
            <w:pPr>
              <w:spacing w:after="20" w:line="240" w:lineRule="auto"/>
              <w:jc w:val="left"/>
            </w:pPr>
            <w:r>
              <w:rPr>
                <w:rFonts w:ascii="Georgia" w:hAnsi="Georgia"/>
                <w:color w:val="1E2A32"/>
                <w:sz w:val="18"/>
              </w:rPr>
              <w:t xml:space="preserve">R-0 Foundation</w:t>
            </w:r>
          </w:p>
        </w:tc>
        <w:tc>
          <w:tcPr>
            <w:tcW w:w="3008" w:type="dxa"/>
          </w:tcPr>
          <w:p>
            <w:pPr>
              <w:spacing w:after="20" w:line="240" w:lineRule="auto"/>
              <w:jc w:val="left"/>
            </w:pPr>
            <w:r>
              <w:rPr>
                <w:rFonts w:ascii="Georgia" w:hAnsi="Georgia"/>
                <w:color w:val="1E2A32"/>
                <w:sz w:val="18"/>
              </w:rPr>
              <w:t xml:space="preserve">Days 0 to 10</w:t>
            </w:r>
          </w:p>
        </w:tc>
        <w:tc>
          <w:tcPr>
            <w:tcW w:w="3008" w:type="dxa"/>
          </w:tcPr>
          <w:p>
            <w:pPr>
              <w:spacing w:after="20" w:line="240" w:lineRule="auto"/>
              <w:jc w:val="left"/>
            </w:pPr>
            <w:r>
              <w:rPr>
                <w:rFonts w:ascii="Georgia" w:hAnsi="Georgia"/>
                <w:color w:val="1E2A32"/>
                <w:sz w:val="18"/>
              </w:rPr>
              <w:t xml:space="preserve">All six R-0 actions complete and verified</w:t>
            </w:r>
          </w:p>
        </w:tc>
      </w:tr>
      <w:tr>
        <w:tc>
          <w:tcPr>
            <w:tcW w:w="3008" w:type="dxa"/>
          </w:tcPr>
          <w:p>
            <w:pPr>
              <w:spacing w:after="20" w:line="240" w:lineRule="auto"/>
              <w:jc w:val="left"/>
            </w:pPr>
            <w:r>
              <w:rPr>
                <w:rFonts w:ascii="Georgia" w:hAnsi="Georgia"/>
                <w:color w:val="1E2A32"/>
                <w:sz w:val="18"/>
              </w:rPr>
              <w:t xml:space="preserve">R-1 Pilot Announcement</w:t>
            </w:r>
          </w:p>
        </w:tc>
        <w:tc>
          <w:tcPr>
            <w:tcW w:w="3008" w:type="dxa"/>
          </w:tcPr>
          <w:p>
            <w:pPr>
              <w:spacing w:after="20" w:line="240" w:lineRule="auto"/>
              <w:jc w:val="left"/>
            </w:pPr>
            <w:r>
              <w:rPr>
                <w:rFonts w:ascii="Georgia" w:hAnsi="Georgia"/>
                <w:color w:val="1E2A32"/>
                <w:sz w:val="18"/>
              </w:rPr>
              <w:t xml:space="preserve">Days 10 to 20</w:t>
            </w:r>
          </w:p>
        </w:tc>
        <w:tc>
          <w:tcPr>
            <w:tcW w:w="3008" w:type="dxa"/>
          </w:tcPr>
          <w:p>
            <w:pPr>
              <w:spacing w:after="20" w:line="240" w:lineRule="auto"/>
              <w:jc w:val="left"/>
            </w:pPr>
            <w:r>
              <w:rPr>
                <w:rFonts w:ascii="Georgia" w:hAnsi="Georgia"/>
                <w:color w:val="1E2A32"/>
                <w:sz w:val="18"/>
              </w:rPr>
              <w:t xml:space="preserve">Guidance published; industry notified; pilot rates live</w:t>
            </w:r>
          </w:p>
        </w:tc>
      </w:tr>
      <w:tr>
        <w:tc>
          <w:tcPr>
            <w:tcW w:w="3008" w:type="dxa"/>
          </w:tcPr>
          <w:p>
            <w:pPr>
              <w:spacing w:after="20" w:line="240" w:lineRule="auto"/>
              <w:jc w:val="left"/>
            </w:pPr>
            <w:r>
              <w:rPr>
                <w:rFonts w:ascii="Georgia" w:hAnsi="Georgia"/>
                <w:color w:val="1E2A32"/>
                <w:sz w:val="18"/>
              </w:rPr>
              <w:t xml:space="preserve">R-2 Sequential Activation</w:t>
            </w:r>
          </w:p>
        </w:tc>
        <w:tc>
          <w:tcPr>
            <w:tcW w:w="3008" w:type="dxa"/>
          </w:tcPr>
          <w:p>
            <w:pPr>
              <w:spacing w:after="20" w:line="240" w:lineRule="auto"/>
              <w:jc w:val="left"/>
            </w:pPr>
            <w:r>
              <w:rPr>
                <w:rFonts w:ascii="Georgia" w:hAnsi="Georgia"/>
                <w:color w:val="1E2A32"/>
                <w:sz w:val="18"/>
              </w:rPr>
              <w:t xml:space="preserve">Days 20 to 40</w:t>
            </w:r>
          </w:p>
        </w:tc>
        <w:tc>
          <w:tcPr>
            <w:tcW w:w="3008" w:type="dxa"/>
          </w:tcPr>
          <w:p>
            <w:pPr>
              <w:spacing w:after="20" w:line="240" w:lineRule="auto"/>
              <w:jc w:val="left"/>
            </w:pPr>
            <w:r>
              <w:rPr>
                <w:rFonts w:ascii="Georgia" w:hAnsi="Georgia"/>
                <w:color w:val="1E2A32"/>
                <w:sz w:val="18"/>
              </w:rPr>
              <w:t xml:space="preserve">All three corridors active at pilot standard</w:t>
            </w:r>
          </w:p>
        </w:tc>
      </w:tr>
      <w:tr>
        <w:tc>
          <w:tcPr>
            <w:tcW w:w="3008" w:type="dxa"/>
          </w:tcPr>
          <w:p>
            <w:pPr>
              <w:spacing w:after="20" w:line="240" w:lineRule="auto"/>
              <w:jc w:val="left"/>
            </w:pPr>
            <w:r>
              <w:rPr>
                <w:rFonts w:ascii="Georgia" w:hAnsi="Georgia"/>
                <w:color w:val="1E2A32"/>
                <w:sz w:val="18"/>
              </w:rPr>
              <w:t xml:space="preserve">R-3 Payment Commissioning</w:t>
            </w:r>
          </w:p>
        </w:tc>
        <w:tc>
          <w:tcPr>
            <w:tcW w:w="3008" w:type="dxa"/>
          </w:tcPr>
          <w:p>
            <w:pPr>
              <w:spacing w:after="20" w:line="240" w:lineRule="auto"/>
              <w:jc w:val="left"/>
            </w:pPr>
            <w:r>
              <w:rPr>
                <w:rFonts w:ascii="Georgia" w:hAnsi="Georgia"/>
                <w:color w:val="1E2A32"/>
                <w:sz w:val="18"/>
              </w:rPr>
              <w:t xml:space="preserve">Days 40 to 55</w:t>
            </w:r>
          </w:p>
        </w:tc>
        <w:tc>
          <w:tcPr>
            <w:tcW w:w="3008" w:type="dxa"/>
          </w:tcPr>
          <w:p>
            <w:pPr>
              <w:spacing w:after="20" w:line="240" w:lineRule="auto"/>
              <w:jc w:val="left"/>
            </w:pPr>
            <w:r>
              <w:rPr>
                <w:rFonts w:ascii="Georgia" w:hAnsi="Georgia"/>
                <w:color w:val="1E2A32"/>
                <w:sz w:val="18"/>
              </w:rPr>
              <w:t xml:space="preserve">First full settlement cycle audited clean</w:t>
            </w:r>
          </w:p>
        </w:tc>
      </w:tr>
      <w:tr>
        <w:tc>
          <w:tcPr>
            <w:tcW w:w="3008" w:type="dxa"/>
          </w:tcPr>
          <w:p>
            <w:pPr>
              <w:spacing w:after="20" w:line="240" w:lineRule="auto"/>
              <w:jc w:val="left"/>
            </w:pPr>
            <w:r>
              <w:rPr>
                <w:rFonts w:ascii="Georgia" w:hAnsi="Georgia"/>
                <w:color w:val="1E2A32"/>
                <w:sz w:val="18"/>
              </w:rPr>
              <w:t xml:space="preserve">R-4 Stability Audit</w:t>
            </w:r>
          </w:p>
        </w:tc>
        <w:tc>
          <w:tcPr>
            <w:tcW w:w="3008" w:type="dxa"/>
          </w:tcPr>
          <w:p>
            <w:pPr>
              <w:spacing w:after="20" w:line="240" w:lineRule="auto"/>
              <w:jc w:val="left"/>
            </w:pPr>
            <w:r>
              <w:rPr>
                <w:rFonts w:ascii="Georgia" w:hAnsi="Georgia"/>
                <w:color w:val="1E2A32"/>
                <w:sz w:val="18"/>
              </w:rPr>
              <w:t xml:space="preserve">Days 55 to 90</w:t>
            </w:r>
          </w:p>
        </w:tc>
        <w:tc>
          <w:tcPr>
            <w:tcW w:w="3008" w:type="dxa"/>
          </w:tcPr>
          <w:p>
            <w:pPr>
              <w:spacing w:after="20" w:line="240" w:lineRule="auto"/>
              <w:jc w:val="left"/>
            </w:pPr>
            <w:r>
              <w:rPr>
                <w:rFonts w:ascii="Georgia" w:hAnsi="Georgia"/>
                <w:color w:val="1E2A32"/>
                <w:sz w:val="18"/>
              </w:rPr>
              <w:t xml:space="preserve">Audit determination issued</w:t>
            </w:r>
          </w:p>
        </w:tc>
      </w:tr>
      <w:tr>
        <w:tc>
          <w:tcPr>
            <w:tcW w:w="3008" w:type="dxa"/>
          </w:tcPr>
          <w:p>
            <w:pPr>
              <w:spacing w:after="20" w:line="240" w:lineRule="auto"/>
              <w:jc w:val="left"/>
            </w:pPr>
            <w:r>
              <w:rPr>
                <w:rFonts w:ascii="Georgia" w:hAnsi="Georgia"/>
                <w:color w:val="1E2A32"/>
                <w:sz w:val="18"/>
              </w:rPr>
              <w:t xml:space="preserve">R-5 Full Activation</w:t>
            </w:r>
          </w:p>
        </w:tc>
        <w:tc>
          <w:tcPr>
            <w:tcW w:w="3008" w:type="dxa"/>
          </w:tcPr>
          <w:p>
            <w:pPr>
              <w:spacing w:after="20" w:line="240" w:lineRule="auto"/>
              <w:jc w:val="left"/>
            </w:pPr>
            <w:r>
              <w:rPr>
                <w:rFonts w:ascii="Georgia" w:hAnsi="Georgia"/>
                <w:color w:val="1E2A32"/>
                <w:sz w:val="18"/>
              </w:rPr>
              <w:t xml:space="preserve">Days 90 to 120</w:t>
            </w:r>
          </w:p>
        </w:tc>
        <w:tc>
          <w:tcPr>
            <w:tcW w:w="3008" w:type="dxa"/>
          </w:tcPr>
          <w:p>
            <w:pPr>
              <w:spacing w:after="20" w:line="240" w:lineRule="auto"/>
              <w:jc w:val="left"/>
            </w:pPr>
            <w:r>
              <w:rPr>
                <w:rFonts w:ascii="Georgia" w:hAnsi="Georgia"/>
                <w:color w:val="1E2A32"/>
                <w:sz w:val="18"/>
              </w:rPr>
              <w:t xml:space="preserve">Certification signed; coordinates published; wartime lanes sunset</w:t>
            </w:r>
          </w:p>
        </w:tc>
      </w:tr>
    </w:tbl>
    <w:p>
      <w:pPr>
        <w:spacing w:after="120"/>
      </w:pPr>
    </w:p>
    <w:p>
      <w:pPr>
        <w:pStyle w:val="Heading3"/>
      </w:pPr>
      <w:r>
        <w:rPr>
          <w:rFonts w:ascii="Georgia" w:hAnsi="Georgia"/>
          <w:b/>
          <w:color w:val="3D5566"/>
          <w:sz w:val="22"/>
        </w:rPr>
        <w:t xml:space="preserve">G.2 Phase R-0 Day-by-Day</w:t>
      </w:r>
    </w:p>
    <w:p>
      <w:pPr>
        <w:spacing w:before="0" w:after="140" w:line="252" w:lineRule="auto"/>
        <w:jc w:val="both"/>
      </w:pPr>
      <w:r>
        <w:rPr>
          <w:rFonts w:ascii="Georgia" w:hAnsi="Georgia"/>
          <w:color w:val="1E2A32"/>
          <w:sz w:val="21"/>
        </w:rPr>
        <w:t xml:space="preserve">Day 0: entry into force; instruments deposit; depositary notification issues. Day 1: watch floor stands up; Hormuz Account opens; hotline network completes first full test. Day 2: Joint Survey Group baseline survey commences; United States blockade drawdown Step One executes. Day 3 to 5: joint readiness declaration finalized; industry liaison channel seated; observer data feeds connected. Day 6 to 9: baseline survey interim products flow; administrators complete staffing at pilot level. Day 10: the Neutral Watch Office verifies all R-0 actions complete and issues the Phase Gate certificate opening R-1.</w:t>
      </w:r>
    </w:p>
    <w:p>
      <w:pPr>
        <w:pStyle w:val="Heading3"/>
      </w:pPr>
      <w:r>
        <w:rPr>
          <w:rFonts w:ascii="Georgia" w:hAnsi="Georgia"/>
          <w:b/>
          <w:color w:val="3D5566"/>
          <w:sz w:val="22"/>
        </w:rPr>
        <w:t xml:space="preserve">G.3 Phase R-2 Activation Sequence</w:t>
      </w:r>
    </w:p>
    <w:p>
      <w:pPr>
        <w:spacing w:before="0" w:after="140" w:line="252" w:lineRule="auto"/>
        <w:jc w:val="both"/>
      </w:pPr>
      <w:r>
        <w:rPr>
          <w:rFonts w:ascii="Georgia" w:hAnsi="Georgia"/>
          <w:color w:val="1E2A32"/>
          <w:sz w:val="21"/>
        </w:rPr>
        <w:t xml:space="preserve">Buffer Corridor activates first, on Day 20: separation marking live, emergency routing open, joint monitoring running. Corridor South activates on Day 25: Omani administration commences, outbound pilot traffic flows, traffic share at 25 percent. Corridor North activates on Day 35: Iranian administration commences, inbound pilot traffic flows, and the first Verification Period opens at 00:00 UTC that day. The activation order is a fixed design choice: the safety spine goes live first, the lowest-friction commercial corridor second, and the politically sensitive corridor third, after the system's habits form.</w:t>
      </w:r>
    </w:p>
    <w:p>
      <w:pPr>
        <w:pStyle w:val="Heading3"/>
      </w:pPr>
      <w:r>
        <w:rPr>
          <w:rFonts w:ascii="Georgia" w:hAnsi="Georgia"/>
          <w:b/>
          <w:color w:val="3D5566"/>
          <w:sz w:val="22"/>
        </w:rPr>
        <w:t xml:space="preserve">G.4 Reciprocal Measures Schedule</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3008"/>
        <w:gridCol w:w="3008"/>
        <w:gridCol w:w="3008"/>
      </w:tblGrid>
      <w:tr>
        <w:trPr>
          <w:tblHeader/>
        </w:trPr>
        <w:tc>
          <w:tcPr>
            <w:tcW w:w="3008" w:type="dxa"/>
            <w:shd w:val="clear" w:fill="E4EAEE"/>
          </w:tcPr>
          <w:p>
            <w:pPr>
              <w:spacing w:after="20" w:line="240" w:lineRule="auto"/>
              <w:jc w:val="left"/>
            </w:pPr>
            <w:r>
              <w:rPr>
                <w:rFonts w:ascii="Georgia" w:hAnsi="Georgia"/>
                <w:b/>
                <w:color w:val="2F4858"/>
                <w:sz w:val="18"/>
              </w:rPr>
              <w:t xml:space="preserve">Step</w:t>
            </w:r>
          </w:p>
        </w:tc>
        <w:tc>
          <w:tcPr>
            <w:tcW w:w="3008" w:type="dxa"/>
            <w:shd w:val="clear" w:fill="E4EAEE"/>
          </w:tcPr>
          <w:p>
            <w:pPr>
              <w:spacing w:after="20" w:line="240" w:lineRule="auto"/>
              <w:jc w:val="left"/>
            </w:pPr>
            <w:r>
              <w:rPr>
                <w:rFonts w:ascii="Georgia" w:hAnsi="Georgia"/>
                <w:b/>
                <w:color w:val="2F4858"/>
                <w:sz w:val="18"/>
              </w:rPr>
              <w:t xml:space="preserve">Trigger</w:t>
            </w:r>
          </w:p>
        </w:tc>
        <w:tc>
          <w:tcPr>
            <w:tcW w:w="3008" w:type="dxa"/>
            <w:shd w:val="clear" w:fill="E4EAEE"/>
          </w:tcPr>
          <w:p>
            <w:pPr>
              <w:spacing w:after="20" w:line="240" w:lineRule="auto"/>
              <w:jc w:val="left"/>
            </w:pPr>
            <w:r>
              <w:rPr>
                <w:rFonts w:ascii="Georgia" w:hAnsi="Georgia"/>
                <w:b/>
                <w:color w:val="2F4858"/>
                <w:sz w:val="18"/>
              </w:rPr>
              <w:t xml:space="preserve">Guarantor Measure</w:t>
            </w:r>
          </w:p>
        </w:tc>
      </w:tr>
      <w:tr>
        <w:tc>
          <w:tcPr>
            <w:tcW w:w="3008" w:type="dxa"/>
          </w:tcPr>
          <w:p>
            <w:pPr>
              <w:spacing w:after="20" w:line="240" w:lineRule="auto"/>
              <w:jc w:val="left"/>
            </w:pPr>
            <w:r>
              <w:rPr>
                <w:rFonts w:ascii="Georgia" w:hAnsi="Georgia"/>
                <w:color w:val="1E2A32"/>
                <w:sz w:val="18"/>
              </w:rPr>
              <w:t xml:space="preserve">One</w:t>
            </w:r>
          </w:p>
        </w:tc>
        <w:tc>
          <w:tcPr>
            <w:tcW w:w="3008" w:type="dxa"/>
          </w:tcPr>
          <w:p>
            <w:pPr>
              <w:spacing w:after="20" w:line="240" w:lineRule="auto"/>
              <w:jc w:val="left"/>
            </w:pPr>
            <w:r>
              <w:rPr>
                <w:rFonts w:ascii="Georgia" w:hAnsi="Georgia"/>
                <w:color w:val="1E2A32"/>
                <w:sz w:val="18"/>
              </w:rPr>
              <w:t xml:space="preserve">Entry into force</w:t>
            </w:r>
          </w:p>
        </w:tc>
        <w:tc>
          <w:tcPr>
            <w:tcW w:w="3008" w:type="dxa"/>
          </w:tcPr>
          <w:p>
            <w:pPr>
              <w:spacing w:after="20" w:line="240" w:lineRule="auto"/>
              <w:jc w:val="left"/>
            </w:pPr>
            <w:r>
              <w:rPr>
                <w:rFonts w:ascii="Georgia" w:hAnsi="Georgia"/>
                <w:color w:val="1E2A32"/>
                <w:sz w:val="18"/>
              </w:rPr>
              <w:t xml:space="preserve">Blockade drawdown commences; interdiction posture steps to observation posture</w:t>
            </w:r>
          </w:p>
        </w:tc>
      </w:tr>
      <w:tr>
        <w:tc>
          <w:tcPr>
            <w:tcW w:w="3008" w:type="dxa"/>
          </w:tcPr>
          <w:p>
            <w:pPr>
              <w:spacing w:after="20" w:line="240" w:lineRule="auto"/>
              <w:jc w:val="left"/>
            </w:pPr>
            <w:r>
              <w:rPr>
                <w:rFonts w:ascii="Georgia" w:hAnsi="Georgia"/>
                <w:color w:val="1E2A32"/>
                <w:sz w:val="18"/>
              </w:rPr>
              <w:t xml:space="preserve">Two</w:t>
            </w:r>
          </w:p>
        </w:tc>
        <w:tc>
          <w:tcPr>
            <w:tcW w:w="3008" w:type="dxa"/>
          </w:tcPr>
          <w:p>
            <w:pPr>
              <w:spacing w:after="20" w:line="240" w:lineRule="auto"/>
              <w:jc w:val="left"/>
            </w:pPr>
            <w:r>
              <w:rPr>
                <w:rFonts w:ascii="Georgia" w:hAnsi="Georgia"/>
                <w:color w:val="1E2A32"/>
                <w:sz w:val="18"/>
              </w:rPr>
              <w:t xml:space="preserve">Corridor South activation</w:t>
            </w:r>
          </w:p>
        </w:tc>
        <w:tc>
          <w:tcPr>
            <w:tcW w:w="3008" w:type="dxa"/>
          </w:tcPr>
          <w:p>
            <w:pPr>
              <w:spacing w:after="20" w:line="240" w:lineRule="auto"/>
              <w:jc w:val="left"/>
            </w:pPr>
            <w:r>
              <w:rPr>
                <w:rFonts w:ascii="Georgia" w:hAnsi="Georgia"/>
                <w:color w:val="1E2A32"/>
                <w:sz w:val="18"/>
              </w:rPr>
              <w:t xml:space="preserve">Blockade drawdown reaches 50 percent of embarked enforcement assets</w:t>
            </w:r>
          </w:p>
        </w:tc>
      </w:tr>
      <w:tr>
        <w:tc>
          <w:tcPr>
            <w:tcW w:w="3008" w:type="dxa"/>
          </w:tcPr>
          <w:p>
            <w:pPr>
              <w:spacing w:after="20" w:line="240" w:lineRule="auto"/>
              <w:jc w:val="left"/>
            </w:pPr>
            <w:r>
              <w:rPr>
                <w:rFonts w:ascii="Georgia" w:hAnsi="Georgia"/>
                <w:color w:val="1E2A32"/>
                <w:sz w:val="18"/>
              </w:rPr>
              <w:t xml:space="preserve">Three</w:t>
            </w:r>
          </w:p>
        </w:tc>
        <w:tc>
          <w:tcPr>
            <w:tcW w:w="3008" w:type="dxa"/>
          </w:tcPr>
          <w:p>
            <w:pPr>
              <w:spacing w:after="20" w:line="240" w:lineRule="auto"/>
              <w:jc w:val="left"/>
            </w:pPr>
            <w:r>
              <w:rPr>
                <w:rFonts w:ascii="Georgia" w:hAnsi="Georgia"/>
                <w:color w:val="1E2A32"/>
                <w:sz w:val="18"/>
              </w:rPr>
              <w:t xml:space="preserve">Corridor North activation</w:t>
            </w:r>
          </w:p>
        </w:tc>
        <w:tc>
          <w:tcPr>
            <w:tcW w:w="3008" w:type="dxa"/>
          </w:tcPr>
          <w:p>
            <w:pPr>
              <w:spacing w:after="20" w:line="240" w:lineRule="auto"/>
              <w:jc w:val="left"/>
            </w:pPr>
            <w:r>
              <w:rPr>
                <w:rFonts w:ascii="Georgia" w:hAnsi="Georgia"/>
                <w:color w:val="1E2A32"/>
                <w:sz w:val="18"/>
              </w:rPr>
              <w:t xml:space="preserve">Blockade enforcement assets withdraw beyond the approach reference area</w:t>
            </w:r>
          </w:p>
        </w:tc>
      </w:tr>
      <w:tr>
        <w:tc>
          <w:tcPr>
            <w:tcW w:w="3008" w:type="dxa"/>
          </w:tcPr>
          <w:p>
            <w:pPr>
              <w:spacing w:after="20" w:line="240" w:lineRule="auto"/>
              <w:jc w:val="left"/>
            </w:pPr>
            <w:r>
              <w:rPr>
                <w:rFonts w:ascii="Georgia" w:hAnsi="Georgia"/>
                <w:color w:val="1E2A32"/>
                <w:sz w:val="18"/>
              </w:rPr>
              <w:t xml:space="preserve">Four</w:t>
            </w:r>
          </w:p>
        </w:tc>
        <w:tc>
          <w:tcPr>
            <w:tcW w:w="3008" w:type="dxa"/>
          </w:tcPr>
          <w:p>
            <w:pPr>
              <w:spacing w:after="20" w:line="240" w:lineRule="auto"/>
              <w:jc w:val="left"/>
            </w:pPr>
            <w:r>
              <w:rPr>
                <w:rFonts w:ascii="Georgia" w:hAnsi="Georgia"/>
                <w:color w:val="1E2A32"/>
                <w:sz w:val="18"/>
              </w:rPr>
              <w:t xml:space="preserve">Stability Audit certification</w:t>
            </w:r>
          </w:p>
        </w:tc>
        <w:tc>
          <w:tcPr>
            <w:tcW w:w="3008" w:type="dxa"/>
          </w:tcPr>
          <w:p>
            <w:pPr>
              <w:spacing w:after="20" w:line="240" w:lineRule="auto"/>
              <w:jc w:val="left"/>
            </w:pPr>
            <w:r>
              <w:rPr>
                <w:rFonts w:ascii="Georgia" w:hAnsi="Georgia"/>
                <w:color w:val="1E2A32"/>
                <w:sz w:val="18"/>
              </w:rPr>
              <w:t xml:space="preserve">Drawdown completes; residual presence converts to the deconfliction and observer posture of Annex I</w:t>
            </w:r>
          </w:p>
        </w:tc>
      </w:tr>
      <w:tr>
        <w:tc>
          <w:tcPr>
            <w:tcW w:w="3008" w:type="dxa"/>
          </w:tcPr>
          <w:p>
            <w:pPr>
              <w:spacing w:after="20" w:line="240" w:lineRule="auto"/>
              <w:jc w:val="left"/>
            </w:pPr>
            <w:r>
              <w:rPr>
                <w:rFonts w:ascii="Georgia" w:hAnsi="Georgia"/>
                <w:color w:val="1E2A32"/>
                <w:sz w:val="18"/>
              </w:rPr>
              <w:t xml:space="preserve">Five</w:t>
            </w:r>
          </w:p>
        </w:tc>
        <w:tc>
          <w:tcPr>
            <w:tcW w:w="3008" w:type="dxa"/>
          </w:tcPr>
          <w:p>
            <w:pPr>
              <w:spacing w:after="20" w:line="240" w:lineRule="auto"/>
              <w:jc w:val="left"/>
            </w:pPr>
            <w:r>
              <w:rPr>
                <w:rFonts w:ascii="Georgia" w:hAnsi="Georgia"/>
                <w:color w:val="1E2A32"/>
                <w:sz w:val="18"/>
              </w:rPr>
              <w:t xml:space="preserve">Full Activation</w:t>
            </w:r>
          </w:p>
        </w:tc>
        <w:tc>
          <w:tcPr>
            <w:tcW w:w="3008" w:type="dxa"/>
          </w:tcPr>
          <w:p>
            <w:pPr>
              <w:spacing w:after="20" w:line="240" w:lineRule="auto"/>
              <w:jc w:val="left"/>
            </w:pPr>
            <w:r>
              <w:rPr>
                <w:rFonts w:ascii="Georgia" w:hAnsi="Georgia"/>
                <w:color w:val="1E2A32"/>
                <w:sz w:val="18"/>
              </w:rPr>
              <w:t xml:space="preserve">Force posture review per the Guarantor Parties' own processes, outside this Accord</w:t>
            </w:r>
          </w:p>
        </w:tc>
      </w:tr>
    </w:tbl>
    <w:p>
      <w:pPr>
        <w:spacing w:after="120"/>
      </w:pPr>
    </w:p>
    <w:p>
      <w:pPr>
        <w:pStyle w:val="Heading3"/>
      </w:pPr>
      <w:r>
        <w:rPr>
          <w:rFonts w:ascii="Georgia" w:hAnsi="Georgia"/>
          <w:b/>
          <w:color w:val="3D5566"/>
          <w:sz w:val="22"/>
        </w:rPr>
        <w:t xml:space="preserve">G.5 Stability Audit Pass Standard</w:t>
      </w:r>
    </w:p>
    <w:p>
      <w:pPr>
        <w:spacing w:before="0" w:after="140" w:line="252" w:lineRule="auto"/>
        <w:jc w:val="both"/>
      </w:pPr>
      <w:r>
        <w:rPr>
          <w:rFonts w:ascii="Georgia" w:hAnsi="Georgia"/>
          <w:color w:val="1E2A32"/>
          <w:sz w:val="21"/>
        </w:rPr>
        <w:t xml:space="preserve">The audit passes when, over 35 continuous days: corridor adherence reaches at least 98 percent of transits; zero E-2 or higher Events occur; settlement accuracy reaches at least 99.5 percent; hotline compliance stands at 100 percent; Annex E service indicators run at or above 95 percent; and the industry liaison's risk assessment records no open material objection. Each element publishes with its underlying data.</w:t>
      </w:r>
    </w:p>
    <w:p>
      <w:pPr>
        <w:pStyle w:val="Heading3"/>
      </w:pPr>
      <w:r>
        <w:rPr>
          <w:rFonts w:ascii="Georgia" w:hAnsi="Georgia"/>
          <w:b/>
          <w:color w:val="3D5566"/>
          <w:sz w:val="22"/>
        </w:rPr>
        <w:t xml:space="preserve">G.6 Extension Cycles</w:t>
      </w:r>
    </w:p>
    <w:p>
      <w:pPr>
        <w:spacing w:before="0" w:after="140" w:line="252" w:lineRule="auto"/>
        <w:jc w:val="both"/>
      </w:pPr>
      <w:r>
        <w:rPr>
          <w:rFonts w:ascii="Georgia" w:hAnsi="Georgia"/>
          <w:color w:val="1E2A32"/>
          <w:sz w:val="21"/>
        </w:rPr>
        <w:t xml:space="preserve">A failing audit opens a 14-day remediation cycle. The deficiency list publishes; the responsible administrator remediates; the audit re-runs only the failed elements across the next 14 days. Three consecutive failed cycles on the same element convene the Council in extraordinary session to re-engineer the element, with the remainder of the system continuing to operate.</w:t>
      </w:r>
    </w:p>
    <w:p>
      <w:pPr>
        <w:pStyle w:val="Heading2"/>
        <w:pageBreakBefore/>
      </w:pPr>
      <w:bookmarkStart w:id="1052" w:name="_Toc260001052"/>
      <w:r>
        <w:rPr>
          <w:rFonts w:ascii="Georgia" w:hAnsi="Georgia"/>
          <w:b/>
          <w:color w:val="2F4858"/>
          <w:sz w:val="25"/>
        </w:rPr>
        <w:t xml:space="preserve">Annex H: Institutional Charters and Rules of Procedure</w:t>
      </w:r>
      <w:bookmarkEnd w:id="1052"/>
    </w:p>
    <w:p>
      <w:pPr>
        <w:pStyle w:val="Heading3"/>
      </w:pPr>
      <w:r>
        <w:rPr>
          <w:rFonts w:ascii="Georgia" w:hAnsi="Georgia"/>
          <w:b/>
          <w:color w:val="3D5566"/>
          <w:sz w:val="22"/>
        </w:rPr>
        <w:t xml:space="preserve">H.1 Council Rules of Procedure</w:t>
      </w:r>
    </w:p>
    <w:p>
      <w:pPr>
        <w:spacing w:before="0" w:after="140" w:line="252" w:lineRule="auto"/>
        <w:jc w:val="both"/>
      </w:pPr>
      <w:r>
        <w:rPr>
          <w:rFonts w:ascii="Georgia" w:hAnsi="Georgia"/>
          <w:color w:val="1E2A32"/>
          <w:sz w:val="21"/>
        </w:rPr>
        <w:t xml:space="preserve">The Council adopts its agenda by Twin Key concurrence at each session's opening. Ordinary sessions run one day per week; the secretariat circulates papers 72 hours in advance; decisions record in minutes that publish within 48 hours, with a restricted annex for security-classified material. Quorum requires both Principal Parties. Sessions alternate chairing between the Principal Parties monthly.</w:t>
      </w:r>
    </w:p>
    <w:p>
      <w:pPr>
        <w:pStyle w:val="Heading3"/>
      </w:pPr>
      <w:r>
        <w:rPr>
          <w:rFonts w:ascii="Georgia" w:hAnsi="Georgia"/>
          <w:b/>
          <w:color w:val="3D5566"/>
          <w:sz w:val="22"/>
        </w:rPr>
        <w:t xml:space="preserve">H.2 Neutral Watch Office Charter</w:t>
      </w:r>
    </w:p>
    <w:p>
      <w:pPr>
        <w:spacing w:before="0" w:after="140" w:line="252" w:lineRule="auto"/>
        <w:jc w:val="both"/>
      </w:pPr>
      <w:r>
        <w:rPr>
          <w:rFonts w:ascii="Georgia" w:hAnsi="Georgia"/>
          <w:color w:val="1E2A32"/>
          <w:sz w:val="21"/>
        </w:rPr>
        <w:t xml:space="preserve">The Office operates under a charter guaranteeing: budgetary independence funded from the Stewardship Reserve at a level set three years forward; personnel immunity for acts within the verification mandate; unrestricted access to corridor data feeds; and a prohibition on accepting instruction from any Party. The Director reports to the depositary quarterly and to the Council monthly, in public session.</w:t>
      </w:r>
    </w:p>
    <w:p>
      <w:pPr>
        <w:pStyle w:val="Heading3"/>
      </w:pPr>
      <w:r>
        <w:rPr>
          <w:rFonts w:ascii="Georgia" w:hAnsi="Georgia"/>
          <w:b/>
          <w:color w:val="3D5566"/>
          <w:sz w:val="22"/>
        </w:rPr>
        <w:t xml:space="preserve">H.3 Joint Survey Group Charter</w:t>
      </w:r>
    </w:p>
    <w:p>
      <w:pPr>
        <w:spacing w:before="0" w:after="140" w:line="252" w:lineRule="auto"/>
        <w:jc w:val="both"/>
      </w:pPr>
      <w:r>
        <w:rPr>
          <w:rFonts w:ascii="Georgia" w:hAnsi="Georgia"/>
          <w:color w:val="1E2A32"/>
          <w:sz w:val="21"/>
        </w:rPr>
        <w:t xml:space="preserve">The Group maintains: two survey vessels per administrator with pooled tasking; a shared contact database with a single discrimination standard; mutual ride-along rights for verification; and an annual capability review published to the Council. Clearance operations execute under joint tasking orders that both co-chairs sign.</w:t>
      </w:r>
    </w:p>
    <w:p>
      <w:pPr>
        <w:pStyle w:val="Heading3"/>
      </w:pPr>
      <w:r>
        <w:rPr>
          <w:rFonts w:ascii="Georgia" w:hAnsi="Georgia"/>
          <w:b/>
          <w:color w:val="3D5566"/>
          <w:sz w:val="22"/>
        </w:rPr>
        <w:t xml:space="preserve">H.4 Expert Roster</w:t>
      </w:r>
    </w:p>
    <w:p>
      <w:pPr>
        <w:spacing w:before="0" w:after="140" w:line="252" w:lineRule="auto"/>
        <w:jc w:val="both"/>
      </w:pPr>
      <w:r>
        <w:rPr>
          <w:rFonts w:ascii="Georgia" w:hAnsi="Georgia"/>
          <w:color w:val="1E2A32"/>
          <w:sz w:val="21"/>
        </w:rPr>
        <w:t xml:space="preserve">The depositary maintains the Article 29.3 roster of 15 independent experts: five nominated by each Principal Party and five by the Guarantor Parties jointly, each serving four-year terms, each screened for conflicts annually. Panels draw from the roster by blind selection among members without conflict in the matter at hand.</w:t>
      </w:r>
    </w:p>
    <w:p>
      <w:pPr>
        <w:pStyle w:val="Heading3"/>
      </w:pPr>
      <w:r>
        <w:rPr>
          <w:rFonts w:ascii="Georgia" w:hAnsi="Georgia"/>
          <w:b/>
          <w:color w:val="3D5566"/>
          <w:sz w:val="22"/>
        </w:rPr>
        <w:t xml:space="preserve">H.5 Data Access Levels</w:t>
      </w:r>
    </w:p>
    <w:tbl>
      <w:tblPr>
        <w:tblW w:w="5000" w:type="pct"/>
        <w:tblBorders>
          <w:top w:val="single" w:color="2F4858" w:sz="10"/>
          <w:left w:val="single" w:color="7C929E" w:sz="4"/>
          <w:bottom w:val="single" w:color="2F4858" w:sz="10"/>
          <w:right w:val="single" w:color="7C929E" w:sz="4"/>
          <w:insideH w:val="single" w:color="7C929E" w:sz="4"/>
          <w:insideV w:val="single" w:color="7C929E" w:sz="4"/>
        </w:tblBorders>
        <w:tblCellMar>
          <w:top w:w="60" w:type="dxa"/>
          <w:left w:w="108" w:type="dxa"/>
          <w:bottom w:w="60" w:type="dxa"/>
          <w:right w:w="108" w:type="dxa"/>
        </w:tblCellMar>
      </w:tblPr>
      <w:tblGrid>
        <w:gridCol w:w="3008"/>
        <w:gridCol w:w="3008"/>
        <w:gridCol w:w="3008"/>
      </w:tblGrid>
      <w:tr>
        <w:trPr>
          <w:tblHeader/>
        </w:trPr>
        <w:tc>
          <w:tcPr>
            <w:tcW w:w="3008" w:type="dxa"/>
            <w:shd w:val="clear" w:fill="E4EAEE"/>
          </w:tcPr>
          <w:p>
            <w:pPr>
              <w:spacing w:after="20" w:line="240" w:lineRule="auto"/>
              <w:jc w:val="left"/>
            </w:pPr>
            <w:r>
              <w:rPr>
                <w:rFonts w:ascii="Georgia" w:hAnsi="Georgia"/>
                <w:b/>
                <w:color w:val="2F4858"/>
                <w:sz w:val="18"/>
              </w:rPr>
              <w:t xml:space="preserve">Level</w:t>
            </w:r>
          </w:p>
        </w:tc>
        <w:tc>
          <w:tcPr>
            <w:tcW w:w="3008" w:type="dxa"/>
            <w:shd w:val="clear" w:fill="E4EAEE"/>
          </w:tcPr>
          <w:p>
            <w:pPr>
              <w:spacing w:after="20" w:line="240" w:lineRule="auto"/>
              <w:jc w:val="left"/>
            </w:pPr>
            <w:r>
              <w:rPr>
                <w:rFonts w:ascii="Georgia" w:hAnsi="Georgia"/>
                <w:b/>
                <w:color w:val="2F4858"/>
                <w:sz w:val="18"/>
              </w:rPr>
              <w:t xml:space="preserve">Content</w:t>
            </w:r>
          </w:p>
        </w:tc>
        <w:tc>
          <w:tcPr>
            <w:tcW w:w="3008" w:type="dxa"/>
            <w:shd w:val="clear" w:fill="E4EAEE"/>
          </w:tcPr>
          <w:p>
            <w:pPr>
              <w:spacing w:after="20" w:line="240" w:lineRule="auto"/>
              <w:jc w:val="left"/>
            </w:pPr>
            <w:r>
              <w:rPr>
                <w:rFonts w:ascii="Georgia" w:hAnsi="Georgia"/>
                <w:b/>
                <w:color w:val="2F4858"/>
                <w:sz w:val="18"/>
              </w:rPr>
              <w:t xml:space="preserve">Access</w:t>
            </w:r>
          </w:p>
        </w:tc>
      </w:tr>
      <w:tr>
        <w:tc>
          <w:tcPr>
            <w:tcW w:w="3008" w:type="dxa"/>
          </w:tcPr>
          <w:p>
            <w:pPr>
              <w:spacing w:after="20" w:line="240" w:lineRule="auto"/>
              <w:jc w:val="left"/>
            </w:pPr>
            <w:r>
              <w:rPr>
                <w:rFonts w:ascii="Georgia" w:hAnsi="Georgia"/>
                <w:color w:val="1E2A32"/>
                <w:sz w:val="18"/>
              </w:rPr>
              <w:t xml:space="preserve">Public</w:t>
            </w:r>
          </w:p>
        </w:tc>
        <w:tc>
          <w:tcPr>
            <w:tcW w:w="3008" w:type="dxa"/>
          </w:tcPr>
          <w:p>
            <w:pPr>
              <w:spacing w:after="20" w:line="240" w:lineRule="auto"/>
              <w:jc w:val="left"/>
            </w:pPr>
            <w:r>
              <w:rPr>
                <w:rFonts w:ascii="Georgia" w:hAnsi="Georgia"/>
                <w:color w:val="1E2A32"/>
                <w:sz w:val="18"/>
              </w:rPr>
              <w:t xml:space="preserve">Dashboard products, registers, incident log</w:t>
            </w:r>
          </w:p>
        </w:tc>
        <w:tc>
          <w:tcPr>
            <w:tcW w:w="3008" w:type="dxa"/>
          </w:tcPr>
          <w:p>
            <w:pPr>
              <w:spacing w:after="20" w:line="240" w:lineRule="auto"/>
              <w:jc w:val="left"/>
            </w:pPr>
            <w:r>
              <w:rPr>
                <w:rFonts w:ascii="Georgia" w:hAnsi="Georgia"/>
                <w:color w:val="1E2A32"/>
                <w:sz w:val="18"/>
              </w:rPr>
              <w:t xml:space="preserve">Unrestricted</w:t>
            </w:r>
          </w:p>
        </w:tc>
      </w:tr>
      <w:tr>
        <w:tc>
          <w:tcPr>
            <w:tcW w:w="3008" w:type="dxa"/>
          </w:tcPr>
          <w:p>
            <w:pPr>
              <w:spacing w:after="20" w:line="240" w:lineRule="auto"/>
              <w:jc w:val="left"/>
            </w:pPr>
            <w:r>
              <w:rPr>
                <w:rFonts w:ascii="Georgia" w:hAnsi="Georgia"/>
                <w:color w:val="1E2A32"/>
                <w:sz w:val="18"/>
              </w:rPr>
              <w:t xml:space="preserve">Participant</w:t>
            </w:r>
          </w:p>
        </w:tc>
        <w:tc>
          <w:tcPr>
            <w:tcW w:w="3008" w:type="dxa"/>
          </w:tcPr>
          <w:p>
            <w:pPr>
              <w:spacing w:after="20" w:line="240" w:lineRule="auto"/>
              <w:jc w:val="left"/>
            </w:pPr>
            <w:r>
              <w:rPr>
                <w:rFonts w:ascii="Georgia" w:hAnsi="Georgia"/>
                <w:color w:val="1E2A32"/>
                <w:sz w:val="18"/>
              </w:rPr>
              <w:t xml:space="preserve">Full verification record, settlement detail</w:t>
            </w:r>
          </w:p>
        </w:tc>
        <w:tc>
          <w:tcPr>
            <w:tcW w:w="3008" w:type="dxa"/>
          </w:tcPr>
          <w:p>
            <w:pPr>
              <w:spacing w:after="20" w:line="240" w:lineRule="auto"/>
              <w:jc w:val="left"/>
            </w:pPr>
            <w:r>
              <w:rPr>
                <w:rFonts w:ascii="Georgia" w:hAnsi="Georgia"/>
                <w:color w:val="1E2A32"/>
                <w:sz w:val="18"/>
              </w:rPr>
              <w:t xml:space="preserve">Parties and Observer Participants</w:t>
            </w:r>
          </w:p>
        </w:tc>
      </w:tr>
      <w:tr>
        <w:tc>
          <w:tcPr>
            <w:tcW w:w="3008" w:type="dxa"/>
          </w:tcPr>
          <w:p>
            <w:pPr>
              <w:spacing w:after="20" w:line="240" w:lineRule="auto"/>
              <w:jc w:val="left"/>
            </w:pPr>
            <w:r>
              <w:rPr>
                <w:rFonts w:ascii="Georgia" w:hAnsi="Georgia"/>
                <w:color w:val="1E2A32"/>
                <w:sz w:val="18"/>
              </w:rPr>
              <w:t xml:space="preserve">Operational</w:t>
            </w:r>
          </w:p>
        </w:tc>
        <w:tc>
          <w:tcPr>
            <w:tcW w:w="3008" w:type="dxa"/>
          </w:tcPr>
          <w:p>
            <w:pPr>
              <w:spacing w:after="20" w:line="240" w:lineRule="auto"/>
              <w:jc w:val="left"/>
            </w:pPr>
            <w:r>
              <w:rPr>
                <w:rFonts w:ascii="Georgia" w:hAnsi="Georgia"/>
                <w:color w:val="1E2A32"/>
                <w:sz w:val="18"/>
              </w:rPr>
              <w:t xml:space="preserve">Raw radar, AIS archives, hotline content</w:t>
            </w:r>
          </w:p>
        </w:tc>
        <w:tc>
          <w:tcPr>
            <w:tcW w:w="3008" w:type="dxa"/>
          </w:tcPr>
          <w:p>
            <w:pPr>
              <w:spacing w:after="20" w:line="240" w:lineRule="auto"/>
              <w:jc w:val="left"/>
            </w:pPr>
            <w:r>
              <w:rPr>
                <w:rFonts w:ascii="Georgia" w:hAnsi="Georgia"/>
                <w:color w:val="1E2A32"/>
                <w:sz w:val="18"/>
              </w:rPr>
              <w:t xml:space="preserve">Administrators, Neutral Watch Office, Joint Survey Group</w:t>
            </w:r>
          </w:p>
        </w:tc>
      </w:tr>
      <w:tr>
        <w:tc>
          <w:tcPr>
            <w:tcW w:w="3008" w:type="dxa"/>
          </w:tcPr>
          <w:p>
            <w:pPr>
              <w:spacing w:after="20" w:line="240" w:lineRule="auto"/>
              <w:jc w:val="left"/>
            </w:pPr>
            <w:r>
              <w:rPr>
                <w:rFonts w:ascii="Georgia" w:hAnsi="Georgia"/>
                <w:color w:val="1E2A32"/>
                <w:sz w:val="18"/>
              </w:rPr>
              <w:t xml:space="preserve">Restricted</w:t>
            </w:r>
          </w:p>
        </w:tc>
        <w:tc>
          <w:tcPr>
            <w:tcW w:w="3008" w:type="dxa"/>
          </w:tcPr>
          <w:p>
            <w:pPr>
              <w:spacing w:after="20" w:line="240" w:lineRule="auto"/>
              <w:jc w:val="left"/>
            </w:pPr>
            <w:r>
              <w:rPr>
                <w:rFonts w:ascii="Georgia" w:hAnsi="Georgia"/>
                <w:color w:val="1E2A32"/>
                <w:sz w:val="18"/>
              </w:rPr>
              <w:t xml:space="preserve">Security-classified annex material</w:t>
            </w:r>
          </w:p>
        </w:tc>
        <w:tc>
          <w:tcPr>
            <w:tcW w:w="3008" w:type="dxa"/>
          </w:tcPr>
          <w:p>
            <w:pPr>
              <w:spacing w:after="20" w:line="240" w:lineRule="auto"/>
              <w:jc w:val="left"/>
            </w:pPr>
            <w:r>
              <w:rPr>
                <w:rFonts w:ascii="Georgia" w:hAnsi="Georgia"/>
                <w:color w:val="1E2A32"/>
                <w:sz w:val="18"/>
              </w:rPr>
              <w:t xml:space="preserve">Principal and Guarantor Parties</w:t>
            </w:r>
          </w:p>
        </w:tc>
      </w:tr>
    </w:tbl>
    <w:p>
      <w:pPr>
        <w:spacing w:after="120"/>
      </w:pPr>
    </w:p>
    <w:p>
      <w:pPr>
        <w:pStyle w:val="Heading2"/>
        <w:pageBreakBefore/>
      </w:pPr>
      <w:bookmarkStart w:id="1053" w:name="_Toc260001053"/>
      <w:r>
        <w:rPr>
          <w:rFonts w:ascii="Georgia" w:hAnsi="Georgia"/>
          <w:b/>
          <w:color w:val="2F4858"/>
          <w:sz w:val="25"/>
        </w:rPr>
        <w:t xml:space="preserve">Annex I: Communications and Hotline Protocol</w:t>
      </w:r>
      <w:bookmarkEnd w:id="1053"/>
    </w:p>
    <w:p>
      <w:pPr>
        <w:pStyle w:val="Heading3"/>
      </w:pPr>
      <w:r>
        <w:rPr>
          <w:rFonts w:ascii="Georgia" w:hAnsi="Georgia"/>
          <w:b/>
          <w:color w:val="3D5566"/>
          <w:sz w:val="22"/>
        </w:rPr>
        <w:t xml:space="preserve">I.1 Network Topology</w:t>
      </w:r>
    </w:p>
    <w:p>
      <w:pPr>
        <w:spacing w:before="0" w:after="140" w:line="252" w:lineRule="auto"/>
        <w:jc w:val="both"/>
      </w:pPr>
      <w:r>
        <w:rPr>
          <w:rFonts w:ascii="Georgia" w:hAnsi="Georgia"/>
          <w:color w:val="1E2A32"/>
          <w:sz w:val="21"/>
        </w:rPr>
        <w:t xml:space="preserve">The network comprises four links: Link One, the watch floor circuit joining Corridor North administration, Corridor South administration, and the Neutral Watch Office, staffed continuously; Link Two, the military deconfliction circuit joining the Iranian, Omani, and United States naval commands, staffed continuously; Link Three, the leader-level circuit routed through the Omani chair, tested weekly; and Link Four, the industry liaison channel, operating in business hours with a 24-hour emergency override.</w:t>
      </w:r>
    </w:p>
    <w:p>
      <w:pPr>
        <w:pStyle w:val="Heading3"/>
      </w:pPr>
      <w:r>
        <w:rPr>
          <w:rFonts w:ascii="Georgia" w:hAnsi="Georgia"/>
          <w:b/>
          <w:color w:val="3D5566"/>
          <w:sz w:val="22"/>
        </w:rPr>
        <w:t xml:space="preserve">I.2 Daily Test and Response Standards</w:t>
      </w:r>
    </w:p>
    <w:p>
      <w:pPr>
        <w:spacing w:before="0" w:after="140" w:line="252" w:lineRule="auto"/>
        <w:jc w:val="both"/>
      </w:pPr>
      <w:r>
        <w:rPr>
          <w:rFonts w:ascii="Georgia" w:hAnsi="Georgia"/>
          <w:color w:val="1E2A32"/>
          <w:sz w:val="21"/>
        </w:rPr>
        <w:t xml:space="preserve">Every circuit tests at 06:00 UTC daily. Response standards: emergency notification, immediate; incident notification, acknowledgment within 15 minutes; routine inquiry, within two hours; technical data exchange, within 24 hours. The test record publishes weekly, and the standards form criteria CW-4 of Annex C.</w:t>
      </w:r>
    </w:p>
    <w:p>
      <w:pPr>
        <w:pStyle w:val="Heading3"/>
      </w:pPr>
      <w:r>
        <w:rPr>
          <w:rFonts w:ascii="Georgia" w:hAnsi="Georgia"/>
          <w:b/>
          <w:color w:val="3D5566"/>
          <w:sz w:val="22"/>
        </w:rPr>
        <w:t xml:space="preserve">I.3 Proximity and Interaction Thresholds</w:t>
      </w:r>
    </w:p>
    <w:p>
      <w:pPr>
        <w:spacing w:before="0" w:after="140" w:line="252" w:lineRule="auto"/>
        <w:jc w:val="both"/>
      </w:pPr>
      <w:r>
        <w:rPr>
          <w:rFonts w:ascii="Georgia" w:hAnsi="Georgia"/>
          <w:color w:val="1E2A32"/>
          <w:sz w:val="21"/>
        </w:rPr>
        <w:t xml:space="preserve">For CW-2 measurement, a close-approach event registers when a state vessel closes a commercial vessel inside 500 yards within a corridor without prior notification on the working channel, or inside 1,000 yards with notification but without safety justification. The threshold publishes so that every watchkeeper on every bridge knows the line before any encounter begins.</w:t>
      </w:r>
    </w:p>
    <w:p>
      <w:pPr>
        <w:pStyle w:val="Heading3"/>
      </w:pPr>
      <w:r>
        <w:rPr>
          <w:rFonts w:ascii="Georgia" w:hAnsi="Georgia"/>
          <w:b/>
          <w:color w:val="3D5566"/>
          <w:sz w:val="22"/>
        </w:rPr>
        <w:t xml:space="preserve">I.4 Language and Records</w:t>
      </w:r>
    </w:p>
    <w:p>
      <w:pPr>
        <w:spacing w:before="0" w:after="140" w:line="252" w:lineRule="auto"/>
        <w:jc w:val="both"/>
      </w:pPr>
      <w:r>
        <w:rPr>
          <w:rFonts w:ascii="Georgia" w:hAnsi="Georgia"/>
          <w:color w:val="1E2A32"/>
          <w:sz w:val="21"/>
        </w:rPr>
        <w:t xml:space="preserve">Working channels operate in English with parallel Farsi and Arabic interpretation on Links One and Three. Every circuit records; recordings retain for seven years; Principal Parties hold equal access to the record of every circuit.</w:t>
      </w:r>
    </w:p>
    <w:p>
      <w:pPr>
        <w:pStyle w:val="Heading2"/>
        <w:pageBreakBefore/>
      </w:pPr>
      <w:bookmarkStart w:id="1054" w:name="_Toc260001054"/>
      <w:r>
        <w:rPr>
          <w:rFonts w:ascii="Georgia" w:hAnsi="Georgia"/>
          <w:b/>
          <w:color w:val="2F4858"/>
          <w:sz w:val="25"/>
        </w:rPr>
        <w:t xml:space="preserve">Annex J: Nuclear Firewall Protocol</w:t>
      </w:r>
      <w:bookmarkEnd w:id="1054"/>
    </w:p>
    <w:p>
      <w:pPr>
        <w:pStyle w:val="Heading3"/>
      </w:pPr>
      <w:r>
        <w:rPr>
          <w:rFonts w:ascii="Georgia" w:hAnsi="Georgia"/>
          <w:b/>
          <w:color w:val="3D5566"/>
          <w:sz w:val="22"/>
        </w:rPr>
        <w:t xml:space="preserve">J.1 The Agenda Rule</w:t>
      </w:r>
    </w:p>
    <w:p>
      <w:pPr>
        <w:spacing w:before="0" w:after="140" w:line="252" w:lineRule="auto"/>
        <w:jc w:val="both"/>
      </w:pPr>
      <w:r>
        <w:rPr>
          <w:rFonts w:ascii="Georgia" w:hAnsi="Georgia"/>
          <w:color w:val="1E2A32"/>
          <w:sz w:val="21"/>
        </w:rPr>
        <w:t xml:space="preserve">No session of any Accord institution lists a nuclear item. The standing agenda of every Council session closes with the notation: the firewall stands. Any participant raising a nuclear matter hears the chair's ruling that the matter lies outside the mandate, and the ruling records without debate.</w:t>
      </w:r>
    </w:p>
    <w:p>
      <w:pPr>
        <w:pStyle w:val="Heading3"/>
      </w:pPr>
      <w:r>
        <w:rPr>
          <w:rFonts w:ascii="Georgia" w:hAnsi="Georgia"/>
          <w:b/>
          <w:color w:val="3D5566"/>
          <w:sz w:val="22"/>
        </w:rPr>
        <w:t xml:space="preserve">J.2 The Data Rule</w:t>
      </w:r>
    </w:p>
    <w:p>
      <w:pPr>
        <w:spacing w:before="0" w:after="140" w:line="252" w:lineRule="auto"/>
        <w:jc w:val="both"/>
      </w:pPr>
      <w:r>
        <w:rPr>
          <w:rFonts w:ascii="Georgia" w:hAnsi="Georgia"/>
          <w:color w:val="1E2A32"/>
          <w:sz w:val="21"/>
        </w:rPr>
        <w:t xml:space="preserve">Accord systems collect, store, and process no nuclear data. Data feeds connect exclusively to maritime, environmental, financial, and communications sources. An inadvertent receipt of nuclear-adjacent data routes to the depositary for sealed destruction, and the routing event logs.</w:t>
      </w:r>
    </w:p>
    <w:p>
      <w:pPr>
        <w:pStyle w:val="Heading3"/>
      </w:pPr>
      <w:r>
        <w:rPr>
          <w:rFonts w:ascii="Georgia" w:hAnsi="Georgia"/>
          <w:b/>
          <w:color w:val="3D5566"/>
          <w:sz w:val="22"/>
        </w:rPr>
        <w:t xml:space="preserve">J.3 The Personnel Rule</w:t>
      </w:r>
    </w:p>
    <w:p>
      <w:pPr>
        <w:spacing w:before="0" w:after="140" w:line="252" w:lineRule="auto"/>
        <w:jc w:val="both"/>
      </w:pPr>
      <w:r>
        <w:rPr>
          <w:rFonts w:ascii="Georgia" w:hAnsi="Georgia"/>
          <w:color w:val="1E2A32"/>
          <w:sz w:val="21"/>
        </w:rPr>
        <w:t xml:space="preserve">No Accord staff member holds concurrent nuclear-track duties. Appointments include a written firewall undertaking, and a breach of the undertaking ends the appointment.</w:t>
      </w:r>
    </w:p>
    <w:p>
      <w:pPr>
        <w:pStyle w:val="Heading3"/>
      </w:pPr>
      <w:r>
        <w:rPr>
          <w:rFonts w:ascii="Georgia" w:hAnsi="Georgia"/>
          <w:b/>
          <w:color w:val="3D5566"/>
          <w:sz w:val="22"/>
        </w:rPr>
        <w:t xml:space="preserve">J.4 The Linkage Refusal Procedure</w:t>
      </w:r>
    </w:p>
    <w:p>
      <w:pPr>
        <w:spacing w:before="0" w:after="140" w:line="252" w:lineRule="auto"/>
        <w:jc w:val="both"/>
      </w:pPr>
      <w:r>
        <w:rPr>
          <w:rFonts w:ascii="Georgia" w:hAnsi="Georgia"/>
          <w:color w:val="1E2A32"/>
          <w:sz w:val="21"/>
        </w:rPr>
        <w:t xml:space="preserve">Where any external instrument, statement, or negotiation attempt conditions Accord performance on nuclear outcomes, or nuclear outcomes on Accord performance, the affected Party files a firewall notice with the depositary. The notice publishes, the conditioning attempt records as void within this Accord's processes, and Accord operations continue unchanged. Repeated linkage attempts by a participant classify as a governance Event under Annex D, grade E-1, and produce no other consequence in any domain.</w:t>
      </w:r>
    </w:p>
    <w:p>
      <w:pPr>
        <w:pStyle w:val="Heading3"/>
      </w:pPr>
      <w:r>
        <w:rPr>
          <w:rFonts w:ascii="Georgia" w:hAnsi="Georgia"/>
          <w:b/>
          <w:color w:val="3D5566"/>
          <w:sz w:val="22"/>
        </w:rPr>
        <w:t xml:space="preserve">J.5 Asymmetric Crisis Rule</w:t>
      </w:r>
    </w:p>
    <w:p>
      <w:pPr>
        <w:spacing w:before="0" w:after="140" w:line="252" w:lineRule="auto"/>
        <w:jc w:val="both"/>
      </w:pPr>
      <w:r>
        <w:rPr>
          <w:rFonts w:ascii="Georgia" w:hAnsi="Georgia"/>
          <w:color w:val="1E2A32"/>
          <w:sz w:val="21"/>
        </w:rPr>
        <w:t xml:space="preserve">A crisis in the nuclear track produces, within this Accord, exactly one effect: heightened publication frequency for the verification record, moving from weekly to daily dashboard updates for 30 days, so that the corridor's stability remains publicly visible precisely when external tension rises. Nothing else changes.</w:t>
      </w:r>
    </w:p>
    <w:p>
      <w:pPr>
        <w:pStyle w:val="Heading2"/>
        <w:pageBreakBefore/>
      </w:pPr>
      <w:bookmarkStart w:id="1055" w:name="_Toc260001055"/>
      <w:r>
        <w:rPr>
          <w:rFonts w:ascii="Georgia" w:hAnsi="Georgia"/>
          <w:b/>
          <w:color w:val="2F4858"/>
          <w:sz w:val="25"/>
        </w:rPr>
        <w:t xml:space="preserve">Annex K: Implementation Checklists and Model Forms</w:t>
      </w:r>
      <w:bookmarkEnd w:id="1055"/>
    </w:p>
    <w:p>
      <w:pPr>
        <w:pStyle w:val="Heading3"/>
      </w:pPr>
      <w:r>
        <w:rPr>
          <w:rFonts w:ascii="Georgia" w:hAnsi="Georgia"/>
          <w:b/>
          <w:color w:val="3D5566"/>
          <w:sz w:val="22"/>
        </w:rPr>
        <w:t xml:space="preserve">K.1 Pre-Activation Checklist</w:t>
      </w:r>
    </w:p>
    <w:p>
      <w:pPr>
        <w:spacing w:before="0" w:after="140" w:line="252" w:lineRule="auto"/>
        <w:jc w:val="both"/>
      </w:pPr>
      <w:r>
        <w:rPr>
          <w:rFonts w:ascii="Georgia" w:hAnsi="Georgia"/>
          <w:color w:val="1E2A32"/>
          <w:sz w:val="21"/>
        </w:rPr>
        <w:t xml:space="preserve">Depositary instruments complete; Escrow Administrator facility selected; watch floor staffed and tested; hotline circuits installed and tested; Joint Survey Group vessels and crews designated; sealed coordinate set lodged; industry liaison invitations issued; observer data feeds provisioned; insurance market briefing scheduled; public dashboard built and tested.</w:t>
      </w:r>
    </w:p>
    <w:p>
      <w:pPr>
        <w:pStyle w:val="Heading3"/>
      </w:pPr>
      <w:r>
        <w:rPr>
          <w:rFonts w:ascii="Georgia" w:hAnsi="Georgia"/>
          <w:b/>
          <w:color w:val="3D5566"/>
          <w:sz w:val="22"/>
        </w:rPr>
        <w:t xml:space="preserve">K.2 Model Form One: Clean Week Determination</w:t>
      </w:r>
    </w:p>
    <w:p>
      <w:pPr>
        <w:spacing w:before="0" w:after="140" w:line="252" w:lineRule="auto"/>
        <w:jc w:val="both"/>
      </w:pPr>
      <w:r>
        <w:rPr>
          <w:rFonts w:ascii="Georgia" w:hAnsi="Georgia"/>
          <w:color w:val="1E2A32"/>
          <w:sz w:val="21"/>
        </w:rPr>
        <w:t xml:space="preserve">The determination form states: period opening and closing timestamps; criterion-by-criterion results with measurements; near-miss count per criterion; resulting Escalator effect; updated Control Weight register entry; updated credit balance; Director's signature; and the publication timestamp.</w:t>
      </w:r>
    </w:p>
    <w:p>
      <w:pPr>
        <w:pStyle w:val="Heading3"/>
      </w:pPr>
      <w:r>
        <w:rPr>
          <w:rFonts w:ascii="Georgia" w:hAnsi="Georgia"/>
          <w:b/>
          <w:color w:val="3D5566"/>
          <w:sz w:val="22"/>
        </w:rPr>
        <w:t xml:space="preserve">K.3 Model Form Two: Phase Gate Certificate</w:t>
      </w:r>
    </w:p>
    <w:p>
      <w:pPr>
        <w:spacing w:before="0" w:after="140" w:line="252" w:lineRule="auto"/>
        <w:jc w:val="both"/>
      </w:pPr>
      <w:r>
        <w:rPr>
          <w:rFonts w:ascii="Georgia" w:hAnsi="Georgia"/>
          <w:color w:val="1E2A32"/>
          <w:sz w:val="21"/>
        </w:rPr>
        <w:t xml:space="preserve">The certificate states: the phase completed; each exit condition with its verification evidence; the neutral verifier's attestation; the countersignatures of both corridor administrators; and the opening timestamp of the succeeding phase.</w:t>
      </w:r>
    </w:p>
    <w:p>
      <w:pPr>
        <w:pStyle w:val="Heading3"/>
      </w:pPr>
      <w:r>
        <w:rPr>
          <w:rFonts w:ascii="Georgia" w:hAnsi="Georgia"/>
          <w:b/>
          <w:color w:val="3D5566"/>
          <w:sz w:val="22"/>
        </w:rPr>
        <w:t xml:space="preserve">K.4 Model Form Three: Event Classification Notice</w:t>
      </w:r>
    </w:p>
    <w:p>
      <w:pPr>
        <w:spacing w:before="0" w:after="140" w:line="252" w:lineRule="auto"/>
        <w:jc w:val="both"/>
      </w:pPr>
      <w:r>
        <w:rPr>
          <w:rFonts w:ascii="Georgia" w:hAnsi="Georgia"/>
          <w:color w:val="1E2A32"/>
          <w:sz w:val="21"/>
        </w:rPr>
        <w:t xml:space="preserve">The notice states: the occurrence's time, position, and description; the provisional grade; the telemetry relied upon; the attribution status; the deferral window status; the forensic file reference; and the interim Escalator effect.</w:t>
      </w:r>
    </w:p>
    <w:p>
      <w:pPr>
        <w:pStyle w:val="Heading3"/>
      </w:pPr>
      <w:r>
        <w:rPr>
          <w:rFonts w:ascii="Georgia" w:hAnsi="Georgia"/>
          <w:b/>
          <w:color w:val="3D5566"/>
          <w:sz w:val="22"/>
        </w:rPr>
        <w:t xml:space="preserve">K.5 Model Form Four: Credit Redemption Notice</w:t>
      </w:r>
    </w:p>
    <w:p>
      <w:pPr>
        <w:spacing w:before="0" w:after="140" w:line="252" w:lineRule="auto"/>
        <w:jc w:val="both"/>
      </w:pPr>
      <w:r>
        <w:rPr>
          <w:rFonts w:ascii="Georgia" w:hAnsi="Georgia"/>
          <w:color w:val="1E2A32"/>
          <w:sz w:val="21"/>
        </w:rPr>
        <w:t xml:space="preserve">The notice states: the credits redeemed; the redemption effect elected under Article 11.2; the account balance before and after; the Verification Period boundary at which the effect applies; and the countersignature of the Neutral Watch Office Director.</w:t>
      </w:r>
    </w:p>
    <w:p>
      <w:pPr>
        <w:pStyle w:val="Heading3"/>
      </w:pPr>
      <w:r>
        <w:rPr>
          <w:rFonts w:ascii="Georgia" w:hAnsi="Georgia"/>
          <w:b/>
          <w:color w:val="3D5566"/>
          <w:sz w:val="22"/>
        </w:rPr>
        <w:t xml:space="preserve">K.6 Wind-Down Protocol</w:t>
      </w:r>
    </w:p>
    <w:p>
      <w:pPr>
        <w:spacing w:before="0" w:after="140" w:line="252" w:lineRule="auto"/>
        <w:jc w:val="both"/>
      </w:pPr>
      <w:r>
        <w:rPr>
          <w:rFonts w:ascii="Georgia" w:hAnsi="Georgia"/>
          <w:color w:val="1E2A32"/>
          <w:sz w:val="21"/>
        </w:rPr>
        <w:t xml:space="preserve">If the Accord lapses under Article 31.2, the wind-down runs 90 days: corridor administration transitions to the interim arrangement the Council adopts under the Twin Key at least 60 days before lapse; the Escrow settles all outstanding cycles and distributes the Stewardship Reserve per the shares then in force; the verification record archives with the depositary for 20 years; and the hotline network remains live until the successor arrangement's network tests complete.</w:t>
      </w:r>
    </w:p>
    <w:p>
      <w:pPr>
        <w:pStyle w:val="Heading2"/>
        <w:pageBreakBefore/>
      </w:pPr>
      <w:bookmarkStart w:id="1056" w:name="_Toc260001056"/>
      <w:r>
        <w:rPr>
          <w:rFonts w:ascii="Georgia" w:hAnsi="Georgia"/>
          <w:b/>
          <w:color w:val="2F4858"/>
          <w:sz w:val="25"/>
        </w:rPr>
        <w:t xml:space="preserve">Annex L: Escalator Worked Examples</w:t>
      </w:r>
      <w:bookmarkEnd w:id="1056"/>
    </w:p>
    <w:p>
      <w:pPr>
        <w:pStyle w:val="Heading3"/>
      </w:pPr>
      <w:r>
        <w:rPr>
          <w:rFonts w:ascii="Georgia" w:hAnsi="Georgia"/>
          <w:b/>
          <w:color w:val="3D5566"/>
          <w:sz w:val="22"/>
        </w:rPr>
        <w:t xml:space="preserve">L.1 Perfect Run</w:t>
      </w:r>
    </w:p>
    <w:p>
      <w:pPr>
        <w:spacing w:before="0" w:after="140" w:line="252" w:lineRule="auto"/>
        <w:jc w:val="both"/>
      </w:pPr>
      <w:r>
        <w:rPr>
          <w:rFonts w:ascii="Georgia" w:hAnsi="Georgia"/>
          <w:color w:val="1E2A32"/>
          <w:sz w:val="21"/>
        </w:rPr>
        <w:t xml:space="preserve">Corridor North activates on Day 35. Weeks one through seven each verify clean. Control Weight climbs 33, 43, 53, 63, 73, 83, 93, and 100 percent at successive period boundaries. Full Unlock arrives on the forty-ninth day of operation. The Permanent Floor activates the same hour. Iran's revenue share steps to its 60 percent cap at the next monthly settlement, and the Council configuration moves through each Annex B row in sequence. Total elapsed time from baseline to Full Unlock: seven weeks.</w:t>
      </w:r>
    </w:p>
    <w:p>
      <w:pPr>
        <w:pStyle w:val="Heading3"/>
      </w:pPr>
      <w:r>
        <w:rPr>
          <w:rFonts w:ascii="Georgia" w:hAnsi="Georgia"/>
          <w:b/>
          <w:color w:val="3D5566"/>
          <w:sz w:val="22"/>
        </w:rPr>
        <w:t xml:space="preserve">L.2 One Pause</w:t>
      </w:r>
    </w:p>
    <w:p>
      <w:pPr>
        <w:spacing w:before="0" w:after="140" w:line="252" w:lineRule="auto"/>
        <w:jc w:val="both"/>
      </w:pPr>
      <w:r>
        <w:rPr>
          <w:rFonts w:ascii="Georgia" w:hAnsi="Georgia"/>
          <w:color w:val="1E2A32"/>
          <w:sz w:val="21"/>
        </w:rPr>
        <w:t xml:space="preserve">Week three fails criterion CW-4 after a hotline lapse: grade E-1. The Escalator pauses seven days; milestones hold at 53 percent. Week three re-runs clean, and the climb resumes to 63 percent at the next boundary. Elapsed cost of the lapse: exactly one week. No negotiation occurs; the clock and the record do all the work.</w:t>
      </w:r>
    </w:p>
    <w:p>
      <w:pPr>
        <w:pStyle w:val="Heading3"/>
      </w:pPr>
      <w:r>
        <w:rPr>
          <w:rFonts w:ascii="Georgia" w:hAnsi="Georgia"/>
          <w:b/>
          <w:color w:val="3D5566"/>
          <w:sz w:val="22"/>
        </w:rPr>
        <w:t xml:space="preserve">L.3 Step-Back and Recovery with Credits</w:t>
      </w:r>
    </w:p>
    <w:p>
      <w:pPr>
        <w:spacing w:before="0" w:after="140" w:line="252" w:lineRule="auto"/>
        <w:jc w:val="both"/>
      </w:pPr>
      <w:r>
        <w:rPr>
          <w:rFonts w:ascii="Georgia" w:hAnsi="Georgia"/>
          <w:color w:val="1E2A32"/>
          <w:sz w:val="21"/>
        </w:rPr>
        <w:t xml:space="preserve">At 73 percent, an unlogged interaction classifies as E-2: the register steps back to 63 percent. Iran banks three Good Conduct Credits from prior clean weeks and redeems them under Article 11.2; the lost step restores at the next boundary. The system returns to 73 percent within seven days of the Event, on the strength of performance already banked.</w:t>
      </w:r>
    </w:p>
    <w:p>
      <w:pPr>
        <w:pStyle w:val="Heading3"/>
      </w:pPr>
      <w:r>
        <w:rPr>
          <w:rFonts w:ascii="Georgia" w:hAnsi="Georgia"/>
          <w:b/>
          <w:color w:val="3D5566"/>
          <w:sz w:val="22"/>
        </w:rPr>
        <w:t xml:space="preserve">L.4 Major Incident with Permanent Floor</w:t>
      </w:r>
    </w:p>
    <w:p>
      <w:pPr>
        <w:spacing w:before="0" w:after="140" w:line="252" w:lineRule="auto"/>
        <w:jc w:val="both"/>
      </w:pPr>
      <w:r>
        <w:rPr>
          <w:rFonts w:ascii="Georgia" w:hAnsi="Georgia"/>
          <w:color w:val="1E2A32"/>
          <w:sz w:val="21"/>
        </w:rPr>
        <w:t xml:space="preserve">After Full Unlock, a detention event classifies as E-3. Absent the floor, the register resets to 33 percent. The Permanent Floor holds the register at 60 percent. Earn-back under Article 12.3 runs 90 days of clean operation with double pace restoration for the first three steps: the register climbs 60, 70, 80, 90, and 100 percent across five clean half-week-equivalents within the earn-back period, and Full Unlock restores. The floor never moves.</w:t>
      </w:r>
    </w:p>
    <w:p>
      <w:pPr>
        <w:pStyle w:val="Heading3"/>
      </w:pPr>
      <w:r>
        <w:rPr>
          <w:rFonts w:ascii="Georgia" w:hAnsi="Georgia"/>
          <w:b/>
          <w:color w:val="3D5566"/>
          <w:sz w:val="22"/>
        </w:rPr>
        <w:t xml:space="preserve">L.5 False Flag</w:t>
      </w:r>
    </w:p>
    <w:p>
      <w:pPr>
        <w:spacing w:before="0" w:after="140" w:line="252" w:lineRule="auto"/>
        <w:jc w:val="both"/>
      </w:pPr>
      <w:r>
        <w:rPr>
          <w:rFonts w:ascii="Georgia" w:hAnsi="Georgia"/>
          <w:color w:val="1E2A32"/>
          <w:sz w:val="21"/>
        </w:rPr>
        <w:t xml:space="preserve">An attack on a tanker occurs in the Buffer Corridor. The attribution deferral window runs; the forensic file attributes the attack to a non-state third actor. No Party receives points, no step-back applies, the incident logs with true attribution, and the Council's joint response addresses the third actor through the security cooperation channel. The Escalator never notices what the Escalator's rules exclude, and the clean week the attack interrupted counts or fails strictly on the Annex C criteria, nothing more.</w:t>
      </w:r>
    </w:p>
    <w:p>
      <w:pPr>
        <w:pStyle w:val="Heading1"/>
        <w:pBdr>
          <w:bottom w:val="single" w:color="8A6D2F" w:sz="10"/>
        </w:pBdr>
      </w:pPr>
      <w:bookmarkStart w:id="1057" w:name="_Toc260001057"/>
      <w:r>
        <w:rPr>
          <w:rFonts w:ascii="Georgia" w:hAnsi="Georgia"/>
          <w:b/>
          <w:color w:val="2F4858"/>
          <w:sz w:val="30"/>
        </w:rPr>
        <w:t xml:space="preserve">CLOSING PROVISIONS</w:t>
      </w:r>
      <w:bookmarkEnd w:id="1057"/>
    </w:p>
    <w:p>
      <w:pPr>
        <w:pStyle w:val="Heading2"/>
      </w:pPr>
      <w:bookmarkStart w:id="1058" w:name="_Toc260001058"/>
      <w:r>
        <w:rPr>
          <w:rFonts w:ascii="Georgia" w:hAnsi="Georgia"/>
          <w:b/>
          <w:color w:val="2F4858"/>
          <w:sz w:val="25"/>
        </w:rPr>
        <w:t xml:space="preserve">Signature and Deposit</w:t>
      </w:r>
      <w:bookmarkEnd w:id="1058"/>
    </w:p>
    <w:p>
      <w:pPr>
        <w:spacing w:before="0" w:after="140" w:line="252" w:lineRule="auto"/>
        <w:jc w:val="both"/>
      </w:pPr>
      <w:r>
        <w:rPr>
          <w:rFonts w:ascii="Georgia" w:hAnsi="Georgia"/>
          <w:color w:val="1E2A32"/>
          <w:sz w:val="21"/>
        </w:rPr>
        <w:t xml:space="preserve">This Accord opens for signature at Muscat. Instruments of acceptance deposit with the Swiss Confederation as depositary. The Accord enters into force under Article 31.1, and Phase R-0 opens the following day at 00:00 UTC.</w:t>
      </w:r>
    </w:p>
    <w:p>
      <w:pPr>
        <w:pStyle w:val="Heading2"/>
      </w:pPr>
      <w:bookmarkStart w:id="1059" w:name="_Toc260001059"/>
      <w:r>
        <w:rPr>
          <w:rFonts w:ascii="Georgia" w:hAnsi="Georgia"/>
          <w:b/>
          <w:color w:val="2F4858"/>
          <w:sz w:val="25"/>
        </w:rPr>
        <w:t xml:space="preserve">The Closing Principle</w:t>
      </w:r>
      <w:bookmarkEnd w:id="1059"/>
    </w:p>
    <w:p>
      <w:pPr>
        <w:spacing w:before="0" w:after="140" w:line="252" w:lineRule="auto"/>
        <w:jc w:val="both"/>
      </w:pPr>
      <w:r>
        <w:rPr>
          <w:rFonts w:ascii="Georgia" w:hAnsi="Georgia"/>
          <w:color w:val="1E2A32"/>
          <w:sz w:val="21"/>
        </w:rPr>
        <w:t xml:space="preserve">The architecture of this Accord rests on one conviction: a system that rewards the behavior it seeks outperforms a system that punishes the behavior it fears. The strait succeeds when its governance becomes boring, when the dashboard updates and nobody watches, when the corridors hum and the headlines move elsewhere. Every Article and every Annex of this Accord exists to make that boredom durable, profitable, and shared.</w:t>
      </w:r>
    </w:p>
    <w:sectPr>
      <w:headerReference w:type="default" r:id="R08af44c92c574427"/>
      <w:headerReference w:type="first" r:id="R10c670464bcc4b89"/>
      <w:footerReference w:type="default" r:id="Raaa0cbbe23234517"/>
      <w:footerReference w:type="first" r:id="R20a63de10f164d66"/>
      <w:pgSz w:w="11906" w:h="16838"/>
      <w:pgMar w:top="1440" w:right="1440" w:bottom="1440" w:left="1440" w:header="720" w:footer="720"/>
      <w:titlePg/>
    </w:sectPr>
  </w:body>
</w:document>
</file>

<file path=word/footer1.xml><?xml version="1.0" encoding="utf-8"?>
<w:ftr xmlns:w="http://schemas.openxmlformats.org/wordprocessingml/2006/main">
  <w:p>
    <w:pPr>
      <w:spacing w:after="0"/>
    </w:pPr>
  </w:p>
</w:ftr>
</file>

<file path=word/footer2.xml><?xml version="1.0" encoding="utf-8"?>
<w:ftr xmlns:w="http://schemas.openxmlformats.org/wordprocessingml/2006/main">
  <w:p>
    <w:pPr>
      <w:jc w:val="center"/>
    </w:pPr>
    <w:r>
      <w:rPr>
        <w:rFonts w:ascii="Georgia" w:hAnsi="Georgia"/>
        <w:color w:val="5E6E78"/>
        <w:sz w:val="16"/>
      </w:rPr>
      <w:t xml:space="preserve">Page </w:t>
    </w:r>
    <w:r>
      <w:rPr>
        <w:rFonts w:ascii="Georgia" w:hAnsi="Georgia"/>
        <w:color w:val="5E6E78"/>
        <w:sz w:val="16"/>
      </w:rPr>
      <w:fldChar w:fldCharType="begin"/>
    </w:r>
    <w:r>
      <w:rPr>
        <w:rFonts w:ascii="Georgia" w:hAnsi="Georgia"/>
        <w:color w:val="5E6E78"/>
        <w:sz w:val="16"/>
      </w:rPr>
      <w:instrText xml:space="preserve"> PAGE </w:instrText>
    </w:r>
    <w:r>
      <w:rPr>
        <w:rFonts w:ascii="Georgia" w:hAnsi="Georgia"/>
        <w:color w:val="5E6E78"/>
        <w:sz w:val="16"/>
      </w:rPr>
      <w:fldChar w:fldCharType="separate"/>
    </w:r>
    <w:r>
      <w:rPr>
        <w:rFonts w:ascii="Georgia" w:hAnsi="Georgia"/>
        <w:color w:val="5E6E78"/>
        <w:sz w:val="16"/>
      </w:rPr>
      <w:t xml:space="preserve">1</w:t>
    </w:r>
    <w:r>
      <w:rPr>
        <w:rFonts w:ascii="Georgia" w:hAnsi="Georgia"/>
        <w:color w:val="5E6E78"/>
        <w:sz w:val="16"/>
      </w:rPr>
      <w:fldChar w:fldCharType="end"/>
    </w:r>
  </w:p>
</w:ftr>
</file>

<file path=word/header1.xml><?xml version="1.0" encoding="utf-8"?>
<w:hdr xmlns:w="http://schemas.openxmlformats.org/wordprocessingml/2006/main">
  <w:p>
    <w:pPr>
      <w:spacing w:after="0"/>
    </w:pPr>
  </w:p>
</w:hdr>
</file>

<file path=word/header2.xml><?xml version="1.0" encoding="utf-8"?>
<w:hdr xmlns:w="http://schemas.openxmlformats.org/wordprocessingml/2006/main">
  <w:p>
    <w:pPr>
      <w:pBdr>
        <w:bottom w:val="single" w:color="7C929E" w:sz="4"/>
      </w:pBdr>
      <w:spacing w:after="40"/>
      <w:jc w:val="right"/>
    </w:pPr>
    <w:r>
      <w:rPr>
        <w:rFonts w:ascii="Georgia" w:hAnsi="Georgia"/>
        <w:i/>
        <w:color w:val="5E6E78"/>
        <w:sz w:val="16"/>
      </w:rPr>
      <w:t xml:space="preserve">The Graduated Gains Provisional Accord  |  v1.0</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10" w:line="252" w:lineRule="auto"/>
      <w:jc w:val="both"/>
    </w:pPr>
    <w:rPr>
      <w:rFonts w:ascii="Georgia" w:hAnsi="Georgia"/>
      <w:color w:val="1E2A32"/>
      <w:sz w:val="21"/>
    </w:rPr>
  </w:style>
  <w:style w:type="paragraph" w:styleId="Heading1">
    <w:name w:val="heading 1"/>
    <w:basedOn w:val="Normal"/>
    <w:pPr>
      <w:keepNext/>
      <w:keepLines/>
      <w:pageBreakBefore/>
      <w:spacing w:before="0" w:after="300" w:line="276" w:lineRule="auto"/>
      <w:outlineLvl w:val="0"/>
    </w:pPr>
    <w:rPr>
      <w:rFonts w:ascii="Georgia" w:hAnsi="Georgia"/>
      <w:b/>
      <w:color w:val="2F4858"/>
      <w:sz w:val="30"/>
    </w:rPr>
  </w:style>
  <w:style w:type="paragraph" w:styleId="Heading2">
    <w:name w:val="heading 2"/>
    <w:basedOn w:val="Normal"/>
    <w:pPr>
      <w:keepNext/>
      <w:keepLines/>
      <w:spacing w:before="340" w:after="160" w:line="276" w:lineRule="auto"/>
      <w:outlineLvl w:val="1"/>
    </w:pPr>
    <w:rPr>
      <w:rFonts w:ascii="Georgia" w:hAnsi="Georgia"/>
      <w:b/>
      <w:color w:val="2F4858"/>
      <w:sz w:val="25"/>
    </w:rPr>
  </w:style>
  <w:style w:type="paragraph" w:styleId="Heading3">
    <w:name w:val="heading 3"/>
    <w:basedOn w:val="Normal"/>
    <w:pPr>
      <w:keepNext/>
      <w:keepLines/>
      <w:spacing w:before="240" w:after="120" w:line="276" w:lineRule="auto"/>
      <w:outlineLvl w:val="2"/>
    </w:pPr>
    <w:rPr>
      <w:rFonts w:ascii="Georgia" w:hAnsi="Georgia"/>
      <w:b/>
      <w:color w:val="3D5566"/>
      <w:sz w:val="22"/>
    </w:rPr>
  </w:style>
  <w:style w:type="paragraph" w:styleId="TOC1">
    <w:name w:val="toc 1"/>
    <w:uiPriority w:val="39"/>
    <w:pPr>
      <w:tabs>
        <w:tab w:val="right" w:leader="dot" w:pos="9010"/>
      </w:tabs>
      <w:spacing w:before="120" w:after="40"/>
    </w:pPr>
    <w:rPr>
      <w:rFonts w:ascii="Calibri" w:hAnsi="Calibri"/>
      <w:b/>
      <w:color w:val="37474F"/>
      <w:sz w:val="21"/>
    </w:rPr>
  </w:style>
  <w:style w:type="paragraph" w:styleId="TOC2">
    <w:name w:val="toc 2"/>
    <w:uiPriority w:val="39"/>
    <w:pPr>
      <w:tabs>
        <w:tab w:val="right" w:leader="dot" w:pos="9010"/>
      </w:tabs>
      <w:spacing w:after="20"/>
      <w:ind w:left="360"/>
    </w:pPr>
    <w:rPr>
      <w:rFonts w:ascii="Calibri" w:hAnsi="Calibri"/>
      <w:color w:val="212121"/>
      <w:sz w:val="20"/>
    </w:rPr>
  </w:style>
  <w:style w:type="character" w:styleId="Hyperlink">
    <w:name w:val="Hyperlink"/>
    <w:uiPriority w:val="99"/>
    <w:unhideWhenUsed/>
    <w:rPr>
      <w:color w:val="0563C1" w:themeColor="hyperlink"/>
      <w:u w:val="single"/>
    </w:rPr>
  </w:style>
</w:styles>
</file>

<file path=word/_rels/document.xml.rels><?xml version='1.0' encoding='UTF-8'?>
<Relationships xmlns="http://schemas.openxmlformats.org/package/2006/relationships"><Relationship Type="http://schemas.openxmlformats.org/officeDocument/2006/relationships/styles" Target="styles.xml" Id="Rced2cc7847ec49db" /><Relationship Type="http://schemas.openxmlformats.org/officeDocument/2006/relationships/settings" Target="settings.xml" Id="R047573d4713a49ea" /><Relationship Type="http://schemas.openxmlformats.org/officeDocument/2006/relationships/header" Target="header1.xml" Id="R10c670464bcc4b89" /><Relationship Type="http://schemas.openxmlformats.org/officeDocument/2006/relationships/footer" Target="footer1.xml" Id="R20a63de10f164d66" /><Relationship Type="http://schemas.openxmlformats.org/officeDocument/2006/relationships/header" Target="header2.xml" Id="R08af44c92c574427" /><Relationship Type="http://schemas.openxmlformats.org/officeDocument/2006/relationships/footer" Target="footer2.xml" Id="Raaa0cbbe23234517" /></Relationships>
</file>