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jc w:val="center"/>
      </w:pPr>
    </w:p>
    <w:p>
      <w:pPr>
        <w:spacing w:before="0" w:after="0"/>
        <w:jc w:val="center"/>
      </w:pPr>
    </w:p>
    <w:p>
      <w:pPr>
        <w:spacing w:before="0" w:after="0"/>
        <w:jc w:val="center"/>
      </w:pPr>
    </w:p>
    <w:p>
      <w:pPr>
        <w:spacing w:before="0" w:after="360"/>
        <w:jc w:val="center"/>
      </w:pPr>
      <w:r>
        <w:rPr>
          <w:rFonts w:asciiTheme="majorHAnsi" w:hAnsiTheme="majorHAnsi"/>
          <w:b/>
          <w:color w:val="2E4A5E"/>
          <w:spacing w:val="50"/>
          <w:sz w:val="44"/>
          <w:szCs w:val="44"/>
        </w:rPr>
        <w:t xml:space="preserve">THE GULF ENERGY CORRIDOR SECURITY CHARTER</w:t>
      </w:r>
    </w:p>
    <w:p>
      <w:pPr>
        <w:spacing w:before="0" w:after="720"/>
        <w:jc w:val="center"/>
      </w:pPr>
      <w:r>
        <w:rPr>
          <w:color w:val="595959"/>
          <w:sz w:val="26"/>
          <w:szCs w:val="26"/>
        </w:rPr>
        <w:t xml:space="preserve">A Multilateral Governance Architecture for the Strait of Hormuz</w:t>
      </w:r>
    </w:p>
    <w:p>
      <w:pPr>
        <w:pBdr>
          <w:bottom w:val="single" w:sz="6" w:space="1" w:color="7F7F7F"/>
        </w:pBdr>
        <w:ind w:left="2304" w:right="2304"/>
        <w:spacing w:before="120" w:after="120"/>
      </w:pPr>
    </w:p>
    <w:p>
      <w:pPr>
        <w:spacing w:before="240" w:after="200"/>
        <w:jc w:val="center"/>
      </w:pPr>
      <w:r>
        <w:rPr>
          <w:b/>
          <w:color w:val="404040"/>
          <w:sz w:val="22"/>
          <w:szCs w:val="22"/>
        </w:rPr>
        <w:t xml:space="preserve">Version 1.0 · August 2026</w:t>
      </w:r>
    </w:p>
    <w:p>
      <w:pPr>
        <w:spacing w:before="0" w:after="200"/>
        <w:jc w:val="center"/>
      </w:pPr>
      <w:r>
        <w:rPr>
          <w:color w:val="595959"/>
          <w:sz w:val="20"/>
          <w:szCs w:val="20"/>
        </w:rPr>
        <w:t xml:space="preserve">Founding Edition · Negotiating Draft for Authorized Participants</w:t>
      </w:r>
    </w:p>
    <w:p>
      <w:pPr>
        <w:spacing w:before="0" w:after="1400"/>
        <w:jc w:val="center"/>
      </w:pPr>
      <w:r>
        <w:rPr>
          <w:i/>
          <w:color w:val="808080"/>
          <w:sz w:val="18"/>
          <w:szCs w:val="18"/>
        </w:rPr>
        <w:t xml:space="preserve">Drafted in strict adherence to the Immutable Present-Tense Matrix, with the Nofade Rule as first among equals</w:t>
      </w:r>
    </w:p>
    <w:p>
      <w:pPr>
        <w:spacing w:before="0" w:after="240"/>
        <w:jc w:val="center"/>
      </w:pPr>
      <w:r>
        <w:rPr>
          <w:b/>
          <w:color w:val="2E4A5E"/>
          <w:sz w:val="22"/>
          <w:szCs w:val="22"/>
        </w:rPr>
        <w:t xml:space="preserve">The Islamic Republic of Iran · The Sultanate of Oman</w:t>
      </w:r>
    </w:p>
    <w:p>
      <w:pPr>
        <w:spacing w:before="0" w:after="240"/>
        <w:jc w:val="center"/>
      </w:pPr>
      <w:r>
        <w:rPr>
          <w:color w:val="595959"/>
          <w:sz w:val="20"/>
          <w:szCs w:val="20"/>
        </w:rPr>
        <w:t xml:space="preserve">with the participation of the Gulf Cooperation Council states, in consultation with the United States of America, the European maritime community, and major user states</w:t>
      </w:r>
    </w:p>
    <w:p>
      <w:pPr>
        <w:spacing w:before="0" w:after="200"/>
        <w:jc w:val="center"/>
      </w:pPr>
      <w:r>
        <w:rPr>
          <w:color w:val="595959"/>
          <w:sz w:val="20"/>
          <w:szCs w:val="20"/>
        </w:rPr>
        <w:t xml:space="preserve">Depositary: The Ministry of Foreign Affairs of the Sultanate of Oman · Fiduciary Administration: The Swiss Confederation</w:t>
      </w:r>
    </w:p>
    <w:p>
      <w:pPr>
        <w:spacing w:before="0" w:after="1400"/>
        <w:jc w:val="center"/>
      </w:pPr>
      <w:r>
        <w:rPr>
          <w:color w:val="595959"/>
          <w:sz w:val="20"/>
          <w:szCs w:val="20"/>
        </w:rPr>
        <w:t xml:space="preserve">Facilitators: The Swiss Confederation, the Islamic Republic of Pakistan, and the State of Qatar</w:t>
      </w:r>
    </w:p>
    <w:p>
      <w:pPr>
        <w:spacing w:before="0" w:after="0"/>
        <w:jc w:val="center"/>
      </w:pPr>
      <w:r>
        <w:rPr>
          <w:i/>
          <w:color w:val="808080"/>
          <w:sz w:val="18"/>
          <w:szCs w:val="18"/>
        </w:rPr>
        <w:t xml:space="preserve">Seated at the Hormuz Navigation Center, Muscat, with the Even Keel Verification Office and the Joint Event Review Cell</w:t>
      </w:r>
    </w:p>
    <w:p>
      <w:pPr>
        <w:sectPr>
          <w:pgSz w:w="12240" w:h="15840"/>
          <w:pgMar w:top="1440" w:right="1440" w:bottom="1440" w:left="1440" w:header="720" w:footer="720" w:gutter="0"/>
          <w:pgBorders w:offsetFrom="page">
            <w:top w:val="single" w:sz="8" w:space="28" w:color="3F5A6B"/>
            <w:left w:val="single" w:sz="8" w:space="28" w:color="3F5A6B"/>
            <w:bottom w:val="single" w:sz="8" w:space="28" w:color="3F5A6B"/>
            <w:right w:val="single" w:sz="8" w:space="28" w:color="3F5A6B"/>
          </w:pgBorders>
        </w:sectPr>
      </w:pPr>
    </w:p>
    <w:p>
      <w:pPr>
        <w:spacing w:before="240" w:after="480"/>
      </w:pPr>
      <w:r>
        <w:rPr>
          <w:b/>
          <w:color w:val="2E4A5E"/>
          <w:spacing w:val="40"/>
          <w:sz w:val="30"/>
          <w:szCs w:val="30"/>
        </w:rPr>
        <w:t>TABLE OF CONTENTS</w:t>
      </w:r>
    </w:p>
    <w:p>
      <w:pPr>
        <w:tabs>
          <w:tab w:val="right" w:leader="dot" w:pos="9360"/>
        </w:tabs>
        <w:spacing w:after="100"/>
      </w:pPr>
      <w:r>
        <w:rPr>
          <w:color w:val="333333"/>
          <w:sz w:val="22"/>
          <w:szCs w:val="22"/>
        </w:rPr>
        <w:t xml:space="preserve">Document Status and Instrument Record</w:t>
      </w:r>
      <w:r>
        <w:rPr>
          <w:color w:val="333333"/>
          <w:sz w:val="22"/>
          <w:szCs w:val="22"/>
        </w:rPr>
        <w:tab/>
        <w:t>4</w:t>
      </w:r>
    </w:p>
    <w:p>
      <w:pPr>
        <w:tabs>
          <w:tab w:val="right" w:leader="dot" w:pos="9360"/>
        </w:tabs>
        <w:spacing w:after="100"/>
      </w:pPr>
      <w:r>
        <w:rPr>
          <w:color w:val="333333"/>
          <w:sz w:val="22"/>
          <w:szCs w:val="22"/>
        </w:rPr>
        <w:t xml:space="preserve">Cover Note of the Facilitating States</w:t>
      </w:r>
      <w:r>
        <w:rPr>
          <w:color w:val="333333"/>
          <w:sz w:val="22"/>
          <w:szCs w:val="22"/>
        </w:rPr>
        <w:tab/>
        <w:t>6</w:t>
      </w:r>
    </w:p>
    <w:p>
      <w:pPr>
        <w:tabs>
          <w:tab w:val="right" w:leader="dot" w:pos="9360"/>
        </w:tabs>
        <w:spacing w:after="100"/>
      </w:pPr>
      <w:r>
        <w:rPr>
          <w:color w:val="333333"/>
          <w:sz w:val="22"/>
          <w:szCs w:val="22"/>
        </w:rPr>
        <w:t xml:space="preserve">Drafting Convention and Method</w:t>
      </w:r>
      <w:r>
        <w:rPr>
          <w:color w:val="333333"/>
          <w:sz w:val="22"/>
          <w:szCs w:val="22"/>
        </w:rPr>
        <w:tab/>
        <w:t>7</w:t>
      </w:r>
    </w:p>
    <w:p>
      <w:pPr>
        <w:tabs>
          <w:tab w:val="right" w:leader="dot" w:pos="9360"/>
        </w:tabs>
        <w:spacing w:after="100"/>
      </w:pPr>
      <w:r>
        <w:rPr>
          <w:color w:val="333333"/>
          <w:sz w:val="22"/>
          <w:szCs w:val="22"/>
        </w:rPr>
        <w:t xml:space="preserve">Reader’s Guide: The Charter in Twenty Minutes</w:t>
      </w:r>
      <w:r>
        <w:rPr>
          <w:color w:val="333333"/>
          <w:sz w:val="22"/>
          <w:szCs w:val="22"/>
        </w:rPr>
        <w:tab/>
        <w:t>9</w:t>
      </w:r>
    </w:p>
    <w:p>
      <w:pPr>
        <w:tabs>
          <w:tab w:val="right" w:leader="dot" w:pos="9360"/>
        </w:tabs>
        <w:spacing w:after="100"/>
      </w:pPr>
      <w:r>
        <w:rPr>
          <w:color w:val="333333"/>
          <w:sz w:val="22"/>
          <w:szCs w:val="22"/>
        </w:rPr>
        <w:t xml:space="preserve">Situation Assessment: The Strait on 6 August 2026</w:t>
      </w:r>
      <w:r>
        <w:rPr>
          <w:color w:val="333333"/>
          <w:sz w:val="22"/>
          <w:szCs w:val="22"/>
        </w:rPr>
        <w:tab/>
        <w:t>11</w:t>
      </w:r>
    </w:p>
    <w:p>
      <w:pPr>
        <w:tabs>
          <w:tab w:val="right" w:leader="dot" w:pos="9360"/>
        </w:tabs>
        <w:spacing w:after="100"/>
      </w:pPr>
      <w:r>
        <w:rPr>
          <w:color w:val="333333"/>
          <w:sz w:val="22"/>
          <w:szCs w:val="22"/>
        </w:rPr>
        <w:t xml:space="preserve">Preamble: The Shared Stewardship of the Energy Corridor</w:t>
      </w:r>
      <w:r>
        <w:rPr>
          <w:color w:val="333333"/>
          <w:sz w:val="22"/>
          <w:szCs w:val="22"/>
        </w:rPr>
        <w:tab/>
        <w:t>13</w:t>
      </w:r>
    </w:p>
    <w:p>
      <w:pPr>
        <w:tabs>
          <w:tab w:val="right" w:leader="dot" w:pos="9360"/>
        </w:tabs>
        <w:spacing w:after="100"/>
      </w:pPr>
      <w:r>
        <w:rPr>
          <w:color w:val="333333"/>
          <w:sz w:val="22"/>
          <w:szCs w:val="22"/>
        </w:rPr>
        <w:t xml:space="preserve">The Red Lines Register: Core Principles and Their Safeguards</w:t>
      </w:r>
      <w:r>
        <w:rPr>
          <w:color w:val="333333"/>
          <w:sz w:val="22"/>
          <w:szCs w:val="22"/>
        </w:rPr>
        <w:tab/>
        <w:t>14</w:t>
      </w:r>
    </w:p>
    <w:p>
      <w:pPr>
        <w:tabs>
          <w:tab w:val="right" w:leader="dot" w:pos="9360"/>
        </w:tabs>
        <w:spacing w:after="100"/>
      </w:pPr>
      <w:r>
        <w:rPr>
          <w:b/>
          <w:color w:val="2E4A5E"/>
          <w:sz w:val="22"/>
          <w:szCs w:val="22"/>
        </w:rPr>
        <w:t xml:space="preserve">Part I: Foundations</w:t>
      </w:r>
      <w:r>
        <w:rPr>
          <w:b/>
          <w:color w:val="2E4A5E"/>
          <w:sz w:val="22"/>
          <w:szCs w:val="22"/>
        </w:rPr>
        <w:tab/>
        <w:t>16</w:t>
      </w:r>
    </w:p>
    <w:p>
      <w:pPr>
        <w:tabs>
          <w:tab w:val="right" w:leader="dot" w:pos="9360"/>
        </w:tabs>
        <w:ind w:left="360"/>
        <w:spacing w:after="60"/>
      </w:pPr>
      <w:r>
        <w:rPr>
          <w:color w:val="333333"/>
          <w:sz w:val="22"/>
          <w:szCs w:val="22"/>
        </w:rPr>
        <w:t xml:space="preserve">Article 1: Establishment, Purpose, and Scope</w:t>
      </w:r>
      <w:r>
        <w:rPr>
          <w:color w:val="333333"/>
          <w:sz w:val="22"/>
          <w:szCs w:val="22"/>
        </w:rPr>
        <w:tab/>
        <w:t>16</w:t>
      </w:r>
    </w:p>
    <w:p>
      <w:pPr>
        <w:tabs>
          <w:tab w:val="right" w:leader="dot" w:pos="9360"/>
        </w:tabs>
        <w:ind w:left="360"/>
        <w:spacing w:after="60"/>
      </w:pPr>
      <w:r>
        <w:rPr>
          <w:color w:val="333333"/>
          <w:sz w:val="22"/>
          <w:szCs w:val="22"/>
        </w:rPr>
        <w:t xml:space="preserve">Article 2: Legal Foundations and Relationship to International Law</w:t>
      </w:r>
      <w:r>
        <w:rPr>
          <w:color w:val="333333"/>
          <w:sz w:val="22"/>
          <w:szCs w:val="22"/>
        </w:rPr>
        <w:tab/>
        <w:t>17</w:t>
      </w:r>
    </w:p>
    <w:p>
      <w:pPr>
        <w:tabs>
          <w:tab w:val="right" w:leader="dot" w:pos="9360"/>
        </w:tabs>
        <w:ind w:left="360"/>
        <w:spacing w:after="60"/>
      </w:pPr>
      <w:r>
        <w:rPr>
          <w:color w:val="333333"/>
          <w:sz w:val="22"/>
          <w:szCs w:val="22"/>
        </w:rPr>
        <w:t xml:space="preserve">Article 3: Core Operating Principles</w:t>
      </w:r>
      <w:r>
        <w:rPr>
          <w:color w:val="333333"/>
          <w:sz w:val="22"/>
          <w:szCs w:val="22"/>
        </w:rPr>
        <w:tab/>
        <w:t>19</w:t>
      </w:r>
    </w:p>
    <w:p>
      <w:pPr>
        <w:tabs>
          <w:tab w:val="right" w:leader="dot" w:pos="9360"/>
        </w:tabs>
        <w:ind w:left="360"/>
        <w:spacing w:after="60"/>
      </w:pPr>
      <w:r>
        <w:rPr>
          <w:color w:val="333333"/>
          <w:sz w:val="22"/>
          <w:szCs w:val="22"/>
        </w:rPr>
        <w:t xml:space="preserve">Article 4: Definitions and Interpretation</w:t>
      </w:r>
      <w:r>
        <w:rPr>
          <w:color w:val="333333"/>
          <w:sz w:val="22"/>
          <w:szCs w:val="22"/>
        </w:rPr>
        <w:tab/>
        <w:t>21</w:t>
      </w:r>
    </w:p>
    <w:p>
      <w:pPr>
        <w:tabs>
          <w:tab w:val="right" w:leader="dot" w:pos="9360"/>
        </w:tabs>
        <w:ind w:left="360"/>
        <w:spacing w:after="60"/>
      </w:pPr>
      <w:r>
        <w:rPr>
          <w:color w:val="333333"/>
          <w:sz w:val="22"/>
          <w:szCs w:val="22"/>
        </w:rPr>
        <w:t xml:space="preserve">Article 5: Succession of the Interim Arrangements</w:t>
      </w:r>
      <w:r>
        <w:rPr>
          <w:color w:val="333333"/>
          <w:sz w:val="22"/>
          <w:szCs w:val="22"/>
        </w:rPr>
        <w:tab/>
        <w:t>24</w:t>
      </w:r>
    </w:p>
    <w:p>
      <w:pPr>
        <w:tabs>
          <w:tab w:val="right" w:leader="dot" w:pos="9360"/>
        </w:tabs>
        <w:spacing w:after="100"/>
      </w:pPr>
      <w:r>
        <w:rPr>
          <w:b/>
          <w:color w:val="2E4A5E"/>
          <w:sz w:val="22"/>
          <w:szCs w:val="22"/>
        </w:rPr>
        <w:t xml:space="preserve">Part II: The Triple-Corridor Transit System</w:t>
      </w:r>
      <w:r>
        <w:rPr>
          <w:b/>
          <w:color w:val="2E4A5E"/>
          <w:sz w:val="22"/>
          <w:szCs w:val="22"/>
        </w:rPr>
        <w:tab/>
        <w:t>25</w:t>
      </w:r>
    </w:p>
    <w:p>
      <w:pPr>
        <w:tabs>
          <w:tab w:val="right" w:leader="dot" w:pos="9360"/>
        </w:tabs>
        <w:ind w:left="360"/>
        <w:spacing w:after="60"/>
      </w:pPr>
      <w:r>
        <w:rPr>
          <w:color w:val="333333"/>
          <w:sz w:val="22"/>
          <w:szCs w:val="22"/>
        </w:rPr>
        <w:t xml:space="preserve">Article 6: The Corridor System at a Glance</w:t>
      </w:r>
      <w:r>
        <w:rPr>
          <w:color w:val="333333"/>
          <w:sz w:val="22"/>
          <w:szCs w:val="22"/>
        </w:rPr>
        <w:tab/>
        <w:t>25</w:t>
      </w:r>
    </w:p>
    <w:p>
      <w:pPr>
        <w:tabs>
          <w:tab w:val="right" w:leader="dot" w:pos="9360"/>
        </w:tabs>
        <w:ind w:left="360"/>
        <w:spacing w:after="60"/>
      </w:pPr>
      <w:r>
        <w:rPr>
          <w:color w:val="333333"/>
          <w:sz w:val="22"/>
          <w:szCs w:val="22"/>
        </w:rPr>
        <w:t xml:space="preserve">Article 7: The Outbound Assurance Corridor</w:t>
      </w:r>
      <w:r>
        <w:rPr>
          <w:color w:val="333333"/>
          <w:sz w:val="22"/>
          <w:szCs w:val="22"/>
        </w:rPr>
        <w:tab/>
        <w:t>27</w:t>
      </w:r>
    </w:p>
    <w:p>
      <w:pPr>
        <w:tabs>
          <w:tab w:val="right" w:leader="dot" w:pos="9360"/>
        </w:tabs>
        <w:ind w:left="360"/>
        <w:spacing w:after="60"/>
      </w:pPr>
      <w:r>
        <w:rPr>
          <w:color w:val="333333"/>
          <w:sz w:val="22"/>
          <w:szCs w:val="22"/>
        </w:rPr>
        <w:t xml:space="preserve">Article 8: The Inbound Coordination Corridor</w:t>
      </w:r>
      <w:r>
        <w:rPr>
          <w:color w:val="333333"/>
          <w:sz w:val="22"/>
          <w:szCs w:val="22"/>
        </w:rPr>
        <w:tab/>
        <w:t>28</w:t>
      </w:r>
    </w:p>
    <w:p>
      <w:pPr>
        <w:tabs>
          <w:tab w:val="right" w:leader="dot" w:pos="9360"/>
        </w:tabs>
        <w:ind w:left="360"/>
        <w:spacing w:after="60"/>
      </w:pPr>
      <w:r>
        <w:rPr>
          <w:color w:val="333333"/>
          <w:sz w:val="22"/>
          <w:szCs w:val="22"/>
        </w:rPr>
        <w:t xml:space="preserve">Article 9: The Central Deconfliction Corridor</w:t>
      </w:r>
      <w:r>
        <w:rPr>
          <w:color w:val="333333"/>
          <w:sz w:val="22"/>
          <w:szCs w:val="22"/>
        </w:rPr>
        <w:tab/>
        <w:t>29</w:t>
      </w:r>
    </w:p>
    <w:p>
      <w:pPr>
        <w:tabs>
          <w:tab w:val="right" w:leader="dot" w:pos="9360"/>
        </w:tabs>
        <w:ind w:left="360"/>
        <w:spacing w:after="60"/>
      </w:pPr>
      <w:r>
        <w:rPr>
          <w:color w:val="333333"/>
          <w:sz w:val="22"/>
          <w:szCs w:val="22"/>
        </w:rPr>
        <w:t xml:space="preserve">Article 10: Safe Passage Guarantees and the Non-Interdiction Protocol</w:t>
      </w:r>
      <w:r>
        <w:rPr>
          <w:color w:val="333333"/>
          <w:sz w:val="22"/>
          <w:szCs w:val="22"/>
        </w:rPr>
        <w:tab/>
        <w:t>30</w:t>
      </w:r>
    </w:p>
    <w:p>
      <w:pPr>
        <w:tabs>
          <w:tab w:val="right" w:leader="dot" w:pos="9360"/>
        </w:tabs>
        <w:ind w:left="360"/>
        <w:spacing w:after="60"/>
      </w:pPr>
      <w:r>
        <w:rPr>
          <w:color w:val="333333"/>
          <w:sz w:val="22"/>
          <w:szCs w:val="22"/>
        </w:rPr>
        <w:t xml:space="preserve">Article 11: Vessel Classification and Differentiated Treatment</w:t>
      </w:r>
      <w:r>
        <w:rPr>
          <w:color w:val="333333"/>
          <w:sz w:val="22"/>
          <w:szCs w:val="22"/>
        </w:rPr>
        <w:tab/>
        <w:t>31</w:t>
      </w:r>
    </w:p>
    <w:p>
      <w:pPr>
        <w:tabs>
          <w:tab w:val="right" w:leader="dot" w:pos="9360"/>
        </w:tabs>
        <w:ind w:left="360"/>
        <w:spacing w:after="60"/>
      </w:pPr>
      <w:r>
        <w:rPr>
          <w:color w:val="333333"/>
          <w:sz w:val="22"/>
          <w:szCs w:val="22"/>
        </w:rPr>
        <w:t xml:space="preserve">Article 12: Speed, Spacing, and Traffic Management</w:t>
      </w:r>
      <w:r>
        <w:rPr>
          <w:color w:val="333333"/>
          <w:sz w:val="22"/>
          <w:szCs w:val="22"/>
        </w:rPr>
        <w:tab/>
        <w:t>33</w:t>
      </w:r>
    </w:p>
    <w:p>
      <w:pPr>
        <w:tabs>
          <w:tab w:val="right" w:leader="dot" w:pos="9360"/>
        </w:tabs>
        <w:spacing w:after="100"/>
      </w:pPr>
      <w:r>
        <w:rPr>
          <w:b/>
          <w:color w:val="2E4A5E"/>
          <w:sz w:val="22"/>
          <w:szCs w:val="22"/>
        </w:rPr>
        <w:t xml:space="preserve">Part III: Institutional Architecture</w:t>
      </w:r>
      <w:r>
        <w:rPr>
          <w:b/>
          <w:color w:val="2E4A5E"/>
          <w:sz w:val="22"/>
          <w:szCs w:val="22"/>
        </w:rPr>
        <w:tab/>
        <w:t>35</w:t>
      </w:r>
    </w:p>
    <w:p>
      <w:pPr>
        <w:tabs>
          <w:tab w:val="right" w:leader="dot" w:pos="9360"/>
        </w:tabs>
        <w:ind w:left="360"/>
        <w:spacing w:after="60"/>
      </w:pPr>
      <w:r>
        <w:rPr>
          <w:color w:val="333333"/>
          <w:sz w:val="22"/>
          <w:szCs w:val="22"/>
        </w:rPr>
        <w:t xml:space="preserve">Article 13: The Gulf Energy Corridor Authority</w:t>
      </w:r>
      <w:r>
        <w:rPr>
          <w:color w:val="333333"/>
          <w:sz w:val="22"/>
          <w:szCs w:val="22"/>
        </w:rPr>
        <w:tab/>
        <w:t>35</w:t>
      </w:r>
    </w:p>
    <w:p>
      <w:pPr>
        <w:tabs>
          <w:tab w:val="right" w:leader="dot" w:pos="9360"/>
        </w:tabs>
        <w:ind w:left="360"/>
        <w:spacing w:after="60"/>
      </w:pPr>
      <w:r>
        <w:rPr>
          <w:color w:val="333333"/>
          <w:sz w:val="22"/>
          <w:szCs w:val="22"/>
        </w:rPr>
        <w:t xml:space="preserve">Article 14: The Hormuz Navigation Center</w:t>
      </w:r>
      <w:r>
        <w:rPr>
          <w:color w:val="333333"/>
          <w:sz w:val="22"/>
          <w:szCs w:val="22"/>
        </w:rPr>
        <w:tab/>
        <w:t>37</w:t>
      </w:r>
    </w:p>
    <w:p>
      <w:pPr>
        <w:tabs>
          <w:tab w:val="right" w:leader="dot" w:pos="9360"/>
        </w:tabs>
        <w:ind w:left="360"/>
        <w:spacing w:after="60"/>
      </w:pPr>
      <w:r>
        <w:rPr>
          <w:color w:val="333333"/>
          <w:sz w:val="22"/>
          <w:szCs w:val="22"/>
        </w:rPr>
        <w:t xml:space="preserve">Article 15: The Even Keel Verification Office and the Civilian Character Clause</w:t>
      </w:r>
      <w:r>
        <w:rPr>
          <w:color w:val="333333"/>
          <w:sz w:val="22"/>
          <w:szCs w:val="22"/>
        </w:rPr>
        <w:tab/>
        <w:t>39</w:t>
      </w:r>
    </w:p>
    <w:p>
      <w:pPr>
        <w:tabs>
          <w:tab w:val="right" w:leader="dot" w:pos="9360"/>
        </w:tabs>
        <w:ind w:left="360"/>
        <w:spacing w:after="60"/>
      </w:pPr>
      <w:r>
        <w:rPr>
          <w:color w:val="333333"/>
          <w:sz w:val="22"/>
          <w:szCs w:val="22"/>
        </w:rPr>
        <w:t xml:space="preserve">Article 16: Decision Rules</w:t>
      </w:r>
      <w:r>
        <w:rPr>
          <w:color w:val="333333"/>
          <w:sz w:val="22"/>
          <w:szCs w:val="22"/>
        </w:rPr>
        <w:tab/>
        <w:t>40</w:t>
      </w:r>
    </w:p>
    <w:p>
      <w:pPr>
        <w:tabs>
          <w:tab w:val="right" w:leader="dot" w:pos="9360"/>
        </w:tabs>
        <w:ind w:left="360"/>
        <w:spacing w:after="60"/>
      </w:pPr>
      <w:r>
        <w:rPr>
          <w:color w:val="333333"/>
          <w:sz w:val="22"/>
          <w:szCs w:val="22"/>
        </w:rPr>
        <w:t xml:space="preserve">Article 17: Observers and International Participation</w:t>
      </w:r>
      <w:r>
        <w:rPr>
          <w:color w:val="333333"/>
          <w:sz w:val="22"/>
          <w:szCs w:val="22"/>
        </w:rPr>
        <w:tab/>
        <w:t>41</w:t>
      </w:r>
    </w:p>
    <w:p>
      <w:pPr>
        <w:tabs>
          <w:tab w:val="right" w:leader="dot" w:pos="9360"/>
        </w:tabs>
        <w:ind w:left="360"/>
        <w:spacing w:after="60"/>
      </w:pPr>
      <w:r>
        <w:rPr>
          <w:color w:val="333333"/>
          <w:sz w:val="22"/>
          <w:szCs w:val="22"/>
        </w:rPr>
        <w:t xml:space="preserve">Article 18: Joint Training, Exercises, and Operational Readiness</w:t>
      </w:r>
      <w:r>
        <w:rPr>
          <w:color w:val="333333"/>
          <w:sz w:val="22"/>
          <w:szCs w:val="22"/>
        </w:rPr>
        <w:tab/>
        <w:t>43</w:t>
      </w:r>
    </w:p>
    <w:p>
      <w:pPr>
        <w:tabs>
          <w:tab w:val="right" w:leader="dot" w:pos="9360"/>
        </w:tabs>
        <w:spacing w:after="100"/>
      </w:pPr>
      <w:r>
        <w:rPr>
          <w:b/>
          <w:color w:val="2E4A5E"/>
          <w:sz w:val="22"/>
          <w:szCs w:val="22"/>
        </w:rPr>
        <w:t xml:space="preserve">Part IV: Financial Architecture: The Settlement of the Toll Question</w:t>
      </w:r>
      <w:r>
        <w:rPr>
          <w:b/>
          <w:color w:val="2E4A5E"/>
          <w:sz w:val="22"/>
          <w:szCs w:val="22"/>
        </w:rPr>
        <w:tab/>
        <w:t>44</w:t>
      </w:r>
    </w:p>
    <w:p>
      <w:pPr>
        <w:tabs>
          <w:tab w:val="right" w:leader="dot" w:pos="9360"/>
        </w:tabs>
        <w:ind w:left="360"/>
        <w:spacing w:after="60"/>
      </w:pPr>
      <w:r>
        <w:rPr>
          <w:color w:val="333333"/>
          <w:sz w:val="22"/>
          <w:szCs w:val="22"/>
        </w:rPr>
        <w:t xml:space="preserve">Article 19: The Zero-Toll Rule</w:t>
      </w:r>
      <w:r>
        <w:rPr>
          <w:color w:val="333333"/>
          <w:sz w:val="22"/>
          <w:szCs w:val="22"/>
        </w:rPr>
        <w:tab/>
        <w:t>44</w:t>
      </w:r>
    </w:p>
    <w:p>
      <w:pPr>
        <w:tabs>
          <w:tab w:val="right" w:leader="dot" w:pos="9360"/>
        </w:tabs>
        <w:ind w:left="360"/>
        <w:spacing w:after="60"/>
      </w:pPr>
      <w:r>
        <w:rPr>
          <w:color w:val="333333"/>
          <w:sz w:val="22"/>
          <w:szCs w:val="22"/>
        </w:rPr>
        <w:t xml:space="preserve">Article 20: The Settlement at a Glance</w:t>
      </w:r>
      <w:r>
        <w:rPr>
          <w:color w:val="333333"/>
          <w:sz w:val="22"/>
          <w:szCs w:val="22"/>
        </w:rPr>
        <w:tab/>
        <w:t>45</w:t>
      </w:r>
    </w:p>
    <w:p>
      <w:pPr>
        <w:tabs>
          <w:tab w:val="right" w:leader="dot" w:pos="9360"/>
        </w:tabs>
        <w:ind w:left="360"/>
        <w:spacing w:after="60"/>
      </w:pPr>
      <w:r>
        <w:rPr>
          <w:color w:val="333333"/>
          <w:sz w:val="22"/>
          <w:szCs w:val="22"/>
        </w:rPr>
        <w:t xml:space="preserve">Article 21: The Gulf Energy Corridor Fund</w:t>
      </w:r>
      <w:r>
        <w:rPr>
          <w:color w:val="333333"/>
          <w:sz w:val="22"/>
          <w:szCs w:val="22"/>
        </w:rPr>
        <w:tab/>
        <w:t>46</w:t>
      </w:r>
    </w:p>
    <w:p>
      <w:pPr>
        <w:tabs>
          <w:tab w:val="right" w:leader="dot" w:pos="9360"/>
        </w:tabs>
        <w:ind w:left="360"/>
        <w:spacing w:after="60"/>
      </w:pPr>
      <w:r>
        <w:rPr>
          <w:color w:val="333333"/>
          <w:sz w:val="22"/>
          <w:szCs w:val="22"/>
        </w:rPr>
        <w:t xml:space="preserve">Article 22: Contributions, Reimbursement, and Revenue Distribution</w:t>
      </w:r>
      <w:r>
        <w:rPr>
          <w:color w:val="333333"/>
          <w:sz w:val="22"/>
          <w:szCs w:val="22"/>
        </w:rPr>
        <w:tab/>
        <w:t>47</w:t>
      </w:r>
    </w:p>
    <w:p>
      <w:pPr>
        <w:tabs>
          <w:tab w:val="right" w:leader="dot" w:pos="9360"/>
        </w:tabs>
        <w:ind w:left="360"/>
        <w:spacing w:after="60"/>
      </w:pPr>
      <w:r>
        <w:rPr>
          <w:color w:val="333333"/>
          <w:sz w:val="22"/>
          <w:szCs w:val="22"/>
        </w:rPr>
        <w:t xml:space="preserve">Article 23: The Sanctions-Compatible Payment Channel</w:t>
      </w:r>
      <w:r>
        <w:rPr>
          <w:color w:val="333333"/>
          <w:sz w:val="22"/>
          <w:szCs w:val="22"/>
        </w:rPr>
        <w:tab/>
        <w:t>50</w:t>
      </w:r>
    </w:p>
    <w:p>
      <w:pPr>
        <w:tabs>
          <w:tab w:val="right" w:leader="dot" w:pos="9360"/>
        </w:tabs>
        <w:ind w:left="360"/>
        <w:spacing w:after="60"/>
      </w:pPr>
      <w:r>
        <w:rPr>
          <w:color w:val="333333"/>
          <w:sz w:val="22"/>
          <w:szCs w:val="22"/>
        </w:rPr>
        <w:t xml:space="preserve">Article 24: Budget, Audit, and Cost Discipline</w:t>
      </w:r>
      <w:r>
        <w:rPr>
          <w:color w:val="333333"/>
          <w:sz w:val="22"/>
          <w:szCs w:val="22"/>
        </w:rPr>
        <w:tab/>
        <w:t>51</w:t>
      </w:r>
    </w:p>
    <w:p>
      <w:pPr>
        <w:tabs>
          <w:tab w:val="right" w:leader="dot" w:pos="9360"/>
        </w:tabs>
        <w:spacing w:after="100"/>
      </w:pPr>
      <w:r>
        <w:rPr>
          <w:b/>
          <w:color w:val="2E4A5E"/>
          <w:sz w:val="22"/>
          <w:szCs w:val="22"/>
        </w:rPr>
        <w:t xml:space="preserve">Part V: Safety, Security, and Environmental Protection</w:t>
      </w:r>
      <w:r>
        <w:rPr>
          <w:b/>
          <w:color w:val="2E4A5E"/>
          <w:sz w:val="22"/>
          <w:szCs w:val="22"/>
        </w:rPr>
        <w:tab/>
        <w:t>52</w:t>
      </w:r>
    </w:p>
    <w:p>
      <w:pPr>
        <w:tabs>
          <w:tab w:val="right" w:leader="dot" w:pos="9360"/>
        </w:tabs>
        <w:ind w:left="360"/>
        <w:spacing w:after="60"/>
      </w:pPr>
      <w:r>
        <w:rPr>
          <w:color w:val="333333"/>
          <w:sz w:val="22"/>
          <w:szCs w:val="22"/>
        </w:rPr>
        <w:t xml:space="preserve">Article 25: Verification Philosophy: The Human Anchor Method</w:t>
      </w:r>
      <w:r>
        <w:rPr>
          <w:color w:val="333333"/>
          <w:sz w:val="22"/>
          <w:szCs w:val="22"/>
        </w:rPr>
        <w:tab/>
        <w:t>52</w:t>
      </w:r>
    </w:p>
    <w:p>
      <w:pPr>
        <w:tabs>
          <w:tab w:val="right" w:leader="dot" w:pos="9360"/>
        </w:tabs>
        <w:ind w:left="360"/>
        <w:spacing w:after="60"/>
      </w:pPr>
      <w:r>
        <w:rPr>
          <w:color w:val="333333"/>
          <w:sz w:val="22"/>
          <w:szCs w:val="22"/>
        </w:rPr>
        <w:t xml:space="preserve">Article 26: The Joint Emergency Response Cell</w:t>
      </w:r>
      <w:r>
        <w:rPr>
          <w:color w:val="333333"/>
          <w:sz w:val="22"/>
          <w:szCs w:val="22"/>
        </w:rPr>
        <w:tab/>
        <w:t>52</w:t>
      </w:r>
    </w:p>
    <w:p>
      <w:pPr>
        <w:tabs>
          <w:tab w:val="right" w:leader="dot" w:pos="9360"/>
        </w:tabs>
        <w:ind w:left="360"/>
        <w:spacing w:after="60"/>
      </w:pPr>
      <w:r>
        <w:rPr>
          <w:color w:val="333333"/>
          <w:sz w:val="22"/>
          <w:szCs w:val="22"/>
        </w:rPr>
        <w:t xml:space="preserve">Article 27: Maritime Security and the Dual-Key Deconfliction Architecture</w:t>
      </w:r>
      <w:r>
        <w:rPr>
          <w:color w:val="333333"/>
          <w:sz w:val="22"/>
          <w:szCs w:val="22"/>
        </w:rPr>
        <w:tab/>
        <w:t>53</w:t>
      </w:r>
    </w:p>
    <w:p>
      <w:pPr>
        <w:tabs>
          <w:tab w:val="right" w:leader="dot" w:pos="9360"/>
        </w:tabs>
        <w:ind w:left="360"/>
        <w:spacing w:after="60"/>
      </w:pPr>
      <w:r>
        <w:rPr>
          <w:color w:val="333333"/>
          <w:sz w:val="22"/>
          <w:szCs w:val="22"/>
        </w:rPr>
        <w:t xml:space="preserve">Article 28: Mine Countermeasures and Hazard Clearance</w:t>
      </w:r>
      <w:r>
        <w:rPr>
          <w:color w:val="333333"/>
          <w:sz w:val="22"/>
          <w:szCs w:val="22"/>
        </w:rPr>
        <w:tab/>
        <w:t>55</w:t>
      </w:r>
    </w:p>
    <w:p>
      <w:pPr>
        <w:tabs>
          <w:tab w:val="right" w:leader="dot" w:pos="9360"/>
        </w:tabs>
        <w:ind w:left="360"/>
        <w:spacing w:after="60"/>
      </w:pPr>
      <w:r>
        <w:rPr>
          <w:color w:val="333333"/>
          <w:sz w:val="22"/>
          <w:szCs w:val="22"/>
        </w:rPr>
        <w:t xml:space="preserve">Article 29: Search and Rescue and Environmental Protection</w:t>
      </w:r>
      <w:r>
        <w:rPr>
          <w:color w:val="333333"/>
          <w:sz w:val="22"/>
          <w:szCs w:val="22"/>
        </w:rPr>
        <w:tab/>
        <w:t>56</w:t>
      </w:r>
    </w:p>
    <w:p>
      <w:pPr>
        <w:tabs>
          <w:tab w:val="right" w:leader="dot" w:pos="9360"/>
        </w:tabs>
        <w:ind w:left="360"/>
        <w:spacing w:after="60"/>
      </w:pPr>
      <w:r>
        <w:rPr>
          <w:color w:val="333333"/>
          <w:sz w:val="22"/>
          <w:szCs w:val="22"/>
        </w:rPr>
        <w:t xml:space="preserve">Article 30: Incident Classification and Reporting</w:t>
      </w:r>
      <w:r>
        <w:rPr>
          <w:color w:val="333333"/>
          <w:sz w:val="22"/>
          <w:szCs w:val="22"/>
        </w:rPr>
        <w:tab/>
        <w:t>57</w:t>
      </w:r>
    </w:p>
    <w:p>
      <w:pPr>
        <w:tabs>
          <w:tab w:val="right" w:leader="dot" w:pos="9360"/>
        </w:tabs>
        <w:spacing w:after="100"/>
      </w:pPr>
      <w:r>
        <w:rPr>
          <w:b/>
          <w:color w:val="2E4A5E"/>
          <w:sz w:val="22"/>
          <w:szCs w:val="22"/>
        </w:rPr>
        <w:t xml:space="preserve">Part VI: The Nuclear Interface</w:t>
      </w:r>
      <w:r>
        <w:rPr>
          <w:b/>
          <w:color w:val="2E4A5E"/>
          <w:sz w:val="22"/>
          <w:szCs w:val="22"/>
        </w:rPr>
        <w:tab/>
        <w:t>58</w:t>
      </w:r>
    </w:p>
    <w:p>
      <w:pPr>
        <w:tabs>
          <w:tab w:val="right" w:leader="dot" w:pos="9360"/>
        </w:tabs>
        <w:ind w:left="360"/>
        <w:spacing w:after="60"/>
      </w:pPr>
      <w:r>
        <w:rPr>
          <w:color w:val="333333"/>
          <w:sz w:val="22"/>
          <w:szCs w:val="22"/>
        </w:rPr>
        <w:t xml:space="preserve">Article 31: The Two-Track Firewall</w:t>
      </w:r>
      <w:r>
        <w:rPr>
          <w:color w:val="333333"/>
          <w:sz w:val="22"/>
          <w:szCs w:val="22"/>
        </w:rPr>
        <w:tab/>
        <w:t>58</w:t>
      </w:r>
    </w:p>
    <w:p>
      <w:pPr>
        <w:tabs>
          <w:tab w:val="right" w:leader="dot" w:pos="9360"/>
        </w:tabs>
        <w:ind w:left="360"/>
        <w:spacing w:after="60"/>
      </w:pPr>
      <w:r>
        <w:rPr>
          <w:color w:val="333333"/>
          <w:sz w:val="22"/>
          <w:szCs w:val="22"/>
        </w:rPr>
        <w:t xml:space="preserve">Article 32: The Verification Logistics Protocol</w:t>
      </w:r>
      <w:r>
        <w:rPr>
          <w:color w:val="333333"/>
          <w:sz w:val="22"/>
          <w:szCs w:val="22"/>
        </w:rPr>
        <w:tab/>
        <w:t>58</w:t>
      </w:r>
    </w:p>
    <w:p>
      <w:pPr>
        <w:tabs>
          <w:tab w:val="right" w:leader="dot" w:pos="9360"/>
        </w:tabs>
        <w:ind w:left="360"/>
        <w:spacing w:after="60"/>
      </w:pPr>
      <w:r>
        <w:rPr>
          <w:color w:val="333333"/>
          <w:sz w:val="22"/>
          <w:szCs w:val="22"/>
        </w:rPr>
        <w:t xml:space="preserve">Article 33: The Zero-Stockpile Corridor</w:t>
      </w:r>
      <w:r>
        <w:rPr>
          <w:color w:val="333333"/>
          <w:sz w:val="22"/>
          <w:szCs w:val="22"/>
        </w:rPr>
        <w:tab/>
        <w:t>59</w:t>
      </w:r>
    </w:p>
    <w:p>
      <w:pPr>
        <w:tabs>
          <w:tab w:val="right" w:leader="dot" w:pos="9360"/>
        </w:tabs>
        <w:ind w:left="360"/>
        <w:spacing w:after="60"/>
      </w:pPr>
      <w:r>
        <w:rPr>
          <w:color w:val="333333"/>
          <w:sz w:val="22"/>
          <w:szCs w:val="22"/>
        </w:rPr>
        <w:t xml:space="preserve">Article 34: The Synchronization Schedule</w:t>
      </w:r>
      <w:r>
        <w:rPr>
          <w:color w:val="333333"/>
          <w:sz w:val="22"/>
          <w:szCs w:val="22"/>
        </w:rPr>
        <w:tab/>
        <w:t>60</w:t>
      </w:r>
    </w:p>
    <w:p>
      <w:pPr>
        <w:tabs>
          <w:tab w:val="right" w:leader="dot" w:pos="9360"/>
        </w:tabs>
        <w:ind w:left="360"/>
        <w:spacing w:after="60"/>
      </w:pPr>
      <w:r>
        <w:rPr>
          <w:color w:val="333333"/>
          <w:sz w:val="22"/>
          <w:szCs w:val="22"/>
        </w:rPr>
        <w:t xml:space="preserve">Article 35: Nuclear-Maritime Deconfliction</w:t>
      </w:r>
      <w:r>
        <w:rPr>
          <w:color w:val="333333"/>
          <w:sz w:val="22"/>
          <w:szCs w:val="22"/>
        </w:rPr>
        <w:tab/>
        <w:t>61</w:t>
      </w:r>
    </w:p>
    <w:p>
      <w:pPr>
        <w:tabs>
          <w:tab w:val="right" w:leader="dot" w:pos="9360"/>
        </w:tabs>
        <w:spacing w:after="100"/>
      </w:pPr>
      <w:r>
        <w:rPr>
          <w:b/>
          <w:color w:val="2E4A5E"/>
          <w:sz w:val="22"/>
          <w:szCs w:val="22"/>
        </w:rPr>
        <w:t xml:space="preserve">Part VII: Compliance and Dispute Resolution</w:t>
      </w:r>
      <w:r>
        <w:rPr>
          <w:b/>
          <w:color w:val="2E4A5E"/>
          <w:sz w:val="22"/>
          <w:szCs w:val="22"/>
        </w:rPr>
        <w:tab/>
        <w:t>62</w:t>
      </w:r>
    </w:p>
    <w:p>
      <w:pPr>
        <w:tabs>
          <w:tab w:val="right" w:leader="dot" w:pos="9360"/>
        </w:tabs>
        <w:ind w:left="360"/>
        <w:spacing w:after="60"/>
      </w:pPr>
      <w:r>
        <w:rPr>
          <w:color w:val="333333"/>
          <w:sz w:val="22"/>
          <w:szCs w:val="22"/>
        </w:rPr>
        <w:t xml:space="preserve">Article 36: The Compliance Engine</w:t>
      </w:r>
      <w:r>
        <w:rPr>
          <w:color w:val="333333"/>
          <w:sz w:val="22"/>
          <w:szCs w:val="22"/>
        </w:rPr>
        <w:tab/>
        <w:t>62</w:t>
      </w:r>
    </w:p>
    <w:p>
      <w:pPr>
        <w:tabs>
          <w:tab w:val="right" w:leader="dot" w:pos="9360"/>
        </w:tabs>
        <w:ind w:left="360"/>
        <w:spacing w:after="60"/>
      </w:pPr>
      <w:r>
        <w:rPr>
          <w:color w:val="333333"/>
          <w:sz w:val="22"/>
          <w:szCs w:val="22"/>
        </w:rPr>
        <w:t xml:space="preserve">Article 37: The Step-Back Ladder and the Earn-Back Pathway</w:t>
      </w:r>
      <w:r>
        <w:rPr>
          <w:color w:val="333333"/>
          <w:sz w:val="22"/>
          <w:szCs w:val="22"/>
        </w:rPr>
        <w:tab/>
        <w:t>63</w:t>
      </w:r>
    </w:p>
    <w:p>
      <w:pPr>
        <w:tabs>
          <w:tab w:val="right" w:leader="dot" w:pos="9360"/>
        </w:tabs>
        <w:ind w:left="360"/>
        <w:spacing w:after="60"/>
      </w:pPr>
      <w:r>
        <w:rPr>
          <w:color w:val="333333"/>
          <w:sz w:val="22"/>
          <w:szCs w:val="22"/>
        </w:rPr>
        <w:t xml:space="preserve">Article 38: Dispute Resolution</w:t>
      </w:r>
      <w:r>
        <w:rPr>
          <w:color w:val="333333"/>
          <w:sz w:val="22"/>
          <w:szCs w:val="22"/>
        </w:rPr>
        <w:tab/>
        <w:t>64</w:t>
      </w:r>
    </w:p>
    <w:p>
      <w:pPr>
        <w:tabs>
          <w:tab w:val="right" w:leader="dot" w:pos="9360"/>
        </w:tabs>
        <w:ind w:left="360"/>
        <w:spacing w:after="60"/>
      </w:pPr>
      <w:r>
        <w:rPr>
          <w:color w:val="333333"/>
          <w:sz w:val="22"/>
          <w:szCs w:val="22"/>
        </w:rPr>
        <w:t xml:space="preserve">Article 39: Good Faith and the Conduct Standard</w:t>
      </w:r>
      <w:r>
        <w:rPr>
          <w:color w:val="333333"/>
          <w:sz w:val="22"/>
          <w:szCs w:val="22"/>
        </w:rPr>
        <w:tab/>
        <w:t>65</w:t>
      </w:r>
    </w:p>
    <w:p>
      <w:pPr>
        <w:tabs>
          <w:tab w:val="right" w:leader="dot" w:pos="9360"/>
        </w:tabs>
        <w:spacing w:after="100"/>
      </w:pPr>
      <w:r>
        <w:rPr>
          <w:b/>
          <w:color w:val="2E4A5E"/>
          <w:sz w:val="22"/>
          <w:szCs w:val="22"/>
        </w:rPr>
        <w:t xml:space="preserve">Part VIII: Continuity, Activation, and Transition</w:t>
      </w:r>
      <w:r>
        <w:rPr>
          <w:b/>
          <w:color w:val="2E4A5E"/>
          <w:sz w:val="22"/>
          <w:szCs w:val="22"/>
        </w:rPr>
        <w:tab/>
        <w:t>66</w:t>
      </w:r>
    </w:p>
    <w:p>
      <w:pPr>
        <w:tabs>
          <w:tab w:val="right" w:leader="dot" w:pos="9360"/>
        </w:tabs>
        <w:ind w:left="360"/>
        <w:spacing w:after="60"/>
      </w:pPr>
      <w:r>
        <w:rPr>
          <w:color w:val="333333"/>
          <w:sz w:val="22"/>
          <w:szCs w:val="22"/>
        </w:rPr>
        <w:t xml:space="preserve">Article 40: No-Fade Continuity, Banked Performance, and the Notice Ladder</w:t>
      </w:r>
      <w:r>
        <w:rPr>
          <w:color w:val="333333"/>
          <w:sz w:val="22"/>
          <w:szCs w:val="22"/>
        </w:rPr>
        <w:tab/>
        <w:t>66</w:t>
      </w:r>
    </w:p>
    <w:p>
      <w:pPr>
        <w:tabs>
          <w:tab w:val="right" w:leader="dot" w:pos="9360"/>
        </w:tabs>
        <w:ind w:left="360"/>
        <w:spacing w:after="60"/>
      </w:pPr>
      <w:r>
        <w:rPr>
          <w:color w:val="333333"/>
          <w:sz w:val="22"/>
          <w:szCs w:val="22"/>
        </w:rPr>
        <w:t xml:space="preserve">Article 41: Phased Activation: The One Hundred Twenty Day Sequence</w:t>
      </w:r>
      <w:r>
        <w:rPr>
          <w:color w:val="333333"/>
          <w:sz w:val="22"/>
          <w:szCs w:val="22"/>
        </w:rPr>
        <w:tab/>
        <w:t>67</w:t>
      </w:r>
    </w:p>
    <w:p>
      <w:pPr>
        <w:tabs>
          <w:tab w:val="right" w:leader="dot" w:pos="9360"/>
        </w:tabs>
        <w:ind w:left="360"/>
        <w:spacing w:after="60"/>
      </w:pPr>
      <w:r>
        <w:rPr>
          <w:color w:val="333333"/>
          <w:sz w:val="22"/>
          <w:szCs w:val="22"/>
        </w:rPr>
        <w:t xml:space="preserve">Article 42: The Open Water Review Conference and Annual Review</w:t>
      </w:r>
      <w:r>
        <w:rPr>
          <w:color w:val="333333"/>
          <w:sz w:val="22"/>
          <w:szCs w:val="22"/>
        </w:rPr>
        <w:tab/>
        <w:t>68</w:t>
      </w:r>
    </w:p>
    <w:p>
      <w:pPr>
        <w:tabs>
          <w:tab w:val="right" w:leader="dot" w:pos="9360"/>
        </w:tabs>
        <w:ind w:left="360"/>
        <w:spacing w:after="60"/>
      </w:pPr>
      <w:r>
        <w:rPr>
          <w:color w:val="333333"/>
          <w:sz w:val="22"/>
          <w:szCs w:val="22"/>
        </w:rPr>
        <w:t xml:space="preserve">Article 43: Amendment, Accession, and Participation Categories</w:t>
      </w:r>
      <w:r>
        <w:rPr>
          <w:color w:val="333333"/>
          <w:sz w:val="22"/>
          <w:szCs w:val="22"/>
        </w:rPr>
        <w:tab/>
        <w:t>68</w:t>
      </w:r>
    </w:p>
    <w:p>
      <w:pPr>
        <w:tabs>
          <w:tab w:val="right" w:leader="dot" w:pos="9360"/>
        </w:tabs>
        <w:ind w:left="360"/>
        <w:spacing w:after="60"/>
      </w:pPr>
      <w:r>
        <w:rPr>
          <w:color w:val="333333"/>
          <w:sz w:val="22"/>
          <w:szCs w:val="22"/>
        </w:rPr>
        <w:t xml:space="preserve">Article 44: Final Provisions</w:t>
      </w:r>
      <w:r>
        <w:rPr>
          <w:color w:val="333333"/>
          <w:sz w:val="22"/>
          <w:szCs w:val="22"/>
        </w:rPr>
        <w:tab/>
        <w:t>69</w:t>
      </w:r>
    </w:p>
    <w:p>
      <w:pPr>
        <w:tabs>
          <w:tab w:val="right" w:leader="dot" w:pos="9360"/>
        </w:tabs>
        <w:spacing w:after="100"/>
      </w:pPr>
      <w:r>
        <w:rPr>
          <w:b/>
          <w:color w:val="2E4A5E"/>
          <w:sz w:val="22"/>
          <w:szCs w:val="22"/>
        </w:rPr>
        <w:t xml:space="preserve">ANNEX A: Corridor Coordinates and Geometry Registry</w:t>
      </w:r>
      <w:r>
        <w:rPr>
          <w:b/>
          <w:color w:val="2E4A5E"/>
          <w:sz w:val="22"/>
          <w:szCs w:val="22"/>
        </w:rPr>
        <w:tab/>
        <w:t>71</w:t>
      </w:r>
    </w:p>
    <w:p>
      <w:pPr>
        <w:tabs>
          <w:tab w:val="right" w:leader="dot" w:pos="9360"/>
        </w:tabs>
        <w:spacing w:after="100"/>
      </w:pPr>
      <w:r>
        <w:rPr>
          <w:b/>
          <w:color w:val="2E4A5E"/>
          <w:sz w:val="22"/>
          <w:szCs w:val="22"/>
        </w:rPr>
        <w:t xml:space="preserve">ANNEX B: Vessel Classification and Treatment Matrix</w:t>
      </w:r>
      <w:r>
        <w:rPr>
          <w:b/>
          <w:color w:val="2E4A5E"/>
          <w:sz w:val="22"/>
          <w:szCs w:val="22"/>
        </w:rPr>
        <w:tab/>
        <w:t>75</w:t>
      </w:r>
    </w:p>
    <w:p>
      <w:pPr>
        <w:tabs>
          <w:tab w:val="right" w:leader="dot" w:pos="9360"/>
        </w:tabs>
        <w:spacing w:after="100"/>
      </w:pPr>
      <w:r>
        <w:rPr>
          <w:b/>
          <w:color w:val="2E4A5E"/>
          <w:sz w:val="22"/>
          <w:szCs w:val="22"/>
        </w:rPr>
        <w:t xml:space="preserve">ANNEX C: Transit Registration and Recording Procedures</w:t>
      </w:r>
      <w:r>
        <w:rPr>
          <w:b/>
          <w:color w:val="2E4A5E"/>
          <w:sz w:val="22"/>
          <w:szCs w:val="22"/>
        </w:rPr>
        <w:tab/>
        <w:t>78</w:t>
      </w:r>
    </w:p>
    <w:p>
      <w:pPr>
        <w:tabs>
          <w:tab w:val="right" w:leader="dot" w:pos="9360"/>
        </w:tabs>
        <w:spacing w:after="100"/>
      </w:pPr>
      <w:r>
        <w:rPr>
          <w:b/>
          <w:color w:val="2E4A5E"/>
          <w:sz w:val="22"/>
          <w:szCs w:val="22"/>
        </w:rPr>
        <w:t xml:space="preserve">ANNEX D: The Verified Services Catalog and Rate Schedule</w:t>
      </w:r>
      <w:r>
        <w:rPr>
          <w:b/>
          <w:color w:val="2E4A5E"/>
          <w:sz w:val="22"/>
          <w:szCs w:val="22"/>
        </w:rPr>
        <w:tab/>
        <w:t>80</w:t>
      </w:r>
    </w:p>
    <w:p>
      <w:pPr>
        <w:tabs>
          <w:tab w:val="right" w:leader="dot" w:pos="9360"/>
        </w:tabs>
        <w:spacing w:after="100"/>
      </w:pPr>
      <w:r>
        <w:rPr>
          <w:b/>
          <w:color w:val="2E4A5E"/>
          <w:sz w:val="22"/>
          <w:szCs w:val="22"/>
        </w:rPr>
        <w:t xml:space="preserve">ANNEX E: Fund Operating Procedures, Escrow, and the Payment Channel</w:t>
      </w:r>
      <w:r>
        <w:rPr>
          <w:b/>
          <w:color w:val="2E4A5E"/>
          <w:sz w:val="22"/>
          <w:szCs w:val="22"/>
        </w:rPr>
        <w:tab/>
        <w:t>83</w:t>
      </w:r>
    </w:p>
    <w:p>
      <w:pPr>
        <w:tabs>
          <w:tab w:val="right" w:leader="dot" w:pos="9360"/>
        </w:tabs>
        <w:spacing w:after="100"/>
      </w:pPr>
      <w:r>
        <w:rPr>
          <w:b/>
          <w:color w:val="2E4A5E"/>
          <w:sz w:val="22"/>
          <w:szCs w:val="22"/>
        </w:rPr>
        <w:t xml:space="preserve">ANNEX F: Military Deconfliction and the Dual-Key Security Protocol</w:t>
      </w:r>
      <w:r>
        <w:rPr>
          <w:b/>
          <w:color w:val="2E4A5E"/>
          <w:sz w:val="22"/>
          <w:szCs w:val="22"/>
        </w:rPr>
        <w:tab/>
        <w:t>85</w:t>
      </w:r>
    </w:p>
    <w:p>
      <w:pPr>
        <w:tabs>
          <w:tab w:val="right" w:leader="dot" w:pos="9360"/>
        </w:tabs>
        <w:spacing w:after="100"/>
      </w:pPr>
      <w:r>
        <w:rPr>
          <w:b/>
          <w:color w:val="2E4A5E"/>
          <w:sz w:val="22"/>
          <w:szCs w:val="22"/>
        </w:rPr>
        <w:t xml:space="preserve">ANNEX G: Mine Countermeasures and Hazard Clearance Protocol</w:t>
      </w:r>
      <w:r>
        <w:rPr>
          <w:b/>
          <w:color w:val="2E4A5E"/>
          <w:sz w:val="22"/>
          <w:szCs w:val="22"/>
        </w:rPr>
        <w:tab/>
        <w:t>87</w:t>
      </w:r>
    </w:p>
    <w:p>
      <w:pPr>
        <w:tabs>
          <w:tab w:val="right" w:leader="dot" w:pos="9360"/>
        </w:tabs>
        <w:spacing w:after="100"/>
      </w:pPr>
      <w:r>
        <w:rPr>
          <w:b/>
          <w:color w:val="2E4A5E"/>
          <w:sz w:val="22"/>
          <w:szCs w:val="22"/>
        </w:rPr>
        <w:t xml:space="preserve">ANNEX H: Search and Rescue Operations Plan</w:t>
      </w:r>
      <w:r>
        <w:rPr>
          <w:b/>
          <w:color w:val="2E4A5E"/>
          <w:sz w:val="22"/>
          <w:szCs w:val="22"/>
        </w:rPr>
        <w:tab/>
        <w:t>89</w:t>
      </w:r>
    </w:p>
    <w:p>
      <w:pPr>
        <w:tabs>
          <w:tab w:val="right" w:leader="dot" w:pos="9360"/>
        </w:tabs>
        <w:spacing w:after="100"/>
      </w:pPr>
      <w:r>
        <w:rPr>
          <w:b/>
          <w:color w:val="2E4A5E"/>
          <w:sz w:val="22"/>
          <w:szCs w:val="22"/>
        </w:rPr>
        <w:t xml:space="preserve">ANNEX I: Environmental Protection and Pollution Response Protocol</w:t>
      </w:r>
      <w:r>
        <w:rPr>
          <w:b/>
          <w:color w:val="2E4A5E"/>
          <w:sz w:val="22"/>
          <w:szCs w:val="22"/>
        </w:rPr>
        <w:tab/>
        <w:t>90</w:t>
      </w:r>
    </w:p>
    <w:p>
      <w:pPr>
        <w:tabs>
          <w:tab w:val="right" w:leader="dot" w:pos="9360"/>
        </w:tabs>
        <w:spacing w:after="100"/>
      </w:pPr>
      <w:r>
        <w:rPr>
          <w:b/>
          <w:color w:val="2E4A5E"/>
          <w:sz w:val="22"/>
          <w:szCs w:val="22"/>
        </w:rPr>
        <w:t xml:space="preserve">ANNEX J: Incident Classification, Reporting, and Investigation</w:t>
      </w:r>
      <w:r>
        <w:rPr>
          <w:b/>
          <w:color w:val="2E4A5E"/>
          <w:sz w:val="22"/>
          <w:szCs w:val="22"/>
        </w:rPr>
        <w:tab/>
        <w:t>92</w:t>
      </w:r>
    </w:p>
    <w:p>
      <w:pPr>
        <w:tabs>
          <w:tab w:val="right" w:leader="dot" w:pos="9360"/>
        </w:tabs>
        <w:spacing w:after="100"/>
      </w:pPr>
      <w:r>
        <w:rPr>
          <w:b/>
          <w:color w:val="2E4A5E"/>
          <w:sz w:val="22"/>
          <w:szCs w:val="22"/>
        </w:rPr>
        <w:t xml:space="preserve">ANNEX K: The Nuclear Interface Protocol</w:t>
      </w:r>
      <w:r>
        <w:rPr>
          <w:b/>
          <w:color w:val="2E4A5E"/>
          <w:sz w:val="22"/>
          <w:szCs w:val="22"/>
        </w:rPr>
        <w:tab/>
        <w:t>94</w:t>
      </w:r>
    </w:p>
    <w:p>
      <w:pPr>
        <w:tabs>
          <w:tab w:val="right" w:leader="dot" w:pos="9360"/>
        </w:tabs>
        <w:spacing w:after="100"/>
      </w:pPr>
      <w:r>
        <w:rPr>
          <w:b/>
          <w:color w:val="2E4A5E"/>
          <w:sz w:val="22"/>
          <w:szCs w:val="22"/>
        </w:rPr>
        <w:t xml:space="preserve">ANNEX L: Compliance Metrics and the Stability Audit Framework</w:t>
      </w:r>
      <w:r>
        <w:rPr>
          <w:b/>
          <w:color w:val="2E4A5E"/>
          <w:sz w:val="22"/>
          <w:szCs w:val="22"/>
        </w:rPr>
        <w:tab/>
        <w:t>96</w:t>
      </w:r>
    </w:p>
    <w:p>
      <w:pPr>
        <w:tabs>
          <w:tab w:val="right" w:leader="dot" w:pos="9360"/>
        </w:tabs>
        <w:spacing w:after="100"/>
      </w:pPr>
      <w:r>
        <w:rPr>
          <w:b/>
          <w:color w:val="2E4A5E"/>
          <w:sz w:val="22"/>
          <w:szCs w:val="22"/>
        </w:rPr>
        <w:t xml:space="preserve">ANNEX M: Activation Checklist and Phase Gates, Days 0 to 120</w:t>
      </w:r>
      <w:r>
        <w:rPr>
          <w:b/>
          <w:color w:val="2E4A5E"/>
          <w:sz w:val="22"/>
          <w:szCs w:val="22"/>
        </w:rPr>
        <w:tab/>
        <w:t>98</w:t>
      </w:r>
    </w:p>
    <w:p>
      <w:pPr>
        <w:tabs>
          <w:tab w:val="right" w:leader="dot" w:pos="9360"/>
        </w:tabs>
        <w:spacing w:after="100"/>
      </w:pPr>
      <w:r>
        <w:rPr>
          <w:b/>
          <w:color w:val="2E4A5E"/>
          <w:sz w:val="22"/>
          <w:szCs w:val="22"/>
        </w:rPr>
        <w:t xml:space="preserve">ANNEX N: Budget, Cost-Effectiveness, and the Governance Calendar</w:t>
      </w:r>
      <w:r>
        <w:rPr>
          <w:b/>
          <w:color w:val="2E4A5E"/>
          <w:sz w:val="22"/>
          <w:szCs w:val="22"/>
        </w:rPr>
        <w:tab/>
        <w:t>100</w:t>
      </w:r>
    </w:p>
    <w:p>
      <w:pPr>
        <w:tabs>
          <w:tab w:val="right" w:leader="dot" w:pos="9360"/>
        </w:tabs>
        <w:spacing w:after="100"/>
      </w:pPr>
      <w:r>
        <w:rPr>
          <w:b/>
          <w:color w:val="2E4A5E"/>
          <w:sz w:val="22"/>
          <w:szCs w:val="22"/>
        </w:rPr>
        <w:t xml:space="preserve">ANNEX O: Participation Instruments and Observer Accession</w:t>
      </w:r>
      <w:r>
        <w:rPr>
          <w:b/>
          <w:color w:val="2E4A5E"/>
          <w:sz w:val="22"/>
          <w:szCs w:val="22"/>
        </w:rPr>
        <w:tab/>
        <w:t>102</w:t>
      </w:r>
    </w:p>
    <w:p>
      <w:pPr>
        <w:tabs>
          <w:tab w:val="right" w:leader="dot" w:pos="9360"/>
        </w:tabs>
        <w:spacing w:after="100"/>
      </w:pPr>
      <w:r>
        <w:rPr>
          <w:b/>
          <w:color w:val="2E4A5E"/>
          <w:sz w:val="22"/>
          <w:szCs w:val="22"/>
        </w:rPr>
        <w:t xml:space="preserve">ANNEX P: Glossary and Interpretation Index</w:t>
      </w:r>
      <w:r>
        <w:rPr>
          <w:b/>
          <w:color w:val="2E4A5E"/>
          <w:sz w:val="22"/>
          <w:szCs w:val="22"/>
        </w:rPr>
        <w:tab/>
        <w:t>104</w:t>
      </w:r>
    </w:p>
    <w:p>
      <w:pPr>
        <w:tabs>
          <w:tab w:val="right" w:leader="dot" w:pos="9360"/>
        </w:tabs>
        <w:spacing w:after="100"/>
      </w:pPr>
      <w:r>
        <w:rPr>
          <w:color w:val="333333"/>
          <w:sz w:val="22"/>
          <w:szCs w:val="22"/>
        </w:rPr>
        <w:t xml:space="preserve">Signature and Instruments</w:t>
      </w:r>
      <w:r>
        <w:rPr>
          <w:color w:val="333333"/>
          <w:sz w:val="22"/>
          <w:szCs w:val="22"/>
        </w:rPr>
        <w:tab/>
        <w:t>106</w:t>
      </w:r>
    </w:p>
    <w:p>
      <w:pPr>
        <w:tabs>
          <w:tab w:val="right" w:leader="dot" w:pos="9360"/>
        </w:tabs>
        <w:spacing w:after="100"/>
      </w:pPr>
      <w:r>
        <w:rPr>
          <w:color w:val="333333"/>
          <w:sz w:val="22"/>
          <w:szCs w:val="22"/>
        </w:rPr>
        <w:t xml:space="preserve">Negotiator’s Annotations</w:t>
      </w:r>
      <w:r>
        <w:rPr>
          <w:color w:val="333333"/>
          <w:sz w:val="22"/>
          <w:szCs w:val="22"/>
        </w:rPr>
        <w:tab/>
        <w:t>108</w:t>
      </w:r>
    </w:p>
    <w:p>
      <w:pPr>
        <w:pStyle w:val="Heading1"/>
      </w:pPr>
      <w:r>
        <w:t xml:space="preserve">Document Status and Instrument Record</w:t>
      </w:r>
    </w:p>
    <w:p>
      <w:pPr>
        <w:pStyle w:val="FirstParagraph"/>
      </w:pPr>
      <w:r>
        <w:t xml:space="preserve">The Gulf Energy Corridor Security Charter, cited in this instrument as the Charter or the GECSC, constitutes a complete, self-executing governance architecture for the Strait of Hormuz. The Charter consolidates the corridor agreements reached between the Islamic Republic of Iran and the Sultanate of Oman during July and August 2026, the maritime clause of the Islamabad Memorandum of Understanding of 17 June 2026, and the technical work of the Joint Hormuz Committee in Muscat into a single operative instrument.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Record</w:t>
            </w:r>
          </w:p>
        </w:tc>
      </w:tr>
      <w:tr>
        <w:tc>
          <w:tcPr/>
          <w:p>
            <w:pPr>
              <w:pStyle w:val="Compact"/>
              <w:jc w:val="left"/>
            </w:pPr>
            <w:r>
              <w:t xml:space="preserve">Instrument</w:t>
            </w:r>
          </w:p>
        </w:tc>
        <w:tc>
          <w:tcPr/>
          <w:p>
            <w:pPr>
              <w:pStyle w:val="Compact"/>
              <w:jc w:val="left"/>
            </w:pPr>
            <w:r>
              <w:t xml:space="preserve">The Gulf Energy Corridor Security Charter (GECSC)</w:t>
            </w:r>
          </w:p>
        </w:tc>
      </w:tr>
      <w:tr>
        <w:tc>
          <w:tcPr/>
          <w:p>
            <w:pPr>
              <w:pStyle w:val="Compact"/>
              <w:jc w:val="left"/>
            </w:pPr>
            <w:r>
              <w:t xml:space="preserve">Version</w:t>
            </w:r>
          </w:p>
        </w:tc>
        <w:tc>
          <w:tcPr/>
          <w:p>
            <w:pPr>
              <w:pStyle w:val="Compact"/>
              <w:jc w:val="left"/>
            </w:pPr>
            <w:r>
              <w:t xml:space="preserve">1.0, founding edition</w:t>
            </w:r>
          </w:p>
        </w:tc>
      </w:tr>
      <w:tr>
        <w:tc>
          <w:tcPr/>
          <w:p>
            <w:pPr>
              <w:pStyle w:val="Compact"/>
              <w:jc w:val="left"/>
            </w:pPr>
            <w:r>
              <w:t xml:space="preserve">Instrument class</w:t>
            </w:r>
          </w:p>
        </w:tc>
        <w:tc>
          <w:tcPr/>
          <w:p>
            <w:pPr>
              <w:pStyle w:val="Compact"/>
              <w:jc w:val="left"/>
            </w:pPr>
            <w:r>
              <w:t xml:space="preserve">Multilateral maritime governance charter with sixteen annexed operational protocols</w:t>
            </w:r>
          </w:p>
        </w:tc>
      </w:tr>
      <w:tr>
        <w:tc>
          <w:tcPr/>
          <w:p>
            <w:pPr>
              <w:pStyle w:val="Compact"/>
              <w:jc w:val="left"/>
            </w:pPr>
            <w:r>
              <w:t xml:space="preserve">Littoral Parties</w:t>
            </w:r>
          </w:p>
        </w:tc>
        <w:tc>
          <w:tcPr/>
          <w:p>
            <w:pPr>
              <w:pStyle w:val="Compact"/>
              <w:jc w:val="left"/>
            </w:pPr>
            <w:r>
              <w:t xml:space="preserve">The Islamic Republic of Iran and the Sultanate of Oman</w:t>
            </w:r>
          </w:p>
        </w:tc>
      </w:tr>
      <w:tr>
        <w:tc>
          <w:tcPr/>
          <w:p>
            <w:pPr>
              <w:pStyle w:val="Compact"/>
              <w:jc w:val="left"/>
            </w:pPr>
            <w:r>
              <w:t xml:space="preserve">Regional Participants</w:t>
            </w:r>
          </w:p>
        </w:tc>
        <w:tc>
          <w:tcPr/>
          <w:p>
            <w:pPr>
              <w:pStyle w:val="Compact"/>
              <w:jc w:val="left"/>
            </w:pPr>
            <w:r>
              <w:t xml:space="preserve">The United Arab Emirates, the State of Qatar, the Kingdom of Saudi Arabia, the State of Kuwait, the Kingdom of Bahrain, acting through the Gulf Cooperation Council</w:t>
            </w:r>
          </w:p>
        </w:tc>
      </w:tr>
      <w:tr>
        <w:tc>
          <w:tcPr/>
          <w:p>
            <w:pPr>
              <w:pStyle w:val="Compact"/>
              <w:jc w:val="left"/>
            </w:pPr>
            <w:r>
              <w:t xml:space="preserve">Strategic Partners</w:t>
            </w:r>
          </w:p>
        </w:tc>
        <w:tc>
          <w:tcPr/>
          <w:p>
            <w:pPr>
              <w:pStyle w:val="Compact"/>
              <w:jc w:val="left"/>
            </w:pPr>
            <w:r>
              <w:t xml:space="preserve">The United States of America, the People’s Republic of China, the Republic of India, Japan, the Republic of Korea, the United Kingdom, and the French Republic</w:t>
            </w:r>
          </w:p>
        </w:tc>
      </w:tr>
      <w:tr>
        <w:tc>
          <w:tcPr/>
          <w:p>
            <w:pPr>
              <w:pStyle w:val="Compact"/>
              <w:jc w:val="left"/>
            </w:pPr>
            <w:r>
              <w:t xml:space="preserve">European Interface</w:t>
            </w:r>
          </w:p>
        </w:tc>
        <w:tc>
          <w:tcPr/>
          <w:p>
            <w:pPr>
              <w:pStyle w:val="Compact"/>
              <w:jc w:val="left"/>
            </w:pPr>
            <w:r>
              <w:t xml:space="preserve">The European Union and its member states acting through the European maritime safety structures</w:t>
            </w:r>
          </w:p>
        </w:tc>
      </w:tr>
      <w:tr>
        <w:tc>
          <w:tcPr/>
          <w:p>
            <w:pPr>
              <w:pStyle w:val="Compact"/>
              <w:jc w:val="left"/>
            </w:pPr>
            <w:r>
              <w:t xml:space="preserve">Technical Interfaces</w:t>
            </w:r>
          </w:p>
        </w:tc>
        <w:tc>
          <w:tcPr/>
          <w:p>
            <w:pPr>
              <w:pStyle w:val="Compact"/>
              <w:jc w:val="left"/>
            </w:pPr>
            <w:r>
              <w:t xml:space="preserve">The International Maritime Organization (IMO) and the International Atomic Energy Agency (IAEA)</w:t>
            </w:r>
          </w:p>
        </w:tc>
      </w:tr>
      <w:tr>
        <w:tc>
          <w:tcPr/>
          <w:p>
            <w:pPr>
              <w:pStyle w:val="Compact"/>
              <w:jc w:val="left"/>
            </w:pPr>
            <w:r>
              <w:t xml:space="preserve">Facilitating States</w:t>
            </w:r>
          </w:p>
        </w:tc>
        <w:tc>
          <w:tcPr/>
          <w:p>
            <w:pPr>
              <w:pStyle w:val="Compact"/>
              <w:jc w:val="left"/>
            </w:pPr>
            <w:r>
              <w:t xml:space="preserve">The Swiss Confederation, the Islamic Republic of Pakistan, and the State of Qatar</w:t>
            </w:r>
          </w:p>
        </w:tc>
      </w:tr>
      <w:tr>
        <w:tc>
          <w:tcPr/>
          <w:p>
            <w:pPr>
              <w:pStyle w:val="Compact"/>
              <w:jc w:val="left"/>
            </w:pPr>
            <w:r>
              <w:t xml:space="preserve">Negotiating Forum</w:t>
            </w:r>
          </w:p>
        </w:tc>
        <w:tc>
          <w:tcPr/>
          <w:p>
            <w:pPr>
              <w:pStyle w:val="Compact"/>
              <w:jc w:val="left"/>
            </w:pPr>
            <w:r>
              <w:t xml:space="preserve">The Joint Hormuz Committee, Muscat, first convened 29 June 2026</w:t>
            </w:r>
          </w:p>
        </w:tc>
      </w:tr>
      <w:tr>
        <w:tc>
          <w:tcPr/>
          <w:p>
            <w:pPr>
              <w:pStyle w:val="Compact"/>
              <w:jc w:val="left"/>
            </w:pPr>
            <w:r>
              <w:t xml:space="preserve">Drafting Convention</w:t>
            </w:r>
          </w:p>
        </w:tc>
        <w:tc>
          <w:tcPr/>
          <w:p>
            <w:pPr>
              <w:pStyle w:val="Compact"/>
              <w:jc w:val="left"/>
            </w:pPr>
            <w:r>
              <w:t xml:space="preserve">The Immutable Present-Tense Matrix: sovereign active voice, mutual architecture, no-fade continuity, automatic logic triggers</w:t>
            </w:r>
          </w:p>
        </w:tc>
      </w:tr>
      <w:tr>
        <w:tc>
          <w:tcPr/>
          <w:p>
            <w:pPr>
              <w:pStyle w:val="Compact"/>
              <w:jc w:val="left"/>
            </w:pPr>
            <w:r>
              <w:t xml:space="preserve">Custodian of the Master Text</w:t>
            </w:r>
          </w:p>
        </w:tc>
        <w:tc>
          <w:tcPr/>
          <w:p>
            <w:pPr>
              <w:pStyle w:val="Compact"/>
              <w:jc w:val="left"/>
            </w:pPr>
            <w:r>
              <w:t xml:space="preserve">The General Secretariat of the Gulf Energy Corridor Authority, Muscat, with a mirror registry in Bandar Abbas</w:t>
            </w:r>
          </w:p>
        </w:tc>
      </w:tr>
      <w:tr>
        <w:tc>
          <w:tcPr/>
          <w:p>
            <w:pPr>
              <w:pStyle w:val="Compact"/>
              <w:jc w:val="left"/>
            </w:pPr>
            <w:r>
              <w:t xml:space="preserve">Languages of the Instrument</w:t>
            </w:r>
          </w:p>
        </w:tc>
        <w:tc>
          <w:tcPr/>
          <w:p>
            <w:pPr>
              <w:pStyle w:val="Compact"/>
              <w:jc w:val="left"/>
            </w:pPr>
            <w:r>
              <w:t xml:space="preserve">Persian, Arabic, and English, each text equally authoritative; the English text governs technical interpretation of the annexes</w:t>
            </w:r>
          </w:p>
        </w:tc>
      </w:tr>
      <w:tr>
        <w:tc>
          <w:tcPr/>
          <w:p>
            <w:pPr>
              <w:pStyle w:val="Compact"/>
              <w:jc w:val="left"/>
            </w:pPr>
            <w:r>
              <w:t xml:space="preserve">Annexes</w:t>
            </w:r>
          </w:p>
        </w:tc>
        <w:tc>
          <w:tcPr/>
          <w:p>
            <w:pPr>
              <w:pStyle w:val="Compact"/>
              <w:jc w:val="left"/>
            </w:pPr>
            <w:r>
              <w:t xml:space="preserve">Sixteen, lettered A through P, each binding to the same extent as the articles</w:t>
            </w:r>
          </w:p>
        </w:tc>
      </w:tr>
      <w:tr>
        <w:tc>
          <w:tcPr/>
          <w:p>
            <w:pPr>
              <w:pStyle w:val="Compact"/>
              <w:jc w:val="left"/>
            </w:pPr>
            <w:r>
              <w:t xml:space="preserve">Operative Status</w:t>
            </w:r>
          </w:p>
        </w:tc>
        <w:tc>
          <w:tcPr/>
          <w:p>
            <w:pPr>
              <w:pStyle w:val="Compact"/>
              <w:jc w:val="left"/>
            </w:pPr>
            <w:r>
              <w:t xml:space="preserve">Ready for signature; Phase One activates on the date of signature per Article 41</w:t>
            </w:r>
          </w:p>
        </w:tc>
      </w:tr>
      <w:tr>
        <w:tc>
          <w:tcPr/>
          <w:p>
            <w:pPr>
              <w:pStyle w:val="Compact"/>
              <w:jc w:val="left"/>
            </w:pPr>
            <w:r>
              <w:t xml:space="preserve">Continuity Rule</w:t>
            </w:r>
          </w:p>
        </w:tc>
        <w:tc>
          <w:tcPr/>
          <w:p>
            <w:pPr>
              <w:pStyle w:val="Compact"/>
              <w:jc w:val="left"/>
            </w:pPr>
            <w:r>
              <w:t xml:space="preserve">No-fade continuity under Article 40; no sunset, no cliff, no silent expiry</w:t>
            </w:r>
          </w:p>
        </w:tc>
      </w:tr>
    </w:tbl>
    <w:p>
      <w:pPr>
        <w:pStyle w:val="BodyText"/>
      </w:pPr>
      <w:r>
        <w:t xml:space="preserve">This instrument record forms part of the operative text. Every provision of this Charter operates in the present tense as a standing reality of the shared architecture. No provision states a future intention. No provision conditions its own existence on further negotiation.</w:t>
      </w:r>
    </w:p>
    <w:bookmarkEnd w:id="23"/>
    <w:bookmarkStart w:id="24" w:name="cover-note-of-the-facilitating-states"/>
    <w:p>
      <w:pPr>
        <w:pStyle w:val="Heading1"/>
      </w:pPr>
      <w:r>
        <w:t xml:space="preserve">Cover Note of the Facilitating States</w:t>
      </w:r>
    </w:p>
    <w:p>
      <w:pPr>
        <w:pStyle w:val="FirstParagraph"/>
      </w:pPr>
      <w:r>
        <w:t xml:space="preserve">The facilitating states transmit this Charter to the delegations of the Littoral Parties, the Regional Participants, the Strategic Partners, the European interface, and the two technical organizations with a single conviction: the Strait of Hormuz sustains its greatest value when its coastal states, its neighboring states, and its principal users govern it together, in the open, under rules that treat transit as a shared asset and never as a bargaining chip.</w:t>
      </w:r>
    </w:p>
    <w:p>
      <w:pPr>
        <w:pStyle w:val="BodyText"/>
      </w:pPr>
      <w:r>
        <w:t xml:space="preserve">This Charter answers the four questions that remain open on the sixth day of August 2026. First, the question of security authority: the Charter converts sovereign claims into allocated functions, verified jointly, activated under dual-key rules. Second, the question of fees: the Charter settles the toll question permanently by keeping passage free and paying for verified services through an international fund that no shipper pays directly and no sanctions instrument touches. Third, the question of activation: the Charter fixes a one hundred twenty day sequence, phase by phase, gate by gate, with a pilot period and a published stability audit. Fourth, the question of multilateral acceptance: the Charter seats every stakeholder in a defined category, with defined rights, defined access, and defined limits, so that acceptance rests on architecture rather than on persuasion.</w:t>
      </w:r>
    </w:p>
    <w:p>
      <w:pPr>
        <w:pStyle w:val="BodyText"/>
      </w:pPr>
      <w:r>
        <w:t xml:space="preserve">The Charter also addresses the nuclear file, because the water and the atom occupy the same crisis. The Charter does not negotiate the nuclear file; the parallel track between the Islamic Republic of Iran and the United States of America owns that file. The Charter instead builds the interface: the maritime logistics of verification, the seaward movement of nuclear material under escort protocol, the synchronization schedule that pairs each nuclear step with each maritime step, and the firewall that keeps a nuclear dispute from ever closing the water again.</w:t>
      </w:r>
    </w:p>
    <w:p>
      <w:pPr>
        <w:pStyle w:val="BodyText"/>
      </w:pPr>
      <w:r>
        <w:t xml:space="preserve">The draft observes four drafting disciplines throughout. First, it states every rule in the active present tense, because the Charter describes an operating system, not a set of promises. Second, it attributes every constraint to the shared architecture rather than to the restraint of any Participant, because all Participants bind themselves through the same design. Third, it applies no-fade continuity: no commitment expires at a date boundary, and continuation forms the default at every review point. Fourth, it fixes every consequence as an automatic logic trigger: a verified event produces its stated result immediately, without discretionary interpretation.</w:t>
      </w:r>
    </w:p>
    <w:p>
      <w:pPr>
        <w:pStyle w:val="BodyText"/>
      </w:pPr>
      <w:r>
        <w:t xml:space="preserve">Muscat, 6 August 2026</w:t>
      </w:r>
    </w:p>
    <w:bookmarkEnd w:id="24"/>
    <w:bookmarkStart w:id="31" w:name="drafting-convention-and-method"/>
    <w:p>
      <w:pPr>
        <w:pStyle w:val="Heading1"/>
      </w:pPr>
      <w:r>
        <w:t xml:space="preserve">Drafting Convention and Method</w:t>
      </w:r>
    </w:p>
    <w:p>
      <w:pPr>
        <w:pStyle w:val="FirstParagraph"/>
      </w:pPr>
      <w:r>
        <w:t xml:space="preserve">This Charter follows a fixed drafting convention, and the convention itself forms part of the instrument. Six rules govern every article, every annex, every form, and every certificate issued under this Charter.</w:t>
      </w:r>
    </w:p>
    <w:bookmarkStart w:id="25" w:name="rule-one-the-sovereign-present-tense"/>
    <w:p>
      <w:pPr>
        <w:pStyle w:val="Heading2"/>
      </w:pPr>
      <w:r>
        <w:t xml:space="preserve">Rule One: The Sovereign Present Tense</w:t>
      </w:r>
    </w:p>
    <w:p>
      <w:pPr>
        <w:pStyle w:val="FirstParagraph"/>
      </w:pPr>
      <w:r>
        <w:t xml:space="preserve">Every obligation reads as an active, present-tense operational state. The instrument speaks of what the architecture does, never of what it intends or expects. Where a traditional instrument writes that a party takes an action at some future point, this Charter records the action as the standing design of the system: the Center publishes, the Fund reimburses, the Council convenes, the verification office observes. The convention eliminates the vocabulary of command and external enforcement, because sovereign states bind themselves through architecture, not through subordination to one another or to any third party.</w:t>
      </w:r>
    </w:p>
    <w:bookmarkEnd w:id="25"/>
    <w:bookmarkStart w:id="26" w:name="rule-two-mutual-architecture"/>
    <w:p>
      <w:pPr>
        <w:pStyle w:val="Heading2"/>
      </w:pPr>
      <w:r>
        <w:t xml:space="preserve">Rule Two: Mutual Architecture</w:t>
      </w:r>
    </w:p>
    <w:p>
      <w:pPr>
        <w:pStyle w:val="FirstParagraph"/>
      </w:pPr>
      <w:r>
        <w:t xml:space="preserve">Every prohibitive commitment reads as a feature of the shared framework, binding every Participant equally, never as a restraint by one Participant for the benefit of another. The text attributes each constraint to the system itself: the framework architecture excludes interdiction of commercial transit; the corridor system excludes charges on passage; the security architecture excludes unilateral enforcement action. This framing preserves full legal force while removing any appearance of hierarchy, capitulation, or asymmetric burden.</w:t>
      </w:r>
    </w:p>
    <w:bookmarkEnd w:id="26"/>
    <w:bookmarkStart w:id="27" w:name="rule-three-automatic-logic-triggers"/>
    <w:p>
      <w:pPr>
        <w:pStyle w:val="Heading2"/>
      </w:pPr>
      <w:r>
        <w:t xml:space="preserve">Rule Three: Automatic Logic Triggers</w:t>
      </w:r>
    </w:p>
    <w:p>
      <w:pPr>
        <w:pStyle w:val="FirstParagraph"/>
      </w:pPr>
      <w:r>
        <w:t xml:space="preserve">Consequences attach to events directly and immediately. A verified deviation opens a consultation; a clean record renews a certification; a notice pauses a clock; a classification produces its stated consequence. The Charter contains no discretionary penalty triggers dressed as automatic ones. Where a consequence exists, the text states the consequence as the direct result of the triggering event, and the consequence executes without further decision by any person or body, subject always to the human review layer of Article 36.</w:t>
      </w:r>
    </w:p>
    <w:bookmarkEnd w:id="27"/>
    <w:bookmarkStart w:id="28" w:name="rule-four-no-fade-continuity"/>
    <w:p>
      <w:pPr>
        <w:pStyle w:val="Heading2"/>
      </w:pPr>
      <w:r>
        <w:t xml:space="preserve">Rule Four: No-Fade Continuity</w:t>
      </w:r>
    </w:p>
    <w:p>
      <w:pPr>
        <w:pStyle w:val="FirstParagraph"/>
      </w:pPr>
      <w:r>
        <w:t xml:space="preserve">No commitment fades at any date boundary. Verified performance banks permanently and carries forward into every review, every renewal, and every successor instrument. Review points, reporting deadlines, and phase boundaries operate as administrative rhythms, never as expiries. Renewal occurs by silence; amendment occurs by written instrument; termination occurs by the orderly notice ladder of Article 40. The passing of any date suspends nothing, voids nothing, and resets nothing.</w:t>
      </w:r>
    </w:p>
    <w:bookmarkEnd w:id="28"/>
    <w:bookmarkStart w:id="29" w:name="rule-five-telemetry-with-human-anchors"/>
    <w:p>
      <w:pPr>
        <w:pStyle w:val="Heading2"/>
      </w:pPr>
      <w:r>
        <w:t xml:space="preserve">Rule Five: Telemetry With Human Anchors</w:t>
      </w:r>
    </w:p>
    <w:p>
      <w:pPr>
        <w:pStyle w:val="FirstParagraph"/>
      </w:pPr>
      <w:r>
        <w:t xml:space="preserve">The Charter uses telemetry, including automatic identification system data, coastal radar, satellite observation, and environmental sensors, as one verification layer among several. No compliance determination rests on telemetry alone. Visual patrols, scheduled voice reporting, embarked observers, documentary records, and port logs stand as coequal channels, and the convergence standard of Article 36 governs every determination. Human judgment sits between every sensor and every consequence.</w:t>
      </w:r>
    </w:p>
    <w:bookmarkEnd w:id="29"/>
    <w:bookmarkStart w:id="30" w:name="rule-six-prohibition-vocabulary"/>
    <w:p>
      <w:pPr>
        <w:pStyle w:val="Heading2"/>
      </w:pPr>
      <w:r>
        <w:t xml:space="preserve">Rule Six: Prohibition Vocabulary</w:t>
      </w:r>
    </w:p>
    <w:p>
      <w:pPr>
        <w:pStyle w:val="FirstParagraph"/>
      </w:pPr>
      <w:r>
        <w:t xml:space="preserve">Where the framework excludes a conduct, the text says so directly: the framework excludes, the architecture prohibits, the system does not permit. Where the framework affirms a conduct, the actor performs it in the present tense. The text contains no command verbs of the traditional treaty type, and it contains no permissive leaks that soften an operational state into a discretion.</w:t>
      </w:r>
    </w:p>
    <w:bookmarkEnd w:id="30"/>
    <w:bookmarkEnd w:id="31"/>
    <w:bookmarkStart w:id="37" w:name="X6d2342e3d85fcfe416228ff7457760b93aa7838"/>
    <w:p>
      <w:pPr>
        <w:pStyle w:val="Heading1"/>
      </w:pPr>
      <w:r>
        <w:t xml:space="preserve">Reader’s Guide: The Charter in Twenty Minutes</w:t>
      </w:r>
    </w:p>
    <w:bookmarkStart w:id="32" w:name="what-the-charter-is"/>
    <w:p>
      <w:pPr>
        <w:pStyle w:val="Heading2"/>
      </w:pPr>
      <w:r>
        <w:t xml:space="preserve">What the Charter Is</w:t>
      </w:r>
    </w:p>
    <w:p>
      <w:pPr>
        <w:pStyle w:val="FirstParagraph"/>
      </w:pPr>
      <w:r>
        <w:t xml:space="preserve">The Charter is a complete multilateral governance system for the Strait of Hormuz. It creates one authority, three corridors, nine vessel classes, one fund, one sanctions-compatible payment channel, one verification office, one nuclear interface protocol, one compliance engine, and sixteen operational annexes. It replaces the improvised, militarized control of the war period with published rules, published prices, published coordinates, and joint institutions. It runs from the day of signature without a term, and it changes only in writing.</w:t>
      </w:r>
    </w:p>
    <w:bookmarkEnd w:id="32"/>
    <w:bookmarkStart w:id="33" w:name="the-problem-it-solves"/>
    <w:p>
      <w:pPr>
        <w:pStyle w:val="Heading2"/>
      </w:pPr>
      <w:r>
        <w:t xml:space="preserve">The Problem It Solves</w:t>
      </w:r>
    </w:p>
    <w:p>
      <w:pPr>
        <w:pStyle w:val="FirstParagraph"/>
      </w:pPr>
      <w:r>
        <w:t xml:space="preserve">The crisis of 2026 turned on five questions at once: who controls the northern route, who controls the southern route, who verifies the middle, who charges whom for what, and who holds the system together when the nuclear file moves. The Charter answers all five by architecture. The northern route becomes the Inbound Coordination Corridor under Iranian functional administration with joint oversight and a registration regime that records, never permits. The southern route becomes the Outbound Assurance Corridor under Omani functional administration, open to all without notice or charge. The middle becomes the Central Deconfliction Corridor under dual administration, reserved for separation, emergency diversion, mine-risk response, and naval deconfliction. The charging question dissolves into the service boundary: passage is free in all three corridors in perpetuity, and the coastal states earn audited reimbursement for documented services through an international fund. The nuclear question moves into a dedicated interface that synchronizes the two tracks without fusing them.</w:t>
      </w:r>
    </w:p>
    <w:bookmarkEnd w:id="33"/>
    <w:bookmarkStart w:id="34" w:name="how-the-pieces-fit"/>
    <w:p>
      <w:pPr>
        <w:pStyle w:val="Heading2"/>
      </w:pPr>
      <w:r>
        <w:t xml:space="preserve">How the Pieces Fit</w:t>
      </w:r>
    </w:p>
    <w:p>
      <w:pPr>
        <w:pStyle w:val="FirstParagraph"/>
      </w:pPr>
      <w:r>
        <w:t xml:space="preserve">Part I states the legal ground: sovereignty of the littoral states, transit passage preserved, the service boundary, and twelve operating principles including no-fade continuity. Part II builds the water: three corridors with fixed coordinates, nine vessel classes, an absolute non-interdiction protocol, and traffic management rules. Part III builds the institutions: the Gulf Energy Corridor Authority, the Hormuz Navigation Center in Muscat with its Bandar Abbas mirror, the Even Keel Verification Office, and the observer architecture. Part IV settles the money: the zero-toll rule, the Gulf Energy Corridor Fund, the escrow and payment channel, the revenue distribution formula, and the audit architecture. Part V keeps people and the sea safe: layered verification, military deconfliction under dual-key rules, mine clearance, search and rescue, environmental protection, and incident handling. Part VI builds the nuclear interface: the two-track firewall, the verification logistics, the seaward removal protocol, and the synchronization schedule. Part VII keeps the system honest: the convergence standard, the step-back ladder, the earn-back pathway, and dispute resolution. Part VIII keeps it alive: the no-fade rule, the one hundred twenty day activation sequence, the stability audit, amendment, and accession.</w:t>
      </w:r>
    </w:p>
    <w:bookmarkEnd w:id="34"/>
    <w:bookmarkStart w:id="35" w:name="what-each-side-receives"/>
    <w:p>
      <w:pPr>
        <w:pStyle w:val="Heading2"/>
      </w:pPr>
      <w:r>
        <w:t xml:space="preserve">What Each Side Receives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Interest</w:t>
            </w:r>
          </w:p>
        </w:tc>
        <w:tc>
          <w:tcPr/>
          <w:p>
            <w:pPr>
              <w:pStyle w:val="Compact"/>
              <w:jc w:val="left"/>
            </w:pPr>
            <w:r>
              <w:t xml:space="preserve">What the Architecture Delivers</w:t>
            </w:r>
          </w:p>
        </w:tc>
      </w:tr>
      <w:tr>
        <w:tc>
          <w:tcPr/>
          <w:p>
            <w:pPr>
              <w:pStyle w:val="Compact"/>
              <w:jc w:val="left"/>
            </w:pPr>
            <w:r>
              <w:t xml:space="preserve">The Islamic Republic of Iran</w:t>
            </w:r>
          </w:p>
        </w:tc>
        <w:tc>
          <w:tcPr/>
          <w:p>
            <w:pPr>
              <w:pStyle w:val="Compact"/>
              <w:jc w:val="left"/>
            </w:pPr>
            <w:r>
              <w:t xml:space="preserve">Functional administration of the Inbound Corridor; equal representation throughout; audited service revenue replacing tolls; formal recognition of the northern role; sanctions-insulated payment routing; no return to the pre-2026 status quo</w:t>
            </w:r>
          </w:p>
        </w:tc>
      </w:tr>
      <w:tr>
        <w:tc>
          <w:tcPr/>
          <w:p>
            <w:pPr>
              <w:pStyle w:val="Compact"/>
              <w:jc w:val="left"/>
            </w:pPr>
            <w:r>
              <w:t xml:space="preserve">The Sultanate of Oman</w:t>
            </w:r>
          </w:p>
        </w:tc>
        <w:tc>
          <w:tcPr/>
          <w:p>
            <w:pPr>
              <w:pStyle w:val="Compact"/>
              <w:jc w:val="left"/>
            </w:pPr>
            <w:r>
              <w:t xml:space="preserve">Functional administration of the Outbound Corridor; the institutional seat; the mediator role institutionalized; escrow administration; full conformity with its law of the sea obligations</w:t>
            </w:r>
          </w:p>
        </w:tc>
      </w:tr>
      <w:tr>
        <w:tc>
          <w:tcPr/>
          <w:p>
            <w:pPr>
              <w:pStyle w:val="Compact"/>
              <w:jc w:val="left"/>
            </w:pPr>
            <w:r>
              <w:t xml:space="preserve">The Gulf Cooperation Council states</w:t>
            </w:r>
          </w:p>
        </w:tc>
        <w:tc>
          <w:tcPr/>
          <w:p>
            <w:pPr>
              <w:pStyle w:val="Compact"/>
              <w:jc w:val="left"/>
            </w:pPr>
            <w:r>
              <w:t xml:space="preserve">Observer and participant seats with real-time monitoring access; shared emergency-response roles; protection of GCC shipping; no unilateral interdiction by any party; predictable published costs</w:t>
            </w:r>
          </w:p>
        </w:tc>
      </w:tr>
      <w:tr>
        <w:tc>
          <w:tcPr/>
          <w:p>
            <w:pPr>
              <w:pStyle w:val="Compact"/>
              <w:jc w:val="left"/>
            </w:pPr>
            <w:r>
              <w:t xml:space="preserve">The United States of America</w:t>
            </w:r>
          </w:p>
        </w:tc>
        <w:tc>
          <w:tcPr/>
          <w:p>
            <w:pPr>
              <w:pStyle w:val="Compact"/>
              <w:jc w:val="left"/>
            </w:pPr>
            <w:r>
              <w:t xml:space="preserve">No unilateral control by any state; published coordinates registered with the IMO; multilateral oversight with observer access to the fused monitoring picture; sanctions-compatible finance; freedom of navigation preserved by architecture</w:t>
            </w:r>
          </w:p>
        </w:tc>
      </w:tr>
      <w:tr>
        <w:tc>
          <w:tcPr/>
          <w:p>
            <w:pPr>
              <w:pStyle w:val="Compact"/>
              <w:jc w:val="left"/>
            </w:pPr>
            <w:r>
              <w:t xml:space="preserve">The European community</w:t>
            </w:r>
          </w:p>
        </w:tc>
        <w:tc>
          <w:tcPr/>
          <w:p>
            <w:pPr>
              <w:pStyle w:val="Compact"/>
              <w:jc w:val="left"/>
            </w:pPr>
            <w:r>
              <w:t xml:space="preserve">IMO-registered geometry; environmental audits; incident transparency; neutral arbitration; sanctions-compatible payments; public operational documentation</w:t>
            </w:r>
          </w:p>
        </w:tc>
      </w:tr>
      <w:tr>
        <w:tc>
          <w:tcPr/>
          <w:p>
            <w:pPr>
              <w:pStyle w:val="Compact"/>
              <w:jc w:val="left"/>
            </w:pPr>
            <w:r>
              <w:t xml:space="preserve">The insurance and shipping community</w:t>
            </w:r>
          </w:p>
        </w:tc>
        <w:tc>
          <w:tcPr/>
          <w:p>
            <w:pPr>
              <w:pStyle w:val="Compact"/>
              <w:jc w:val="left"/>
            </w:pPr>
            <w:r>
              <w:t xml:space="preserve">A published daily safety record; stable risk classification; a neutral claims channel; toll-free transit in all corridors; published rules and prices</w:t>
            </w:r>
          </w:p>
        </w:tc>
      </w:tr>
    </w:tbl>
    <w:bookmarkEnd w:id="35"/>
    <w:bookmarkStart w:id="36" w:name="where-to-read-next"/>
    <w:p>
      <w:pPr>
        <w:pStyle w:val="Heading2"/>
      </w:pPr>
      <w:r>
        <w:t xml:space="preserve">Where to Read Next</w:t>
      </w:r>
    </w:p>
    <w:p>
      <w:pPr>
        <w:pStyle w:val="FirstParagraph"/>
      </w:pPr>
      <w:r>
        <w:t xml:space="preserve">The negotiator reads Articles 2, 19, 31, and 44. The operator reads Articles 6 through 12 and Annexes A, B, C, and D. The insurer reads Articles 10, 25, and Annexes D and L. The finance officer reads Part IV and Annexes D, E, and N. The nuclear desk reads Part VI and Annex K. The lawyer reads Articles 2, 36 through 39, and 40 through 44. Every reader finds the full geometry in Annex A and the full vocabulary in Annex P.</w:t>
      </w:r>
    </w:p>
    <w:bookmarkEnd w:id="36"/>
    <w:bookmarkEnd w:id="37"/>
    <w:bookmarkStart w:id="44" w:name="X7293dc7eaee3add04b9127186c4ef021ee8a1e0"/>
    <w:p>
      <w:pPr>
        <w:pStyle w:val="Heading1"/>
      </w:pPr>
      <w:r>
        <w:t xml:space="preserve">Situation Assessment: The Strait on 6 August 2026</w:t>
      </w:r>
    </w:p>
    <w:p>
      <w:pPr>
        <w:pStyle w:val="FirstParagraph"/>
      </w:pPr>
      <w:r>
        <w:t xml:space="preserve">This assessment records the verified factual ground on which the Charter stands. It states events, not arguments. The assessment binds no Participant’s legal position, and it updates at each ordinary session of the Council.</w:t>
      </w:r>
    </w:p>
    <w:bookmarkStart w:id="38" w:name="the-war-and-the-closure"/>
    <w:p>
      <w:pPr>
        <w:pStyle w:val="Heading2"/>
      </w:pPr>
      <w:r>
        <w:t xml:space="preserve">The War and the Closure</w:t>
      </w:r>
    </w:p>
    <w:p>
      <w:pPr>
        <w:pStyle w:val="FirstParagraph"/>
      </w:pPr>
      <w:r>
        <w:t xml:space="preserve">Military strikes by the United States and Israel against Iranian targets commenced on 28 February 2026. Iran responded in part by closing the Strait of Hormuz to ordinary commerce. Commercial transits fell from a pre-war baseline of roughly one hundred vessels per day, carrying approximately one fifth of global petroleum liquids and one fifth of global liquefied natural gas, to a trickle. Gulf export infrastructure absorbed direct damage: the Ras Laffan liquefied natural gas complex in Qatar, refinery and storage facilities in Saudi Arabia, Kuwait, Bahrain, the United Arab Emirates, and the port storage facilities at Salalah in Oman all sustained strikes. War-risk insurance multiples rose by a factor of eight or more. More than one thousand five hundred vessels accumulated inside the Gulf awaiting passage.</w:t>
      </w:r>
    </w:p>
    <w:bookmarkEnd w:id="38"/>
    <w:bookmarkStart w:id="39" w:name="X45d35f0c945cfdf2d1024e9a3048e0ad694497d"/>
    <w:p>
      <w:pPr>
        <w:pStyle w:val="Heading2"/>
      </w:pPr>
      <w:r>
        <w:t xml:space="preserve">The Islamabad Memorandum and Its Collapse</w:t>
      </w:r>
    </w:p>
    <w:p>
      <w:pPr>
        <w:pStyle w:val="FirstParagraph"/>
      </w:pPr>
      <w:r>
        <w:t xml:space="preserve">On 17 June 2026 the United States and Iran signed the Islamabad Memorandum of Understanding, a fourteen-point framework that terminated military operations, opened a sixty-day window of toll-free passage arranged by Iran, ended the naval blockade within thirty days, and charged Iran with conducting dialogue with Oman, in discussion with the other Gulf littoral states, to define the future administration and maritime services of the Strait in line with applicable international law and the sovereign rights of the coastal states. The memorandum deferred the nuclear file to a sixty-day negotiating window. Implementation fractured in the first week of July 2026: strikes on three commercial vessels transiting along the Omani coast on routes Iran had not accepted triggered renewed military exchanges, the reimposition of the blockade on 14 July 2026, and the suspension of Iranian commitments on 18 July 2026.</w:t>
      </w:r>
    </w:p>
    <w:bookmarkEnd w:id="39"/>
    <w:bookmarkStart w:id="40" w:name="the-iran-oman-track"/>
    <w:p>
      <w:pPr>
        <w:pStyle w:val="Heading2"/>
      </w:pPr>
      <w:r>
        <w:t xml:space="preserve">The Iran-Oman Track</w:t>
      </w:r>
    </w:p>
    <w:p>
      <w:pPr>
        <w:pStyle w:val="FirstParagraph"/>
      </w:pPr>
      <w:r>
        <w:t xml:space="preserve">Through late July and early August 2026, Iran and Oman negotiated the geometry of a reopened strait. The emerging bilateral design routes inbound traffic through Iranian waters and outbound traffic through Omani waters, with a central separation area between the flows. The two states have agreed on corridor coordinates, on entry and exit points, and on the principle of service charges covering security and environmental services, with revenue shared between them. Their joint statement stands in final review. Iran has stated publicly that the bilateral arrangement alone does not guarantee the security of the Strait, and that the governance mechanism remains unresolved.</w:t>
      </w:r>
    </w:p>
    <w:bookmarkEnd w:id="40"/>
    <w:bookmarkStart w:id="41" w:name="the-positions-of-the-other-actors"/>
    <w:p>
      <w:pPr>
        <w:pStyle w:val="Heading2"/>
      </w:pPr>
      <w:r>
        <w:t xml:space="preserve">The Positions of the Other Actors</w:t>
      </w:r>
    </w:p>
    <w:p>
      <w:pPr>
        <w:pStyle w:val="FirstParagraph"/>
      </w:pPr>
      <w:r>
        <w:t xml:space="preserve">The United States maintains that it accepts no unilateral control of the Strait by any state and no tolls on passage, while its senior officials describe the Iran-Oman talks as progressing toward a possible announcement. The President of the United States has framed the sequence in two phases: the opening of the Strait first, and denuclearization second. The Gulf Cooperation Council states seek observer participation, protection of their shipping, shared emergency protocols, and predictable costs, and they remain divided between advocacy of military pressure and advocacy of negotiated de-escalation. The European maritime community seeks IMO registration of coordinates, environmental audits, transparent incident reporting, and freedom of navigation, and has floated voluntary contribution models on the cooperative precedent of the Strait of Malacca. The insurance market requires a published, verifiable safety record before restoring pre-war coverage terms.</w:t>
      </w:r>
    </w:p>
    <w:bookmarkEnd w:id="41"/>
    <w:bookmarkStart w:id="42" w:name="the-nuclear-file"/>
    <w:p>
      <w:pPr>
        <w:pStyle w:val="Heading2"/>
      </w:pPr>
      <w:r>
        <w:t xml:space="preserve">The Nuclear File</w:t>
      </w:r>
    </w:p>
    <w:p>
      <w:pPr>
        <w:pStyle w:val="FirstParagraph"/>
      </w:pPr>
      <w:r>
        <w:t xml:space="preserve">The International Atomic Energy Agency has lacked access to Iran’s declared enrichment facilities for approximately one year. The Agency’s June 2026 reports confirm that it cannot verify the size, location, or composition of Iran’s enriched uranium stockpile, which last verified inventories placed at 440.9 kilograms of uranium enriched up to 60 percent, 184.1 kilograms enriched up to 20 percent, and larger stocks at lower enrichment levels. The Isfahan tunnel complex, Fordow, and Natanz stand as the principal candidate storage locations. Under the June 2026 framework, Iran agreed to the return of Agency inspectors and to the downblending of its highly enriched stockpile under Agency supervision. Security Council resolutions reimposed in October 2025 establish suspension of enrichment as the verification baseline. Technical talks between the United States and Iran continue under Pakistani and Qatari mediation, with working groups on sanctions termination, nuclear affairs, reconstruction and economic development, and monitoring and implementation.</w:t>
      </w:r>
    </w:p>
    <w:bookmarkEnd w:id="42"/>
    <w:bookmarkStart w:id="43" w:name="the-four-open-questions"/>
    <w:p>
      <w:pPr>
        <w:pStyle w:val="Heading2"/>
      </w:pPr>
      <w:r>
        <w:t xml:space="preserve">The Four Open Questions</w:t>
      </w:r>
    </w:p>
    <w:p>
      <w:pPr>
        <w:pStyle w:val="FirstParagraph"/>
      </w:pPr>
      <w:r>
        <w:t xml:space="preserve">Four components of the governance mechanism remain unfinished on the date of this Charter: the security authority agreement, covering interdiction, incident response, mine-risk operations, and military deconfliction; the fee and revenue framework, covering amounts, sharing, audit, and sanctions compatibility; the reopening and activation mechanism, covering the legal trigger, the transition from wartime lanes, the pilot period, and suspension conditions; and multilateral acceptance, covering the GCC states, the United States, the European maritime bodies, and the IMO. This Charter resolves all four.</w:t>
      </w:r>
    </w:p>
    <w:bookmarkEnd w:id="43"/>
    <w:bookmarkEnd w:id="44"/>
    <w:bookmarkStart w:id="45" w:name="X50adc7149ae04c5569e887412e9e689e89cf985"/>
    <w:p>
      <w:pPr>
        <w:pStyle w:val="Heading1"/>
      </w:pPr>
      <w:r>
        <w:t xml:space="preserve">Preamble: The Shared Stewardship of the Energy Corridor</w:t>
      </w:r>
    </w:p>
    <w:p>
      <w:pPr>
        <w:pStyle w:val="FirstParagraph"/>
      </w:pPr>
      <w:r>
        <w:t xml:space="preserve">The Participants in this Charter,</w:t>
      </w:r>
    </w:p>
    <w:p>
      <w:pPr>
        <w:pStyle w:val="BodyText"/>
      </w:pPr>
      <w:r>
        <w:t xml:space="preserve">Sharing stewardship of the Strait of Hormuz, the narrow mouth of the Persian Gulf through which roughly one fifth of the world’s traded oil and one fifth of the world’s liquefied natural gas move in normal times, and on which the energy security of Asia, Europe, and the Gulf economies themselves depends;</w:t>
      </w:r>
    </w:p>
    <w:p>
      <w:pPr>
        <w:pStyle w:val="BodyText"/>
      </w:pPr>
      <w:r>
        <w:t xml:space="preserve">Recalling the war of 2026, which closed the waterway to ordinary commerce for months, damaged energy infrastructure across six states, multiplied insurance costs eightfold, stranded more than one thousand five hundred vessels, and demonstrated the cost of fragmented governance;</w:t>
      </w:r>
    </w:p>
    <w:p>
      <w:pPr>
        <w:pStyle w:val="BodyText"/>
      </w:pPr>
      <w:r>
        <w:t xml:space="preserve">Recalling the Islamabad Memorandum of Understanding of 17 June 2026, whose maritime clause charges the littoral states, in discussion with the other Gulf littoral states, with defining the future administration of the Strait and the maritime services within it, in line with applicable international law and the sovereign rights of the coastal states;</w:t>
      </w:r>
    </w:p>
    <w:p>
      <w:pPr>
        <w:pStyle w:val="BodyText"/>
      </w:pPr>
      <w:r>
        <w:t xml:space="preserve">Acknowledging the corridor agreements reached between the Islamic Republic of Iran and the Sultanate of Oman in July and August 2026, which fix the geometry of inbound, outbound, and central lanes and establish the principle of compensated maritime services;</w:t>
      </w:r>
    </w:p>
    <w:p>
      <w:pPr>
        <w:pStyle w:val="BodyText"/>
      </w:pPr>
      <w:r>
        <w:t xml:space="preserve">Affirming four simultaneous truths: the sovereignty and sovereign rights of the coastal states in their own waters; the freedom of navigation through the Strait for the shipping of all states; the right of the coastal states to compensation for verifiable services rendered; and the prohibition of any charge on the act of passage itself;</w:t>
      </w:r>
    </w:p>
    <w:p>
      <w:pPr>
        <w:pStyle w:val="BodyText"/>
      </w:pPr>
      <w:r>
        <w:t xml:space="preserve">Recognizing that the nuclear file and the maritime file occupy the same crisis, that the first phase of the settlement opens the Strait and the second phase addresses denuclearization, and that each track stands strongest when neither holds the other hostage;</w:t>
      </w:r>
    </w:p>
    <w:p>
      <w:pPr>
        <w:pStyle w:val="BodyText"/>
      </w:pPr>
      <w:r>
        <w:t xml:space="preserve">Determined to convert the waterway from a flashpoint into a governed commons, in which rules replace threats, verification replaces suspicion, published prices replace improvised levies, and synchronized steps replace unilateral pressure;</w:t>
      </w:r>
    </w:p>
    <w:p>
      <w:pPr>
        <w:pStyle w:val="BodyText"/>
      </w:pPr>
      <w:r>
        <w:t xml:space="preserve">Establish through this Charter a permanent governance architecture: a triple-corridor transit system, a joint authority, a civilian operations center, a neutral verification office, an international fund with a sanctions-compatible payment channel, a nuclear interface protocol, and a compliance engine designed to outlast the crisis that produced it;</w:t>
      </w:r>
    </w:p>
    <w:p>
      <w:pPr>
        <w:pStyle w:val="BodyText"/>
      </w:pPr>
      <w:r>
        <w:t xml:space="preserve">And adopt the articles and annexes that follow, each binding upon signature, each continuing in force across every date boundary under the no-fade continuity rule, and each amendable only by written instrument under Article 43.</w:t>
      </w:r>
    </w:p>
    <w:bookmarkEnd w:id="45"/>
    <w:bookmarkStart w:id="50" w:name="X4dc1593f2fd5ddc2cecd6ecd6eb587d03f6abe7"/>
    <w:p>
      <w:pPr>
        <w:pStyle w:val="Heading1"/>
      </w:pPr>
      <w:r>
        <w:t xml:space="preserve">The Red Lines Register: Core Principles and Their Safeguards</w:t>
      </w:r>
    </w:p>
    <w:bookmarkStart w:id="46" w:name="purpose-and-method"/>
    <w:p>
      <w:pPr>
        <w:pStyle w:val="Heading2"/>
      </w:pPr>
      <w:r>
        <w:t xml:space="preserve">Purpose and Method</w:t>
      </w:r>
    </w:p>
    <w:p>
      <w:pPr>
        <w:pStyle w:val="FirstParagraph"/>
      </w:pPr>
      <w:r>
        <w:t xml:space="preserve">The Participants negotiate in the open about everything except the principles the Charter treats as untouchable. The Register names those principles once, precisely, and the architecture then guards them automatically. Each entry states the principle in neutral terms, names the shared interest it protects, and identifies the architectural safeguard that holds the principle without daily political effort. The Register binds the framework, not the negotiators’ rhetoric. A public statement outside the Register carries no operative weight inside the Charter.</w:t>
      </w:r>
    </w:p>
    <w:bookmarkEnd w:id="46"/>
    <w:bookmarkStart w:id="47" w:name="the-twelve-entries"/>
    <w:p>
      <w:pPr>
        <w:pStyle w:val="Heading2"/>
      </w:pPr>
      <w:r>
        <w:t xml:space="preserve">The Twelve Entries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Ref</w:t>
            </w:r>
          </w:p>
        </w:tc>
        <w:tc>
          <w:tcPr/>
          <w:p>
            <w:pPr>
              <w:pStyle w:val="Compact"/>
              <w:jc w:val="left"/>
            </w:pPr>
            <w:r>
              <w:t xml:space="preserve">Principle</w:t>
            </w:r>
          </w:p>
        </w:tc>
        <w:tc>
          <w:tcPr/>
          <w:p>
            <w:pPr>
              <w:pStyle w:val="Compact"/>
              <w:jc w:val="left"/>
            </w:pPr>
            <w:r>
              <w:t xml:space="preserve">Shared Interest Protected</w:t>
            </w:r>
          </w:p>
        </w:tc>
        <w:tc>
          <w:tcPr/>
          <w:p>
            <w:pPr>
              <w:pStyle w:val="Compact"/>
              <w:jc w:val="left"/>
            </w:pPr>
            <w:r>
              <w:t xml:space="preserve">Architectural Safeguard</w:t>
            </w:r>
          </w:p>
        </w:tc>
      </w:tr>
      <w:tr>
        <w:tc>
          <w:tcPr/>
          <w:p>
            <w:pPr>
              <w:pStyle w:val="Compact"/>
              <w:jc w:val="left"/>
            </w:pPr>
            <w:r>
              <w:t xml:space="preserve">R-1</w:t>
            </w:r>
          </w:p>
        </w:tc>
        <w:tc>
          <w:tcPr/>
          <w:p>
            <w:pPr>
              <w:pStyle w:val="Compact"/>
              <w:jc w:val="left"/>
            </w:pPr>
            <w:r>
              <w:t xml:space="preserve">No charge of any kind attaches to the act of transit</w:t>
            </w:r>
          </w:p>
        </w:tc>
        <w:tc>
          <w:tcPr/>
          <w:p>
            <w:pPr>
              <w:pStyle w:val="Compact"/>
              <w:jc w:val="left"/>
            </w:pPr>
            <w:r>
              <w:t xml:space="preserve">Freedom of navigation; the United States position; UNCLOS conformity</w:t>
            </w:r>
          </w:p>
        </w:tc>
        <w:tc>
          <w:tcPr/>
          <w:p>
            <w:pPr>
              <w:pStyle w:val="Compact"/>
              <w:jc w:val="left"/>
            </w:pPr>
            <w:r>
              <w:t xml:space="preserve">Zero-Toll Rule, Article 19</w:t>
            </w:r>
          </w:p>
        </w:tc>
      </w:tr>
      <w:tr>
        <w:tc>
          <w:tcPr/>
          <w:p>
            <w:pPr>
              <w:pStyle w:val="Compact"/>
              <w:jc w:val="left"/>
            </w:pPr>
            <w:r>
              <w:t xml:space="preserve">R-2</w:t>
            </w:r>
          </w:p>
        </w:tc>
        <w:tc>
          <w:tcPr/>
          <w:p>
            <w:pPr>
              <w:pStyle w:val="Compact"/>
              <w:jc w:val="left"/>
            </w:pPr>
            <w:r>
              <w:t xml:space="preserve">The Outbound Assurance Corridor transits unconditionally</w:t>
            </w:r>
          </w:p>
        </w:tc>
        <w:tc>
          <w:tcPr/>
          <w:p>
            <w:pPr>
              <w:pStyle w:val="Compact"/>
              <w:jc w:val="left"/>
            </w:pPr>
            <w:r>
              <w:t xml:space="preserve">Gulf exports; Asian energy security</w:t>
            </w:r>
          </w:p>
        </w:tc>
        <w:tc>
          <w:tcPr/>
          <w:p>
            <w:pPr>
              <w:pStyle w:val="Compact"/>
              <w:jc w:val="left"/>
            </w:pPr>
            <w:r>
              <w:t xml:space="preserve">Article 7; no registration layer</w:t>
            </w:r>
          </w:p>
        </w:tc>
      </w:tr>
      <w:tr>
        <w:tc>
          <w:tcPr/>
          <w:p>
            <w:pPr>
              <w:pStyle w:val="Compact"/>
              <w:jc w:val="left"/>
            </w:pPr>
            <w:r>
              <w:t xml:space="preserve">R-3</w:t>
            </w:r>
          </w:p>
        </w:tc>
        <w:tc>
          <w:tcPr/>
          <w:p>
            <w:pPr>
              <w:pStyle w:val="Compact"/>
              <w:jc w:val="left"/>
            </w:pPr>
            <w:r>
              <w:t xml:space="preserve">The role and interests of both Littoral Parties receive formal and visible recognition</w:t>
            </w:r>
          </w:p>
        </w:tc>
        <w:tc>
          <w:tcPr/>
          <w:p>
            <w:pPr>
              <w:pStyle w:val="Compact"/>
              <w:jc w:val="left"/>
            </w:pPr>
            <w:r>
              <w:t xml:space="preserve">Iranian security equities; Omani stewardship</w:t>
            </w:r>
          </w:p>
        </w:tc>
        <w:tc>
          <w:tcPr/>
          <w:p>
            <w:pPr>
              <w:pStyle w:val="Compact"/>
              <w:jc w:val="left"/>
            </w:pPr>
            <w:r>
              <w:t xml:space="preserve">Articles 8, 13, 14; representative seats throughout</w:t>
            </w:r>
          </w:p>
        </w:tc>
      </w:tr>
      <w:tr>
        <w:tc>
          <w:tcPr/>
          <w:p>
            <w:pPr>
              <w:pStyle w:val="Compact"/>
              <w:jc w:val="left"/>
            </w:pPr>
            <w:r>
              <w:t xml:space="preserve">R-4</w:t>
            </w:r>
          </w:p>
        </w:tc>
        <w:tc>
          <w:tcPr/>
          <w:p>
            <w:pPr>
              <w:pStyle w:val="Compact"/>
              <w:jc w:val="left"/>
            </w:pPr>
            <w:r>
              <w:t xml:space="preserve">No permission regime operates anywhere in the Charter</w:t>
            </w:r>
          </w:p>
        </w:tc>
        <w:tc>
          <w:tcPr/>
          <w:p>
            <w:pPr>
              <w:pStyle w:val="Compact"/>
              <w:jc w:val="left"/>
            </w:pPr>
            <w:r>
              <w:t xml:space="preserve">The GCC and European positions; market predictability</w:t>
            </w:r>
          </w:p>
        </w:tc>
        <w:tc>
          <w:tcPr/>
          <w:p>
            <w:pPr>
              <w:pStyle w:val="Compact"/>
              <w:jc w:val="left"/>
            </w:pPr>
            <w:r>
              <w:t xml:space="preserve">Registration-records-only rule, Article 8.2</w:t>
            </w:r>
          </w:p>
        </w:tc>
      </w:tr>
      <w:tr>
        <w:tc>
          <w:tcPr/>
          <w:p>
            <w:pPr>
              <w:pStyle w:val="Compact"/>
              <w:jc w:val="left"/>
            </w:pPr>
            <w:r>
              <w:t xml:space="preserve">R-5</w:t>
            </w:r>
          </w:p>
        </w:tc>
        <w:tc>
          <w:tcPr/>
          <w:p>
            <w:pPr>
              <w:pStyle w:val="Compact"/>
              <w:jc w:val="left"/>
            </w:pPr>
            <w:r>
              <w:t xml:space="preserve">No boarding, diversion, seizure, or inspection occurs inside a corridor</w:t>
            </w:r>
          </w:p>
        </w:tc>
        <w:tc>
          <w:tcPr/>
          <w:p>
            <w:pPr>
              <w:pStyle w:val="Compact"/>
              <w:jc w:val="left"/>
            </w:pPr>
            <w:r>
              <w:t xml:space="preserve">Insurer and GCC demands; the non-interdiction norm</w:t>
            </w:r>
          </w:p>
        </w:tc>
        <w:tc>
          <w:tcPr/>
          <w:p>
            <w:pPr>
              <w:pStyle w:val="Compact"/>
              <w:jc w:val="left"/>
            </w:pPr>
            <w:r>
              <w:t xml:space="preserve">Non-Interdiction Protocol, Article 10.2</w:t>
            </w:r>
          </w:p>
        </w:tc>
      </w:tr>
      <w:tr>
        <w:tc>
          <w:tcPr/>
          <w:p>
            <w:pPr>
              <w:pStyle w:val="Compact"/>
              <w:jc w:val="left"/>
            </w:pPr>
            <w:r>
              <w:t xml:space="preserve">R-6</w:t>
            </w:r>
          </w:p>
        </w:tc>
        <w:tc>
          <w:tcPr/>
          <w:p>
            <w:pPr>
              <w:pStyle w:val="Compact"/>
              <w:jc w:val="left"/>
            </w:pPr>
            <w:r>
              <w:t xml:space="preserve">Operational bodies remain civilian</w:t>
            </w:r>
          </w:p>
        </w:tc>
        <w:tc>
          <w:tcPr/>
          <w:p>
            <w:pPr>
              <w:pStyle w:val="Compact"/>
              <w:jc w:val="left"/>
            </w:pPr>
            <w:r>
              <w:t xml:space="preserve">Separation of commerce from military structures</w:t>
            </w:r>
          </w:p>
        </w:tc>
        <w:tc>
          <w:tcPr/>
          <w:p>
            <w:pPr>
              <w:pStyle w:val="Compact"/>
              <w:jc w:val="left"/>
            </w:pPr>
            <w:r>
              <w:t xml:space="preserve">Civilian Character Clause, Article 15.4</w:t>
            </w:r>
          </w:p>
        </w:tc>
      </w:tr>
      <w:tr>
        <w:tc>
          <w:tcPr/>
          <w:p>
            <w:pPr>
              <w:pStyle w:val="Compact"/>
              <w:jc w:val="left"/>
            </w:pPr>
            <w:r>
              <w:t xml:space="preserve">R-7</w:t>
            </w:r>
          </w:p>
        </w:tc>
        <w:tc>
          <w:tcPr/>
          <w:p>
            <w:pPr>
              <w:pStyle w:val="Compact"/>
              <w:jc w:val="left"/>
            </w:pPr>
            <w:r>
              <w:t xml:space="preserve">No shipper pays any Participant State directly for anything</w:t>
            </w:r>
          </w:p>
        </w:tc>
        <w:tc>
          <w:tcPr/>
          <w:p>
            <w:pPr>
              <w:pStyle w:val="Compact"/>
              <w:jc w:val="left"/>
            </w:pPr>
            <w:r>
              <w:t xml:space="preserve">Sanctions compatibility; the United States and European positions</w:t>
            </w:r>
          </w:p>
        </w:tc>
        <w:tc>
          <w:tcPr/>
          <w:p>
            <w:pPr>
              <w:pStyle w:val="Compact"/>
              <w:jc w:val="left"/>
            </w:pPr>
            <w:r>
              <w:t xml:space="preserve">Global Compliance Firewall, Article 23.3</w:t>
            </w:r>
          </w:p>
        </w:tc>
      </w:tr>
      <w:tr>
        <w:tc>
          <w:tcPr/>
          <w:p>
            <w:pPr>
              <w:pStyle w:val="Compact"/>
              <w:jc w:val="left"/>
            </w:pPr>
            <w:r>
              <w:t xml:space="preserve">R-8</w:t>
            </w:r>
          </w:p>
        </w:tc>
        <w:tc>
          <w:tcPr/>
          <w:p>
            <w:pPr>
              <w:pStyle w:val="Compact"/>
              <w:jc w:val="left"/>
            </w:pPr>
            <w:r>
              <w:t xml:space="preserve">Each Participant’s sovereignty over its own waters stands intact</w:t>
            </w:r>
          </w:p>
        </w:tc>
        <w:tc>
          <w:tcPr/>
          <w:p>
            <w:pPr>
              <w:pStyle w:val="Compact"/>
              <w:jc w:val="left"/>
            </w:pPr>
            <w:r>
              <w:t xml:space="preserve">Iranian and Omani red lines</w:t>
            </w:r>
          </w:p>
        </w:tc>
        <w:tc>
          <w:tcPr/>
          <w:p>
            <w:pPr>
              <w:pStyle w:val="Compact"/>
              <w:jc w:val="left"/>
            </w:pPr>
            <w:r>
              <w:t xml:space="preserve">Articles 1.3, 2.5; no-prejudice rule</w:t>
            </w:r>
          </w:p>
        </w:tc>
      </w:tr>
      <w:tr>
        <w:tc>
          <w:tcPr/>
          <w:p>
            <w:pPr>
              <w:pStyle w:val="Compact"/>
              <w:jc w:val="left"/>
            </w:pPr>
            <w:r>
              <w:t xml:space="preserve">R-9</w:t>
            </w:r>
          </w:p>
        </w:tc>
        <w:tc>
          <w:tcPr/>
          <w:p>
            <w:pPr>
              <w:pStyle w:val="Compact"/>
              <w:jc w:val="left"/>
            </w:pPr>
            <w:r>
              <w:t xml:space="preserve">No commitment expires silently</w:t>
            </w:r>
          </w:p>
        </w:tc>
        <w:tc>
          <w:tcPr/>
          <w:p>
            <w:pPr>
              <w:pStyle w:val="Compact"/>
              <w:jc w:val="left"/>
            </w:pPr>
            <w:r>
              <w:t xml:space="preserve">Durability; investor and insurer confidence</w:t>
            </w:r>
          </w:p>
        </w:tc>
        <w:tc>
          <w:tcPr/>
          <w:p>
            <w:pPr>
              <w:pStyle w:val="Compact"/>
              <w:jc w:val="left"/>
            </w:pPr>
            <w:r>
              <w:t xml:space="preserve">No-Fade Continuity, Article 40</w:t>
            </w:r>
          </w:p>
        </w:tc>
      </w:tr>
      <w:tr>
        <w:tc>
          <w:tcPr/>
          <w:p>
            <w:pPr>
              <w:pStyle w:val="Compact"/>
              <w:jc w:val="left"/>
            </w:pPr>
            <w:r>
              <w:t xml:space="preserve">R-10</w:t>
            </w:r>
          </w:p>
        </w:tc>
        <w:tc>
          <w:tcPr/>
          <w:p>
            <w:pPr>
              <w:pStyle w:val="Compact"/>
              <w:jc w:val="left"/>
            </w:pPr>
            <w:r>
              <w:t xml:space="preserve">Humanitarian traffic moves in every flow state</w:t>
            </w:r>
          </w:p>
        </w:tc>
        <w:tc>
          <w:tcPr/>
          <w:p>
            <w:pPr>
              <w:pStyle w:val="Compact"/>
              <w:jc w:val="left"/>
            </w:pPr>
            <w:r>
              <w:t xml:space="preserve">The populations of the region; the food and medicine supply</w:t>
            </w:r>
          </w:p>
        </w:tc>
        <w:tc>
          <w:tcPr/>
          <w:p>
            <w:pPr>
              <w:pStyle w:val="Compact"/>
              <w:jc w:val="left"/>
            </w:pPr>
            <w:r>
              <w:t xml:space="preserve">Humanitarian Firewall, Article 37.4</w:t>
            </w:r>
          </w:p>
        </w:tc>
      </w:tr>
      <w:tr>
        <w:tc>
          <w:tcPr/>
          <w:p>
            <w:pPr>
              <w:pStyle w:val="Compact"/>
              <w:jc w:val="left"/>
            </w:pPr>
            <w:r>
              <w:t xml:space="preserve">R-11</w:t>
            </w:r>
          </w:p>
        </w:tc>
        <w:tc>
          <w:tcPr/>
          <w:p>
            <w:pPr>
              <w:pStyle w:val="Compact"/>
              <w:jc w:val="left"/>
            </w:pPr>
            <w:r>
              <w:t xml:space="preserve">Verification never humiliates: findings rest on two independent inputs</w:t>
            </w:r>
          </w:p>
        </w:tc>
        <w:tc>
          <w:tcPr/>
          <w:p>
            <w:pPr>
              <w:pStyle w:val="Compact"/>
              <w:jc w:val="left"/>
            </w:pPr>
            <w:r>
              <w:t xml:space="preserve">Dignity of all Participants; evidentiary integrity</w:t>
            </w:r>
          </w:p>
        </w:tc>
        <w:tc>
          <w:tcPr/>
          <w:p>
            <w:pPr>
              <w:pStyle w:val="Compact"/>
              <w:jc w:val="left"/>
            </w:pPr>
            <w:r>
              <w:t xml:space="preserve">Convergence Standard, Article 36.2</w:t>
            </w:r>
          </w:p>
        </w:tc>
      </w:tr>
      <w:tr>
        <w:tc>
          <w:tcPr/>
          <w:p>
            <w:pPr>
              <w:pStyle w:val="Compact"/>
              <w:jc w:val="left"/>
            </w:pPr>
            <w:r>
              <w:t xml:space="preserve">R-12</w:t>
            </w:r>
          </w:p>
        </w:tc>
        <w:tc>
          <w:tcPr/>
          <w:p>
            <w:pPr>
              <w:pStyle w:val="Compact"/>
              <w:jc w:val="left"/>
            </w:pPr>
            <w:r>
              <w:t xml:space="preserve">The nuclear track and the maritime track never hold each other hostage</w:t>
            </w:r>
          </w:p>
        </w:tc>
        <w:tc>
          <w:tcPr/>
          <w:p>
            <w:pPr>
              <w:pStyle w:val="Compact"/>
              <w:jc w:val="left"/>
            </w:pPr>
            <w:r>
              <w:t xml:space="preserve">Crisis stability; the two-phase settlement</w:t>
            </w:r>
          </w:p>
        </w:tc>
        <w:tc>
          <w:tcPr/>
          <w:p>
            <w:pPr>
              <w:pStyle w:val="Compact"/>
              <w:jc w:val="left"/>
            </w:pPr>
            <w:r>
              <w:t xml:space="preserve">Two-Track Firewall, Article 31</w:t>
            </w:r>
          </w:p>
        </w:tc>
      </w:tr>
    </w:tbl>
    <w:bookmarkEnd w:id="47"/>
    <w:bookmarkStart w:id="48" w:name="the-perimeter-test"/>
    <w:p>
      <w:pPr>
        <w:pStyle w:val="Heading2"/>
      </w:pPr>
      <w:r>
        <w:t xml:space="preserve">The Perimeter Test</w:t>
      </w:r>
    </w:p>
    <w:p>
      <w:pPr>
        <w:pStyle w:val="FirstParagraph"/>
      </w:pPr>
      <w:r>
        <w:t xml:space="preserve">Before the Council adopts any measure, the legal desk of the Authority screens the measure against every entry of the Register. The screening takes the form of a short written Perimeter Test, appended to the measure in the Council record. A measure that touches a Register line proceeds only in the exact form the corresponding safeguard permits. A measure that crosses a Register line fails, and the failure appears in the record with reasons. The Even Keel Verification Office receives every Perimeter Test and reports annually on the Register’s integrity.</w:t>
      </w:r>
    </w:p>
    <w:bookmarkEnd w:id="48"/>
    <w:bookmarkStart w:id="49" w:name="no-trading-of-core-principles"/>
    <w:p>
      <w:pPr>
        <w:pStyle w:val="Heading2"/>
      </w:pPr>
      <w:r>
        <w:t xml:space="preserve">No Trading of Core Principles</w:t>
      </w:r>
    </w:p>
    <w:p>
      <w:pPr>
        <w:pStyle w:val="FirstParagraph"/>
      </w:pPr>
      <w:r>
        <w:t xml:space="preserve">The Participants do not trade Register entries against one another. The architecture holds every principle simultaneously, and a breach response under Article 37 never suspends a Register entry. Amendment of the Register itself follows the elevated rule of Article 43: unanimity in the Council plus ratification by all Littoral Parties.</w:t>
      </w:r>
    </w:p>
    <w:bookmarkEnd w:id="49"/>
    <w:bookmarkEnd w:id="50"/>
    <w:bookmarkStart w:id="87" w:name="part-i-foundations"/>
    <w:p>
      <w:pPr>
        <w:pStyle w:val="Heading1"/>
      </w:pPr>
      <w:r>
        <w:t xml:space="preserve">Part I: Foundations</w:t>
      </w:r>
    </w:p>
    <w:bookmarkStart w:id="56" w:name="X78d9e4c0b852b1f7127b9522c0f6af8953a8f8b"/>
    <w:p>
      <w:pPr>
        <w:pStyle w:val="Heading2"/>
      </w:pPr>
      <w:r>
        <w:t xml:space="preserve">Article 1: Establishment, Purpose, and Scope</w:t>
      </w:r>
    </w:p>
    <w:bookmarkStart w:id="51" w:name="establishment"/>
    <w:p>
      <w:pPr>
        <w:pStyle w:val="Heading3"/>
      </w:pPr>
      <w:r>
        <w:t xml:space="preserve">1.1 Establishment</w:t>
      </w:r>
    </w:p>
    <w:p>
      <w:pPr>
        <w:pStyle w:val="FirstParagraph"/>
      </w:pPr>
      <w:r>
        <w:t xml:space="preserve">1.1.1 The Islamic Republic of Iran and the Sultanate of Oman, together the Littoral Parties, with the participation of the Gulf Cooperation Council states as Regional Participants, and in consultation with the Strategic Partners, the European interface, the International Maritime Organization, and the International Atomic Energy Agency, establish the Gulf Energy Corridor Security Charter as the standing multilateral governance system for the Strait of Hormuz.</w:t>
      </w:r>
    </w:p>
    <w:p>
      <w:pPr>
        <w:pStyle w:val="BodyText"/>
      </w:pPr>
      <w:r>
        <w:t xml:space="preserve">1.1.2 The Charter comprises forty-four articles in eight parts and sixteen annexes, and the annexes bind the Participants to the same extent as the articles. Upon signature, the Charter constitutes the complete code for the matters within its scope, and it supersedes, as between the Participants, every prior ad hoc arrangement, unilateral regulation, and wartime measure touching those matters, including the wartime routing lanes and the unilateral routing directives of the conflict period.</w:t>
      </w:r>
    </w:p>
    <w:p>
      <w:pPr>
        <w:pStyle w:val="BodyText"/>
      </w:pPr>
      <w:r>
        <w:t xml:space="preserve">1.1.3 The Charter possesses international operational personality in the territories of the Littoral Parties, including the capacity to contract, to hold accounts, to employ staff, to own and lease equipment, and to appear before the dispute bodies of Article 38.</w:t>
      </w:r>
    </w:p>
    <w:bookmarkEnd w:id="51"/>
    <w:bookmarkStart w:id="52" w:name="purpose"/>
    <w:p>
      <w:pPr>
        <w:pStyle w:val="Heading3"/>
      </w:pPr>
      <w:r>
        <w:t xml:space="preserve">1.2 Purpose</w:t>
      </w:r>
    </w:p>
    <w:p>
      <w:pPr>
        <w:pStyle w:val="FirstParagraph"/>
      </w:pPr>
      <w:r>
        <w:t xml:space="preserve">1.2.1 The Charter pursues five purposes, ranked equally. First, it guarantees continuous, unimpeded, toll-free commercial transit through the Strait of Hormuz for the shipping of every state. Second, it codifies the functional roles of the two Littoral Parties over the waterway and converts those roles into organized, compensated public service. Third, it embeds the security interests of all Participants into a shared monitoring and deconfliction architecture, so that safety at sea never depends on the restraint of a moment. Fourth, it generates a transparent, lawful, sanctions-compatible revenue stream for the service-providing states in exchange for documented maritime services, replacing every form of toll, levy, or charge on passage. Fifth, it synchronizes the maritime settlement with the parallel nuclear track through a dedicated interface, so that progress in each track reinforces progress in the other.</w:t>
      </w:r>
    </w:p>
    <w:bookmarkEnd w:id="52"/>
    <w:bookmarkStart w:id="53" w:name="geographic-scope"/>
    <w:p>
      <w:pPr>
        <w:pStyle w:val="Heading3"/>
      </w:pPr>
      <w:r>
        <w:t xml:space="preserve">1.3 Geographic Scope</w:t>
      </w:r>
    </w:p>
    <w:p>
      <w:pPr>
        <w:pStyle w:val="FirstParagraph"/>
      </w:pPr>
      <w:r>
        <w:t xml:space="preserve">1.3.1 The Charter applies to the Strait of Hormuz Operating Area, defined in Annex A as the waters enclosed between the line joining Ra’s al Kuh on the Iranian coast to Ra’s Dibba on the Omani coast at the western approach, and the line joining the eastern headland of Qeshm Island to the approach waters off Ra’s al Hadd at the Gulf of Oman exit, together with the territorial seas of the Littoral Parties within that envelope, the designated holding anchorages, and the airspace above the corridor system to one thousand five hundred feet mean sea level. The Operating Area spans the chart extent 25 degrees 30 minutes N to 27 degrees 10 minutes N and 055 degrees 40 minutes E to 057 degrees 20 minutes E.</w:t>
      </w:r>
    </w:p>
    <w:p>
      <w:pPr>
        <w:pStyle w:val="BodyText"/>
      </w:pPr>
      <w:r>
        <w:t xml:space="preserve">1.3.2 The Operating Area includes the Inbound Coordination Corridor, the Outbound Assurance Corridor, the Central Deconfliction Corridor, the two separation belts, the Eastern and Western Precautionary Zones, the holding anchorages, and the Inshore Local Craft Bands.</w:t>
      </w:r>
    </w:p>
    <w:p>
      <w:pPr>
        <w:pStyle w:val="BodyText"/>
      </w:pPr>
      <w:r>
        <w:t xml:space="preserve">1.3.3 Nothing in this Charter delimits maritime boundaries among any states, and no act under this Charter prejudices any position of any Participant on delimitation.</w:t>
      </w:r>
    </w:p>
    <w:bookmarkEnd w:id="53"/>
    <w:bookmarkStart w:id="54" w:name="functional-scope"/>
    <w:p>
      <w:pPr>
        <w:pStyle w:val="Heading3"/>
      </w:pPr>
      <w:r>
        <w:t xml:space="preserve">1.4 Functional Scope</w:t>
      </w:r>
    </w:p>
    <w:p>
      <w:pPr>
        <w:pStyle w:val="FirstParagraph"/>
      </w:pPr>
      <w:r>
        <w:t xml:space="preserve">1.4.1 The Charter governs: the geometry and management of the three corridors; the classification and differentiated treatment of vessels; transit notification and recording; vessel traffic services; navigational aids; search and rescue; environmental protection and pollution response; military deconfliction; mine countermeasures; the financing of maritime services; the nuclear interface logistics within the Operating Area; verification, compliance, and dispute resolution among the Participants; and the continuity, amendment, and succession of the Charter itself.</w:t>
      </w:r>
    </w:p>
    <w:p>
      <w:pPr>
        <w:pStyle w:val="BodyText"/>
      </w:pPr>
      <w:r>
        <w:t xml:space="preserve">1.4.2 The Charter does not govern: the internal waters, ports, or harbors of any Participant beyond the holding anchorages and rendezvous points listed in Annex A; the cargo policies, trade policies, or sanctions regimes of any state; the military posture of any state outside the deconfliction rules of Part V; or the substantive terms of the nuclear track, which the parallel negotiation between the Islamic Republic of Iran and the United States of America owns exclusively.</w:t>
      </w:r>
    </w:p>
    <w:bookmarkEnd w:id="54"/>
    <w:bookmarkStart w:id="55" w:name="temporal-scope-and-the-no-fade-rule"/>
    <w:p>
      <w:pPr>
        <w:pStyle w:val="Heading3"/>
      </w:pPr>
      <w:r>
        <w:t xml:space="preserve">1.5 Temporal Scope and the No-Fade Rule</w:t>
      </w:r>
    </w:p>
    <w:p>
      <w:pPr>
        <w:pStyle w:val="FirstParagraph"/>
      </w:pPr>
      <w:r>
        <w:t xml:space="preserve">1.5.1 The Charter takes effect on signature and continues in force without term. Consistent with the no-fade continuity rule of Article 40, the Charter recognizes no sunset clause, no renewal deadline, and no silent expiry. Every phase boundary, review point, and certification cycle inside this instrument operates as an administrative rhythm: at every boundary, the operational state carries forward by default, and obligations persist exactly as written until the Participants amend them in writing.</w:t>
      </w:r>
    </w:p>
    <w:bookmarkEnd w:id="55"/>
    <w:bookmarkEnd w:id="56"/>
    <w:bookmarkStart w:id="64" w:name="X07f34fccd9e9d5a9dc49262a60e265d08f11521"/>
    <w:p>
      <w:pPr>
        <w:pStyle w:val="Heading2"/>
      </w:pPr>
      <w:r>
        <w:t xml:space="preserve">Article 2: Legal Foundations and Relationship to International Law</w:t>
      </w:r>
    </w:p>
    <w:bookmarkStart w:id="57" w:name="sovereign-basis"/>
    <w:p>
      <w:pPr>
        <w:pStyle w:val="Heading3"/>
      </w:pPr>
      <w:r>
        <w:t xml:space="preserve">2.1 Sovereign Basis</w:t>
      </w:r>
    </w:p>
    <w:p>
      <w:pPr>
        <w:pStyle w:val="FirstParagraph"/>
      </w:pPr>
      <w:r>
        <w:t xml:space="preserve">2.1.1 The Charter rests on the sovereignty and sovereign rights of the Littoral Parties over their respective territorial seas in the Strait of Hormuz, and on the customary international law of the sea as reflected in the 1982 United Nations Convention on the Law of the Sea. The Sultanate of Oman applies the Convention as a state party. The Islamic Republic of Iran applies the customary rules the Convention reflects, including the regime of transit passage, as a matter of its stated policy and of this Charter. Nothing in this instrument adjudicates, prejudices, or alters the position of any Participant on any question of maritime delimitation, and the Charter operates without prejudice to the differing treaty positions of the Participants.</w:t>
      </w:r>
    </w:p>
    <w:bookmarkEnd w:id="57"/>
    <w:bookmarkStart w:id="58" w:name="transit-passage-preserved"/>
    <w:p>
      <w:pPr>
        <w:pStyle w:val="Heading3"/>
      </w:pPr>
      <w:r>
        <w:t xml:space="preserve">2.2 Transit Passage Preserved</w:t>
      </w:r>
    </w:p>
    <w:p>
      <w:pPr>
        <w:pStyle w:val="FirstParagraph"/>
      </w:pPr>
      <w:r>
        <w:t xml:space="preserve">2.2.1 The corridor system of Part II implements the regime of transit passage as an organized service architecture. The right of transit passage through the Strait of Hormuz operates continuously and without suspension for the ships of all states, in all three corridors, under the rules of this Charter. The architecture excludes any suspension of transit passage for any reason, including any dispute among Participants, any incident under investigation, any arrears in the financial system, any external conflict, or any development in the nuclear track. A Protected Hold under Article 6.4 freezes movement in an affected sector only, for a stated period never exceeding seventy-two hours without a Qualified Majority decision, and never converts into a closure of the Strait.</w:t>
      </w:r>
    </w:p>
    <w:bookmarkEnd w:id="58"/>
    <w:bookmarkStart w:id="59" w:name="the-service-boundary"/>
    <w:p>
      <w:pPr>
        <w:pStyle w:val="Heading3"/>
      </w:pPr>
      <w:r>
        <w:t xml:space="preserve">2.3 The Service Boundary</w:t>
      </w:r>
    </w:p>
    <w:p>
      <w:pPr>
        <w:pStyle w:val="FirstParagraph"/>
      </w:pPr>
      <w:r>
        <w:t xml:space="preserve">2.3.1 International law draws a bright line between a charge on passage, which no coastal state levies in a strait used for international navigation, and a charge for specific services rendered to a vessel or to the shipping community, which a coastal state levies on a non-discriminatory basis. The financial architecture of Part IV sits entirely on the service side of that line. Transit itself carries no charge in any corridor, for any vessel, under any circumstances. Services carry documented, audited, pre-published prices, and payment for services flows through an international fund mechanism, never from a ship to a state as a condition of passage.</w:t>
      </w:r>
    </w:p>
    <w:bookmarkEnd w:id="59"/>
    <w:bookmarkStart w:id="60" w:name="X3f4b30f70923284ca2a822917f72e600b170cf5"/>
    <w:p>
      <w:pPr>
        <w:pStyle w:val="Heading3"/>
      </w:pPr>
      <w:r>
        <w:t xml:space="preserve">2.4 Relationship to the Islamabad Memorandum of Understanding</w:t>
      </w:r>
    </w:p>
    <w:p>
      <w:pPr>
        <w:pStyle w:val="FirstParagraph"/>
      </w:pPr>
      <w:r>
        <w:t xml:space="preserve">2.4.1 The Participants record that the Islamabad Memorandum of Understanding of 17 June 2026 charges the littoral states with defining, in discussion with the other Gulf littoral states, the future administration of the Strait and its maritime services, in line with applicable international law and the sovereign rights of the coastal states. This Charter discharges that charge. The Charter binds the Participants independently of the fate of any other instrument; a lapse, breach, suspension, or termination of any external agreement touches nothing in this Charter.</w:t>
      </w:r>
    </w:p>
    <w:p>
      <w:pPr>
        <w:pStyle w:val="BodyText"/>
      </w:pPr>
      <w:r>
        <w:t xml:space="preserve">2.4.2 The Charter remains compatible with the maritime clauses of the Memorandum, including the principle of safe, charge-free passage. The sixty-day toll-free window of the Memorandum converts, upon entry into force of this Charter, into the permanent zero-toll rule of Article 19.</w:t>
      </w:r>
    </w:p>
    <w:bookmarkEnd w:id="60"/>
    <w:bookmarkStart w:id="61" w:name="X043e577b0f34d9c512a1c81cf13b5af282a4260"/>
    <w:p>
      <w:pPr>
        <w:pStyle w:val="Heading3"/>
      </w:pPr>
      <w:r>
        <w:t xml:space="preserve">2.5 Relationship to the International Maritime Organization</w:t>
      </w:r>
    </w:p>
    <w:p>
      <w:pPr>
        <w:pStyle w:val="FirstParagraph"/>
      </w:pPr>
      <w:r>
        <w:t xml:space="preserve">2.5.1 The Participants build the corridor system upon the traffic separation scheme adopted through the International Maritime Organization for the Strait of Hormuz, as amended by this Charter through the procedures the Organization provides. The Participants jointly notify the Organization of the corridor geometry of Annex A, register the vessel traffic service areas, the reporting points, and the aids to navigation of this Charter, and invite the technical participation of the Organization under Article 17. The Charter creates no obligation for the Organization; it extends standing invitations, and each invitation remains open until accepted or declined in writing.</w:t>
      </w:r>
    </w:p>
    <w:bookmarkEnd w:id="61"/>
    <w:bookmarkStart w:id="62" w:name="Xbe06091878a15574765ace319c55f86cf1f2025"/>
    <w:p>
      <w:pPr>
        <w:pStyle w:val="Heading3"/>
      </w:pPr>
      <w:r>
        <w:t xml:space="preserve">2.6 Relationship to the International Atomic Energy Agency</w:t>
      </w:r>
    </w:p>
    <w:p>
      <w:pPr>
        <w:pStyle w:val="FirstParagraph"/>
      </w:pPr>
      <w:r>
        <w:t xml:space="preserve">2.6.1 The Charter recognizes the International Atomic Energy Agency as the sole competent international authority for the verification of nuclear material and nuclear activities. The nuclear interface of Part VI provides logistics, access, and maritime services to the Agency’s mission in Iran; it neither interprets safeguards obligations nor substitutes for them. The Agency’s findings carry their own authority, and the Charter cites them as inputs to the synchronization schedule of Article 34 and to no other purpose.</w:t>
      </w:r>
    </w:p>
    <w:bookmarkEnd w:id="62"/>
    <w:bookmarkStart w:id="63" w:name="non-prejudice-and-no-precedent"/>
    <w:p>
      <w:pPr>
        <w:pStyle w:val="Heading3"/>
      </w:pPr>
      <w:r>
        <w:t xml:space="preserve">2.7 Non-Prejudice and No Precedent</w:t>
      </w:r>
    </w:p>
    <w:p>
      <w:pPr>
        <w:pStyle w:val="FirstParagraph"/>
      </w:pPr>
      <w:r>
        <w:t xml:space="preserve">2.7.1 This instrument establishes no legal or political precedent for any other strait, waterway, dispute, or bilateral relationship. It is sui generis, tailored to the geography, history, and politics of the Strait of Hormuz in 2026. No provision creates an inference regarding the legal position of any Participant on any matter the text does not expressly address, including positions on the law of the sea, on sanctions, on the nuclear file, or on the status of any third state or entity.</w:t>
      </w:r>
    </w:p>
    <w:p>
      <w:pPr>
        <w:pStyle w:val="BodyText"/>
      </w:pPr>
      <w:r>
        <w:t xml:space="preserve">2.7.2 Participation in this Charter constitutes recognition of no entity, no territorial claim, and no jurisdictional assertion by any Participant. The architecture treats all data, all roles, and all revenues as operational elements only.</w:t>
      </w:r>
    </w:p>
    <w:bookmarkEnd w:id="63"/>
    <w:bookmarkEnd w:id="64"/>
    <w:bookmarkStart w:id="77" w:name="article-3-core-operating-principles"/>
    <w:p>
      <w:pPr>
        <w:pStyle w:val="Heading2"/>
      </w:pPr>
      <w:r>
        <w:t xml:space="preserve">Article 3: Core Operating Principles</w:t>
      </w:r>
    </w:p>
    <w:bookmarkStart w:id="65" w:name="shared-action"/>
    <w:p>
      <w:pPr>
        <w:pStyle w:val="Heading3"/>
      </w:pPr>
      <w:r>
        <w:t xml:space="preserve">3.1 Shared Action</w:t>
      </w:r>
    </w:p>
    <w:p>
      <w:pPr>
        <w:pStyle w:val="FirstParagraph"/>
      </w:pPr>
      <w:r>
        <w:t xml:space="preserve">3.1.1 Every obligation of one Participant pairs with reciprocal obligations across the Charter. The framework contains no unilateral concession, and every joint act follows the decision rules of Article 16.</w:t>
      </w:r>
    </w:p>
    <w:bookmarkEnd w:id="65"/>
    <w:bookmarkStart w:id="66" w:name="mutual-architecture"/>
    <w:p>
      <w:pPr>
        <w:pStyle w:val="Heading3"/>
      </w:pPr>
      <w:r>
        <w:t xml:space="preserve">3.2 Mutual Architecture</w:t>
      </w:r>
    </w:p>
    <w:p>
      <w:pPr>
        <w:pStyle w:val="FirstParagraph"/>
      </w:pPr>
      <w:r>
        <w:t xml:space="preserve">3.2.1 The text attributes every constraint to the framework itself. The architecture excludes interdiction inside the corridors; the architecture excludes tolls; the architecture excludes military staffing of operational roles; the architecture excludes the use of either track as leverage over the other. No Participant grants another a favor; all inhabit the same structure.</w:t>
      </w:r>
    </w:p>
    <w:bookmarkEnd w:id="66"/>
    <w:bookmarkStart w:id="67" w:name="no-fade-continuity"/>
    <w:p>
      <w:pPr>
        <w:pStyle w:val="Heading3"/>
      </w:pPr>
      <w:r>
        <w:t xml:space="preserve">3.3 No-Fade Continuity</w:t>
      </w:r>
    </w:p>
    <w:p>
      <w:pPr>
        <w:pStyle w:val="FirstParagraph"/>
      </w:pPr>
      <w:r>
        <w:t xml:space="preserve">3.3.1 No commitment fades at a date boundary. Continuation forms the default at every review point, and ending any element proceeds only through the affirmative, time-buffered procedures of Articles 40 and 43.</w:t>
      </w:r>
    </w:p>
    <w:bookmarkEnd w:id="67"/>
    <w:bookmarkStart w:id="68" w:name="proportionality-over-parity"/>
    <w:p>
      <w:pPr>
        <w:pStyle w:val="Heading3"/>
      </w:pPr>
      <w:r>
        <w:t xml:space="preserve">3.4 Proportionality Over Parity</w:t>
      </w:r>
    </w:p>
    <w:p>
      <w:pPr>
        <w:pStyle w:val="FirstParagraph"/>
      </w:pPr>
      <w:r>
        <w:t xml:space="preserve">3.4.1 The Charter measures contributions and burdens by documented service volume and verified cost, not by a mechanical equal-share split. The Multilateral Services Ledger of Article 22 records each Participant’s contribution honestly, and the Participants review balance annually without demanding artificial symmetry.</w:t>
      </w:r>
    </w:p>
    <w:bookmarkEnd w:id="68"/>
    <w:bookmarkStart w:id="69" w:name="transparency-over-trust"/>
    <w:p>
      <w:pPr>
        <w:pStyle w:val="Heading3"/>
      </w:pPr>
      <w:r>
        <w:t xml:space="preserve">3.5 Transparency Over Trust</w:t>
      </w:r>
    </w:p>
    <w:p>
      <w:pPr>
        <w:pStyle w:val="FirstParagraph"/>
      </w:pPr>
      <w:r>
        <w:t xml:space="preserve">3.5.1 The Charter substitutes publication for assurances. The Open Water Bulletin publishes corridor status twice daily; the Fund publishes its accounts quarterly; the Even Keel Verification Office publishes its observation log in summary form each week; the daily log records every operational act for the Council to inspect.</w:t>
      </w:r>
    </w:p>
    <w:bookmarkEnd w:id="69"/>
    <w:bookmarkStart w:id="70" w:name="cost-discipline"/>
    <w:p>
      <w:pPr>
        <w:pStyle w:val="Heading3"/>
      </w:pPr>
      <w:r>
        <w:t xml:space="preserve">3.6 Cost Discipline</w:t>
      </w:r>
    </w:p>
    <w:p>
      <w:pPr>
        <w:pStyle w:val="FirstParagraph"/>
      </w:pPr>
      <w:r>
        <w:t xml:space="preserve">3.6.1 The Participants share watch floors, patrol craft schedules, survey assets, data feeds, and facilities before procuring duplicates. Article 24 fixes the cost discipline rules, and every budget line names the shared asset it uses or the reason no shared asset suffices. The steady-state operating cost of the entire architecture stands below one hundred million dollars per year, a small fraction of the daily cost of the crisis it replaces.</w:t>
      </w:r>
    </w:p>
    <w:bookmarkEnd w:id="70"/>
    <w:bookmarkStart w:id="71" w:name="civilian-character"/>
    <w:p>
      <w:pPr>
        <w:pStyle w:val="Heading3"/>
      </w:pPr>
      <w:r>
        <w:t xml:space="preserve">3.7 Civilian Character</w:t>
      </w:r>
    </w:p>
    <w:p>
      <w:pPr>
        <w:pStyle w:val="FirstParagraph"/>
      </w:pPr>
      <w:r>
        <w:t xml:space="preserve">3.7.1 The operational bodies of the Charter employ civilian maritime professionals. Military liaison occurs through designated channels at the policy level and never on the watch floor, per Article 15.</w:t>
      </w:r>
    </w:p>
    <w:bookmarkEnd w:id="71"/>
    <w:bookmarkStart w:id="72" w:name="human-anchored-verification"/>
    <w:p>
      <w:pPr>
        <w:pStyle w:val="Heading3"/>
      </w:pPr>
      <w:r>
        <w:t xml:space="preserve">3.8 Human-Anchored Verification</w:t>
      </w:r>
    </w:p>
    <w:p>
      <w:pPr>
        <w:pStyle w:val="FirstParagraph"/>
      </w:pPr>
      <w:r>
        <w:t xml:space="preserve">3.8.1 Verification rests first on human observation, voice reporting, port records, embarked observers, and patrol confirmation, with electronic track data as one input among several. No compliance finding rests on a single sensor feed, per Article 36.</w:t>
      </w:r>
    </w:p>
    <w:bookmarkEnd w:id="72"/>
    <w:bookmarkStart w:id="73" w:name="synchronization"/>
    <w:p>
      <w:pPr>
        <w:pStyle w:val="Heading3"/>
      </w:pPr>
      <w:r>
        <w:t xml:space="preserve">3.9 Synchronization</w:t>
      </w:r>
    </w:p>
    <w:p>
      <w:pPr>
        <w:pStyle w:val="FirstParagraph"/>
      </w:pPr>
      <w:r>
        <w:t xml:space="preserve">3.9.1 The Charter synchronizes its own phase gates with the phase gates of the nuclear track through the published schedule of Article 34. Synchronization pairs steps; it never fuses tracks. Each step in each track stands on its own verification, and the completion of a paired pair of steps unlocks the next pair automatically.</w:t>
      </w:r>
    </w:p>
    <w:bookmarkEnd w:id="73"/>
    <w:bookmarkStart w:id="74" w:name="differentiated-treatment-by-purpose"/>
    <w:p>
      <w:pPr>
        <w:pStyle w:val="Heading3"/>
      </w:pPr>
      <w:r>
        <w:t xml:space="preserve">3.10 Differentiated Treatment by Purpose</w:t>
      </w:r>
    </w:p>
    <w:p>
      <w:pPr>
        <w:pStyle w:val="FirstParagraph"/>
      </w:pPr>
      <w:r>
        <w:t xml:space="preserve">3.10.1 The corridor system treats vessels according to their purpose, size, and risk profile, never according to flag, ownership, cargo destination, or political relationship. The classification of Article 11 applies identically to every flag.</w:t>
      </w:r>
    </w:p>
    <w:bookmarkEnd w:id="74"/>
    <w:bookmarkStart w:id="75" w:name="proportionality-and-repair"/>
    <w:p>
      <w:pPr>
        <w:pStyle w:val="Heading3"/>
      </w:pPr>
      <w:r>
        <w:t xml:space="preserve">3.11 Proportionality and Repair</w:t>
      </w:r>
    </w:p>
    <w:p>
      <w:pPr>
        <w:pStyle w:val="FirstParagraph"/>
      </w:pPr>
      <w:r>
        <w:t xml:space="preserve">3.11.1 Every response to every deviation stays proportionate, reversible, and time-limited. The compliance engine repairs; it never punishes. Banked performance never claws back, and no incident erases a certified gain.</w:t>
      </w:r>
    </w:p>
    <w:bookmarkEnd w:id="75"/>
    <w:bookmarkStart w:id="76" w:name="simplicity-of-instruction"/>
    <w:p>
      <w:pPr>
        <w:pStyle w:val="Heading3"/>
      </w:pPr>
      <w:r>
        <w:t xml:space="preserve">3.12 Simplicity of Instruction</w:t>
      </w:r>
    </w:p>
    <w:p>
      <w:pPr>
        <w:pStyle w:val="FirstParagraph"/>
      </w:pPr>
      <w:r>
        <w:t xml:space="preserve">3.12.1 Every operational instruction in this Charter and its annexes states one actor, one action, and one trigger, in plain language. Where a procedure admits two readings, the Joint Technical Committee issues a single clarifying note within seventy-two hours, and the note enters the master registry as a technical correction under Article 43.</w:t>
      </w:r>
    </w:p>
    <w:bookmarkEnd w:id="76"/>
    <w:bookmarkEnd w:id="77"/>
    <w:bookmarkStart w:id="82" w:name="article-4-definitions-and-interpretation"/>
    <w:p>
      <w:pPr>
        <w:pStyle w:val="Heading2"/>
      </w:pPr>
      <w:r>
        <w:t xml:space="preserve">Article 4: Definitions and Interpretation</w:t>
      </w:r>
    </w:p>
    <w:bookmarkStart w:id="78" w:name="defined-terms"/>
    <w:p>
      <w:pPr>
        <w:pStyle w:val="Heading3"/>
      </w:pPr>
      <w:r>
        <w:t xml:space="preserve">4.1 Defined Terms</w:t>
      </w:r>
    </w:p>
    <w:p>
      <w:pPr>
        <w:pStyle w:val="FirstParagraph"/>
      </w:pPr>
      <w:r>
        <w:t xml:space="preserve">4.1.1 In this Charter, the following terms carry the following meanings.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Authority or GECA</w:t>
            </w:r>
          </w:p>
        </w:tc>
        <w:tc>
          <w:tcPr/>
          <w:p>
            <w:pPr>
              <w:pStyle w:val="Compact"/>
              <w:jc w:val="left"/>
            </w:pPr>
            <w:r>
              <w:t xml:space="preserve">The Gulf Energy Corridor Authority established under Article 13, comprising the Council, the Executive Directorate, and the operational bodies of Part III</w:t>
            </w:r>
          </w:p>
        </w:tc>
      </w:tr>
      <w:tr>
        <w:tc>
          <w:tcPr/>
          <w:p>
            <w:pPr>
              <w:pStyle w:val="Compact"/>
              <w:jc w:val="left"/>
            </w:pPr>
            <w:r>
              <w:t xml:space="preserve">Center or HNC</w:t>
            </w:r>
          </w:p>
        </w:tc>
        <w:tc>
          <w:tcPr/>
          <w:p>
            <w:pPr>
              <w:pStyle w:val="Compact"/>
              <w:jc w:val="left"/>
            </w:pPr>
            <w:r>
              <w:t xml:space="preserve">The Hormuz Navigation Center established under Article 14, seated in Muscat with a mirror facility in Bandar Abbas</w:t>
            </w:r>
          </w:p>
        </w:tc>
      </w:tr>
      <w:tr>
        <w:tc>
          <w:tcPr/>
          <w:p>
            <w:pPr>
              <w:pStyle w:val="Compact"/>
              <w:jc w:val="left"/>
            </w:pPr>
            <w:r>
              <w:t xml:space="preserve">Charter or GECSC</w:t>
            </w:r>
          </w:p>
        </w:tc>
        <w:tc>
          <w:tcPr/>
          <w:p>
            <w:pPr>
              <w:pStyle w:val="Compact"/>
              <w:jc w:val="left"/>
            </w:pPr>
            <w:r>
              <w:t xml:space="preserve">The Gulf Energy Corridor Security Charter, this instrument with its sixteen annexes</w:t>
            </w:r>
          </w:p>
        </w:tc>
      </w:tr>
      <w:tr>
        <w:tc>
          <w:tcPr/>
          <w:p>
            <w:pPr>
              <w:pStyle w:val="Compact"/>
              <w:jc w:val="left"/>
            </w:pPr>
            <w:r>
              <w:t xml:space="preserve">Corridor system</w:t>
            </w:r>
          </w:p>
        </w:tc>
        <w:tc>
          <w:tcPr/>
          <w:p>
            <w:pPr>
              <w:pStyle w:val="Compact"/>
              <w:jc w:val="left"/>
            </w:pPr>
            <w:r>
              <w:t xml:space="preserve">The Inbound Coordination Corridor, the Outbound Assurance Corridor, the Central Deconfliction Corridor, the two separation belts, the coastal bands, the holding anchorages, and the reporting points of Annex A, taken together</w:t>
            </w:r>
          </w:p>
        </w:tc>
      </w:tr>
      <w:tr>
        <w:tc>
          <w:tcPr/>
          <w:p>
            <w:pPr>
              <w:pStyle w:val="Compact"/>
              <w:jc w:val="left"/>
            </w:pPr>
            <w:r>
              <w:t xml:space="preserve">Council</w:t>
            </w:r>
          </w:p>
        </w:tc>
        <w:tc>
          <w:tcPr/>
          <w:p>
            <w:pPr>
              <w:pStyle w:val="Compact"/>
              <w:jc w:val="left"/>
            </w:pPr>
            <w:r>
              <w:t xml:space="preserve">The Gulf Energy Corridor Council established under Article 13.4</w:t>
            </w:r>
          </w:p>
        </w:tc>
      </w:tr>
      <w:tr>
        <w:tc>
          <w:tcPr/>
          <w:p>
            <w:pPr>
              <w:pStyle w:val="Compact"/>
              <w:jc w:val="left"/>
            </w:pPr>
            <w:r>
              <w:t xml:space="preserve">Dual-Key Rule</w:t>
            </w:r>
          </w:p>
        </w:tc>
        <w:tc>
          <w:tcPr/>
          <w:p>
            <w:pPr>
              <w:pStyle w:val="Compact"/>
              <w:jc w:val="left"/>
            </w:pPr>
            <w:r>
              <w:t xml:space="preserve">The security activation rule of Article 27.3 and Annex F, under which defined security actions execute only on the concurrence of two or three designated keys</w:t>
            </w:r>
          </w:p>
        </w:tc>
      </w:tr>
      <w:tr>
        <w:tc>
          <w:tcPr/>
          <w:p>
            <w:pPr>
              <w:pStyle w:val="Compact"/>
              <w:jc w:val="left"/>
            </w:pPr>
            <w:r>
              <w:t xml:space="preserve">Even Keel Office</w:t>
            </w:r>
          </w:p>
        </w:tc>
        <w:tc>
          <w:tcPr/>
          <w:p>
            <w:pPr>
              <w:pStyle w:val="Compact"/>
              <w:jc w:val="left"/>
            </w:pPr>
            <w:r>
              <w:t xml:space="preserve">The Even Keel Verification Office, the standing neutral verification and observer office established under Article 15</w:t>
            </w:r>
          </w:p>
        </w:tc>
      </w:tr>
      <w:tr>
        <w:tc>
          <w:tcPr/>
          <w:p>
            <w:pPr>
              <w:pStyle w:val="Compact"/>
              <w:jc w:val="left"/>
            </w:pPr>
            <w:r>
              <w:t xml:space="preserve">Flow State</w:t>
            </w:r>
          </w:p>
        </w:tc>
        <w:tc>
          <w:tcPr/>
          <w:p>
            <w:pPr>
              <w:pStyle w:val="Compact"/>
              <w:jc w:val="left"/>
            </w:pPr>
            <w:r>
              <w:t xml:space="preserve">One of the four operating states of a corridor: Free Flow, Managed Flow, Coordinated Flow, or Protected Hold, per Article 6.4</w:t>
            </w:r>
          </w:p>
        </w:tc>
      </w:tr>
      <w:tr>
        <w:tc>
          <w:tcPr/>
          <w:p>
            <w:pPr>
              <w:pStyle w:val="Compact"/>
              <w:jc w:val="left"/>
            </w:pPr>
            <w:r>
              <w:t xml:space="preserve">Fund or GECF</w:t>
            </w:r>
          </w:p>
        </w:tc>
        <w:tc>
          <w:tcPr/>
          <w:p>
            <w:pPr>
              <w:pStyle w:val="Compact"/>
              <w:jc w:val="left"/>
            </w:pPr>
            <w:r>
              <w:t xml:space="preserve">The Gulf Energy Corridor Fund established under Article 21</w:t>
            </w:r>
          </w:p>
        </w:tc>
      </w:tr>
      <w:tr>
        <w:tc>
          <w:tcPr/>
          <w:p>
            <w:pPr>
              <w:pStyle w:val="Compact"/>
              <w:jc w:val="left"/>
            </w:pPr>
            <w:r>
              <w:t xml:space="preserve">Inbound Coordination Corridor</w:t>
            </w:r>
          </w:p>
        </w:tc>
        <w:tc>
          <w:tcPr/>
          <w:p>
            <w:pPr>
              <w:pStyle w:val="Compact"/>
              <w:jc w:val="left"/>
            </w:pPr>
            <w:r>
              <w:t xml:space="preserve">The northern corridor through Iranian waters established under Article 8</w:t>
            </w:r>
          </w:p>
        </w:tc>
      </w:tr>
      <w:tr>
        <w:tc>
          <w:tcPr/>
          <w:p>
            <w:pPr>
              <w:pStyle w:val="Compact"/>
              <w:jc w:val="left"/>
            </w:pPr>
            <w:r>
              <w:t xml:space="preserve">Littoral Parties</w:t>
            </w:r>
          </w:p>
        </w:tc>
        <w:tc>
          <w:tcPr/>
          <w:p>
            <w:pPr>
              <w:pStyle w:val="Compact"/>
              <w:jc w:val="left"/>
            </w:pPr>
            <w:r>
              <w:t xml:space="preserve">The Islamic Republic of Iran and the Sultanate of Oman, and both together where the context allows</w:t>
            </w:r>
          </w:p>
        </w:tc>
      </w:tr>
      <w:tr>
        <w:tc>
          <w:tcPr/>
          <w:p>
            <w:pPr>
              <w:pStyle w:val="Compact"/>
              <w:jc w:val="left"/>
            </w:pPr>
            <w:r>
              <w:t xml:space="preserve">Multilateral Transit Record</w:t>
            </w:r>
          </w:p>
        </w:tc>
        <w:tc>
          <w:tcPr/>
          <w:p>
            <w:pPr>
              <w:pStyle w:val="Compact"/>
              <w:jc w:val="left"/>
            </w:pPr>
            <w:r>
              <w:t xml:space="preserve">The acknowledgment record the Center issues on receipt of an Inbound Corridor registration, per Article 8.3</w:t>
            </w:r>
          </w:p>
        </w:tc>
      </w:tr>
      <w:tr>
        <w:tc>
          <w:tcPr/>
          <w:p>
            <w:pPr>
              <w:pStyle w:val="Compact"/>
              <w:jc w:val="left"/>
            </w:pPr>
            <w:r>
              <w:t xml:space="preserve">Nuclear Interface</w:t>
            </w:r>
          </w:p>
        </w:tc>
        <w:tc>
          <w:tcPr/>
          <w:p>
            <w:pPr>
              <w:pStyle w:val="Compact"/>
              <w:jc w:val="left"/>
            </w:pPr>
            <w:r>
              <w:t xml:space="preserve">The logistics, verification-support, and synchronization architecture of Part VI and Annex K</w:t>
            </w:r>
          </w:p>
        </w:tc>
      </w:tr>
      <w:tr>
        <w:tc>
          <w:tcPr/>
          <w:p>
            <w:pPr>
              <w:pStyle w:val="Compact"/>
              <w:jc w:val="left"/>
            </w:pPr>
            <w:r>
              <w:t xml:space="preserve">Open Water Bulletin</w:t>
            </w:r>
          </w:p>
        </w:tc>
        <w:tc>
          <w:tcPr/>
          <w:p>
            <w:pPr>
              <w:pStyle w:val="Compact"/>
              <w:jc w:val="left"/>
            </w:pPr>
            <w:r>
              <w:t xml:space="preserve">The twice-daily public status publication of the Charter, per Article 6.5</w:t>
            </w:r>
          </w:p>
        </w:tc>
      </w:tr>
      <w:tr>
        <w:tc>
          <w:tcPr/>
          <w:p>
            <w:pPr>
              <w:pStyle w:val="Compact"/>
              <w:jc w:val="left"/>
            </w:pPr>
            <w:r>
              <w:t xml:space="preserve">Operating Area</w:t>
            </w:r>
          </w:p>
        </w:tc>
        <w:tc>
          <w:tcPr/>
          <w:p>
            <w:pPr>
              <w:pStyle w:val="Compact"/>
              <w:jc w:val="left"/>
            </w:pPr>
            <w:r>
              <w:t xml:space="preserve">The geographic envelope of Section 1.3 as charted in Annex A</w:t>
            </w:r>
          </w:p>
        </w:tc>
      </w:tr>
      <w:tr>
        <w:tc>
          <w:tcPr/>
          <w:p>
            <w:pPr>
              <w:pStyle w:val="Compact"/>
              <w:jc w:val="left"/>
            </w:pPr>
            <w:r>
              <w:t xml:space="preserve">Outbound Assurance Corridor</w:t>
            </w:r>
          </w:p>
        </w:tc>
        <w:tc>
          <w:tcPr/>
          <w:p>
            <w:pPr>
              <w:pStyle w:val="Compact"/>
              <w:jc w:val="left"/>
            </w:pPr>
            <w:r>
              <w:t xml:space="preserve">The southern corridor through Omani waters established under Article 7</w:t>
            </w:r>
          </w:p>
        </w:tc>
      </w:tr>
      <w:tr>
        <w:tc>
          <w:tcPr/>
          <w:p>
            <w:pPr>
              <w:pStyle w:val="Compact"/>
              <w:jc w:val="left"/>
            </w:pPr>
            <w:r>
              <w:t xml:space="preserve">Participant</w:t>
            </w:r>
          </w:p>
        </w:tc>
        <w:tc>
          <w:tcPr/>
          <w:p>
            <w:pPr>
              <w:pStyle w:val="Compact"/>
              <w:jc w:val="left"/>
            </w:pPr>
            <w:r>
              <w:t xml:space="preserve">A state or organization participating in this Charter in any category under Article 43.3</w:t>
            </w:r>
          </w:p>
        </w:tc>
      </w:tr>
      <w:tr>
        <w:tc>
          <w:tcPr/>
          <w:p>
            <w:pPr>
              <w:pStyle w:val="Compact"/>
              <w:jc w:val="left"/>
            </w:pPr>
            <w:r>
              <w:t xml:space="preserve">Protected Hold</w:t>
            </w:r>
          </w:p>
        </w:tc>
        <w:tc>
          <w:tcPr/>
          <w:p>
            <w:pPr>
              <w:pStyle w:val="Compact"/>
              <w:jc w:val="left"/>
            </w:pPr>
            <w:r>
              <w:t xml:space="preserve">The temporary safety state that pauses entries to a defined area, per Article 6.4</w:t>
            </w:r>
          </w:p>
        </w:tc>
      </w:tr>
      <w:tr>
        <w:tc>
          <w:tcPr/>
          <w:p>
            <w:pPr>
              <w:pStyle w:val="Compact"/>
              <w:jc w:val="left"/>
            </w:pPr>
            <w:r>
              <w:t xml:space="preserve">Qualified Majority</w:t>
            </w:r>
          </w:p>
        </w:tc>
        <w:tc>
          <w:tcPr/>
          <w:p>
            <w:pPr>
              <w:pStyle w:val="Compact"/>
              <w:jc w:val="left"/>
            </w:pPr>
            <w:r>
              <w:t xml:space="preserve">The decision rule of Article 16.2</w:t>
            </w:r>
          </w:p>
        </w:tc>
      </w:tr>
      <w:tr>
        <w:tc>
          <w:tcPr/>
          <w:p>
            <w:pPr>
              <w:pStyle w:val="Compact"/>
              <w:jc w:val="left"/>
            </w:pPr>
            <w:r>
              <w:t xml:space="preserve">Regional Participants</w:t>
            </w:r>
          </w:p>
        </w:tc>
        <w:tc>
          <w:tcPr/>
          <w:p>
            <w:pPr>
              <w:pStyle w:val="Compact"/>
              <w:jc w:val="left"/>
            </w:pPr>
            <w:r>
              <w:t xml:space="preserve">The United Arab Emirates, the State of Qatar, the Kingdom of Saudi Arabia, the State of Kuwait, and the Kingdom of Bahrain, participating through the Gulf Cooperation Council structures of Article 17</w:t>
            </w:r>
          </w:p>
        </w:tc>
      </w:tr>
      <w:tr>
        <w:tc>
          <w:tcPr/>
          <w:p>
            <w:pPr>
              <w:pStyle w:val="Compact"/>
              <w:jc w:val="left"/>
            </w:pPr>
            <w:r>
              <w:t xml:space="preserve">Registration</w:t>
            </w:r>
          </w:p>
        </w:tc>
        <w:tc>
          <w:tcPr/>
          <w:p>
            <w:pPr>
              <w:pStyle w:val="Compact"/>
              <w:jc w:val="left"/>
            </w:pPr>
            <w:r>
              <w:t xml:space="preserve">The advance transit record a vessel files under Annex C for the Inbound Coordination Corridor</w:t>
            </w:r>
          </w:p>
        </w:tc>
      </w:tr>
      <w:tr>
        <w:tc>
          <w:tcPr/>
          <w:p>
            <w:pPr>
              <w:pStyle w:val="Compact"/>
              <w:jc w:val="left"/>
            </w:pPr>
            <w:r>
              <w:t xml:space="preserve">Safe Registry</w:t>
            </w:r>
          </w:p>
        </w:tc>
        <w:tc>
          <w:tcPr/>
          <w:p>
            <w:pPr>
              <w:pStyle w:val="Compact"/>
              <w:jc w:val="left"/>
            </w:pPr>
            <w:r>
              <w:t xml:space="preserve">The Gulf Energy Corridor Safe Registry maintained under Article 22.4</w:t>
            </w:r>
          </w:p>
        </w:tc>
      </w:tr>
      <w:tr>
        <w:tc>
          <w:tcPr/>
          <w:p>
            <w:pPr>
              <w:pStyle w:val="Compact"/>
              <w:jc w:val="left"/>
            </w:pPr>
            <w:r>
              <w:t xml:space="preserve">Service</w:t>
            </w:r>
          </w:p>
        </w:tc>
        <w:tc>
          <w:tcPr/>
          <w:p>
            <w:pPr>
              <w:pStyle w:val="Compact"/>
              <w:jc w:val="left"/>
            </w:pPr>
            <w:r>
              <w:t xml:space="preserve">A maritime service listed in the Verified Services Catalog of Annex D, delivered by or on behalf of a Participant and reimbursed through the Fund under Article 22</w:t>
            </w:r>
          </w:p>
        </w:tc>
      </w:tr>
      <w:tr>
        <w:tc>
          <w:tcPr/>
          <w:p>
            <w:pPr>
              <w:pStyle w:val="Compact"/>
              <w:jc w:val="left"/>
            </w:pPr>
            <w:r>
              <w:t xml:space="preserve">Service Boundary</w:t>
            </w:r>
          </w:p>
        </w:tc>
        <w:tc>
          <w:tcPr/>
          <w:p>
            <w:pPr>
              <w:pStyle w:val="Compact"/>
              <w:jc w:val="left"/>
            </w:pPr>
            <w:r>
              <w:t xml:space="preserve">The legal distinction of Article 2.3 between free passage and compensated service</w:t>
            </w:r>
          </w:p>
        </w:tc>
      </w:tr>
      <w:tr>
        <w:tc>
          <w:tcPr/>
          <w:p>
            <w:pPr>
              <w:pStyle w:val="Compact"/>
              <w:jc w:val="left"/>
            </w:pPr>
            <w:r>
              <w:t xml:space="preserve">Step-Back Ladder</w:t>
            </w:r>
          </w:p>
        </w:tc>
        <w:tc>
          <w:tcPr/>
          <w:p>
            <w:pPr>
              <w:pStyle w:val="Compact"/>
              <w:jc w:val="left"/>
            </w:pPr>
            <w:r>
              <w:t xml:space="preserve">The graduated, reversible response mechanism of Article 37.2</w:t>
            </w:r>
          </w:p>
        </w:tc>
      </w:tr>
      <w:tr>
        <w:tc>
          <w:tcPr/>
          <w:p>
            <w:pPr>
              <w:pStyle w:val="Compact"/>
              <w:jc w:val="left"/>
            </w:pPr>
            <w:r>
              <w:t xml:space="preserve">Strategic Partners</w:t>
            </w:r>
          </w:p>
        </w:tc>
        <w:tc>
          <w:tcPr/>
          <w:p>
            <w:pPr>
              <w:pStyle w:val="Compact"/>
              <w:jc w:val="left"/>
            </w:pPr>
            <w:r>
              <w:t xml:space="preserve">The United States of America, the People’s Republic of China, the Republic of India, Japan, the Republic of Korea, the United Kingdom, and the French Republic, participating under Article 17</w:t>
            </w:r>
          </w:p>
        </w:tc>
      </w:tr>
      <w:tr>
        <w:tc>
          <w:tcPr/>
          <w:p>
            <w:pPr>
              <w:pStyle w:val="Compact"/>
              <w:jc w:val="left"/>
            </w:pPr>
            <w:r>
              <w:t xml:space="preserve">Synchronization Schedule</w:t>
            </w:r>
          </w:p>
        </w:tc>
        <w:tc>
          <w:tcPr/>
          <w:p>
            <w:pPr>
              <w:pStyle w:val="Compact"/>
              <w:jc w:val="left"/>
            </w:pPr>
            <w:r>
              <w:t xml:space="preserve">The published pairing of maritime phase gates and nuclear track steps under Article 34 and Annex K</w:t>
            </w:r>
          </w:p>
        </w:tc>
      </w:tr>
      <w:tr>
        <w:tc>
          <w:tcPr/>
          <w:p>
            <w:pPr>
              <w:pStyle w:val="Compact"/>
              <w:jc w:val="left"/>
            </w:pPr>
            <w:r>
              <w:t xml:space="preserve">Transit</w:t>
            </w:r>
          </w:p>
        </w:tc>
        <w:tc>
          <w:tcPr/>
          <w:p>
            <w:pPr>
              <w:pStyle w:val="Compact"/>
              <w:jc w:val="left"/>
            </w:pPr>
            <w:r>
              <w:t xml:space="preserve">Passage through the Operating Area from one end of the corridor system to the other, including approach and exit within the reporting envelope of Annex A</w:t>
            </w:r>
          </w:p>
        </w:tc>
      </w:tr>
      <w:tr>
        <w:tc>
          <w:tcPr/>
          <w:p>
            <w:pPr>
              <w:pStyle w:val="Compact"/>
              <w:jc w:val="left"/>
            </w:pPr>
            <w:r>
              <w:t xml:space="preserve">Two-Track Firewall</w:t>
            </w:r>
          </w:p>
        </w:tc>
        <w:tc>
          <w:tcPr/>
          <w:p>
            <w:pPr>
              <w:pStyle w:val="Compact"/>
              <w:jc w:val="left"/>
            </w:pPr>
            <w:r>
              <w:t xml:space="preserve">The rule of Article 31 that separates the maritime track from the nuclear track</w:t>
            </w:r>
          </w:p>
        </w:tc>
      </w:tr>
      <w:tr>
        <w:tc>
          <w:tcPr/>
          <w:p>
            <w:pPr>
              <w:pStyle w:val="Compact"/>
              <w:jc w:val="left"/>
            </w:pPr>
            <w:r>
              <w:t xml:space="preserve">Vessel class</w:t>
            </w:r>
          </w:p>
        </w:tc>
        <w:tc>
          <w:tcPr/>
          <w:p>
            <w:pPr>
              <w:pStyle w:val="Compact"/>
              <w:jc w:val="left"/>
            </w:pPr>
            <w:r>
              <w:t xml:space="preserve">One of the nine classes of Annex B, assigned by purpose, size, and risk profile under Article 11</w:t>
            </w:r>
          </w:p>
        </w:tc>
      </w:tr>
      <w:tr>
        <w:tc>
          <w:tcPr/>
          <w:p>
            <w:pPr>
              <w:pStyle w:val="Compact"/>
              <w:jc w:val="left"/>
            </w:pPr>
            <w:r>
              <w:t xml:space="preserve">Day</w:t>
            </w:r>
          </w:p>
        </w:tc>
        <w:tc>
          <w:tcPr/>
          <w:p>
            <w:pPr>
              <w:pStyle w:val="Compact"/>
              <w:jc w:val="left"/>
            </w:pPr>
            <w:r>
              <w:t xml:space="preserve">A calendar day in Muscat time unless the text states otherwise</w:t>
            </w:r>
          </w:p>
        </w:tc>
      </w:tr>
    </w:tbl>
    <w:bookmarkEnd w:id="78"/>
    <w:bookmarkStart w:id="79" w:name="interpretation-rules"/>
    <w:p>
      <w:pPr>
        <w:pStyle w:val="Heading3"/>
      </w:pPr>
      <w:r>
        <w:t xml:space="preserve">4.2 Interpretation Rules</w:t>
      </w:r>
    </w:p>
    <w:p>
      <w:pPr>
        <w:pStyle w:val="FirstParagraph"/>
      </w:pPr>
      <w:r>
        <w:t xml:space="preserve">4.2.1 Six rules govern interpretation. First, the present-tense drafting convention binds interpretation: every statement of operational fact reads as a standing rule, not a description of a moment. Second, the specific governs the general, and an annex governs its own technical subject within the authority the parent article delegates to it. Third, the no-fade rule resolves every doubt about duration in favor of continuity. Fourth, the mutual architecture principle resolves every doubt about the incidence of a prohibition in favor of equal application to all Participants. Fifth, the Two-Track Firewall resolves every doubt about linkage in favor of separation of the tracks. Sixth, nothing in this Charter admits interpretation as a charge on passage, a suspension of transit, or a permission regime for international commercial transit in any corridor.</w:t>
      </w:r>
    </w:p>
    <w:bookmarkEnd w:id="79"/>
    <w:bookmarkStart w:id="80" w:name="numbering-and-cross-reference"/>
    <w:p>
      <w:pPr>
        <w:pStyle w:val="Heading3"/>
      </w:pPr>
      <w:r>
        <w:t xml:space="preserve">4.3 Numbering and Cross-Reference</w:t>
      </w:r>
    </w:p>
    <w:p>
      <w:pPr>
        <w:pStyle w:val="FirstParagraph"/>
      </w:pPr>
      <w:r>
        <w:t xml:space="preserve">4.3.1 Articles divide into numbered sections. A reference to a section without an article number refers to a section of the article in which the reference appears. A reference to an annex incorporates the annex as operative text. The General Secretariat maintains a concordance of cross-references in the master registry, and a clerical correction to a cross-reference proceeds as a technical correction under Article 43 without constituting an amendment.</w:t>
      </w:r>
    </w:p>
    <w:bookmarkEnd w:id="80"/>
    <w:bookmarkStart w:id="81" w:name="nomenclature-neutrality"/>
    <w:p>
      <w:pPr>
        <w:pStyle w:val="Heading3"/>
      </w:pPr>
      <w:r>
        <w:t xml:space="preserve">4.4 Nomenclature Neutrality</w:t>
      </w:r>
    </w:p>
    <w:p>
      <w:pPr>
        <w:pStyle w:val="FirstParagraph"/>
      </w:pPr>
      <w:r>
        <w:t xml:space="preserve">4.4.1 The waterway carries different designations in the domestic usage of the Participants, and the framework architecture treats each domestic designation as valid within its own records. This Charter uses the designation Strait of Hormuz in all instruments, filings, and publications, as the neutral operational descriptor. Each Participant retains full authority over its domestic nomenclature for domestic communications, and no Participant objects to another’s internal usage. No Participant represents publicly that another Participant accepts or endorses any domestic designation.</w:t>
      </w:r>
    </w:p>
    <w:bookmarkEnd w:id="81"/>
    <w:bookmarkEnd w:id="82"/>
    <w:bookmarkStart w:id="86" w:name="X95cff8720f20399eecc7882269b0d61dd6136a6"/>
    <w:p>
      <w:pPr>
        <w:pStyle w:val="Heading2"/>
      </w:pPr>
      <w:r>
        <w:t xml:space="preserve">Article 5: Succession of the Interim Arrangements</w:t>
      </w:r>
    </w:p>
    <w:bookmarkStart w:id="83" w:name="Xfdeb2a2ee06b744981abe4e9a6d8243503d055e"/>
    <w:p>
      <w:pPr>
        <w:pStyle w:val="Heading3"/>
      </w:pPr>
      <w:r>
        <w:t xml:space="preserve">5.1 Absorption of the Iran-Oman Corridor Agreements</w:t>
      </w:r>
    </w:p>
    <w:p>
      <w:pPr>
        <w:pStyle w:val="FirstParagraph"/>
      </w:pPr>
      <w:r>
        <w:t xml:space="preserve">5.1.1 The corridor coordinates, entry and exit points, and service principles agreed between the Littoral Parties in July and August 2026 enter this Charter as the geometry of Annex A and the service principles of Part IV. The bilateral joint statement of the Littoral Parties issues simultaneously with the signature of this Charter, and the two instruments read together as one settlement.</w:t>
      </w:r>
    </w:p>
    <w:bookmarkEnd w:id="83"/>
    <w:bookmarkStart w:id="84" w:name="sunset-of-the-wartime-lanes"/>
    <w:p>
      <w:pPr>
        <w:pStyle w:val="Heading3"/>
      </w:pPr>
      <w:r>
        <w:t xml:space="preserve">5.2 Sunset of the Wartime Lanes</w:t>
      </w:r>
    </w:p>
    <w:p>
      <w:pPr>
        <w:pStyle w:val="FirstParagraph"/>
      </w:pPr>
      <w:r>
        <w:t xml:space="preserve">5.2.1 The temporary wartime routing lanes and every unilateral routing directive of the conflict period expire on the activation of the corresponding corridor under the phase sequence of Article 41. The sunset follows the corridor, sector by sector, so that no stretch of water ever lacks a published rule. The Center publishes each sunset in the Open Water Bulletin with forty-eight hours’ notice to mariners.</w:t>
      </w:r>
    </w:p>
    <w:bookmarkEnd w:id="84"/>
    <w:bookmarkStart w:id="85" w:name="transformation-of-prior-structures"/>
    <w:p>
      <w:pPr>
        <w:pStyle w:val="Heading3"/>
      </w:pPr>
      <w:r>
        <w:t xml:space="preserve">5.3 Transformation of Prior Structures</w:t>
      </w:r>
    </w:p>
    <w:p>
      <w:pPr>
        <w:pStyle w:val="FirstParagraph"/>
      </w:pPr>
      <w:r>
        <w:t xml:space="preserve">5.3.1 The corridor functions of the prior national maritime structures of the Littoral Parties, including the Persian Gulf Strait Authority and the Omani maritime security structures, transfer into the joint architecture upon entry into force: their civilian maritime professionals form the initial staffing pool of the Authority, their procedures fold into the annexes of this Charter, and their legacy records transfer into the data custody of the Center under Article 14.5. The transformation reads as the internationalization and professionalization of existing national roles, and each Littoral Party presents it domestically as the elevation of its own stewardship into joint stewardship.</w:t>
      </w:r>
    </w:p>
    <w:bookmarkEnd w:id="85"/>
    <w:bookmarkEnd w:id="86"/>
    <w:bookmarkEnd w:id="87"/>
    <w:bookmarkStart w:id="128" w:name="Xe7dd46c1b5bad2c3fbb0237e887e9ae9b9e8c9d"/>
    <w:p>
      <w:pPr>
        <w:pStyle w:val="Heading1"/>
      </w:pPr>
      <w:r>
        <w:t xml:space="preserve">Part II: The Triple-Corridor Transit System</w:t>
      </w:r>
    </w:p>
    <w:bookmarkStart w:id="93" w:name="X7e47e155922871057e17761cb385a8158d1fcd8"/>
    <w:p>
      <w:pPr>
        <w:pStyle w:val="Heading2"/>
      </w:pPr>
      <w:r>
        <w:t xml:space="preserve">Article 6: The Corridor System at a Glance</w:t>
      </w:r>
    </w:p>
    <w:bookmarkStart w:id="88" w:name="design-logic"/>
    <w:p>
      <w:pPr>
        <w:pStyle w:val="Heading3"/>
      </w:pPr>
      <w:r>
        <w:t xml:space="preserve">6.1 Design Logic</w:t>
      </w:r>
    </w:p>
    <w:p>
      <w:pPr>
        <w:pStyle w:val="FirstParagraph"/>
      </w:pPr>
      <w:r>
        <w:t xml:space="preserve">6.1.1 The corridor system dissolves the route dispute of 2026 through architecture rather than adjudication. Three corridors operate. The Inbound Coordination Corridor runs through Iranian waters as the managed northern passage for Gulf-entering traffic, under a registration regime that records, never permits. The Outbound Assurance Corridor runs through Omani waters as the open southern passage for Gulf-exiting traffic, without notice, without permission, and without charge. The Central Deconfliction Corridor occupies the separation between the flows as jointly administered calm water: it carries no routine commercial stream, and it exists for separation, emergency diversion, mine-risk response, search and rescue routing, and naval deconfliction. All three corridors operate under the zero-toll rule of Article 19. All three corridors feed the same joint monitoring architecture.</w:t>
      </w:r>
    </w:p>
    <w:p>
      <w:pPr>
        <w:pStyle w:val="BodyText"/>
      </w:pPr>
      <w:r>
        <w:t xml:space="preserve">6.1.2 The design honors the negotiated geography of August 2026: inbound flow nearer the Iranian coast, outbound flow nearer the Omani coast, and a neutral center that keeps the system stable. A master chooses a corridor within the directional logic of the system, and the architecture excludes any penalty, delay, or challenge for a compliant choice.</w:t>
      </w:r>
    </w:p>
    <w:bookmarkEnd w:id="88"/>
    <w:bookmarkStart w:id="89" w:name="the-operational-matrix"/>
    <w:p>
      <w:pPr>
        <w:pStyle w:val="Heading3"/>
      </w:pPr>
      <w:r>
        <w:t xml:space="preserve">6.2 The Operational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Inbound Coordination Corridor</w:t>
            </w:r>
          </w:p>
        </w:tc>
        <w:tc>
          <w:tcPr/>
          <w:p>
            <w:pPr>
              <w:pStyle w:val="Compact"/>
              <w:jc w:val="left"/>
            </w:pPr>
            <w:r>
              <w:t xml:space="preserve">Central Deconfliction Corridor</w:t>
            </w:r>
          </w:p>
        </w:tc>
        <w:tc>
          <w:tcPr/>
          <w:p>
            <w:pPr>
              <w:pStyle w:val="Compact"/>
              <w:jc w:val="left"/>
            </w:pPr>
            <w:r>
              <w:t xml:space="preserve">Outbound Assurance Corridor</w:t>
            </w:r>
          </w:p>
        </w:tc>
      </w:tr>
      <w:tr>
        <w:tc>
          <w:tcPr/>
          <w:p>
            <w:pPr>
              <w:pStyle w:val="Compact"/>
              <w:jc w:val="left"/>
            </w:pPr>
            <w:r>
              <w:t xml:space="preserve">Position</w:t>
            </w:r>
          </w:p>
        </w:tc>
        <w:tc>
          <w:tcPr/>
          <w:p>
            <w:pPr>
              <w:pStyle w:val="Compact"/>
              <w:jc w:val="left"/>
            </w:pPr>
            <w:r>
              <w:t xml:space="preserve">Northern Strait, Iranian territorial sea, Qeshm and Larak approaches</w:t>
            </w:r>
          </w:p>
        </w:tc>
        <w:tc>
          <w:tcPr/>
          <w:p>
            <w:pPr>
              <w:pStyle w:val="Compact"/>
              <w:jc w:val="left"/>
            </w:pPr>
            <w:r>
              <w:t xml:space="preserve">Mid-Strait separation water between the flows</w:t>
            </w:r>
          </w:p>
        </w:tc>
        <w:tc>
          <w:tcPr/>
          <w:p>
            <w:pPr>
              <w:pStyle w:val="Compact"/>
              <w:jc w:val="left"/>
            </w:pPr>
            <w:r>
              <w:t xml:space="preserve">Southern Strait, Omani territorial sea, Musandam coast</w:t>
            </w:r>
          </w:p>
        </w:tc>
      </w:tr>
      <w:tr>
        <w:tc>
          <w:tcPr/>
          <w:p>
            <w:pPr>
              <w:pStyle w:val="Compact"/>
              <w:jc w:val="left"/>
            </w:pPr>
            <w:r>
              <w:t xml:space="preserve">Primary function</w:t>
            </w:r>
          </w:p>
        </w:tc>
        <w:tc>
          <w:tcPr/>
          <w:p>
            <w:pPr>
              <w:pStyle w:val="Compact"/>
              <w:jc w:val="left"/>
            </w:pPr>
            <w:r>
              <w:t xml:space="preserve">Gulf-entering commercial traffic</w:t>
            </w:r>
          </w:p>
        </w:tc>
        <w:tc>
          <w:tcPr/>
          <w:p>
            <w:pPr>
              <w:pStyle w:val="Compact"/>
              <w:jc w:val="left"/>
            </w:pPr>
            <w:r>
              <w:t xml:space="preserve">Separation, emergency, mine-risk, deconfliction</w:t>
            </w:r>
          </w:p>
        </w:tc>
        <w:tc>
          <w:tcPr/>
          <w:p>
            <w:pPr>
              <w:pStyle w:val="Compact"/>
              <w:jc w:val="left"/>
            </w:pPr>
            <w:r>
              <w:t xml:space="preserve">Gulf-exiting commercial traffic</w:t>
            </w:r>
          </w:p>
        </w:tc>
      </w:tr>
      <w:tr>
        <w:tc>
          <w:tcPr/>
          <w:p>
            <w:pPr>
              <w:pStyle w:val="Compact"/>
              <w:jc w:val="left"/>
            </w:pPr>
            <w:r>
              <w:t xml:space="preserve">Functional administration</w:t>
            </w:r>
          </w:p>
        </w:tc>
        <w:tc>
          <w:tcPr/>
          <w:p>
            <w:pPr>
              <w:pStyle w:val="Compact"/>
              <w:jc w:val="left"/>
            </w:pPr>
            <w:r>
              <w:t xml:space="preserve">Iranian maritime administration under Charter oversight</w:t>
            </w:r>
          </w:p>
        </w:tc>
        <w:tc>
          <w:tcPr/>
          <w:p>
            <w:pPr>
              <w:pStyle w:val="Compact"/>
              <w:jc w:val="left"/>
            </w:pPr>
            <w:r>
              <w:t xml:space="preserve">Dual administration, alternating lead every six months</w:t>
            </w:r>
          </w:p>
        </w:tc>
        <w:tc>
          <w:tcPr/>
          <w:p>
            <w:pPr>
              <w:pStyle w:val="Compact"/>
              <w:jc w:val="left"/>
            </w:pPr>
            <w:r>
              <w:t xml:space="preserve">Omani maritime administration under Charter oversight</w:t>
            </w:r>
          </w:p>
        </w:tc>
      </w:tr>
      <w:tr>
        <w:tc>
          <w:tcPr/>
          <w:p>
            <w:pPr>
              <w:pStyle w:val="Compact"/>
              <w:jc w:val="left"/>
            </w:pPr>
            <w:r>
              <w:t xml:space="preserve">Width and configuration</w:t>
            </w:r>
          </w:p>
        </w:tc>
        <w:tc>
          <w:tcPr/>
          <w:p>
            <w:pPr>
              <w:pStyle w:val="Compact"/>
              <w:jc w:val="left"/>
            </w:pPr>
            <w:r>
              <w:t xml:space="preserve">Two to three nautical miles; directional lanes with passing zones</w:t>
            </w:r>
          </w:p>
        </w:tc>
        <w:tc>
          <w:tcPr/>
          <w:p>
            <w:pPr>
              <w:pStyle w:val="Compact"/>
              <w:jc w:val="left"/>
            </w:pPr>
            <w:r>
              <w:t xml:space="preserve">Two nautical miles; sterile separation</w:t>
            </w:r>
          </w:p>
        </w:tc>
        <w:tc>
          <w:tcPr/>
          <w:p>
            <w:pPr>
              <w:pStyle w:val="Compact"/>
              <w:jc w:val="left"/>
            </w:pPr>
            <w:r>
              <w:t xml:space="preserve">Two to three nautical miles; directional lanes</w:t>
            </w:r>
          </w:p>
        </w:tc>
      </w:tr>
      <w:tr>
        <w:tc>
          <w:tcPr/>
          <w:p>
            <w:pPr>
              <w:pStyle w:val="Compact"/>
              <w:jc w:val="left"/>
            </w:pPr>
            <w:r>
              <w:t xml:space="preserve">Prior notice</w:t>
            </w:r>
          </w:p>
        </w:tc>
        <w:tc>
          <w:tcPr/>
          <w:p>
            <w:pPr>
              <w:pStyle w:val="Compact"/>
              <w:jc w:val="left"/>
            </w:pPr>
            <w:r>
              <w:t xml:space="preserve">Six-hour advance registration, recorded as information</w:t>
            </w:r>
          </w:p>
        </w:tc>
        <w:tc>
          <w:tcPr/>
          <w:p>
            <w:pPr>
              <w:pStyle w:val="Compact"/>
              <w:jc w:val="left"/>
            </w:pPr>
            <w:r>
              <w:t xml:space="preserve">Notification on entry for authorized uses only</w:t>
            </w:r>
          </w:p>
        </w:tc>
        <w:tc>
          <w:tcPr/>
          <w:p>
            <w:pPr>
              <w:pStyle w:val="Compact"/>
              <w:jc w:val="left"/>
            </w:pPr>
            <w:r>
              <w:t xml:space="preserve">None; continuous identification broadcast only</w:t>
            </w:r>
          </w:p>
        </w:tc>
      </w:tr>
      <w:tr>
        <w:tc>
          <w:tcPr/>
          <w:p>
            <w:pPr>
              <w:pStyle w:val="Compact"/>
              <w:jc w:val="left"/>
            </w:pPr>
            <w:r>
              <w:t xml:space="preserve">Tolls or passage charges</w:t>
            </w:r>
          </w:p>
        </w:tc>
        <w:tc>
          <w:tcPr/>
          <w:p>
            <w:pPr>
              <w:pStyle w:val="Compact"/>
              <w:jc w:val="left"/>
            </w:pPr>
            <w:r>
              <w:t xml:space="preserve">None, under Article 19</w:t>
            </w:r>
          </w:p>
        </w:tc>
        <w:tc>
          <w:tcPr/>
          <w:p>
            <w:pPr>
              <w:pStyle w:val="Compact"/>
              <w:jc w:val="left"/>
            </w:pPr>
            <w:r>
              <w:t xml:space="preserve">None, under Article 19</w:t>
            </w:r>
          </w:p>
        </w:tc>
        <w:tc>
          <w:tcPr/>
          <w:p>
            <w:pPr>
              <w:pStyle w:val="Compact"/>
              <w:jc w:val="left"/>
            </w:pPr>
            <w:r>
              <w:t xml:space="preserve">None, under Article 19</w:t>
            </w:r>
          </w:p>
        </w:tc>
      </w:tr>
      <w:tr>
        <w:tc>
          <w:tcPr/>
          <w:p>
            <w:pPr>
              <w:pStyle w:val="Compact"/>
              <w:jc w:val="left"/>
            </w:pPr>
            <w:r>
              <w:t xml:space="preserve">Speed regime</w:t>
            </w:r>
          </w:p>
        </w:tc>
        <w:tc>
          <w:tcPr/>
          <w:p>
            <w:pPr>
              <w:pStyle w:val="Compact"/>
              <w:jc w:val="left"/>
            </w:pPr>
            <w:r>
              <w:t xml:space="preserve">Six to fourteen knots</w:t>
            </w:r>
          </w:p>
        </w:tc>
        <w:tc>
          <w:tcPr/>
          <w:p>
            <w:pPr>
              <w:pStyle w:val="Compact"/>
              <w:jc w:val="left"/>
            </w:pPr>
            <w:r>
              <w:t xml:space="preserve">As the safety case requires</w:t>
            </w:r>
          </w:p>
        </w:tc>
        <w:tc>
          <w:tcPr/>
          <w:p>
            <w:pPr>
              <w:pStyle w:val="Compact"/>
              <w:jc w:val="left"/>
            </w:pPr>
            <w:r>
              <w:t xml:space="preserve">Eight to eighteen knots</w:t>
            </w:r>
          </w:p>
        </w:tc>
      </w:tr>
      <w:tr>
        <w:tc>
          <w:tcPr/>
          <w:p>
            <w:pPr>
              <w:pStyle w:val="Compact"/>
              <w:jc w:val="left"/>
            </w:pPr>
            <w:r>
              <w:t xml:space="preserve">Security oversight</w:t>
            </w:r>
          </w:p>
        </w:tc>
        <w:tc>
          <w:tcPr/>
          <w:p>
            <w:pPr>
              <w:pStyle w:val="Compact"/>
              <w:jc w:val="left"/>
            </w:pPr>
            <w:r>
              <w:t xml:space="preserve">Joint patrol architecture, Iranian functional lead, embarked observers</w:t>
            </w:r>
          </w:p>
        </w:tc>
        <w:tc>
          <w:tcPr/>
          <w:p>
            <w:pPr>
              <w:pStyle w:val="Compact"/>
              <w:jc w:val="left"/>
            </w:pPr>
            <w:r>
              <w:t xml:space="preserve">Even Keel observation, dual-key activation</w:t>
            </w:r>
          </w:p>
        </w:tc>
        <w:tc>
          <w:tcPr/>
          <w:p>
            <w:pPr>
              <w:pStyle w:val="Compact"/>
              <w:jc w:val="left"/>
            </w:pPr>
            <w:r>
              <w:t xml:space="preserve">Joint patrol architecture, Omani functional lead, embarked observers</w:t>
            </w:r>
          </w:p>
        </w:tc>
      </w:tr>
    </w:tbl>
    <w:bookmarkEnd w:id="89"/>
    <w:bookmarkStart w:id="90" w:name="one-water-three-corridors"/>
    <w:p>
      <w:pPr>
        <w:pStyle w:val="Heading3"/>
      </w:pPr>
      <w:r>
        <w:t xml:space="preserve">6.3 One Water, Three Corridors</w:t>
      </w:r>
    </w:p>
    <w:p>
      <w:pPr>
        <w:pStyle w:val="FirstParagraph"/>
      </w:pPr>
      <w:r>
        <w:t xml:space="preserve">6.3.1 The corridor system functions as a single integrated waterway, not as three separate regimes. One geometry registry, one monitoring dashboard, one incident classification, one financial architecture, and one compliance engine govern all three corridors. A vessel crossing from one corridor to another inside the Operating Area follows the merge rules of Annex A, and the Center tracks the vessel continuously across the merge without a new registration and without interruption of safe-passage status.</w:t>
      </w:r>
    </w:p>
    <w:bookmarkEnd w:id="90"/>
    <w:bookmarkStart w:id="91" w:name="flow-states"/>
    <w:p>
      <w:pPr>
        <w:pStyle w:val="Heading3"/>
      </w:pPr>
      <w:r>
        <w:t xml:space="preserve">6.4 Flow States</w:t>
      </w:r>
    </w:p>
    <w:p>
      <w:pPr>
        <w:pStyle w:val="FirstParagraph"/>
      </w:pPr>
      <w:r>
        <w:t xml:space="preserve">6.4.1 Every corridor operates in one of four flow states at any moment, and the Open Water Bulletin publishes the state of each corridor.</w:t>
      </w:r>
    </w:p>
    <w:p>
      <w:pPr>
        <w:pStyle w:val="BodyText"/>
      </w:pPr>
      <w:r>
        <w:t xml:space="preserve">6.4.2 Free Flow marks normal operation: vessels proceed under the traffic rules, the Center monitors, and no sequencing applies.</w:t>
      </w:r>
    </w:p>
    <w:p>
      <w:pPr>
        <w:pStyle w:val="BodyText"/>
      </w:pPr>
      <w:r>
        <w:t xml:space="preserve">6.4.3 Managed Flow marks elevated density, weather, or a navigational hazard: the Center sequences entries by transit window, holds speed bands tighter, and increases reporting frequency. Managed Flow never conditions passage on approval; it schedules it.</w:t>
      </w:r>
    </w:p>
    <w:p>
      <w:pPr>
        <w:pStyle w:val="BodyText"/>
      </w:pPr>
      <w:r>
        <w:t xml:space="preserve">6.4.4 Coordinated Flow marks the joint-management operating state of the Central Deconfliction Corridor during an active safety case: the Center sequences authorized uses through the multilateral desk, and vessels proceed under international lane discipline with symmetric notification across all corridors. Coordinated Flow never conditions transit on nationality, cargo, or destination.</w:t>
      </w:r>
    </w:p>
    <w:p>
      <w:pPr>
        <w:pStyle w:val="BodyText"/>
      </w:pPr>
      <w:r>
        <w:t xml:space="preserve">6.4.5 Protected Hold marks a grave and immediate navigational danger in a defined area: mine suspicion, a casualty blocking a lane, or a pollution event. A Protected Hold pauses new entries into the defined area only, for a stated period, and lifts automatically when the Even Keel Office confirms the area clear. A Protected Hold never exceeds seventy-two hours without a Qualified Majority decision recorded with reasons, and it never applies to all three corridors simultaneously except on a Qualified Majority decision recorded with reasons.</w:t>
      </w:r>
    </w:p>
    <w:p>
      <w:pPr>
        <w:pStyle w:val="BodyText"/>
      </w:pPr>
      <w:r>
        <w:t xml:space="preserve">6.4.6 The flow state of one corridor never depends on the flow state of the others. The anti-cascade rule of Article 16.4 applies to flow states as it applies to modules.</w:t>
      </w:r>
    </w:p>
    <w:bookmarkEnd w:id="91"/>
    <w:bookmarkStart w:id="92" w:name="the-open-water-bulletin"/>
    <w:p>
      <w:pPr>
        <w:pStyle w:val="Heading3"/>
      </w:pPr>
      <w:r>
        <w:t xml:space="preserve">6.5 The Open Water Bulletin</w:t>
      </w:r>
    </w:p>
    <w:p>
      <w:pPr>
        <w:pStyle w:val="FirstParagraph"/>
      </w:pPr>
      <w:r>
        <w:t xml:space="preserve">6.5.1 The Center issues the Open Water Bulletin at 0600 and 1800 Gulf Standard Time daily, and hourly updates whenever any corridor leaves Free Flow.</w:t>
      </w:r>
    </w:p>
    <w:p>
      <w:pPr>
        <w:pStyle w:val="BodyText"/>
      </w:pPr>
      <w:r>
        <w:t xml:space="preserve">6.5.2 The Bulletin states, for each corridor: the flow state; active transit windows; hazard notices; search and rescue readiness; the count of transits in the previous period; metering delays; and the name of the multinational duty team.</w:t>
      </w:r>
    </w:p>
    <w:p>
      <w:pPr>
        <w:pStyle w:val="BodyText"/>
      </w:pPr>
      <w:r>
        <w:t xml:space="preserve">6.5.3 The Bulletin reaches every Participant, every observer, and the shipping public simultaneously through the IMO distribution channel, the Safe Registry feed, and public posting in Persian, Arabic, and English. No Participant, state, or operator receives the Bulletin earlier than any other.</w:t>
      </w:r>
    </w:p>
    <w:bookmarkEnd w:id="92"/>
    <w:bookmarkEnd w:id="93"/>
    <w:bookmarkStart w:id="98" w:name="X3d59c117a067f5b6d9e2254d0e154ea90da5108"/>
    <w:p>
      <w:pPr>
        <w:pStyle w:val="Heading2"/>
      </w:pPr>
      <w:r>
        <w:t xml:space="preserve">Article 7: The Outbound Assurance Corridor</w:t>
      </w:r>
    </w:p>
    <w:bookmarkStart w:id="94" w:name="function-and-status"/>
    <w:p>
      <w:pPr>
        <w:pStyle w:val="Heading3"/>
      </w:pPr>
      <w:r>
        <w:t xml:space="preserve">7.1 Function and Status</w:t>
      </w:r>
    </w:p>
    <w:p>
      <w:pPr>
        <w:pStyle w:val="FirstParagraph"/>
      </w:pPr>
      <w:r>
        <w:t xml:space="preserve">7.1.1 The Outbound Assurance Corridor serves as the primary Gulf-exiting thoroughfare of the Strait, situated within the territorial sea of the Sultanate of Oman along the Musandam coast. It carries the energy exports of every Gulf producer to the world market, and it replicates, within the organized architecture of this Charter, the conditions of free navigation that international commerce requires. The Sultanate of Oman exercises functional administration of the corridor under the joint oversight architecture of Part III. The corridor’s daily operation stands as the visible proof that the settlement preserves freedom of navigation.</w:t>
      </w:r>
    </w:p>
    <w:bookmarkEnd w:id="94"/>
    <w:bookmarkStart w:id="95" w:name="the-governing-rule-unconditional-transit"/>
    <w:p>
      <w:pPr>
        <w:pStyle w:val="Heading3"/>
      </w:pPr>
      <w:r>
        <w:t xml:space="preserve">7.2 The Governing Rule: Unconditional Transit</w:t>
      </w:r>
    </w:p>
    <w:p>
      <w:pPr>
        <w:pStyle w:val="FirstParagraph"/>
      </w:pPr>
      <w:r>
        <w:t xml:space="preserve">7.2.1 Transit through the Outbound Assurance Corridor proceeds unconditionally. No registration, no record, no payment, and no coordination of any kind stands between a vessel and this corridor beyond continuous identification broadcast under the rules of Annex A.</w:t>
      </w:r>
    </w:p>
    <w:p>
      <w:pPr>
        <w:pStyle w:val="BodyText"/>
      </w:pPr>
      <w:r>
        <w:t xml:space="preserve">7.2.2 The traffic rules of Article 12 apply for safety, as traffic rules apply in every strait in the world. They organize movement; they never gate it.</w:t>
      </w:r>
    </w:p>
    <w:p>
      <w:pPr>
        <w:pStyle w:val="BodyText"/>
      </w:pPr>
      <w:r>
        <w:t xml:space="preserve">7.2.3 The architecture prohibits any actor, including each Littoral Party, the Center, and any third state, from slowing, stopping, boarding, or charging a vessel for the act of transiting this corridor.</w:t>
      </w:r>
    </w:p>
    <w:bookmarkEnd w:id="95"/>
    <w:bookmarkStart w:id="96" w:name="services-in-the-outbound-corridor"/>
    <w:p>
      <w:pPr>
        <w:pStyle w:val="Heading3"/>
      </w:pPr>
      <w:r>
        <w:t xml:space="preserve">7.3 Services in the Outbound Corridor</w:t>
      </w:r>
    </w:p>
    <w:p>
      <w:pPr>
        <w:pStyle w:val="FirstParagraph"/>
      </w:pPr>
      <w:r>
        <w:t xml:space="preserve">7.3.1 The Omani maritime administration, staffed jointly under Article 15, provides the full Verified Services Catalog of Annex D within the Outbound Corridor: vessel traffic service, navigational assistance, pilotage on request, tug assistance on request, search and rescue standby, environmental monitoring, and aids to navigation. Every service operates on a request-and-delivery basis, priced at the pre-published rates of Annex D, reimbursed through the Fund under Article 22. No vessel purchases a service as a condition of transit.</w:t>
      </w:r>
    </w:p>
    <w:bookmarkEnd w:id="96"/>
    <w:bookmarkStart w:id="97" w:name="the-guarantee"/>
    <w:p>
      <w:pPr>
        <w:pStyle w:val="Heading3"/>
      </w:pPr>
      <w:r>
        <w:t xml:space="preserve">7.4 The Guarantee</w:t>
      </w:r>
    </w:p>
    <w:p>
      <w:pPr>
        <w:pStyle w:val="FirstParagraph"/>
      </w:pPr>
      <w:r>
        <w:t xml:space="preserve">7.4.1 The Participants jointly guarantee the continuity of the Outbound Assurance Corridor. The guarantee binds the architecture, not the moment: the corridor operates every day, in every weather that international practice deems safe, under every political condition among the Participants, and under every external conflict. The guarantee admits one interruption mechanism and one only: the Protected Hold of Article 6.4, sector-limited and time-limited. Even during a hold in one sector, the remainder of the corridor continues to operate.</w:t>
      </w:r>
    </w:p>
    <w:bookmarkEnd w:id="97"/>
    <w:bookmarkEnd w:id="98"/>
    <w:bookmarkStart w:id="104" w:name="Xea692b9d06f64e044987cd2eb940d3b99a90f4d"/>
    <w:p>
      <w:pPr>
        <w:pStyle w:val="Heading2"/>
      </w:pPr>
      <w:r>
        <w:t xml:space="preserve">Article 8: The Inbound Coordination Corridor</w:t>
      </w:r>
    </w:p>
    <w:bookmarkStart w:id="99" w:name="function-and-status-1"/>
    <w:p>
      <w:pPr>
        <w:pStyle w:val="Heading3"/>
      </w:pPr>
      <w:r>
        <w:t xml:space="preserve">8.1 Function and Status</w:t>
      </w:r>
    </w:p>
    <w:p>
      <w:pPr>
        <w:pStyle w:val="FirstParagraph"/>
      </w:pPr>
      <w:r>
        <w:t xml:space="preserve">8.1.1 The Inbound Coordination Corridor serves as the managed northern passage of the Strait, situated within the territorial sea of the Islamic Republic of Iran along the Qeshm and Larak island chain. It serves three traffic streams: vessels bound to or from Iranian ports; vessels requesting Iranian maritime services, including pilotage through the northern channels; and Gulf-entering vessels electing the northern route. The Islamic Republic of Iran exercises functional administration of the corridor under the joint oversight architecture of Part III. The corridor’s daily operation stands as the visible proof that the settlement recognizes and organizes the role of the northern littoral state.</w:t>
      </w:r>
    </w:p>
    <w:bookmarkEnd w:id="99"/>
    <w:bookmarkStart w:id="100" w:name="X7784ea03f28b8713af3dfef65d9f92a580bc820"/>
    <w:p>
      <w:pPr>
        <w:pStyle w:val="Heading3"/>
      </w:pPr>
      <w:r>
        <w:t xml:space="preserve">8.2 The Governing Rule: Registration, Not Permission</w:t>
      </w:r>
    </w:p>
    <w:p>
      <w:pPr>
        <w:pStyle w:val="FirstParagraph"/>
      </w:pPr>
      <w:r>
        <w:t xml:space="preserve">8.2.1 Transit through the Inbound Coordination Corridor proceeds on registration. A vessel intending to use the corridor transmits a transit registration to the Center six hours before the entry reporting point, using the standard form of Annex C. The Center records the registration as information, validates the data against the vessel registry, assigns a Multilateral Transit Record, and returns an acknowledgment within thirty minutes.</w:t>
      </w:r>
    </w:p>
    <w:p>
      <w:pPr>
        <w:pStyle w:val="BodyText"/>
      </w:pPr>
      <w:r>
        <w:t xml:space="preserve">8.2.2 The architecture prohibits the conversion of registration into permission. The Center never grants, withholds, delays, or conditions an acknowledgment on any judgment about the vessel, its flag, its cargo, its ownership, or its destination. The acknowledgment confirms receipt and data integrity; it grants nothing, because transit requires no grant.</w:t>
      </w:r>
    </w:p>
    <w:p>
      <w:pPr>
        <w:pStyle w:val="BodyText"/>
      </w:pPr>
      <w:r>
        <w:t xml:space="preserve">8.2.3 An incomplete registration triggers a single automated request for the missing fields. The vessel proceeds on the original registered schedule while it completes the fields, unless its class activates pre-completion under the matrix of Annex B. Only Class S and Class X voyages activate pre-completion, for reasons of deconfliction and hazard management, and even for those classes the rule acknowledges schedule rather than approves passage.</w:t>
      </w:r>
    </w:p>
    <w:p>
      <w:pPr>
        <w:pStyle w:val="BodyText"/>
      </w:pPr>
      <w:r>
        <w:t xml:space="preserve">8.2.4 The daily log records every registration and every acknowledgment. The Even Keel Office audits the log monthly and reports any pattern that resembles gatekeeping to the Council.</w:t>
      </w:r>
    </w:p>
    <w:bookmarkEnd w:id="100"/>
    <w:bookmarkStart w:id="101" w:name="the-multilateral-transit-record"/>
    <w:p>
      <w:pPr>
        <w:pStyle w:val="Heading3"/>
      </w:pPr>
      <w:r>
        <w:t xml:space="preserve">8.3 The Multilateral Transit Record</w:t>
      </w:r>
    </w:p>
    <w:p>
      <w:pPr>
        <w:pStyle w:val="FirstParagraph"/>
      </w:pPr>
      <w:r>
        <w:t xml:space="preserve">8.3.1 The Multilateral Transit Record serves as the documentary anchor of Inbound Corridor transit. It consists of the date, the corridor identifier, the lane, the transit window, and a sequence number. It identifies the vessel to Charter services: traffic sequencing, hazard warnings, search and rescue readiness, and escort availability for classes that elect escort.</w:t>
      </w:r>
    </w:p>
    <w:p>
      <w:pPr>
        <w:pStyle w:val="BodyText"/>
      </w:pPr>
      <w:r>
        <w:t xml:space="preserve">8.3.2 The record carries no fee, no validity judgment, and no expiry beyond its transit window plus six hours. It appears on the vessel’s voyage records, on the Shared Dashboard transit log, and on any service invoice the vessel later receives. Insurers, charterers, and port authorities read the record as proof of regulated, monitored passage through the northern corridor, and the insurance market pricing of Inbound Corridor transit converges on the pricing of Outbound Corridor transit as the banked record builds.</w:t>
      </w:r>
    </w:p>
    <w:bookmarkEnd w:id="101"/>
    <w:bookmarkStart w:id="102" w:name="iran-bound-traffic"/>
    <w:p>
      <w:pPr>
        <w:pStyle w:val="Heading3"/>
      </w:pPr>
      <w:r>
        <w:t xml:space="preserve">8.4 Iran-Bound Traffic</w:t>
      </w:r>
    </w:p>
    <w:p>
      <w:pPr>
        <w:pStyle w:val="FirstParagraph"/>
      </w:pPr>
      <w:r>
        <w:t xml:space="preserve">8.4.1 Vessels bound for Iranian ports receive the port services of the Islamic Republic of Iran under Iranian administration, priced under the published Iranian port tariff, which Iranian law governs outside this Charter. The corridor portion of the voyage remains toll-free under Article 19. The boundary between the corridor regime and the port regime sits at the port limits published in Annex A: inside port limits, national law governs; inside the corridor, this Charter governs. No charge attaches to the corridor portion under any label.</w:t>
      </w:r>
    </w:p>
    <w:bookmarkEnd w:id="102"/>
    <w:bookmarkStart w:id="103" w:name="joint-observer-presence"/>
    <w:p>
      <w:pPr>
        <w:pStyle w:val="Heading3"/>
      </w:pPr>
      <w:r>
        <w:t xml:space="preserve">8.5 Joint Observer Presence</w:t>
      </w:r>
    </w:p>
    <w:p>
      <w:pPr>
        <w:pStyle w:val="FirstParagraph"/>
      </w:pPr>
      <w:r>
        <w:t xml:space="preserve">8.5.1 Observers embarked under Article 15 ride patrol craft and shore stations serving the Inbound Corridor on a published rotation. Observers serve in observer status only: they hold no command authority, they touch no weapon system, and they report through the verification chain alone. The observer presence makes the Inbound Corridor as transparent to all Participants as the Outbound Corridor, and the symmetry of transparency holds the corridor system together.</w:t>
      </w:r>
    </w:p>
    <w:bookmarkEnd w:id="103"/>
    <w:bookmarkEnd w:id="104"/>
    <w:bookmarkStart w:id="109" w:name="X214c0db44892b582f57e6b604289c3d69fc4f36"/>
    <w:p>
      <w:pPr>
        <w:pStyle w:val="Heading2"/>
      </w:pPr>
      <w:r>
        <w:t xml:space="preserve">Article 9: The Central Deconfliction Corridor</w:t>
      </w:r>
    </w:p>
    <w:bookmarkStart w:id="105" w:name="function-and-status-2"/>
    <w:p>
      <w:pPr>
        <w:pStyle w:val="Heading3"/>
      </w:pPr>
      <w:r>
        <w:t xml:space="preserve">9.1 Function and Status</w:t>
      </w:r>
    </w:p>
    <w:p>
      <w:pPr>
        <w:pStyle w:val="FirstParagraph"/>
      </w:pPr>
      <w:r>
        <w:t xml:space="preserve">9.1.1 The Central Deconfliction Corridor occupies the separation water between the Inbound and Outbound Corridors, as charted in Annex A. It carries no routine commercial stream. It exists for five functions: physical separation of the opposing flows; emergency diversion of any vessel in distress; mine-risk response routing under Annex G; search and rescue routing under Annex H; and naval deconfliction under Annex F. The corridor stands as the third element of the negotiated model: inbound, buffer, outbound.</w:t>
      </w:r>
    </w:p>
    <w:bookmarkEnd w:id="105"/>
    <w:bookmarkStart w:id="106" w:name="X90dbaf45d2770ae51fe10dc88ad36ba0f2c6784"/>
    <w:p>
      <w:pPr>
        <w:pStyle w:val="Heading3"/>
      </w:pPr>
      <w:r>
        <w:t xml:space="preserve">9.2 The Governing Rule: Notification, Not Permission</w:t>
      </w:r>
    </w:p>
    <w:p>
      <w:pPr>
        <w:pStyle w:val="FirstParagraph"/>
      </w:pPr>
      <w:r>
        <w:t xml:space="preserve">9.2.1 Entry into the Central Deconfliction Corridor for an authorized function proceeds on notification to the Center. A vessel, patrol craft, or service unit notifies the Center of its intended entry, the Center acknowledges receipt automatically, and the Center publishes every notification to all Participants at once. Notification informs; it never gates.</w:t>
      </w:r>
    </w:p>
    <w:p>
      <w:pPr>
        <w:pStyle w:val="BodyText"/>
      </w:pPr>
      <w:r>
        <w:t xml:space="preserve">9.2.2 The architecture prohibits the conversion of notification into permission, toll, or condition. The Center never grants, withholds, delays, or conditions an acknowledgment on any ground.</w:t>
      </w:r>
    </w:p>
    <w:bookmarkEnd w:id="106"/>
    <w:bookmarkStart w:id="107" w:name="dual-administration"/>
    <w:p>
      <w:pPr>
        <w:pStyle w:val="Heading3"/>
      </w:pPr>
      <w:r>
        <w:t xml:space="preserve">9.3 Dual Administration</w:t>
      </w:r>
    </w:p>
    <w:p>
      <w:pPr>
        <w:pStyle w:val="FirstParagraph"/>
      </w:pPr>
      <w:r>
        <w:t xml:space="preserve">9.3.1 The Central Deconfliction Corridor operates under dual administration. The operational lead alternates between the Iranian directorate and the Omani directorate every six months, and the Central Corridor Management Board of Article 13.6 confirms each handover in the Open Water Bulletin.</w:t>
      </w:r>
    </w:p>
    <w:p>
      <w:pPr>
        <w:pStyle w:val="BodyText"/>
      </w:pPr>
      <w:r>
        <w:t xml:space="preserve">9.3.2 The directorate holding the operational lead runs the authorized functions of the corridor, with Center support and under the safe passage guarantees of Article 10. Liaison officers of all Participants at the Center and at the mirror facility hold real-time visibility of Central Corridor operations.</w:t>
      </w:r>
    </w:p>
    <w:bookmarkEnd w:id="107"/>
    <w:bookmarkStart w:id="108" w:name="sterile-water-discipline"/>
    <w:p>
      <w:pPr>
        <w:pStyle w:val="Heading3"/>
      </w:pPr>
      <w:r>
        <w:t xml:space="preserve">9.4 Sterile Water Discipline</w:t>
      </w:r>
    </w:p>
    <w:p>
      <w:pPr>
        <w:pStyle w:val="FirstParagraph"/>
      </w:pPr>
      <w:r>
        <w:t xml:space="preserve">9.4.1 The corridor carries no anchoring, no fishing, no exercises, and no loitering armed presence of any state. Patrol craft cross it on transit under the crossing rules of Annex F. Service craft enter it on task. The architecture treats the corridor as shared calm water, and the Even Keel Office verifies its sterility daily.</w:t>
      </w:r>
    </w:p>
    <w:bookmarkEnd w:id="108"/>
    <w:bookmarkEnd w:id="109"/>
    <w:bookmarkStart w:id="115" w:name="Xbf42094685a03de838b29695807e1f455a9cd5d"/>
    <w:p>
      <w:pPr>
        <w:pStyle w:val="Heading2"/>
      </w:pPr>
      <w:r>
        <w:t xml:space="preserve">Article 10: Safe Passage Guarantees and the Non-Interdiction Protocol</w:t>
      </w:r>
    </w:p>
    <w:bookmarkStart w:id="110" w:name="the-guarantee-of-safe-passage"/>
    <w:p>
      <w:pPr>
        <w:pStyle w:val="Heading3"/>
      </w:pPr>
      <w:r>
        <w:t xml:space="preserve">10.1 The Guarantee of Safe Passage</w:t>
      </w:r>
    </w:p>
    <w:p>
      <w:pPr>
        <w:pStyle w:val="FirstParagraph"/>
      </w:pPr>
      <w:r>
        <w:t xml:space="preserve">10.1.1 Every vessel transiting the corridor system in compliance with its class rules enjoys a standing guarantee of safe passage. The guarantee operates as a design feature of the shared architecture: the corridor system excludes kinetic attack, boarding, seizure, detention, harassment, and interdiction of transiting vessels, by the forces of any Participant or any third state, under every circumstance including armed conflict between any states. The guarantee binds equally in all three corridors and covers every class.</w:t>
      </w:r>
    </w:p>
    <w:bookmarkEnd w:id="110"/>
    <w:bookmarkStart w:id="111" w:name="the-non-interdiction-protocol"/>
    <w:p>
      <w:pPr>
        <w:pStyle w:val="Heading3"/>
      </w:pPr>
      <w:r>
        <w:t xml:space="preserve">10.2 The Non-Interdiction Protocol</w:t>
      </w:r>
    </w:p>
    <w:p>
      <w:pPr>
        <w:pStyle w:val="FirstParagraph"/>
      </w:pPr>
      <w:r>
        <w:t xml:space="preserve">10.2.1 Commercial transit operates under an absolute non-interdiction protocol within the Operating Area. First, no vessel at anchor, under way, or maneuvering in the corridor system faces stop, board, search, or seizure at sea for any administrative reason; administrative irregularities route to the port of destination and to the flag state through the notification procedure of Annex J. Second, a vessel presenting an immediate, objective safety hazard, such as loss of propulsion, fire, or flooding, receives assistance under the search and rescue plan of Annex H, never enforcement. Third, a vessel credibly identified as posing an imminent military threat falls under the deconfliction protocol of Article 27, which routes the response through the Center and through graduated warning steps under the Dual-Key Rule, with force as the last resort under the law of self-defense and never as a traffic management tool.</w:t>
      </w:r>
    </w:p>
    <w:bookmarkEnd w:id="111"/>
    <w:bookmarkStart w:id="112" w:name="excluded-measures"/>
    <w:p>
      <w:pPr>
        <w:pStyle w:val="Heading3"/>
      </w:pPr>
      <w:r>
        <w:t xml:space="preserve">10.3 Excluded Measures</w:t>
      </w:r>
    </w:p>
    <w:p>
      <w:pPr>
        <w:pStyle w:val="FirstParagraph"/>
      </w:pPr>
      <w:r>
        <w:t xml:space="preserve">10.3.1 The following measures have no place anywhere in the Operating Area: tolls or charges on transit; permission regimes; boarding of transiting vessels; route assignment by flag or destination; mining; the placing of hazards; harassment by small craft; and the jamming or spoofing of navigation signals.</w:t>
      </w:r>
    </w:p>
    <w:p>
      <w:pPr>
        <w:pStyle w:val="BodyText"/>
      </w:pPr>
      <w:r>
        <w:t xml:space="preserve">10.3.2 The Participants treat interference with navigation signals as an interference event under Article 30, and the Center maintains a signal-integrity watch with land-based receivers at both sites.</w:t>
      </w:r>
    </w:p>
    <w:bookmarkEnd w:id="112"/>
    <w:bookmarkStart w:id="113" w:name="the-insurance-convergence-objective"/>
    <w:p>
      <w:pPr>
        <w:pStyle w:val="Heading3"/>
      </w:pPr>
      <w:r>
        <w:t xml:space="preserve">10.4 The Insurance Convergence Objective</w:t>
      </w:r>
    </w:p>
    <w:p>
      <w:pPr>
        <w:pStyle w:val="FirstParagraph"/>
      </w:pPr>
      <w:r>
        <w:t xml:space="preserve">10.4.1 The Participants design the guarantee to move markets, not only navies. The corridor system publishes its full safety record daily on the Shared Dashboard, and the Participants invite the insurance market, the classification societies, and the protection and indemnity clubs to observe the record through the participation instruments of Annex O. The standing objective of the architecture is the convergence of war-risk premiums for all corridors toward pre-crisis commercial levels as the banked record of incident-free transits accumulates, and the Fund architecture of Part IV supports that convergence through the Route Assurance Data Service of Annex D.</w:t>
      </w:r>
    </w:p>
    <w:bookmarkEnd w:id="113"/>
    <w:bookmarkStart w:id="114" w:name="protection-of-the-guarantee"/>
    <w:p>
      <w:pPr>
        <w:pStyle w:val="Heading3"/>
      </w:pPr>
      <w:r>
        <w:t xml:space="preserve">10.5 Protection of the Guarantee</w:t>
      </w:r>
    </w:p>
    <w:p>
      <w:pPr>
        <w:pStyle w:val="FirstParagraph"/>
      </w:pPr>
      <w:r>
        <w:t xml:space="preserve">10.5.1 A violation of the non-interdiction protocol classifies as a Tier 3 event under Article 37, activating the consultation and restoration machinery of Part VII at its highest level. The classification binds all Participants symmetrically, and it covers action by any organ, force, or proxy of a Participant. The attribution pathway of Article 36 handles contested incidents through evidence, never through accusation.</w:t>
      </w:r>
    </w:p>
    <w:bookmarkEnd w:id="114"/>
    <w:bookmarkEnd w:id="115"/>
    <w:bookmarkStart w:id="120" w:name="X6ecec96dc2f3d78a9ae5437471879dd411a631e"/>
    <w:p>
      <w:pPr>
        <w:pStyle w:val="Heading2"/>
      </w:pPr>
      <w:r>
        <w:t xml:space="preserve">Article 11: Vessel Classification and Differentiated Treatment</w:t>
      </w:r>
    </w:p>
    <w:bookmarkStart w:id="116" w:name="the-classification-principle"/>
    <w:p>
      <w:pPr>
        <w:pStyle w:val="Heading3"/>
      </w:pPr>
      <w:r>
        <w:t xml:space="preserve">11.1 The Classification Principle</w:t>
      </w:r>
    </w:p>
    <w:p>
      <w:pPr>
        <w:pStyle w:val="FirstParagraph"/>
      </w:pPr>
      <w:r>
        <w:t xml:space="preserve">11.1.1 The corridor system differentiates treatment by vessel purpose, size, and risk profile, and by nothing else. Annex B fixes nine vessel classes, each with its own corridor guidance, registration depth, speed regime, escort availability, and reporting rules. The classification applies identically to every flag, every owner, every charterer, and every cargo origin or destination. The architecture excludes any classification, preferential tier, or penalty tier based on the political relationship of a flag state with any Participant.</w:t>
      </w:r>
    </w:p>
    <w:bookmarkEnd w:id="116"/>
    <w:bookmarkStart w:id="117" w:name="the-nine-classes"/>
    <w:p>
      <w:pPr>
        <w:pStyle w:val="Heading3"/>
      </w:pPr>
      <w:r>
        <w:t xml:space="preserve">11.2 The Nine Classes</w:t>
      </w:r>
    </w:p>
    <w:p>
      <w:pPr>
        <w:pStyle w:val="FirstParagraph"/>
      </w:pPr>
      <w:r>
        <w:t xml:space="preserve">11.2.1 Class E: Energy carriers. Crude tankers, product tankers, liquefied natural gas carriers, liquefied petroleum gas carriers, and chemical tankers. Class E receives priority transit windows in all corridors, the deepest escort availability, and the tightest spacing rules, because the energy flow matters most to regional stability and carries the highest consequence of casualty.</w:t>
      </w:r>
    </w:p>
    <w:p>
      <w:pPr>
        <w:pStyle w:val="BodyText"/>
      </w:pPr>
      <w:r>
        <w:t xml:space="preserve">11.2.2 Class G: General commercial cargo. Container ships, bulk carriers, vehicle carriers, and general cargo vessels. Class G follows standard windows and standard spacing.</w:t>
      </w:r>
    </w:p>
    <w:p>
      <w:pPr>
        <w:pStyle w:val="BodyText"/>
      </w:pPr>
      <w:r>
        <w:t xml:space="preserve">11.2.3 Class H: Humanitarian and relief vessels. Vessels carrying declared humanitarian cargo under recognized consignment. Class H moves in every flow state including Protected Hold, under Center escort where the master requests it, at zero service cost beyond Fund reimbursement, with priority anchorage and a dedicated fast-track desk at the Center.</w:t>
      </w:r>
    </w:p>
    <w:p>
      <w:pPr>
        <w:pStyle w:val="BodyText"/>
      </w:pPr>
      <w:r>
        <w:t xml:space="preserve">11.2.4 Class P: Passenger vessels. Ferries and passenger ships on scheduled routes. Class P follows fixed windows matched to its schedule and receives routing advice for passenger safety.</w:t>
      </w:r>
    </w:p>
    <w:p>
      <w:pPr>
        <w:pStyle w:val="BodyText"/>
      </w:pPr>
      <w:r>
        <w:t xml:space="preserve">11.2.5 Class F: Fishing and local coastal craft. Traditional and modern local craft operating under coastal state license. Class F remains in the Inshore Local Craft Bands and uses the crossing gates; the Charter protects Class F as the strait’s oldest user community.</w:t>
      </w:r>
    </w:p>
    <w:p>
      <w:pPr>
        <w:pStyle w:val="BodyText"/>
      </w:pPr>
      <w:r>
        <w:t xml:space="preserve">11.2.6 Class S: State and naval vessels. Warships, coast guard vessels, and state-owned non-commercial vessels of any state. Class S transits all corridors freely, files notification through the diplomatic-military channel forty-eight hours ahead for deconfliction purposes, observes the Quiet Water Windows inside the precautionary zones, and conducts no exercises, boarding, or launch operations inside a corridor or a separation belt.</w:t>
      </w:r>
    </w:p>
    <w:p>
      <w:pPr>
        <w:pStyle w:val="BodyText"/>
      </w:pPr>
      <w:r>
        <w:t xml:space="preserve">11.2.7 Class M: Multinational vessels. Vessels on joint patrols, coalition tasks, multinational exercises, or shared security assignments. Class M operates under standing multilateral accreditation filed with the Center, follows streamlined registration, observes the same non-interdiction and Quiet Water rules as Class S, and receives coordinated windows through the Council-approved deconfliction calendar.</w:t>
      </w:r>
    </w:p>
    <w:p>
      <w:pPr>
        <w:pStyle w:val="BodyText"/>
      </w:pPr>
      <w:r>
        <w:t xml:space="preserve">11.2.8 Class R: Research, survey, and cable vessels. Class R operates under a voyage plan filed five days ahead, coordinates its working areas with the Center, and shares its survey data with the joint charting program where the data touches the corridors.</w:t>
      </w:r>
    </w:p>
    <w:p>
      <w:pPr>
        <w:pStyle w:val="BodyText"/>
      </w:pPr>
      <w:r>
        <w:t xml:space="preserve">11.2.9 Class X: Hazardous and special cargoes. Vessels carrying nuclear material, explosive military cargo, or other declared special cargo. Class X files pre-completed registration seven days ahead, transits in designated windows with escort and a sterile spacing bubble, and pays no charge of any kind; the Fund treats Class X services as a Catalog item. The nuclear interface of Part VI routes all movements of nuclear material under the verification and logistics rules of Annex K.</w:t>
      </w:r>
    </w:p>
    <w:bookmarkEnd w:id="117"/>
    <w:bookmarkStart w:id="118" w:name="treatment-differentiators"/>
    <w:p>
      <w:pPr>
        <w:pStyle w:val="Heading3"/>
      </w:pPr>
      <w:r>
        <w:t xml:space="preserve">11.3 Treatment Differentiators</w:t>
      </w:r>
    </w:p>
    <w:p>
      <w:pPr>
        <w:pStyle w:val="FirstParagraph"/>
      </w:pPr>
      <w:r>
        <w:t xml:space="preserve">11.3.1 Differentiation follows purpose and risk, never identity. The differentiators are: window priority, spacing and speed bands, escort availability, registration depth and lead time, anchorage priority, and service pricing through the Fund’s internal accounting.</w:t>
      </w:r>
    </w:p>
    <w:p>
      <w:pPr>
        <w:pStyle w:val="BodyText"/>
      </w:pPr>
      <w:r>
        <w:t xml:space="preserve">11.3.2 No class receives a political discount and no class carries a political surcharge. The Safe Registry incentives of Article 22 attach to operator conduct, not to class or flag.</w:t>
      </w:r>
    </w:p>
    <w:bookmarkEnd w:id="118"/>
    <w:bookmarkStart w:id="119" w:name="Xabcacf2647a340588915126763f6cc481ef8259"/>
    <w:p>
      <w:pPr>
        <w:pStyle w:val="Heading3"/>
      </w:pPr>
      <w:r>
        <w:t xml:space="preserve">11.4 Reclassification and Mixed-Purpose Voyages</w:t>
      </w:r>
    </w:p>
    <w:p>
      <w:pPr>
        <w:pStyle w:val="FirstParagraph"/>
      </w:pPr>
      <w:r>
        <w:t xml:space="preserve">11.4.1 A vessel on a mixed-purpose voyage follows the rules of the highest-consequence cargo it carries.</w:t>
      </w:r>
    </w:p>
    <w:p>
      <w:pPr>
        <w:pStyle w:val="BodyText"/>
      </w:pPr>
      <w:r>
        <w:t xml:space="preserve">11.4.2 A master requests reclassification in the registration or at the Center desk, and the Center decides within six hours on documentary evidence. The Even Keel Office audits reclassification decisions quarterly for consistency.</w:t>
      </w:r>
    </w:p>
    <w:bookmarkEnd w:id="119"/>
    <w:bookmarkEnd w:id="120"/>
    <w:bookmarkStart w:id="127" w:name="Xe387d49957e16992153a7c11868b22b5a1a8dd2"/>
    <w:p>
      <w:pPr>
        <w:pStyle w:val="Heading2"/>
      </w:pPr>
      <w:r>
        <w:t xml:space="preserve">Article 12: Speed, Spacing, and Traffic Management</w:t>
      </w:r>
    </w:p>
    <w:bookmarkStart w:id="121" w:name="speed-bands"/>
    <w:p>
      <w:pPr>
        <w:pStyle w:val="Heading3"/>
      </w:pPr>
      <w:r>
        <w:t xml:space="preserve">12.1 Speed Bands</w:t>
      </w:r>
    </w:p>
    <w:p>
      <w:pPr>
        <w:pStyle w:val="FirstParagraph"/>
      </w:pPr>
      <w:r>
        <w:t xml:space="preserve">12.1.1 In Free Flow, a vessel proceeds between ten and sixteen knots in the Outbound lanes and between six and fourteen knots in the Inbound lanes. In Managed Flow, the Center narrows the bands and publishes the adjustment in the Bulletin with reasons and a stated end time. Class F craft in the Bands proceed at their customary speeds.</w:t>
      </w:r>
    </w:p>
    <w:bookmarkEnd w:id="121"/>
    <w:bookmarkStart w:id="122" w:name="spacing-and-transit-windows"/>
    <w:p>
      <w:pPr>
        <w:pStyle w:val="Heading3"/>
      </w:pPr>
      <w:r>
        <w:t xml:space="preserve">12.2 Spacing and Transit Windows</w:t>
      </w:r>
    </w:p>
    <w:p>
      <w:pPr>
        <w:pStyle w:val="FirstParagraph"/>
      </w:pPr>
      <w:r>
        <w:t xml:space="preserve">12.2.1 Standard spacing in a lane: one nautical mile between vessels in the same direction. Class E spacing: two nautical miles. Class X spacing: a sterile bubble of five nautical miles ahead and astern, maintained by escort.</w:t>
      </w:r>
    </w:p>
    <w:p>
      <w:pPr>
        <w:pStyle w:val="BodyText"/>
      </w:pPr>
      <w:r>
        <w:t xml:space="preserve">12.2.2 In Managed Flow, the Center groups entries into transit windows: Class E windows first, then Class G and Class P, then the remaining classes. A window lasts forty-five minutes and repeats on the published cycle. Window membership carries no fee and no preference beyond the physics of safe separation.</w:t>
      </w:r>
    </w:p>
    <w:p>
      <w:pPr>
        <w:pStyle w:val="BodyText"/>
      </w:pPr>
      <w:r>
        <w:t xml:space="preserve">12.2.3 The Charter never operates compulsory convoys. An operator who elects escorted grouping receives it through the Center, and the Fund accounts for escort cost as a Catalog service.</w:t>
      </w:r>
    </w:p>
    <w:bookmarkEnd w:id="122"/>
    <w:bookmarkStart w:id="123" w:name="reporting-points"/>
    <w:p>
      <w:pPr>
        <w:pStyle w:val="Heading3"/>
      </w:pPr>
      <w:r>
        <w:t xml:space="preserve">12.3 Reporting Points</w:t>
      </w:r>
    </w:p>
    <w:p>
      <w:pPr>
        <w:pStyle w:val="FirstParagraph"/>
      </w:pPr>
      <w:r>
        <w:t xml:space="preserve">12.3.1 The Charter relies on the master’s voice. Each lane carries voice reporting points at entry, mid-passage, and exit, listed in Annex A. A vessel calls the Center on the working channel at each point: name, class, position by bearing and distance from the named reference, speed, and next point.</w:t>
      </w:r>
    </w:p>
    <w:p>
      <w:pPr>
        <w:pStyle w:val="BodyText"/>
      </w:pPr>
      <w:r>
        <w:t xml:space="preserve">12.3.2 Electronic track data supplements voice reporting; it never replaces it. Where a vessel’s track transmitter fails, voice reporting alone sustains the vessel’s compliance record, and the Center logs the transmitter failure as an equipment note, not a violation.</w:t>
      </w:r>
    </w:p>
    <w:p>
      <w:pPr>
        <w:pStyle w:val="BodyText"/>
      </w:pPr>
      <w:r>
        <w:t xml:space="preserve">12.3.3 Classes H and P report at every point. Classes E and G report at entry and exit in Free Flow, and at every point in Managed Flow. Class F reports at crossing gates. Class S reports at zone entry and exit only. Class X reports at every point with escort confirmation.</w:t>
      </w:r>
    </w:p>
    <w:bookmarkEnd w:id="123"/>
    <w:bookmarkStart w:id="124" w:name="crossing-and-meeting-rules"/>
    <w:p>
      <w:pPr>
        <w:pStyle w:val="Heading3"/>
      </w:pPr>
      <w:r>
        <w:t xml:space="preserve">12.4 Crossing and Meeting Rules</w:t>
      </w:r>
    </w:p>
    <w:p>
      <w:pPr>
        <w:pStyle w:val="FirstParagraph"/>
      </w:pPr>
      <w:r>
        <w:t xml:space="preserve">12.4.1 A vessel crosses between corridors only at the crossing sectors of Annex A, at right angles, at minimum safe speed, after a crossing call on the working channel.</w:t>
      </w:r>
    </w:p>
    <w:p>
      <w:pPr>
        <w:pStyle w:val="BodyText"/>
      </w:pPr>
      <w:r>
        <w:t xml:space="preserve">12.4.2 Class F craft cross at the crossing gates under Center direction, in groups where practical, during the gate windows the Bulletin publishes.</w:t>
      </w:r>
    </w:p>
    <w:p>
      <w:pPr>
        <w:pStyle w:val="BodyText"/>
      </w:pPr>
      <w:r>
        <w:t xml:space="preserve">12.4.3 The International Regulations for Preventing Collisions at Sea govern every meeting and overtaking situation, and this Charter adds only the lane, speed, and spacing rules of this Article.</w:t>
      </w:r>
    </w:p>
    <w:bookmarkEnd w:id="124"/>
    <w:bookmarkStart w:id="125" w:name="night-and-low-visibility-rules"/>
    <w:p>
      <w:pPr>
        <w:pStyle w:val="Heading3"/>
      </w:pPr>
      <w:r>
        <w:t xml:space="preserve">12.5 Night and Low-Visibility Rules</w:t>
      </w:r>
    </w:p>
    <w:p>
      <w:pPr>
        <w:pStyle w:val="FirstParagraph"/>
      </w:pPr>
      <w:r>
        <w:t xml:space="preserve">12.5.1 The corridors operate at night under the same rules as by day, with radar watch and reduced spacing tolerance enforced by the Center’s voice check cycle.</w:t>
      </w:r>
    </w:p>
    <w:p>
      <w:pPr>
        <w:pStyle w:val="BodyText"/>
      </w:pPr>
      <w:r>
        <w:t xml:space="preserve">12.5.2 In visibility below two nautical miles, the Center shifts the commercial corridors to Managed Flow, doubles spacing, and increases the voice reporting frequency to every reporting point for all classes except F.</w:t>
      </w:r>
    </w:p>
    <w:bookmarkEnd w:id="125"/>
    <w:bookmarkStart w:id="126" w:name="X517910d83f1295ff1179db94de10939ad29dd13"/>
    <w:p>
      <w:pPr>
        <w:pStyle w:val="Heading3"/>
      </w:pPr>
      <w:r>
        <w:t xml:space="preserve">12.6 The Working Channels and the Voice Discipline</w:t>
      </w:r>
    </w:p>
    <w:p>
      <w:pPr>
        <w:pStyle w:val="FirstParagraph"/>
      </w:pPr>
      <w:r>
        <w:t xml:space="preserve">12.6.1 The Charter operates three voice channels: the working channel for traffic calls, the incident line for reports under Article 30, and the hotline of Article 27.4 between multinational duty teams and military liaison desks. The Bulletin publishes the channel plan, and the plan changes only by Qualified Majority decision with thirty days’ notice to mariners.</w:t>
      </w:r>
    </w:p>
    <w:p>
      <w:pPr>
        <w:pStyle w:val="BodyText"/>
      </w:pPr>
      <w:r>
        <w:t xml:space="preserve">12.6.2 Voice discipline follows the standard maritime format: identity first, position second, intention third. The Center answers every call with the vessel’s identity and a read-back of the substance. A call without read-back counts as not received, and the calling vessel repeats after two minutes.</w:t>
      </w:r>
    </w:p>
    <w:p>
      <w:pPr>
        <w:pStyle w:val="BodyText"/>
      </w:pPr>
      <w:r>
        <w:t xml:space="preserve">12.6.3 Watch relief occurs on the hour, and the outgoing multinational team briefs the incoming multinational team on every vessel inside a reporting interval, every open incident, and every active window. The multinational handover note of Article 14.3 records the brief.</w:t>
      </w:r>
    </w:p>
    <w:bookmarkEnd w:id="126"/>
    <w:bookmarkEnd w:id="127"/>
    <w:bookmarkEnd w:id="128"/>
    <w:bookmarkStart w:id="168" w:name="part-iii-institutional-architecture"/>
    <w:p>
      <w:pPr>
        <w:pStyle w:val="Heading1"/>
      </w:pPr>
      <w:r>
        <w:t xml:space="preserve">Part III: Institutional Architecture</w:t>
      </w:r>
    </w:p>
    <w:bookmarkStart w:id="137" w:name="X859f46cbbc4ada4cf22d66801a4a6f95060a2cf"/>
    <w:p>
      <w:pPr>
        <w:pStyle w:val="Heading2"/>
      </w:pPr>
      <w:r>
        <w:t xml:space="preserve">Article 13: The Gulf Energy Corridor Authority</w:t>
      </w:r>
    </w:p>
    <w:bookmarkStart w:id="129" w:name="the-five-bodies"/>
    <w:p>
      <w:pPr>
        <w:pStyle w:val="Heading3"/>
      </w:pPr>
      <w:r>
        <w:t xml:space="preserve">13.1 The Five Bodies</w:t>
      </w:r>
    </w:p>
    <w:p>
      <w:pPr>
        <w:pStyle w:val="FirstParagraph"/>
      </w:pPr>
      <w:r>
        <w:t xml:space="preserve">13.1.1 The Charter operates through five bodies and two external interfaces.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Body</w:t>
            </w:r>
          </w:p>
        </w:tc>
        <w:tc>
          <w:tcPr/>
          <w:p>
            <w:pPr>
              <w:pStyle w:val="Compact"/>
              <w:jc w:val="left"/>
            </w:pPr>
            <w:r>
              <w:t xml:space="preserve">Function</w:t>
            </w:r>
          </w:p>
        </w:tc>
        <w:tc>
          <w:tcPr/>
          <w:p>
            <w:pPr>
              <w:pStyle w:val="Compact"/>
              <w:jc w:val="left"/>
            </w:pPr>
            <w:r>
              <w:t xml:space="preserve">Seat</w:t>
            </w:r>
          </w:p>
        </w:tc>
      </w:tr>
      <w:tr>
        <w:tc>
          <w:tcPr/>
          <w:p>
            <w:pPr>
              <w:pStyle w:val="Compact"/>
              <w:jc w:val="left"/>
            </w:pPr>
            <w:r>
              <w:t xml:space="preserve">Gulf Energy Corridor Council</w:t>
            </w:r>
          </w:p>
        </w:tc>
        <w:tc>
          <w:tcPr/>
          <w:p>
            <w:pPr>
              <w:pStyle w:val="Compact"/>
              <w:jc w:val="left"/>
            </w:pPr>
            <w:r>
              <w:t xml:space="preserve">Governance, budget, disputes, Qualified Majority decisions</w:t>
            </w:r>
          </w:p>
        </w:tc>
        <w:tc>
          <w:tcPr/>
          <w:p>
            <w:pPr>
              <w:pStyle w:val="Compact"/>
              <w:jc w:val="left"/>
            </w:pPr>
            <w:r>
              <w:t xml:space="preserve">Alternating: Muscat and Bandar Abbas, with GCC-hosted sessions in rotation</w:t>
            </w:r>
          </w:p>
        </w:tc>
      </w:tr>
      <w:tr>
        <w:tc>
          <w:tcPr/>
          <w:p>
            <w:pPr>
              <w:pStyle w:val="Compact"/>
              <w:jc w:val="left"/>
            </w:pPr>
            <w:r>
              <w:t xml:space="preserve">Executive Directorate</w:t>
            </w:r>
          </w:p>
        </w:tc>
        <w:tc>
          <w:tcPr/>
          <w:p>
            <w:pPr>
              <w:pStyle w:val="Compact"/>
              <w:jc w:val="left"/>
            </w:pPr>
            <w:r>
              <w:t xml:space="preserve">Daily administration of the Authority</w:t>
            </w:r>
          </w:p>
        </w:tc>
        <w:tc>
          <w:tcPr/>
          <w:p>
            <w:pPr>
              <w:pStyle w:val="Compact"/>
              <w:jc w:val="left"/>
            </w:pPr>
            <w:r>
              <w:t xml:space="preserve">Muscat, mirrored in Bandar Abbas</w:t>
            </w:r>
          </w:p>
        </w:tc>
      </w:tr>
      <w:tr>
        <w:tc>
          <w:tcPr/>
          <w:p>
            <w:pPr>
              <w:pStyle w:val="Compact"/>
              <w:jc w:val="left"/>
            </w:pPr>
            <w:r>
              <w:t xml:space="preserve">Hormuz Navigation Center</w:t>
            </w:r>
          </w:p>
        </w:tc>
        <w:tc>
          <w:tcPr/>
          <w:p>
            <w:pPr>
              <w:pStyle w:val="Compact"/>
              <w:jc w:val="left"/>
            </w:pPr>
            <w:r>
              <w:t xml:space="preserve">Watch floor, registration desk, Bulletin, traffic coordination</w:t>
            </w:r>
          </w:p>
        </w:tc>
        <w:tc>
          <w:tcPr/>
          <w:p>
            <w:pPr>
              <w:pStyle w:val="Compact"/>
              <w:jc w:val="left"/>
            </w:pPr>
            <w:r>
              <w:t xml:space="preserve">Muscat, with Mirror Office in Bandar Abbas</w:t>
            </w:r>
          </w:p>
        </w:tc>
      </w:tr>
      <w:tr>
        <w:tc>
          <w:tcPr/>
          <w:p>
            <w:pPr>
              <w:pStyle w:val="Compact"/>
              <w:jc w:val="left"/>
            </w:pPr>
            <w:r>
              <w:t xml:space="preserve">Even Keel Verification Office</w:t>
            </w:r>
          </w:p>
        </w:tc>
        <w:tc>
          <w:tcPr/>
          <w:p>
            <w:pPr>
              <w:pStyle w:val="Compact"/>
              <w:jc w:val="left"/>
            </w:pPr>
            <w:r>
              <w:t xml:space="preserve">Verification, observers, audits, reporting</w:t>
            </w:r>
          </w:p>
        </w:tc>
        <w:tc>
          <w:tcPr/>
          <w:p>
            <w:pPr>
              <w:pStyle w:val="Compact"/>
              <w:jc w:val="left"/>
            </w:pPr>
            <w:r>
              <w:t xml:space="preserve">Muscat, co-located; roving observer teams</w:t>
            </w:r>
          </w:p>
        </w:tc>
      </w:tr>
      <w:tr>
        <w:tc>
          <w:tcPr/>
          <w:p>
            <w:pPr>
              <w:pStyle w:val="Compact"/>
              <w:jc w:val="left"/>
            </w:pPr>
            <w:r>
              <w:t xml:space="preserve">Gulf Energy Corridor Fund</w:t>
            </w:r>
          </w:p>
        </w:tc>
        <w:tc>
          <w:tcPr/>
          <w:p>
            <w:pPr>
              <w:pStyle w:val="Compact"/>
              <w:jc w:val="left"/>
            </w:pPr>
            <w:r>
              <w:t xml:space="preserve">Finance: contributions, reimbursement, escrow, audit, publication</w:t>
            </w:r>
          </w:p>
        </w:tc>
        <w:tc>
          <w:tcPr/>
          <w:p>
            <w:pPr>
              <w:pStyle w:val="Compact"/>
              <w:jc w:val="left"/>
            </w:pPr>
            <w:r>
              <w:t xml:space="preserve">Administered by the Fiduciary Administrator in Geneva; escrow at the Central Bank of Oman</w:t>
            </w:r>
          </w:p>
        </w:tc>
      </w:tr>
    </w:tbl>
    <w:p>
      <w:pPr>
        <w:pStyle w:val="BodyText"/>
      </w:pPr>
      <w:r>
        <w:t xml:space="preserve">13.1.2 The external interfaces: the International Maritime Organization, which recognizes the scheme, hosts the distribution channel, and accredits the verification roster; and the International Atomic Energy Agency, which anchors the nuclear interface of Part VI.</w:t>
      </w:r>
    </w:p>
    <w:p>
      <w:pPr>
        <w:pStyle w:val="BodyText"/>
      </w:pPr>
      <w:r>
        <w:t xml:space="preserve">13.1.3 The Central Corridor Management Board operates as a standing sub-body of the Council, with equal representation of the Islamic Republic of Iran, the Sultanate of Oman, and the Gulf Cooperation Council, and holds the navigation safety mandate for the Central Deconfliction Corridor under Article 13.6.</w:t>
      </w:r>
    </w:p>
    <w:bookmarkEnd w:id="129"/>
    <w:bookmarkStart w:id="130" w:name="design-logic-1"/>
    <w:p>
      <w:pPr>
        <w:pStyle w:val="Heading3"/>
      </w:pPr>
      <w:r>
        <w:t xml:space="preserve">13.2 Design Logic</w:t>
      </w:r>
    </w:p>
    <w:p>
      <w:pPr>
        <w:pStyle w:val="FirstParagraph"/>
      </w:pPr>
      <w:r>
        <w:t xml:space="preserve">13.2.1 Governance sits above operations, operations sit beside verification, and finance sits at arm’s length from all three. The Council supplies executive balance, the Qualified Majority Rule keeps any single state or pair of states from dominating the system, and the dual-key rules of Article 27 keep any security function from executing unilaterally.</w:t>
      </w:r>
    </w:p>
    <w:p>
      <w:pPr>
        <w:pStyle w:val="BodyText"/>
      </w:pPr>
      <w:r>
        <w:t xml:space="preserve">13.2.2 The architecture deliberately avoids a single integrated authority. Five small bodies with clean mandates cost less, fail less, and fail safely, because the anti-cascade rule of Article 16.4 isolates any failure to its own body.</w:t>
      </w:r>
    </w:p>
    <w:bookmarkEnd w:id="130"/>
    <w:bookmarkStart w:id="131" w:name="establishment-and-legal-character"/>
    <w:p>
      <w:pPr>
        <w:pStyle w:val="Heading3"/>
      </w:pPr>
      <w:r>
        <w:t xml:space="preserve">13.3 Establishment and Legal Character</w:t>
      </w:r>
    </w:p>
    <w:p>
      <w:pPr>
        <w:pStyle w:val="FirstParagraph"/>
      </w:pPr>
      <w:r>
        <w:t xml:space="preserve">13.3.1 The Participants establish the Gulf Energy Corridor Authority as the permanent joint institution of this Charter. The Authority holds international operational personality to the extent the Participants confer upon it: it concludes service contracts, employs staff, holds bank accounts in the name of the Fund architecture, owns and leases equipment, and appears before international bodies in its technical capacity. The Authority is civilian in character, technical in function, and shared in ownership. No Participant directs it alone.</w:t>
      </w:r>
    </w:p>
    <w:bookmarkEnd w:id="131"/>
    <w:bookmarkStart w:id="132" w:name="the-gulf-energy-corridor-council"/>
    <w:p>
      <w:pPr>
        <w:pStyle w:val="Heading3"/>
      </w:pPr>
      <w:r>
        <w:t xml:space="preserve">13.4 The Gulf Energy Corridor Council</w:t>
      </w:r>
    </w:p>
    <w:p>
      <w:pPr>
        <w:pStyle w:val="FirstParagraph"/>
      </w:pPr>
      <w:r>
        <w:t xml:space="preserve">13.4.1 The Council seats ten voting members: one permanent member appointed by each Littoral Party; one permanent institutional member appointed by the Gulf Cooperation Council on behalf of the Regional Participants; one permanent member appointed by the United Arab Emirates; one permanent member appointed by the State of Qatar; and five rotational members elected by the annual Open Water Conference from the Strategic Partners and leading flag states. Members hold rank of ambassador or equivalent and serve three-year terms, renewable once.</w:t>
      </w:r>
    </w:p>
    <w:p>
      <w:pPr>
        <w:pStyle w:val="BodyText"/>
      </w:pPr>
      <w:r>
        <w:t xml:space="preserve">13.4.2 The United States of America, as a Strategic Partner, holds eligibility for a rotational seat and, at its election, a standing observer delegation with speaking rights and full monitoring access under Article 17. The European Union holds a standing observer delegation on the same terms. The International Maritime Organization and the International Atomic Energy Agency each hold a technical observer seat without vote.</w:t>
      </w:r>
    </w:p>
    <w:p>
      <w:pPr>
        <w:pStyle w:val="BodyText"/>
      </w:pPr>
      <w:r>
        <w:t xml:space="preserve">13.4.3 The Council approves the annual budget within the envelope formula of Article 24; adopts and amends annexes; appoints the Executive Directors and confirms the Director of the Even Keel Office; conducts the Perimeter Test on every measure; supervises the compliance engine’s operation at the policy level; and represents the Charter to the technical organizations and to non-participant states.</w:t>
      </w:r>
    </w:p>
    <w:p>
      <w:pPr>
        <w:pStyle w:val="BodyText"/>
      </w:pPr>
      <w:r>
        <w:t xml:space="preserve">13.4.4 The Council never directs a specific vessel, never interferes with a registration, and never touches the Fund’s payment mechanics. Those lines keep politics away from the water.</w:t>
      </w:r>
    </w:p>
    <w:bookmarkEnd w:id="132"/>
    <w:bookmarkStart w:id="133" w:name="meetings-and-cadence"/>
    <w:p>
      <w:pPr>
        <w:pStyle w:val="Heading3"/>
      </w:pPr>
      <w:r>
        <w:t xml:space="preserve">13.5 Meetings and Cadence</w:t>
      </w:r>
    </w:p>
    <w:p>
      <w:pPr>
        <w:pStyle w:val="FirstParagraph"/>
      </w:pPr>
      <w:r>
        <w:t xml:space="preserve">13.5.1 The Council meets in ordinary session on the first Monday of each quarter, alternating between Muscat and Bandar Abbas, with one session per year hosted by a Regional Participant, and in extraordinary session within forty-eight hours of a Still Water event or any voting member’s call.</w:t>
      </w:r>
    </w:p>
    <w:p>
      <w:pPr>
        <w:pStyle w:val="BodyText"/>
      </w:pPr>
      <w:r>
        <w:t xml:space="preserve">13.5.2 A secure video bridge links the seats, the GCC Secretariat, and the Center for weekly working-level synchronization between the members’ designated staff.</w:t>
      </w:r>
    </w:p>
    <w:p>
      <w:pPr>
        <w:pStyle w:val="BodyText"/>
      </w:pPr>
      <w:r>
        <w:t xml:space="preserve">13.5.3 The chair rotates each quarter among the voting members. The chair manages the agenda and the minutes and holds no casting vote, because the Qualified Majority Rule distributes authority by design.</w:t>
      </w:r>
    </w:p>
    <w:bookmarkEnd w:id="133"/>
    <w:bookmarkStart w:id="134" w:name="the-central-corridor-management-board"/>
    <w:p>
      <w:pPr>
        <w:pStyle w:val="Heading3"/>
      </w:pPr>
      <w:r>
        <w:t xml:space="preserve">13.6 The Central Corridor Management Board</w:t>
      </w:r>
    </w:p>
    <w:p>
      <w:pPr>
        <w:pStyle w:val="FirstParagraph"/>
      </w:pPr>
      <w:r>
        <w:t xml:space="preserve">13.6.1 The Central Corridor Management Board operates as a standing sub-body of the Council, with equal representation of the Islamic Republic of Iran, the Sultanate of Oman, and the Gulf Cooperation Council. The Board decides every matter within its mandate by consensus.</w:t>
      </w:r>
    </w:p>
    <w:p>
      <w:pPr>
        <w:pStyle w:val="BodyText"/>
      </w:pPr>
      <w:r>
        <w:t xml:space="preserve">13.6.2 The Board holds the navigation safety mandate for the Central Deconfliction Corridor: it publishes authorized-use procedures, issues hazard warnings, coordinates navigation aids, and confirms each dual-administration handover under Article 9.3.</w:t>
      </w:r>
    </w:p>
    <w:p>
      <w:pPr>
        <w:pStyle w:val="BodyText"/>
      </w:pPr>
      <w:r>
        <w:t xml:space="preserve">13.6.3 The Board reports to the Council at every ordinary session, and the Council reviews Board decisions under the Qualified Majority Rule of Article 16.2.</w:t>
      </w:r>
    </w:p>
    <w:bookmarkEnd w:id="134"/>
    <w:bookmarkStart w:id="135" w:name="the-executive-directorate"/>
    <w:p>
      <w:pPr>
        <w:pStyle w:val="Heading3"/>
      </w:pPr>
      <w:r>
        <w:t xml:space="preserve">13.7 The Executive Directorate</w:t>
      </w:r>
    </w:p>
    <w:p>
      <w:pPr>
        <w:pStyle w:val="FirstParagraph"/>
      </w:pPr>
      <w:r>
        <w:t xml:space="preserve">13.7.1 Two Executive Directors, one appointed by each Littoral Party, manage operations jointly. The directors divide portfolios functionally, one holding operations and the other holding finance and administration, and the portfolios swap at each annual boundary. Decisions of the Directorate issue under joint signature.</w:t>
      </w:r>
    </w:p>
    <w:p>
      <w:pPr>
        <w:pStyle w:val="BodyText"/>
      </w:pPr>
      <w:r>
        <w:t xml:space="preserve">13.7.2 A deadlock between the directors routes to the Council within twenty-four hours, and a Council deadlock routes to the dispute resolution ladder of Article 38. No operational function of the corridor system pauses during any deadlock: the standing procedures of the annexes govern by default until the dispute resolves, consistent with the no-fade rule.</w:t>
      </w:r>
    </w:p>
    <w:bookmarkEnd w:id="135"/>
    <w:bookmarkStart w:id="136" w:name="the-joint-technical-committee"/>
    <w:p>
      <w:pPr>
        <w:pStyle w:val="Heading3"/>
      </w:pPr>
      <w:r>
        <w:t xml:space="preserve">13.8 The Joint Technical Committee</w:t>
      </w:r>
    </w:p>
    <w:p>
      <w:pPr>
        <w:pStyle w:val="FirstParagraph"/>
      </w:pPr>
      <w:r>
        <w:t xml:space="preserve">13.8.1 The Joint Technical Committee comprises six surveyors, engineers, and legal-technical specialists, three appointed by each Littoral Party, supported by GCC and observer experts as non-voting advisers. The Committee certifies corridor geometry, audits the services record, reviews incidents under Article 30, conducts the annual systems audit, and issues the technical certificates of Annex J.</w:t>
      </w:r>
    </w:p>
    <w:p>
      <w:pPr>
        <w:pStyle w:val="BodyText"/>
      </w:pPr>
      <w:r>
        <w:t xml:space="preserve">13.8.2 The Committee decides technical questions by simple majority with a quorum of four including at least two appointees of each Littoral Party, and a tied question carries forward as an open item with both positions recorded, never as a suspension of the underlying operation.</w:t>
      </w:r>
    </w:p>
    <w:bookmarkEnd w:id="136"/>
    <w:bookmarkEnd w:id="137"/>
    <w:bookmarkStart w:id="144" w:name="article-14-the-hormuz-navigation-center"/>
    <w:p>
      <w:pPr>
        <w:pStyle w:val="Heading2"/>
      </w:pPr>
      <w:r>
        <w:t xml:space="preserve">Article 14: The Hormuz Navigation Center</w:t>
      </w:r>
    </w:p>
    <w:bookmarkStart w:id="138" w:name="function"/>
    <w:p>
      <w:pPr>
        <w:pStyle w:val="Heading3"/>
      </w:pPr>
      <w:r>
        <w:t xml:space="preserve">14.1 Function</w:t>
      </w:r>
    </w:p>
    <w:p>
      <w:pPr>
        <w:pStyle w:val="FirstParagraph"/>
      </w:pPr>
      <w:r>
        <w:t xml:space="preserve">14.1.1 The Hormuz Navigation Center operates the corridor system in real time. The Center holds nine standing functions: continuous radar, identification, and visual tracking of the Operating Area; reception and recording of transit registrations; operation of the vessel traffic service; issuance of Protected Holds under Article 6.4; operation of the hotline and communications network; custody of the geometry registry; publication of the Open Water Bulletin and the daily status report; first-line incident triage under Article 30; and execution of the mishap protocol of Article 27.5. The Center coordinates; it never permits. No vessel requires the Center’s approval to transit, and the Center’s communications with vessels carry informational and safety content only.</w:t>
      </w:r>
    </w:p>
    <w:bookmarkEnd w:id="138"/>
    <w:bookmarkStart w:id="139" w:name="watch-structure"/>
    <w:p>
      <w:pPr>
        <w:pStyle w:val="Heading3"/>
      </w:pPr>
      <w:r>
        <w:t xml:space="preserve">14.2 Watch Structure</w:t>
      </w:r>
    </w:p>
    <w:p>
      <w:pPr>
        <w:pStyle w:val="FirstParagraph"/>
      </w:pPr>
      <w:r>
        <w:t xml:space="preserve">14.2.1 The Center stands a continuous joint watch, twenty-four hours, every day. Each watch comprises five officers: one Omani watch supervisor, one Iranian watch supervisor, one Omani traffic operator, one Iranian traffic operator, and one GCC liaison operator on a published rotation among the Regional Participants. The supervisor roles alternate between the nationalities on each twelve-hour rotation. Every operational message to a vessel issues under both supervisors’ concurrence, and the watch log records every message with a timestamp. The watch structure guarantees that no instruction to shipping ever issues from one state alone.</w:t>
      </w:r>
    </w:p>
    <w:bookmarkEnd w:id="139"/>
    <w:bookmarkStart w:id="140" w:name="the-daily-status-report"/>
    <w:p>
      <w:pPr>
        <w:pStyle w:val="Heading3"/>
      </w:pPr>
      <w:r>
        <w:t xml:space="preserve">14.3 The Daily Status Report</w:t>
      </w:r>
    </w:p>
    <w:p>
      <w:pPr>
        <w:pStyle w:val="FirstParagraph"/>
      </w:pPr>
      <w:r>
        <w:t xml:space="preserve">14.3.1 The Center publishes the daily status report at 1800 Gulf Standard Time, carrying one of three status lines: Calm, Irregular, or Investigating, together with transit counts by corridor and class, incident entries, holds and their duration, hotline traffic volume, average metering delay, and the safety record counters. The report posts to the Shared Dashboard in identical form for all Participants, observers, and the shipping public. The daily report replaces accusation with data: every capital, the insurance market, and the industry read the same line at the same time.</w:t>
      </w:r>
    </w:p>
    <w:bookmarkEnd w:id="140"/>
    <w:bookmarkStart w:id="141" w:name="the-mirror-facility"/>
    <w:p>
      <w:pPr>
        <w:pStyle w:val="Heading3"/>
      </w:pPr>
      <w:r>
        <w:t xml:space="preserve">14.4 The Mirror Facility</w:t>
      </w:r>
    </w:p>
    <w:p>
      <w:pPr>
        <w:pStyle w:val="FirstParagraph"/>
      </w:pPr>
      <w:r>
        <w:t xml:space="preserve">14.4.1 The Bandar Abbas mirror facility replicates the Muscat watch floor in full, receives the same sensor feeds, and stands ready to assume the primary watch on thirty minutes’ notice. The Participants conduct a live handover drill every fourteen days, alternating the primary watch between the two facilities for one watch period, so that the mirror never atrophies into ceremony. The drill record publishes on the dashboard.</w:t>
      </w:r>
    </w:p>
    <w:bookmarkEnd w:id="141"/>
    <w:bookmarkStart w:id="142" w:name="data-custody"/>
    <w:p>
      <w:pPr>
        <w:pStyle w:val="Heading3"/>
      </w:pPr>
      <w:r>
        <w:t xml:space="preserve">14.5 Data Custody</w:t>
      </w:r>
    </w:p>
    <w:p>
      <w:pPr>
        <w:pStyle w:val="FirstParagraph"/>
      </w:pPr>
      <w:r>
        <w:t xml:space="preserve">14.5.1 The Center retains every watch log, every registration, every track record, and every message for a minimum of seven years. Data custody follows the dual-copy rule: every record exists simultaneously in Muscat and Bandar Abbas under cryptographic timestamping, and neither copy admits unilateral alteration. The evidence standards of Article 36 treat a gap in the record as a fact requiring explanation, never as a fact supporting an accusation.</w:t>
      </w:r>
    </w:p>
    <w:bookmarkEnd w:id="142"/>
    <w:bookmarkStart w:id="143" w:name="data-sovereignty-and-prohibited-uses"/>
    <w:p>
      <w:pPr>
        <w:pStyle w:val="Heading3"/>
      </w:pPr>
      <w:r>
        <w:t xml:space="preserve">14.6 Data Sovereignty and Prohibited Uses</w:t>
      </w:r>
    </w:p>
    <w:p>
      <w:pPr>
        <w:pStyle w:val="FirstParagraph"/>
      </w:pPr>
      <w:r>
        <w:t xml:space="preserve">14.6.1 Data collected by the Center, the verification office, or the Fund under this Charter belongs collectively to the Participants. No Participant possesses unilateral ownership, control, or disposition rights over any dataset. All Participants hold equal, real-time, read-only access to all unprocessed data through the Shared Dashboard.</w:t>
      </w:r>
    </w:p>
    <w:p>
      <w:pPr>
        <w:pStyle w:val="BodyText"/>
      </w:pPr>
      <w:r>
        <w:t xml:space="preserve">14.6.2 Data collected under this Charter serves exclusively: navigational safety; deconfliction; compliance verification; incident investigation; technical audit; and statistical reporting. The framework architecture excludes the use of Charter data for intelligence, military targeting, law enforcement, or sanctions enforcement. All data transmitted through the dashboard carries a non-removable Charter watermark, and any data found outside the dashboard bearing this watermark triggers an automatic Tier 2 investigation.</w:t>
      </w:r>
    </w:p>
    <w:bookmarkEnd w:id="143"/>
    <w:bookmarkEnd w:id="144"/>
    <w:bookmarkStart w:id="151" w:name="Xa14103b701980e4e3d88a2fba360b00ecb2bf2f"/>
    <w:p>
      <w:pPr>
        <w:pStyle w:val="Heading2"/>
      </w:pPr>
      <w:r>
        <w:t xml:space="preserve">Article 15: The Even Keel Verification Office and the Civilian Character Clause</w:t>
      </w:r>
    </w:p>
    <w:bookmarkStart w:id="145" w:name="mandate"/>
    <w:p>
      <w:pPr>
        <w:pStyle w:val="Heading3"/>
      </w:pPr>
      <w:r>
        <w:t xml:space="preserve">15.1 Mandate</w:t>
      </w:r>
    </w:p>
    <w:p>
      <w:pPr>
        <w:pStyle w:val="FirstParagraph"/>
      </w:pPr>
      <w:r>
        <w:t xml:space="preserve">15.1.1 The Even Keel Verification Office verifies that the system does what the Charter says. It observes, audits, and reports. It never directs traffic, never boards vessels, and never classifies compliance events; classification belongs to the engine of Article 37 on the Office’s inputs.</w:t>
      </w:r>
    </w:p>
    <w:bookmarkEnd w:id="145"/>
    <w:bookmarkStart w:id="146" w:name="composition"/>
    <w:p>
      <w:pPr>
        <w:pStyle w:val="Heading3"/>
      </w:pPr>
      <w:r>
        <w:t xml:space="preserve">15.2 Composition</w:t>
      </w:r>
    </w:p>
    <w:p>
      <w:pPr>
        <w:pStyle w:val="FirstParagraph"/>
      </w:pPr>
      <w:r>
        <w:t xml:space="preserve">15.2.1 The Office comprises a Director, a deputy, and a roster of twenty-four maritime inspectors: eight nominated by the Littoral Parties, eight nominated by the Regional Participants through the Gulf Cooperation Council, six nominated by neutral IMO-accredited states, and two nominated by the Strategic Partners, plus administrative support under the Swiss facilitation arrangement.</w:t>
      </w:r>
    </w:p>
    <w:p>
      <w:pPr>
        <w:pStyle w:val="BodyText"/>
      </w:pPr>
      <w:r>
        <w:t xml:space="preserve">15.2.2 The Director and deputy hold no Littoral Party nationality. Inspectors serve two-year rotations, and the Council confirms the roster on IMO nomination and accreditation.</w:t>
      </w:r>
    </w:p>
    <w:bookmarkEnd w:id="146"/>
    <w:bookmarkStart w:id="147" w:name="embarked-observers"/>
    <w:p>
      <w:pPr>
        <w:pStyle w:val="Heading3"/>
      </w:pPr>
      <w:r>
        <w:t xml:space="preserve">15.3 Embarked Observers</w:t>
      </w:r>
    </w:p>
    <w:p>
      <w:pPr>
        <w:pStyle w:val="FirstParagraph"/>
      </w:pPr>
      <w:r>
        <w:t xml:space="preserve">15.3.1 The Office embarks observers on transiting vessels, on service craft, and at both watch floors, on a published rota. Embarkation on a commercial vessel occurs with the master’s consent; the Safe Registry of Article 22 treats consent as a listed-vessel practice.</w:t>
      </w:r>
    </w:p>
    <w:p>
      <w:pPr>
        <w:pStyle w:val="BodyText"/>
      </w:pPr>
      <w:r>
        <w:t xml:space="preserve">15.3.2 An embarked observer records passage conduct, service delivery, and any interference event, and files the observation to the daily log within twelve hours. The framework architecture excludes any interference with, harassment of, or harm to observers, and an incident involving an observer classifies one tier higher than the same incident without observer involvement under Article 37.</w:t>
      </w:r>
    </w:p>
    <w:bookmarkEnd w:id="147"/>
    <w:bookmarkStart w:id="148" w:name="the-civilian-character-clause"/>
    <w:p>
      <w:pPr>
        <w:pStyle w:val="Heading3"/>
      </w:pPr>
      <w:r>
        <w:t xml:space="preserve">15.4 The Civilian Character Clause</w:t>
      </w:r>
    </w:p>
    <w:p>
      <w:pPr>
        <w:pStyle w:val="FirstParagraph"/>
      </w:pPr>
      <w:r>
        <w:t xml:space="preserve">15.4.1 The Center, the Council secretariat, the verification office, and the Fund employ civilian maritime professionals exclusively. Military personnel hold no operational role in any Charter body.</w:t>
      </w:r>
    </w:p>
    <w:p>
      <w:pPr>
        <w:pStyle w:val="BodyText"/>
      </w:pPr>
      <w:r>
        <w:t xml:space="preserve">15.4.2 Each Littoral Party designates one military liaison officer at the policy level, accredited to the Council, who carries deconfliction traffic between the Center and that state’s forces. The Regional Participants and the Strategic Partners maintain liaison channels through the Council secretariat. The liaison officers work in an annex separate from the watch floor and hold no command over Charter staff.</w:t>
      </w:r>
    </w:p>
    <w:p>
      <w:pPr>
        <w:pStyle w:val="BodyText"/>
      </w:pPr>
      <w:r>
        <w:t xml:space="preserve">15.4.3 This clause guards Register entry R-6. The verification office verifies staffing compliance annually and on complaint.</w:t>
      </w:r>
    </w:p>
    <w:bookmarkEnd w:id="148"/>
    <w:bookmarkStart w:id="149" w:name="reporting"/>
    <w:p>
      <w:pPr>
        <w:pStyle w:val="Heading3"/>
      </w:pPr>
      <w:r>
        <w:t xml:space="preserve">15.5 Reporting</w:t>
      </w:r>
    </w:p>
    <w:p>
      <w:pPr>
        <w:pStyle w:val="FirstParagraph"/>
      </w:pPr>
      <w:r>
        <w:t xml:space="preserve">15.5.1 The Office publishes: a weekly observation summary; a monthly registration-desk audit under Article 8.2.4; a quarterly ledger cross-check under Article 22; and an annual Register integrity report.</w:t>
      </w:r>
    </w:p>
    <w:p>
      <w:pPr>
        <w:pStyle w:val="BodyText"/>
      </w:pPr>
      <w:r>
        <w:t xml:space="preserve">15.5.2 Every report follows the convergence standard of Article 36.2, names its evidence inputs, and reaches all Participants and the technical organizations simultaneously.</w:t>
      </w:r>
    </w:p>
    <w:bookmarkEnd w:id="149"/>
    <w:bookmarkStart w:id="150" w:name="independence-safeguards"/>
    <w:p>
      <w:pPr>
        <w:pStyle w:val="Heading3"/>
      </w:pPr>
      <w:r>
        <w:t xml:space="preserve">15.6 Independence Safeguards</w:t>
      </w:r>
    </w:p>
    <w:p>
      <w:pPr>
        <w:pStyle w:val="FirstParagraph"/>
      </w:pPr>
      <w:r>
        <w:t xml:space="preserve">15.6.1 The Fund pays Office costs directly as a first call on revenue, ahead of all service reimbursement. No Participant suspends, reduces, or delays Office funding for any reason.</w:t>
      </w:r>
    </w:p>
    <w:p>
      <w:pPr>
        <w:pStyle w:val="BodyText"/>
      </w:pPr>
      <w:r>
        <w:t xml:space="preserve">15.6.2 The Director reports to the Council as a body, never to one Participant, and removal activates a Qualified Majority decision recorded with reasons plus IMO concurrence.</w:t>
      </w:r>
    </w:p>
    <w:p>
      <w:pPr>
        <w:pStyle w:val="BodyText"/>
      </w:pPr>
      <w:r>
        <w:t xml:space="preserve">15.6.3 An inspector who files a report in good faith enjoys full protection; a demonstrably false report triggers the false-report consequence of Annex J, which the Council applies identically to every nationality.</w:t>
      </w:r>
    </w:p>
    <w:bookmarkEnd w:id="150"/>
    <w:bookmarkEnd w:id="151"/>
    <w:bookmarkStart w:id="157" w:name="article-16-decision-rules"/>
    <w:p>
      <w:pPr>
        <w:pStyle w:val="Heading2"/>
      </w:pPr>
      <w:r>
        <w:t xml:space="preserve">Article 16: Decision Rules</w:t>
      </w:r>
    </w:p>
    <w:bookmarkStart w:id="152" w:name="consensus-and-collective-decision"/>
    <w:p>
      <w:pPr>
        <w:pStyle w:val="Heading3"/>
      </w:pPr>
      <w:r>
        <w:t xml:space="preserve">16.1 Consensus and Collective Decision</w:t>
      </w:r>
    </w:p>
    <w:p>
      <w:pPr>
        <w:pStyle w:val="FirstParagraph"/>
      </w:pPr>
      <w:r>
        <w:t xml:space="preserve">16.1.1 The Council seeks consensus in form and reaches decisions in substance through the Qualified Majority Rule. Where the members disagree on drafting, the Council minute records the formulations, and the facilitation tier of Article 38.2 assists.</w:t>
      </w:r>
    </w:p>
    <w:bookmarkEnd w:id="152"/>
    <w:bookmarkStart w:id="153" w:name="the-qualified-majority-rule"/>
    <w:p>
      <w:pPr>
        <w:pStyle w:val="Heading3"/>
      </w:pPr>
      <w:r>
        <w:t xml:space="preserve">16.2 The Qualified Majority Rule</w:t>
      </w:r>
    </w:p>
    <w:p>
      <w:pPr>
        <w:pStyle w:val="FirstParagraph"/>
      </w:pPr>
      <w:r>
        <w:t xml:space="preserve">16.2.1 Every Council decision carries a qualified majority: the affirmative vote of a majority of all voting members and the affirmative vote of both Littoral Party members. No decision passes through a single state, and no decision binds only one Participant. A decision affecting the Central Deconfliction Corridor also carries the consensus of the Central Corridor Management Board.</w:t>
      </w:r>
    </w:p>
    <w:p>
      <w:pPr>
        <w:pStyle w:val="BodyText"/>
      </w:pPr>
      <w:r>
        <w:t xml:space="preserve">16.2.2 The Council records every decision in a Council minute format: each minute states the decision, the Perimeter Test, the dissent if any, and the votes by participation category.</w:t>
      </w:r>
    </w:p>
    <w:p>
      <w:pPr>
        <w:pStyle w:val="BodyText"/>
      </w:pPr>
      <w:r>
        <w:t xml:space="preserve">16.2.3 A matter that fails the Qualified Majority Rule twice moves to the facilitation tier of Article 38.2 with the votes recorded.</w:t>
      </w:r>
    </w:p>
    <w:bookmarkEnd w:id="153"/>
    <w:bookmarkStart w:id="154" w:name="default-continuity"/>
    <w:p>
      <w:pPr>
        <w:pStyle w:val="Heading3"/>
      </w:pPr>
      <w:r>
        <w:t xml:space="preserve">16.3 Default Continuity</w:t>
      </w:r>
    </w:p>
    <w:p>
      <w:pPr>
        <w:pStyle w:val="FirstParagraph"/>
      </w:pPr>
      <w:r>
        <w:t xml:space="preserve">16.3.1 Where a decision stalls, the standing procedures of this Charter and its annexes govern by default. A stalled budget question runs on the previous budget at the same level; a stalled rate question runs on the previous rate; a stalled procedure question runs on the existing annex text. Default continuity is the no-fade rule applied to administration: no deadlock suspends, degrades, or re-prices any operation of the corridor system.</w:t>
      </w:r>
    </w:p>
    <w:bookmarkEnd w:id="154"/>
    <w:bookmarkStart w:id="155" w:name="the-anti-cascade-rule"/>
    <w:p>
      <w:pPr>
        <w:pStyle w:val="Heading3"/>
      </w:pPr>
      <w:r>
        <w:t xml:space="preserve">16.4 The Anti-Cascade Rule</w:t>
      </w:r>
    </w:p>
    <w:p>
      <w:pPr>
        <w:pStyle w:val="FirstParagraph"/>
      </w:pPr>
      <w:r>
        <w:t xml:space="preserve">16.4.1 The failure, suspension, or breach of one module never suspends another module. The flow state of one corridor never depends on the others; a dispute over the Catalog never touches search and rescue; a Registry dispute never touches the Bulletin; a nuclear-track development never touches corridor operations except through the automatic provisions of Part VI.</w:t>
      </w:r>
    </w:p>
    <w:p>
      <w:pPr>
        <w:pStyle w:val="BodyText"/>
      </w:pPr>
      <w:r>
        <w:t xml:space="preserve">16.4.2 The compliance engine of Article 37 classifies events module by module, and consequences attach to the module concerned alone.</w:t>
      </w:r>
    </w:p>
    <w:bookmarkEnd w:id="155"/>
    <w:bookmarkStart w:id="156" w:name="records-and-transparency"/>
    <w:p>
      <w:pPr>
        <w:pStyle w:val="Heading3"/>
      </w:pPr>
      <w:r>
        <w:t xml:space="preserve">16.5 Records and Transparency</w:t>
      </w:r>
    </w:p>
    <w:p>
      <w:pPr>
        <w:pStyle w:val="FirstParagraph"/>
      </w:pPr>
      <w:r>
        <w:t xml:space="preserve">16.5.1 Every decision of every organ enters the decision register with its timestamp, its participants, and its basis. The register publishes on the Shared Dashboard subject to the personnel and procurement privacy annex. Transparency disciplines consensus: a Participant that blocks a decision does so on the record, with reasons, in view of all capitals.</w:t>
      </w:r>
    </w:p>
    <w:bookmarkEnd w:id="156"/>
    <w:bookmarkEnd w:id="157"/>
    <w:bookmarkStart w:id="164" w:name="X4ade0d95d5644d7a17042897d35adf19c392125"/>
    <w:p>
      <w:pPr>
        <w:pStyle w:val="Heading2"/>
      </w:pPr>
      <w:r>
        <w:t xml:space="preserve">Article 17: Observers and International Participation</w:t>
      </w:r>
    </w:p>
    <w:bookmarkStart w:id="158" w:name="participation-categories"/>
    <w:p>
      <w:pPr>
        <w:pStyle w:val="Heading3"/>
      </w:pPr>
      <w:r>
        <w:t xml:space="preserve">17.1 Participation Categories</w:t>
      </w:r>
    </w:p>
    <w:p>
      <w:pPr>
        <w:pStyle w:val="FirstParagraph"/>
      </w:pPr>
      <w:r>
        <w:t xml:space="preserve">17.1.1 The Charter admits participation in five categories, each with defined rights and defined limits, as Annex O states in full.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Composition</w:t>
            </w:r>
          </w:p>
        </w:tc>
        <w:tc>
          <w:tcPr/>
          <w:p>
            <w:pPr>
              <w:pStyle w:val="Compact"/>
              <w:jc w:val="left"/>
            </w:pPr>
            <w:r>
              <w:t xml:space="preserve">Rights</w:t>
            </w:r>
          </w:p>
        </w:tc>
      </w:tr>
      <w:tr>
        <w:tc>
          <w:tcPr/>
          <w:p>
            <w:pPr>
              <w:pStyle w:val="Compact"/>
              <w:jc w:val="left"/>
            </w:pPr>
            <w:r>
              <w:t xml:space="preserve">Category I: Littoral Parties</w:t>
            </w:r>
          </w:p>
        </w:tc>
        <w:tc>
          <w:tcPr/>
          <w:p>
            <w:pPr>
              <w:pStyle w:val="Compact"/>
              <w:jc w:val="left"/>
            </w:pPr>
            <w:r>
              <w:t xml:space="preserve">Iran, Oman</w:t>
            </w:r>
          </w:p>
        </w:tc>
        <w:tc>
          <w:tcPr/>
          <w:p>
            <w:pPr>
              <w:pStyle w:val="Compact"/>
              <w:jc w:val="left"/>
            </w:pPr>
            <w:r>
              <w:t xml:space="preserve">Full membership, permanent Council seats, functional administration</w:t>
            </w:r>
          </w:p>
        </w:tc>
      </w:tr>
      <w:tr>
        <w:tc>
          <w:tcPr/>
          <w:p>
            <w:pPr>
              <w:pStyle w:val="Compact"/>
              <w:jc w:val="left"/>
            </w:pPr>
            <w:r>
              <w:t xml:space="preserve">Category II: Regional Participants</w:t>
            </w:r>
          </w:p>
        </w:tc>
        <w:tc>
          <w:tcPr/>
          <w:p>
            <w:pPr>
              <w:pStyle w:val="Compact"/>
              <w:jc w:val="left"/>
            </w:pPr>
            <w:r>
              <w:t xml:space="preserve">UAE, Qatar, Saudi Arabia, Kuwait, Bahrain through the GCC</w:t>
            </w:r>
          </w:p>
        </w:tc>
        <w:tc>
          <w:tcPr/>
          <w:p>
            <w:pPr>
              <w:pStyle w:val="Compact"/>
              <w:jc w:val="left"/>
            </w:pPr>
            <w:r>
              <w:t xml:space="preserve">GCC institutional Council seat plus UAE and Qatar seats, monitoring access, shared emergency roles</w:t>
            </w:r>
          </w:p>
        </w:tc>
      </w:tr>
      <w:tr>
        <w:tc>
          <w:tcPr/>
          <w:p>
            <w:pPr>
              <w:pStyle w:val="Compact"/>
              <w:jc w:val="left"/>
            </w:pPr>
            <w:r>
              <w:t xml:space="preserve">Category III: Strategic Partners</w:t>
            </w:r>
          </w:p>
        </w:tc>
        <w:tc>
          <w:tcPr/>
          <w:p>
            <w:pPr>
              <w:pStyle w:val="Compact"/>
              <w:jc w:val="left"/>
            </w:pPr>
            <w:r>
              <w:t xml:space="preserve">United States, China, India, Japan, Republic of Korea, United Kingdom, France</w:t>
            </w:r>
          </w:p>
        </w:tc>
        <w:tc>
          <w:tcPr/>
          <w:p>
            <w:pPr>
              <w:pStyle w:val="Compact"/>
              <w:jc w:val="left"/>
            </w:pPr>
            <w:r>
              <w:t xml:space="preserve">Rotational Council eligibility, observer delegations with speaking rights, fused-picture monitoring access, liaison channels</w:t>
            </w:r>
          </w:p>
        </w:tc>
      </w:tr>
      <w:tr>
        <w:tc>
          <w:tcPr/>
          <w:p>
            <w:pPr>
              <w:pStyle w:val="Compact"/>
              <w:jc w:val="left"/>
            </w:pPr>
            <w:r>
              <w:t xml:space="preserve">Category IV: Technical Organizations</w:t>
            </w:r>
          </w:p>
        </w:tc>
        <w:tc>
          <w:tcPr/>
          <w:p>
            <w:pPr>
              <w:pStyle w:val="Compact"/>
              <w:jc w:val="left"/>
            </w:pPr>
            <w:r>
              <w:t xml:space="preserve">IMO, IAEA</w:t>
            </w:r>
          </w:p>
        </w:tc>
        <w:tc>
          <w:tcPr/>
          <w:p>
            <w:pPr>
              <w:pStyle w:val="Compact"/>
              <w:jc w:val="left"/>
            </w:pPr>
            <w:r>
              <w:t xml:space="preserve">Technical observer seats, accreditation roles, distribution and verification interfaces</w:t>
            </w:r>
          </w:p>
        </w:tc>
      </w:tr>
      <w:tr>
        <w:tc>
          <w:tcPr/>
          <w:p>
            <w:pPr>
              <w:pStyle w:val="Compact"/>
              <w:jc w:val="left"/>
            </w:pPr>
            <w:r>
              <w:t xml:space="preserve">Category V: User States and Industry</w:t>
            </w:r>
          </w:p>
        </w:tc>
        <w:tc>
          <w:tcPr/>
          <w:p>
            <w:pPr>
              <w:pStyle w:val="Compact"/>
              <w:jc w:val="left"/>
            </w:pPr>
            <w:r>
              <w:t xml:space="preserve">Other flag states, shipowner associations, P&amp;I clubs, classification societies</w:t>
            </w:r>
          </w:p>
        </w:tc>
        <w:tc>
          <w:tcPr/>
          <w:p>
            <w:pPr>
              <w:pStyle w:val="Compact"/>
              <w:jc w:val="left"/>
            </w:pPr>
            <w:r>
              <w:t xml:space="preserve">Advisory panel seats, data subscriptions, Safe Registry participation</w:t>
            </w:r>
          </w:p>
        </w:tc>
      </w:tr>
    </w:tbl>
    <w:bookmarkEnd w:id="158"/>
    <w:bookmarkStart w:id="159" w:name="the-united-states-observer-architecture"/>
    <w:p>
      <w:pPr>
        <w:pStyle w:val="Heading3"/>
      </w:pPr>
      <w:r>
        <w:t xml:space="preserve">17.2 The United States Observer Architecture</w:t>
      </w:r>
    </w:p>
    <w:p>
      <w:pPr>
        <w:pStyle w:val="FirstParagraph"/>
      </w:pPr>
      <w:r>
        <w:t xml:space="preserve">17.2.1 The United States receives: a standing observer delegation at the Council with speaking rights; real-time access to the fused radar and identification picture through the dashboard’s observer layer; a naval liaison channel to the deconfliction desk of Article 27; observer access during the pilot phase and every stability audit; and eligibility for rotational Council membership under Article 13.4. This architecture answers the United States position that governance of the Strait carries multilateral oversight, published coordinates, joint security functions, and sanctions-compatible finance, without seating any external state in command of the water.</w:t>
      </w:r>
    </w:p>
    <w:bookmarkEnd w:id="159"/>
    <w:bookmarkStart w:id="160" w:name="the-gcc-participation-architecture"/>
    <w:p>
      <w:pPr>
        <w:pStyle w:val="Heading3"/>
      </w:pPr>
      <w:r>
        <w:t xml:space="preserve">17.3 The GCC Participation Architecture</w:t>
      </w:r>
    </w:p>
    <w:p>
      <w:pPr>
        <w:pStyle w:val="FirstParagraph"/>
      </w:pPr>
      <w:r>
        <w:t xml:space="preserve">17.3.1 The Regional Participants receive: the GCC institutional Council seat and the UAE and Qatar seats; real-time monitoring access appropriate to Category II; co-lead participation in search and rescue and emergency diversion under Annex H; observer access to both commercial corridors and to the Central Deconfliction Corridor; and the guarantees of Article 10 for GCC-flagged and GCC-bound shipping. This architecture answers the GCC position: visibility into both corridors, protection of GCC vessels, shared emergency authority, predictable costs, and no unilateral interdiction.</w:t>
      </w:r>
    </w:p>
    <w:bookmarkEnd w:id="160"/>
    <w:bookmarkStart w:id="161" w:name="the-european-interface"/>
    <w:p>
      <w:pPr>
        <w:pStyle w:val="Heading3"/>
      </w:pPr>
      <w:r>
        <w:t xml:space="preserve">17.4 The European Interface</w:t>
      </w:r>
    </w:p>
    <w:p>
      <w:pPr>
        <w:pStyle w:val="FirstParagraph"/>
      </w:pPr>
      <w:r>
        <w:t xml:space="preserve">17.4.1 The European Union and its member states receive: the standing observer delegation of Article 13.4.2; full access to incident logs and environmental audit certificates; IMO-aligned documentation of all corridor rules; and the Route Assurance Data Service at published rates. This architecture answers the European position: IMO registration, environmental compliance, transparency, neutral arbitration, and freedom of navigation.</w:t>
      </w:r>
    </w:p>
    <w:bookmarkEnd w:id="161"/>
    <w:bookmarkStart w:id="162" w:name="the-stakeholder-panel"/>
    <w:p>
      <w:pPr>
        <w:pStyle w:val="Heading3"/>
      </w:pPr>
      <w:r>
        <w:t xml:space="preserve">17.5 The Stakeholder Panel</w:t>
      </w:r>
    </w:p>
    <w:p>
      <w:pPr>
        <w:pStyle w:val="FirstParagraph"/>
      </w:pPr>
      <w:r>
        <w:t xml:space="preserve">17.5.1 The Panel seats sixteen advisory members: four flag-state maritime administrations, four shipowner and operator associations, two protection and indemnity club representatives, two port authority representatives, two Strategic Partner representatives, one Regional Participant representative, and one IMO technical liaison.</w:t>
      </w:r>
    </w:p>
    <w:p>
      <w:pPr>
        <w:pStyle w:val="BodyText"/>
      </w:pPr>
      <w:r>
        <w:t xml:space="preserve">17.5.2 The Panel meets twice a year with the Council, reviews the Bulletin statistics, the Catalog rates, and the Registry operation, and files advisory opinions. The Council answers every opinion in the Council minutes within sixty days. Panel members hold no vote, no veto, and no operational role.</w:t>
      </w:r>
    </w:p>
    <w:bookmarkEnd w:id="162"/>
    <w:bookmarkStart w:id="163" w:name="no-external-command"/>
    <w:p>
      <w:pPr>
        <w:pStyle w:val="Heading3"/>
      </w:pPr>
      <w:r>
        <w:t xml:space="preserve">17.6 No External Command</w:t>
      </w:r>
    </w:p>
    <w:p>
      <w:pPr>
        <w:pStyle w:val="FirstParagraph"/>
      </w:pPr>
      <w:r>
        <w:t xml:space="preserve">17.6.1 No external state or body commands any element of the Charter. External participation occurs through the interfaces this Article defines, and the architecture routes every external request through the Council under the Qualified Majority Rule.</w:t>
      </w:r>
    </w:p>
    <w:bookmarkEnd w:id="163"/>
    <w:bookmarkEnd w:id="164"/>
    <w:bookmarkStart w:id="167" w:name="Xf6ffdb9057130ce43cebd6f5ec5b68cb5b7040f"/>
    <w:p>
      <w:pPr>
        <w:pStyle w:val="Heading2"/>
      </w:pPr>
      <w:r>
        <w:t xml:space="preserve">Article 18: Joint Training, Exercises, and Operational Readiness</w:t>
      </w:r>
    </w:p>
    <w:bookmarkStart w:id="165" w:name="the-exercise-cycle"/>
    <w:p>
      <w:pPr>
        <w:pStyle w:val="Heading3"/>
      </w:pPr>
      <w:r>
        <w:t xml:space="preserve">18.1 The Exercise Cycle</w:t>
      </w:r>
    </w:p>
    <w:p>
      <w:pPr>
        <w:pStyle w:val="FirstParagraph"/>
      </w:pPr>
      <w:r>
        <w:t xml:space="preserve">18.1.1 The Participants conduct a joint tabletop exercise within ninety days of entry into force, simulating a Tier 2 incident and testing the response of the Council, the Center, the verification office, and the step-back ladder.</w:t>
      </w:r>
    </w:p>
    <w:p>
      <w:pPr>
        <w:pStyle w:val="BodyText"/>
      </w:pPr>
      <w:r>
        <w:t xml:space="preserve">18.1.2 The Participants conduct a full-scale joint communication and coordination exercise within one hundred eighty days of entry into force, involving vessel traffic coordination, emergency cell activation, military deconfliction, and a simulated Class X transit under Annex K.</w:t>
      </w:r>
    </w:p>
    <w:p>
      <w:pPr>
        <w:pStyle w:val="BodyText"/>
      </w:pPr>
      <w:r>
        <w:t xml:space="preserve">18.1.3 The IMO and the IAEA observe all exercises. The exercise participants submit a written after-action report to the Council within thirty days, and the report includes lessons learned and recommendations for procedure adjustments.</w:t>
      </w:r>
    </w:p>
    <w:bookmarkEnd w:id="165"/>
    <w:bookmarkStart w:id="166" w:name="readiness-certification"/>
    <w:p>
      <w:pPr>
        <w:pStyle w:val="Heading3"/>
      </w:pPr>
      <w:r>
        <w:t xml:space="preserve">18.2 Readiness Certification</w:t>
      </w:r>
    </w:p>
    <w:p>
      <w:pPr>
        <w:pStyle w:val="FirstParagraph"/>
      </w:pPr>
      <w:r>
        <w:t xml:space="preserve">18.2.1 The Joint Technical Committee certifies every watchkeeper before first solo watch, every observer before first embarkation, and every hotline operator before first shift. Certifications renew annually, and the certification record publishes on the dashboard.</w:t>
      </w:r>
    </w:p>
    <w:bookmarkEnd w:id="166"/>
    <w:bookmarkEnd w:id="167"/>
    <w:bookmarkEnd w:id="168"/>
    <w:bookmarkStart w:id="206" w:name="X399e66fac50cb58fce6a646412446e8372a6220"/>
    <w:p>
      <w:pPr>
        <w:pStyle w:val="Heading1"/>
      </w:pPr>
      <w:r>
        <w:t xml:space="preserve">Part IV: Financial Architecture: The Settlement of the Toll Question</w:t>
      </w:r>
    </w:p>
    <w:bookmarkStart w:id="173" w:name="article-19-the-zero-toll-rule"/>
    <w:p>
      <w:pPr>
        <w:pStyle w:val="Heading2"/>
      </w:pPr>
      <w:r>
        <w:t xml:space="preserve">Article 19: The Zero-Toll Rule</w:t>
      </w:r>
    </w:p>
    <w:bookmarkStart w:id="169" w:name="the-rule"/>
    <w:p>
      <w:pPr>
        <w:pStyle w:val="Heading3"/>
      </w:pPr>
      <w:r>
        <w:t xml:space="preserve">19.1 The Rule</w:t>
      </w:r>
    </w:p>
    <w:p>
      <w:pPr>
        <w:pStyle w:val="FirstParagraph"/>
      </w:pPr>
      <w:r>
        <w:t xml:space="preserve">19.1.1 Transit through all three corridors carries no charge of any kind: no toll, no fee, no due, no levy, no deposit, no bond, and no disguised equivalent, for any vessel of any class, in any flow state, at any time, in perpetuity.</w:t>
      </w:r>
    </w:p>
    <w:p>
      <w:pPr>
        <w:pStyle w:val="BodyText"/>
      </w:pPr>
      <w:r>
        <w:t xml:space="preserve">19.1.2 The rule covers direct and indirect collection alike. The architecture excludes collection at the point of transit, collection conditioned on transit, and collection framed as a precondition for safety, for a record, or for a window.</w:t>
      </w:r>
    </w:p>
    <w:bookmarkEnd w:id="169"/>
    <w:bookmarkStart w:id="170" w:name="the-three-distinctions"/>
    <w:p>
      <w:pPr>
        <w:pStyle w:val="Heading3"/>
      </w:pPr>
      <w:r>
        <w:t xml:space="preserve">19.2 The Three Distinctions</w:t>
      </w:r>
    </w:p>
    <w:p>
      <w:pPr>
        <w:pStyle w:val="FirstParagraph"/>
      </w:pPr>
      <w:r>
        <w:t xml:space="preserve">19.2.1 Passage versus services: passage is the act of moving through the Strait, and it remains free; services are the named, verifiable works in the Verified Services Catalog, and the Fund reimburses their documented cost.</w:t>
      </w:r>
    </w:p>
    <w:p>
      <w:pPr>
        <w:pStyle w:val="BodyText"/>
      </w:pPr>
      <w:r>
        <w:t xml:space="preserve">19.2.2 Payment versus reimbursement: a payment for passage flows from a shipper to a coastal state as a condition of transit, and the architecture excludes it; a reimbursement flows from an independent international fund to a service provider after verified delivery, and the Charter organizes it.</w:t>
      </w:r>
    </w:p>
    <w:p>
      <w:pPr>
        <w:pStyle w:val="BodyText"/>
      </w:pPr>
      <w:r>
        <w:t xml:space="preserve">19.2.3 Toll versus voluntary service contribution: a toll charges passage itself, and the architecture excludes it; a voluntary service contribution funds named navigation safety, environmental protection, and search and rescue services under Article 22, remains optional for every vessel, and never conditions passage. A vessel that contributes nothing transits freely.</w:t>
      </w:r>
    </w:p>
    <w:bookmarkEnd w:id="170"/>
    <w:bookmarkStart w:id="171" w:name="the-prohibited-instruments-list"/>
    <w:p>
      <w:pPr>
        <w:pStyle w:val="Heading3"/>
      </w:pPr>
      <w:r>
        <w:t xml:space="preserve">19.3 The Prohibited Instruments List</w:t>
      </w:r>
    </w:p>
    <w:p>
      <w:pPr>
        <w:pStyle w:val="FirstParagraph"/>
      </w:pPr>
      <w:r>
        <w:t xml:space="preserve">19.3.1 The following instruments have no place in the Charter: transit tolls; safe passage fees; permit charges; security bonds as a condition of transit; mandatory insurance surcharges collected at the Strait; block or volume passage tariffs; mandatory pilotage; mandatory escort billed to the vessel; and any payment, in any currency or kind, from a vessel or its interests to any Participant or to any entity of any Participant, in connection with transit.</w:t>
      </w:r>
    </w:p>
    <w:p>
      <w:pPr>
        <w:pStyle w:val="BodyText"/>
      </w:pPr>
      <w:r>
        <w:t xml:space="preserve">19.3.2 The Even Keel Office and the Fund’s auditor each hold authority to flag any instrument that walks like a toll, and the Council resolves the flag under the Perimeter Test.</w:t>
      </w:r>
    </w:p>
    <w:bookmarkEnd w:id="171"/>
    <w:bookmarkStart w:id="172" w:name="standing-verification"/>
    <w:p>
      <w:pPr>
        <w:pStyle w:val="Heading3"/>
      </w:pPr>
      <w:r>
        <w:t xml:space="preserve">19.4 Standing Verification</w:t>
      </w:r>
    </w:p>
    <w:p>
      <w:pPr>
        <w:pStyle w:val="FirstParagraph"/>
      </w:pPr>
      <w:r>
        <w:t xml:space="preserve">19.4.1 The compliance engine of Part VII treats any charge on passage as a Tier 3 event. The annual systems audit tests the Service Boundary against the transaction record of the Fund, the invoices of the service providers, and the complaints channel of Annex J. The audit certificate carries a standing attestation that no charge on passage occurred in the audit period, and the attestation publishes on the Shared Dashboard.</w:t>
      </w:r>
    </w:p>
    <w:bookmarkEnd w:id="172"/>
    <w:bookmarkEnd w:id="173"/>
    <w:bookmarkStart w:id="176" w:name="article-20-the-settlement-at-a-glance"/>
    <w:p>
      <w:pPr>
        <w:pStyle w:val="Heading2"/>
      </w:pPr>
      <w:r>
        <w:t xml:space="preserve">Article 20: The Settlement at a Glance</w:t>
      </w:r>
    </w:p>
    <w:bookmarkStart w:id="174" w:name="design-logic-2"/>
    <w:p>
      <w:pPr>
        <w:pStyle w:val="Heading3"/>
      </w:pPr>
      <w:r>
        <w:t xml:space="preserve">20.1 Design Logic</w:t>
      </w:r>
    </w:p>
    <w:p>
      <w:pPr>
        <w:pStyle w:val="FirstParagraph"/>
      </w:pPr>
      <w:r>
        <w:t xml:space="preserve">20.1.1 The toll question dissolves when the framework separates three things that conflict fused: the right of passage, which stays free; the cost of services, which the Fund reimburses against documentation; and the recognition of the littoral role, which the architecture expresses through institutions and revenue, not through gatekeeping.</w:t>
      </w:r>
    </w:p>
    <w:p>
      <w:pPr>
        <w:pStyle w:val="BodyText"/>
      </w:pPr>
      <w:r>
        <w:t xml:space="preserve">20.1.2 Money flows in one direction through one channel: contributors pay the Fund; the Fund pays service providers against verified invoices. No shipper ever pays any Participant directly, and no payment of any kind stands as a condition of transit. Every payment travels the sanctions-compatible channel of Article 23.</w:t>
      </w:r>
    </w:p>
    <w:bookmarkEnd w:id="174"/>
    <w:bookmarkStart w:id="175" w:name="the-six-channels"/>
    <w:p>
      <w:pPr>
        <w:pStyle w:val="Heading3"/>
      </w:pPr>
      <w:r>
        <w:t xml:space="preserve">20.2 The Six Channels</w:t>
      </w:r>
    </w:p>
    <w:p>
      <w:pPr>
        <w:pStyle w:val="FirstParagraph"/>
      </w:pPr>
      <w:r>
        <w:t xml:space="preserve">20.2.1 The Fund draws revenue from six voluntary and market-based channels, and Article 24 fixes the annual envelope formula.</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Contributor</w:t>
            </w:r>
          </w:p>
        </w:tc>
        <w:tc>
          <w:tcPr/>
          <w:p>
            <w:pPr>
              <w:pStyle w:val="Compact"/>
              <w:jc w:val="left"/>
            </w:pPr>
            <w:r>
              <w:t xml:space="preserve">Basis</w:t>
            </w:r>
          </w:p>
        </w:tc>
        <w:tc>
          <w:tcPr/>
          <w:p>
            <w:pPr>
              <w:pStyle w:val="Compact"/>
              <w:jc w:val="left"/>
            </w:pPr>
            <w:r>
              <w:t xml:space="preserve">Article</w:t>
            </w:r>
          </w:p>
        </w:tc>
      </w:tr>
      <w:tr>
        <w:tc>
          <w:tcPr/>
          <w:p>
            <w:pPr>
              <w:pStyle w:val="Compact"/>
              <w:jc w:val="left"/>
            </w:pPr>
            <w:r>
              <w:t xml:space="preserve">Safe Registry</w:t>
            </w:r>
          </w:p>
        </w:tc>
        <w:tc>
          <w:tcPr/>
          <w:p>
            <w:pPr>
              <w:pStyle w:val="Compact"/>
              <w:jc w:val="left"/>
            </w:pPr>
            <w:r>
              <w:t xml:space="preserve">Vessel owners and operators</w:t>
            </w:r>
          </w:p>
        </w:tc>
        <w:tc>
          <w:tcPr/>
          <w:p>
            <w:pPr>
              <w:pStyle w:val="Compact"/>
              <w:jc w:val="left"/>
            </w:pPr>
            <w:r>
              <w:t xml:space="preserve">Annual listing contribution by vessel class</w:t>
            </w:r>
          </w:p>
        </w:tc>
        <w:tc>
          <w:tcPr/>
          <w:p>
            <w:pPr>
              <w:pStyle w:val="Compact"/>
              <w:jc w:val="left"/>
            </w:pPr>
            <w:r>
              <w:t xml:space="preserve">22.4</w:t>
            </w:r>
          </w:p>
        </w:tc>
      </w:tr>
      <w:tr>
        <w:tc>
          <w:tcPr/>
          <w:p>
            <w:pPr>
              <w:pStyle w:val="Compact"/>
              <w:jc w:val="left"/>
            </w:pPr>
            <w:r>
              <w:t xml:space="preserve">Route Assurance Data Service</w:t>
            </w:r>
          </w:p>
        </w:tc>
        <w:tc>
          <w:tcPr/>
          <w:p>
            <w:pPr>
              <w:pStyle w:val="Compact"/>
              <w:jc w:val="left"/>
            </w:pPr>
            <w:r>
              <w:t xml:space="preserve">Insurers, clubs, charterers, energy desks</w:t>
            </w:r>
          </w:p>
        </w:tc>
        <w:tc>
          <w:tcPr/>
          <w:p>
            <w:pPr>
              <w:pStyle w:val="Compact"/>
              <w:jc w:val="left"/>
            </w:pPr>
            <w:r>
              <w:t xml:space="preserve">Subscription for route verification data</w:t>
            </w:r>
          </w:p>
        </w:tc>
        <w:tc>
          <w:tcPr/>
          <w:p>
            <w:pPr>
              <w:pStyle w:val="Compact"/>
              <w:jc w:val="left"/>
            </w:pPr>
            <w:r>
              <w:t xml:space="preserve">22.5</w:t>
            </w:r>
          </w:p>
        </w:tc>
      </w:tr>
      <w:tr>
        <w:tc>
          <w:tcPr/>
          <w:p>
            <w:pPr>
              <w:pStyle w:val="Compact"/>
              <w:jc w:val="left"/>
            </w:pPr>
            <w:r>
              <w:t xml:space="preserve">Transit User Contribution</w:t>
            </w:r>
          </w:p>
        </w:tc>
        <w:tc>
          <w:tcPr/>
          <w:p>
            <w:pPr>
              <w:pStyle w:val="Compact"/>
              <w:jc w:val="left"/>
            </w:pPr>
            <w:r>
              <w:t xml:space="preserve">Major user states</w:t>
            </w:r>
          </w:p>
        </w:tc>
        <w:tc>
          <w:tcPr/>
          <w:p>
            <w:pPr>
              <w:pStyle w:val="Compact"/>
              <w:jc w:val="left"/>
            </w:pPr>
            <w:r>
              <w:t xml:space="preserve">Annual contribution scaled by shipping tonnage and Gulf energy imports</w:t>
            </w:r>
          </w:p>
        </w:tc>
        <w:tc>
          <w:tcPr/>
          <w:p>
            <w:pPr>
              <w:pStyle w:val="Compact"/>
              <w:jc w:val="left"/>
            </w:pPr>
            <w:r>
              <w:t xml:space="preserve">22.6</w:t>
            </w:r>
          </w:p>
        </w:tc>
      </w:tr>
      <w:tr>
        <w:tc>
          <w:tcPr/>
          <w:p>
            <w:pPr>
              <w:pStyle w:val="Compact"/>
              <w:jc w:val="left"/>
            </w:pPr>
            <w:r>
              <w:t xml:space="preserve">Flag and industry contributions</w:t>
            </w:r>
          </w:p>
        </w:tc>
        <w:tc>
          <w:tcPr/>
          <w:p>
            <w:pPr>
              <w:pStyle w:val="Compact"/>
              <w:jc w:val="left"/>
            </w:pPr>
            <w:r>
              <w:t xml:space="preserve">Flag states and industry associations</w:t>
            </w:r>
          </w:p>
        </w:tc>
        <w:tc>
          <w:tcPr/>
          <w:p>
            <w:pPr>
              <w:pStyle w:val="Compact"/>
              <w:jc w:val="left"/>
            </w:pPr>
            <w:r>
              <w:t xml:space="preserve">Annual solidarity contribution, Malacca precedent</w:t>
            </w:r>
          </w:p>
        </w:tc>
        <w:tc>
          <w:tcPr/>
          <w:p>
            <w:pPr>
              <w:pStyle w:val="Compact"/>
              <w:jc w:val="left"/>
            </w:pPr>
            <w:r>
              <w:t xml:space="preserve">22.6</w:t>
            </w:r>
          </w:p>
        </w:tc>
      </w:tr>
      <w:tr>
        <w:tc>
          <w:tcPr/>
          <w:p>
            <w:pPr>
              <w:pStyle w:val="Compact"/>
              <w:jc w:val="left"/>
            </w:pPr>
            <w:r>
              <w:t xml:space="preserve">Port processing add-on</w:t>
            </w:r>
          </w:p>
        </w:tc>
        <w:tc>
          <w:tcPr/>
          <w:p>
            <w:pPr>
              <w:pStyle w:val="Compact"/>
              <w:jc w:val="left"/>
            </w:pPr>
            <w:r>
              <w:t xml:space="preserve">Origin and destination ports</w:t>
            </w:r>
          </w:p>
        </w:tc>
        <w:tc>
          <w:tcPr/>
          <w:p>
            <w:pPr>
              <w:pStyle w:val="Compact"/>
              <w:jc w:val="left"/>
            </w:pPr>
            <w:r>
              <w:t xml:space="preserve">Small documentation processing component on Gulf calls, collected at the port, never at the Strait</w:t>
            </w:r>
          </w:p>
        </w:tc>
        <w:tc>
          <w:tcPr/>
          <w:p>
            <w:pPr>
              <w:pStyle w:val="Compact"/>
              <w:jc w:val="left"/>
            </w:pPr>
            <w:r>
              <w:t xml:space="preserve">22.7</w:t>
            </w:r>
          </w:p>
        </w:tc>
      </w:tr>
      <w:tr>
        <w:tc>
          <w:tcPr/>
          <w:p>
            <w:pPr>
              <w:pStyle w:val="Compact"/>
              <w:jc w:val="left"/>
            </w:pPr>
            <w:r>
              <w:t xml:space="preserve">Voluntary service contributions</w:t>
            </w:r>
          </w:p>
        </w:tc>
        <w:tc>
          <w:tcPr/>
          <w:p>
            <w:pPr>
              <w:pStyle w:val="Compact"/>
              <w:jc w:val="left"/>
            </w:pPr>
            <w:r>
              <w:t xml:space="preserve">Vessels, operators, and user states</w:t>
            </w:r>
          </w:p>
        </w:tc>
        <w:tc>
          <w:tcPr/>
          <w:p>
            <w:pPr>
              <w:pStyle w:val="Compact"/>
              <w:jc w:val="left"/>
            </w:pPr>
            <w:r>
              <w:t xml:space="preserve">Optional service contribution for navigation safety, environmental protection, and search and rescue, on the Malacca model</w:t>
            </w:r>
          </w:p>
        </w:tc>
        <w:tc>
          <w:tcPr/>
          <w:p>
            <w:pPr>
              <w:pStyle w:val="Compact"/>
              <w:jc w:val="left"/>
            </w:pPr>
            <w:r>
              <w:t xml:space="preserve">22.8</w:t>
            </w:r>
          </w:p>
        </w:tc>
      </w:tr>
    </w:tbl>
    <w:p>
      <w:pPr>
        <w:pStyle w:val="BodyText"/>
      </w:pPr>
      <w:r>
        <w:t xml:space="preserve">20.2.2 Every channel shares one property: participation is voluntary in law and compelling in economics. The market, not the Charter, makes contribution attractive.</w:t>
      </w:r>
    </w:p>
    <w:bookmarkEnd w:id="175"/>
    <w:bookmarkEnd w:id="176"/>
    <w:bookmarkStart w:id="182" w:name="article-21-the-gulf-energy-corridor-fund"/>
    <w:p>
      <w:pPr>
        <w:pStyle w:val="Heading2"/>
      </w:pPr>
      <w:r>
        <w:t xml:space="preserve">Article 21: The Gulf Energy Corridor Fund</w:t>
      </w:r>
    </w:p>
    <w:bookmarkStart w:id="177" w:name="establishment-and-structure"/>
    <w:p>
      <w:pPr>
        <w:pStyle w:val="Heading3"/>
      </w:pPr>
      <w:r>
        <w:t xml:space="preserve">21.1 Establishment and Structure</w:t>
      </w:r>
    </w:p>
    <w:p>
      <w:pPr>
        <w:pStyle w:val="FirstParagraph"/>
      </w:pPr>
      <w:r>
        <w:t xml:space="preserve">21.1.1 The Participants establish the Gulf Energy Corridor Fund as the single financial engine of the architecture. The Fund holds a tripartite structure: the Trustee, the Administrator, and the Auditor. The Central Bank of Oman serves as Trustee, holding all Fund assets in segregated escrow accounts in Muscat under sovereign immunity protections. The Swiss fiduciary administrator serves as Administrator, operating the contribution and reimbursement machinery under the procedures of Annex E. An independent international audit firm, appointed by the Council on a rotating four-year mandate from the standing shortlist of Annex E, serves as Auditor. The Fund holds legal personality as a foundation under Swiss law, and its assets belong to the purposes of this Charter and to nothing else.</w:t>
      </w:r>
    </w:p>
    <w:bookmarkEnd w:id="177"/>
    <w:bookmarkStart w:id="178" w:name="what-the-fund-does"/>
    <w:p>
      <w:pPr>
        <w:pStyle w:val="Heading3"/>
      </w:pPr>
      <w:r>
        <w:t xml:space="preserve">21.2 What the Fund Does</w:t>
      </w:r>
    </w:p>
    <w:p>
      <w:pPr>
        <w:pStyle w:val="FirstParagraph"/>
      </w:pPr>
      <w:r>
        <w:t xml:space="preserve">21.2.1 The Fund receives contributions under Article 22, reimburses documented services under Article 22.3, finances the budget of the Authority under Article 24, maintains the operating reserve and the environmental response reserve of Annex E, and publishes every transaction on the Shared Dashboard. The Fund never receives a payment from a vessel as a condition of passage, and the Fund never pays a Participant except against an audited invoice for documented service or an approved budget line.</w:t>
      </w:r>
    </w:p>
    <w:bookmarkEnd w:id="178"/>
    <w:bookmarkStart w:id="179" w:name="flow-of-funds"/>
    <w:p>
      <w:pPr>
        <w:pStyle w:val="Heading3"/>
      </w:pPr>
      <w:r>
        <w:t xml:space="preserve">21.3 Flow of Funds</w:t>
      </w:r>
    </w:p>
    <w:p>
      <w:pPr>
        <w:pStyle w:val="FirstParagraph"/>
      </w:pPr>
      <w:r>
        <w:t xml:space="preserve">21.3.1 Money flows in one direction through a fixed circuit. Contributors pay the Fund against the published contribution schedule. Service providers, meaning the maritime administrations of the Littoral Parties, the GCC service entities, and approved contractors, invoice the Fund against the published rate schedule for documented, delivered services. The Auditor verifies delivery against the operational record. The Trustee pays verified invoices within thirty days of receipt. The residue accumulates in the reserves and in the budget. No flow runs from a ship to a state; every flow runs through the Fund, on an invoice, under audit.</w:t>
      </w:r>
    </w:p>
    <w:bookmarkEnd w:id="179"/>
    <w:bookmarkStart w:id="180" w:name="the-reserve-architecture"/>
    <w:p>
      <w:pPr>
        <w:pStyle w:val="Heading3"/>
      </w:pPr>
      <w:r>
        <w:t xml:space="preserve">21.4 The Reserve Architecture</w:t>
      </w:r>
    </w:p>
    <w:p>
      <w:pPr>
        <w:pStyle w:val="FirstParagraph"/>
      </w:pPr>
      <w:r>
        <w:t xml:space="preserve">21.4.1 The Fund maintains two reserves. The operating reserve holds six months of budgeted operating cost, insulating the corridor system from contribution cycles. The environmental response reserve holds the standing capacity of Article 29: pre-positioned response equipment contracts, salvage standby, and cleanup financing, sized at twenty million dollars and replenished from the budget. The reserves invest under the conservative mandate of Annex E, and investment income credits the Fund.</w:t>
      </w:r>
    </w:p>
    <w:bookmarkEnd w:id="180"/>
    <w:bookmarkStart w:id="181" w:name="the-escrow-fallback"/>
    <w:p>
      <w:pPr>
        <w:pStyle w:val="Heading3"/>
      </w:pPr>
      <w:r>
        <w:t xml:space="preserve">21.5 The Escrow Fallback</w:t>
      </w:r>
    </w:p>
    <w:p>
      <w:pPr>
        <w:pStyle w:val="FirstParagraph"/>
      </w:pPr>
      <w:r>
        <w:t xml:space="preserve">21.5.1 In the event that the Central Bank of Oman cannot perform its escrow functions for thirty consecutive days, the Swiss Administrator transfers escrow administration to the Bank for International Settlements in Basel. This transfer activates automatically, without requiring further consent from any Participant. The Bank for International Settlements assumes all escrow duties, including disbursement, reporting, and record-keeping, under the same transparency standards that govern the Omani escrow. The transfer reverses on the same automatic rule when the Central Bank of Oman resumes function for thirty consecutive days.</w:t>
      </w:r>
    </w:p>
    <w:bookmarkEnd w:id="181"/>
    <w:bookmarkEnd w:id="182"/>
    <w:bookmarkStart w:id="194" w:name="Xd8e071e88e3a1ff4c0a9f8dee89e6a6fed586fb"/>
    <w:p>
      <w:pPr>
        <w:pStyle w:val="Heading2"/>
      </w:pPr>
      <w:r>
        <w:t xml:space="preserve">Article 22: Contributions, Reimbursement, and Revenue Distribution</w:t>
      </w:r>
    </w:p>
    <w:bookmarkStart w:id="183" w:name="the-assessment-formula"/>
    <w:p>
      <w:pPr>
        <w:pStyle w:val="Heading3"/>
      </w:pPr>
      <w:r>
        <w:t xml:space="preserve">22.1 The Assessment Formula</w:t>
      </w:r>
    </w:p>
    <w:p>
      <w:pPr>
        <w:pStyle w:val="FirstParagraph"/>
      </w:pPr>
      <w:r>
        <w:t xml:space="preserve">22.1.1 The Administrator calculates each contributor’s annual assessment by formula: the contributor’s share of aggregate annual tonnage transiting the corridor system, measured by the Center’s traffic record, multiplied by the annual funding target the Council adopts in the budget. The formula prices the service infrastructure, not the passage: an identical transit record produces an identical assessment for every contributor, and a contributor that never transits pays nothing. The formula never touches a vessel at the Strait; assessment and collection run on annual cycles at the level of states, associations, and consortia.</w:t>
      </w:r>
    </w:p>
    <w:bookmarkEnd w:id="183"/>
    <w:bookmarkStart w:id="184" w:name="the-services-catalog"/>
    <w:p>
      <w:pPr>
        <w:pStyle w:val="Heading3"/>
      </w:pPr>
      <w:r>
        <w:t xml:space="preserve">22.2 The Services Catalog</w:t>
      </w:r>
    </w:p>
    <w:p>
      <w:pPr>
        <w:pStyle w:val="FirstParagraph"/>
      </w:pPr>
      <w:r>
        <w:t xml:space="preserve">22.2.1 Annex D fixes the Verified Services Catalog: the complete list of services the Participants deliver through the architecture, each with a definition, a delivery standard, a documentation requirement, and a pre-published unit rate. The catalog divides into standing services, which the system delivers continuously to the shipping community as a whole, and requested services, which a vessel or operator orders for itself. Standing services include vessel traffic service operation, aids to navigation, hydrographic survey and chart maintenance, environmental monitoring, search and rescue standby, and the monitoring and reporting architecture. Requested services include pilotage, tug assistance, scheduled escort, dedicated traffic information products, certification products, and data subscriptions.</w:t>
      </w:r>
    </w:p>
    <w:bookmarkEnd w:id="184"/>
    <w:bookmarkStart w:id="185" w:name="the-reimbursement-cycle"/>
    <w:p>
      <w:pPr>
        <w:pStyle w:val="Heading3"/>
      </w:pPr>
      <w:r>
        <w:t xml:space="preserve">22.3 The Reimbursement Cycle</w:t>
      </w:r>
    </w:p>
    <w:p>
      <w:pPr>
        <w:pStyle w:val="FirstParagraph"/>
      </w:pPr>
      <w:r>
        <w:t xml:space="preserve">22.3.1 Reimbursement runs on a quarterly cycle. Each service provider submits its invoice to the Administrator against the operational record: watch logs, vessel traffic service session records, pilotage and tug delivery records signed by the receiving master, patrol and escort logs, survey reports, and monitoring data. The Administrator reconciles every invoice line against the Center’s records. The Auditor verifies a full sample under the audit standard of Annex E. The Trustee pays verified invoices within thirty days of receipt. The dashboard publishes every invoice, every reconciliation, and every payment.</w:t>
      </w:r>
    </w:p>
    <w:bookmarkEnd w:id="185"/>
    <w:bookmarkStart w:id="186" w:name="the-safe-registry"/>
    <w:p>
      <w:pPr>
        <w:pStyle w:val="Heading3"/>
      </w:pPr>
      <w:r>
        <w:t xml:space="preserve">22.4 The Safe Registry</w:t>
      </w:r>
    </w:p>
    <w:p>
      <w:pPr>
        <w:pStyle w:val="FirstParagraph"/>
      </w:pPr>
      <w:r>
        <w:t xml:space="preserve">22.4.1 The Authority maintains the Gulf Energy Corridor Safe Registry as the public record of participation. Registration is open to every vessel, operator, insurer, and flag state, costs nothing beyond the underlying contribution of the participant, and confers three documentary benefits: the vessel’s transit records carry a registry certificate recognized by subscribers to the Route Assurance Data Service; the operator’s vessels receive priority access to the catalog’s discretionary services, such as scheduled escort and dedicated pilotage windows; and the flag state’s vessels appear on the published participation roll.</w:t>
      </w:r>
    </w:p>
    <w:p>
      <w:pPr>
        <w:pStyle w:val="BodyText"/>
      </w:pPr>
      <w:r>
        <w:t xml:space="preserve">22.4.2 The Registry sorts by participation, never by politics, and it alters no transit right of any vessel. The Registry confers no transit priority, no faster record processing, and no lane preference. It exists solely for documentary and insurance purposes, and every vessel, registered or not, receives identical safety services and identical transit treatment. The market consequence of non-registration is the market’s own: insurers and charterers price documented, certified, registry-verified transit more favorably than undocumented transit, and the architecture simply makes the documentation available.</w:t>
      </w:r>
    </w:p>
    <w:bookmarkEnd w:id="186"/>
    <w:bookmarkStart w:id="187" w:name="the-route-assurance-data-service"/>
    <w:p>
      <w:pPr>
        <w:pStyle w:val="Heading3"/>
      </w:pPr>
      <w:r>
        <w:t xml:space="preserve">22.5 The Route Assurance Data Service</w:t>
      </w:r>
    </w:p>
    <w:p>
      <w:pPr>
        <w:pStyle w:val="FirstParagraph"/>
      </w:pPr>
      <w:r>
        <w:t xml:space="preserve">22.5.1 The Fund operates the Route Assurance Data Service as a subscription product for insurers, protection and indemnity clubs, charterers, and energy desks. The product packages the verified transit record, the incident statistics, the corridor status history, and the audit certificates into actuarial-grade data feeds. Annex D fixes the subscription bands and prices. Subscription revenue credits the Fund, and the product’s existence accelerates the insurance convergence objective of Article 10.4.</w:t>
      </w:r>
    </w:p>
    <w:bookmarkEnd w:id="187"/>
    <w:bookmarkStart w:id="188" w:name="state-and-industry-contributions"/>
    <w:p>
      <w:pPr>
        <w:pStyle w:val="Heading3"/>
      </w:pPr>
      <w:r>
        <w:t xml:space="preserve">22.6 State and Industry Contributions</w:t>
      </w:r>
    </w:p>
    <w:p>
      <w:pPr>
        <w:pStyle w:val="FirstParagraph"/>
      </w:pPr>
      <w:r>
        <w:t xml:space="preserve">22.6.1 Major user states contribute annually under the Transit User Contribution, scaled by their shipping tonnage and their Gulf energy imports, on the cooperative precedent of the user-state arrangements of other major straits. Flag states and industry associations contribute annually as solidarity contributions of the Malacca type. Multi-year participation agreements smooth revenue, and the Stakeholder Panel reviews and publishes fulfillment rates annually.</w:t>
      </w:r>
    </w:p>
    <w:bookmarkEnd w:id="188"/>
    <w:bookmarkStart w:id="189" w:name="the-port-processing-add-on"/>
    <w:p>
      <w:pPr>
        <w:pStyle w:val="Heading3"/>
      </w:pPr>
      <w:r>
        <w:t xml:space="preserve">22.7 The Port Processing Add-On</w:t>
      </w:r>
    </w:p>
    <w:p>
      <w:pPr>
        <w:pStyle w:val="FirstParagraph"/>
      </w:pPr>
      <w:r>
        <w:t xml:space="preserve">22.7.1 Origin and destination ports participating in the Charter collect a small documentation processing component on Gulf calls, fixed in Annex D, and remit it to the Fund. The component attaches to port documentation at the port of loading or discharge, never to transit at the Strait, and it applies identically at every participating port inside and outside the Gulf.</w:t>
      </w:r>
    </w:p>
    <w:bookmarkEnd w:id="189"/>
    <w:bookmarkStart w:id="190" w:name="voluntary-service-contributions"/>
    <w:p>
      <w:pPr>
        <w:pStyle w:val="Heading3"/>
      </w:pPr>
      <w:r>
        <w:t xml:space="preserve">22.8 Voluntary Service Contributions</w:t>
      </w:r>
    </w:p>
    <w:p>
      <w:pPr>
        <w:pStyle w:val="FirstParagraph"/>
      </w:pPr>
      <w:r>
        <w:t xml:space="preserve">22.8.1 A vessel, an operator, or a user state contributes voluntarily to the named service lines of navigation safety, environmental protection, and search and rescue, on the cooperative model of the Strait of Malacca. Each contribution remains optional, attaches to no transit, and receives a Contribution Certificate that carries the documentary benefits of the Safe Registry. A vessel that contributes nothing transits freely on identical terms.</w:t>
      </w:r>
    </w:p>
    <w:bookmarkEnd w:id="190"/>
    <w:bookmarkStart w:id="191" w:name="revenue-distribution"/>
    <w:p>
      <w:pPr>
        <w:pStyle w:val="Heading3"/>
      </w:pPr>
      <w:r>
        <w:t xml:space="preserve">22.9 Revenue Distribution</w:t>
      </w:r>
    </w:p>
    <w:p>
      <w:pPr>
        <w:pStyle w:val="FirstParagraph"/>
      </w:pPr>
      <w:r>
        <w:t xml:space="preserve">22.9.1 The Fund distributes net service revenue monthly according to the delivery-verified apportionment of this section. The standing design target of the architecture tracks actual delivery, audited annually, within a floor and ceiling band for each recipient across any rolling four-quarter window.</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Recipient</w:t>
            </w:r>
          </w:p>
        </w:tc>
        <w:tc>
          <w:tcPr/>
          <w:p>
            <w:pPr>
              <w:pStyle w:val="Compact"/>
              <w:jc w:val="left"/>
            </w:pPr>
            <w:r>
              <w:t xml:space="preserve">Design Target</w:t>
            </w:r>
          </w:p>
        </w:tc>
        <w:tc>
          <w:tcPr/>
          <w:p>
            <w:pPr>
              <w:pStyle w:val="Compact"/>
              <w:jc w:val="left"/>
            </w:pPr>
            <w:r>
              <w:t xml:space="preserve">Band</w:t>
            </w:r>
          </w:p>
        </w:tc>
        <w:tc>
          <w:tcPr/>
          <w:p>
            <w:pPr>
              <w:pStyle w:val="Compact"/>
              <w:jc w:val="left"/>
            </w:pPr>
            <w:r>
              <w:t xml:space="preserve">Basis</w:t>
            </w:r>
          </w:p>
        </w:tc>
      </w:tr>
      <w:tr>
        <w:tc>
          <w:tcPr/>
          <w:p>
            <w:pPr>
              <w:pStyle w:val="Compact"/>
              <w:jc w:val="left"/>
            </w:pPr>
            <w:r>
              <w:t xml:space="preserve">Islamic Republic of Iran</w:t>
            </w:r>
          </w:p>
        </w:tc>
        <w:tc>
          <w:tcPr/>
          <w:p>
            <w:pPr>
              <w:pStyle w:val="Compact"/>
              <w:jc w:val="left"/>
            </w:pPr>
            <w:r>
              <w:t xml:space="preserve">42 percent</w:t>
            </w:r>
          </w:p>
        </w:tc>
        <w:tc>
          <w:tcPr/>
          <w:p>
            <w:pPr>
              <w:pStyle w:val="Compact"/>
              <w:jc w:val="left"/>
            </w:pPr>
            <w:r>
              <w:t xml:space="preserve">35 to 50 percent</w:t>
            </w:r>
          </w:p>
        </w:tc>
        <w:tc>
          <w:tcPr/>
          <w:p>
            <w:pPr>
              <w:pStyle w:val="Compact"/>
              <w:jc w:val="left"/>
            </w:pPr>
            <w:r>
              <w:t xml:space="preserve">Verified Inbound Corridor services, northern survey and patrol delivery</w:t>
            </w:r>
          </w:p>
        </w:tc>
      </w:tr>
      <w:tr>
        <w:tc>
          <w:tcPr/>
          <w:p>
            <w:pPr>
              <w:pStyle w:val="Compact"/>
              <w:jc w:val="left"/>
            </w:pPr>
            <w:r>
              <w:t xml:space="preserve">Sultanate of Oman</w:t>
            </w:r>
          </w:p>
        </w:tc>
        <w:tc>
          <w:tcPr/>
          <w:p>
            <w:pPr>
              <w:pStyle w:val="Compact"/>
              <w:jc w:val="left"/>
            </w:pPr>
            <w:r>
              <w:t xml:space="preserve">33 percent</w:t>
            </w:r>
          </w:p>
        </w:tc>
        <w:tc>
          <w:tcPr/>
          <w:p>
            <w:pPr>
              <w:pStyle w:val="Compact"/>
              <w:jc w:val="left"/>
            </w:pPr>
            <w:r>
              <w:t xml:space="preserve">28 to 40 percent</w:t>
            </w:r>
          </w:p>
        </w:tc>
        <w:tc>
          <w:tcPr/>
          <w:p>
            <w:pPr>
              <w:pStyle w:val="Compact"/>
              <w:jc w:val="left"/>
            </w:pPr>
            <w:r>
              <w:t xml:space="preserve">Verified Outbound Corridor services, Center hosting, escrow administration</w:t>
            </w:r>
          </w:p>
        </w:tc>
      </w:tr>
      <w:tr>
        <w:tc>
          <w:tcPr/>
          <w:p>
            <w:pPr>
              <w:pStyle w:val="Compact"/>
              <w:jc w:val="left"/>
            </w:pPr>
            <w:r>
              <w:t xml:space="preserve">GCC service entities</w:t>
            </w:r>
          </w:p>
        </w:tc>
        <w:tc>
          <w:tcPr/>
          <w:p>
            <w:pPr>
              <w:pStyle w:val="Compact"/>
              <w:jc w:val="left"/>
            </w:pPr>
            <w:r>
              <w:t xml:space="preserve">10 percent</w:t>
            </w:r>
          </w:p>
        </w:tc>
        <w:tc>
          <w:tcPr/>
          <w:p>
            <w:pPr>
              <w:pStyle w:val="Compact"/>
              <w:jc w:val="left"/>
            </w:pPr>
            <w:r>
              <w:t xml:space="preserve">8 to 14 percent</w:t>
            </w:r>
          </w:p>
        </w:tc>
        <w:tc>
          <w:tcPr/>
          <w:p>
            <w:pPr>
              <w:pStyle w:val="Compact"/>
              <w:jc w:val="left"/>
            </w:pPr>
            <w:r>
              <w:t xml:space="preserve">Verified southern approach services, emergency response delivery</w:t>
            </w:r>
          </w:p>
        </w:tc>
      </w:tr>
      <w:tr>
        <w:tc>
          <w:tcPr/>
          <w:p>
            <w:pPr>
              <w:pStyle w:val="Compact"/>
              <w:jc w:val="left"/>
            </w:pPr>
            <w:r>
              <w:t xml:space="preserve">Reserve architecture</w:t>
            </w:r>
          </w:p>
        </w:tc>
        <w:tc>
          <w:tcPr/>
          <w:p>
            <w:pPr>
              <w:pStyle w:val="Compact"/>
              <w:jc w:val="left"/>
            </w:pPr>
            <w:r>
              <w:t xml:space="preserve">10 percent</w:t>
            </w:r>
          </w:p>
        </w:tc>
        <w:tc>
          <w:tcPr/>
          <w:p>
            <w:pPr>
              <w:pStyle w:val="Compact"/>
              <w:jc w:val="left"/>
            </w:pPr>
            <w:r>
              <w:t xml:space="preserve">Fixed</w:t>
            </w:r>
          </w:p>
        </w:tc>
        <w:tc>
          <w:tcPr/>
          <w:p>
            <w:pPr>
              <w:pStyle w:val="Compact"/>
              <w:jc w:val="left"/>
            </w:pPr>
            <w:r>
              <w:t xml:space="preserve">Operating and environmental reserves under Article 21.4</w:t>
            </w:r>
          </w:p>
        </w:tc>
      </w:tr>
      <w:tr>
        <w:tc>
          <w:tcPr/>
          <w:p>
            <w:pPr>
              <w:pStyle w:val="Compact"/>
              <w:jc w:val="left"/>
            </w:pPr>
            <w:r>
              <w:t xml:space="preserve">Authority operations</w:t>
            </w:r>
          </w:p>
        </w:tc>
        <w:tc>
          <w:tcPr/>
          <w:p>
            <w:pPr>
              <w:pStyle w:val="Compact"/>
              <w:jc w:val="left"/>
            </w:pPr>
            <w:r>
              <w:t xml:space="preserve">5 percent</w:t>
            </w:r>
          </w:p>
        </w:tc>
        <w:tc>
          <w:tcPr/>
          <w:p>
            <w:pPr>
              <w:pStyle w:val="Compact"/>
              <w:jc w:val="left"/>
            </w:pPr>
            <w:r>
              <w:t xml:space="preserve">Fixed</w:t>
            </w:r>
          </w:p>
        </w:tc>
        <w:tc>
          <w:tcPr/>
          <w:p>
            <w:pPr>
              <w:pStyle w:val="Compact"/>
              <w:jc w:val="left"/>
            </w:pPr>
            <w:r>
              <w:t xml:space="preserve">Budget line under Article 24</w:t>
            </w:r>
          </w:p>
        </w:tc>
      </w:tr>
    </w:tbl>
    <w:p>
      <w:pPr>
        <w:pStyle w:val="BodyText"/>
      </w:pPr>
      <w:r>
        <w:t xml:space="preserve">22.9.2 The Administrator executes distributions automatically on the fifth day of each month, based on the previous month’s verified service record. Where delivery falls outside a band, the budget of the following year reassigns functions to restore balance, so that the service-providing states build, staff, and earn from the architecture on terms of verified proportionality over time.</w:t>
      </w:r>
    </w:p>
    <w:bookmarkEnd w:id="191"/>
    <w:bookmarkStart w:id="192" w:name="rate-setting"/>
    <w:p>
      <w:pPr>
        <w:pStyle w:val="Heading3"/>
      </w:pPr>
      <w:r>
        <w:t xml:space="preserve">22.10 Rate Setting</w:t>
      </w:r>
    </w:p>
    <w:p>
      <w:pPr>
        <w:pStyle w:val="FirstParagraph"/>
      </w:pPr>
      <w:r>
        <w:t xml:space="preserve">22.10.1 The Council adopts the rate schedule annually, on the proposal of the Executive Directorate, the review of the Stakeholder Panel, and the benchmarking study of Annex D, which compares every rate against equivalent services in comparable waterways. Rates price cost recovery with a capped margin of ten percent, and the margin funds the reserve architecture. A rate never prices the passage of any vessel, and a rate never varies by flag, cargo origin, or political relationship. Rate disputes route to the dispute ladder of Article 38, and the existing rate governs by default until resolution, consistent with the no-fade rule.</w:t>
      </w:r>
    </w:p>
    <w:bookmarkEnd w:id="192"/>
    <w:bookmarkStart w:id="193" w:name="no-double-recovery"/>
    <w:p>
      <w:pPr>
        <w:pStyle w:val="Heading3"/>
      </w:pPr>
      <w:r>
        <w:t xml:space="preserve">22.11 No Double Recovery</w:t>
      </w:r>
    </w:p>
    <w:p>
      <w:pPr>
        <w:pStyle w:val="FirstParagraph"/>
      </w:pPr>
      <w:r>
        <w:t xml:space="preserve">22.11.1 A service reimbursed by the Fund carries no further charge to any vessel, state, or interest. A requested service invoiced to the requester carries no claim on the Fund. The Auditor tests every payment against the double-recovery rule, and a substantiated double recovery recoups with interest and classifies as a compliance event under Article 37.</w:t>
      </w:r>
    </w:p>
    <w:bookmarkEnd w:id="193"/>
    <w:bookmarkEnd w:id="194"/>
    <w:bookmarkStart w:id="200" w:name="X5a7b5026f49f7f35dd5af624ad88ce2cab91051"/>
    <w:p>
      <w:pPr>
        <w:pStyle w:val="Heading2"/>
      </w:pPr>
      <w:r>
        <w:t xml:space="preserve">Article 23: The Sanctions-Compatible Payment Channel</w:t>
      </w:r>
    </w:p>
    <w:bookmarkStart w:id="195" w:name="design-objective"/>
    <w:p>
      <w:pPr>
        <w:pStyle w:val="Heading3"/>
      </w:pPr>
      <w:r>
        <w:t xml:space="preserve">23.1 Design Objective</w:t>
      </w:r>
    </w:p>
    <w:p>
      <w:pPr>
        <w:pStyle w:val="FirstParagraph"/>
      </w:pPr>
      <w:r>
        <w:t xml:space="preserve">23.1.1 The Participants design the financial architecture to sit outside every sanctions trigger known to them at the time of drafting, and they maintain the firewall as a standing obligation. The channel allows every contribution to arrive and every reimbursement to flow even during periods of acute political crisis between any Participants, so that the corridor system never stops for financial reasons.</w:t>
      </w:r>
    </w:p>
    <w:bookmarkEnd w:id="195"/>
    <w:bookmarkStart w:id="196" w:name="the-five-structural-features"/>
    <w:p>
      <w:pPr>
        <w:pStyle w:val="Heading3"/>
      </w:pPr>
      <w:r>
        <w:t xml:space="preserve">23.2 The Five Structural Features</w:t>
      </w:r>
    </w:p>
    <w:p>
      <w:pPr>
        <w:pStyle w:val="FirstParagraph"/>
      </w:pPr>
      <w:r>
        <w:t xml:space="preserve">23.2.1 First, no vessel and no contributor pays any Participant: all payments flow to the Fund, a Swiss-law foundation administered for defined international purposes. Second, the Fund pays only against audited invoices for documented services, a flow that qualifies as reimbursement rather than revenue to a state. Third, the Trustee, the Administrator, and the Auditor stand as independent institutions between contributor and service provider, so no contributor transacts with any Participant. Fourth, the corridor system’s coordination with vessels is informational, and no participant receives a service of safe passage from any state entity. Fifth, the Administrator maintains a compliance review desk that screens every payment flow against the sanctions instruments listed in the register of Annex E, obtains external legal opinions annually, and publishes the firewall certificate with each annual audit.</w:t>
      </w:r>
    </w:p>
    <w:bookmarkEnd w:id="196"/>
    <w:bookmarkStart w:id="197" w:name="the-global-compliance-firewall"/>
    <w:p>
      <w:pPr>
        <w:pStyle w:val="Heading3"/>
      </w:pPr>
      <w:r>
        <w:t xml:space="preserve">23.3 The Global Compliance Firewall</w:t>
      </w:r>
    </w:p>
    <w:p>
      <w:pPr>
        <w:pStyle w:val="FirstParagraph"/>
      </w:pPr>
      <w:r>
        <w:t xml:space="preserve">23.3.1 The framework architecture prohibits any Participant from imposing, enforcing, or threatening any financial sanction, penalty, designation, or restriction against the Fund, its Trustee, its Administrator, its Auditor, its escrow accounts, or any entity contracting with the Fund for services rendered under this Charter.</w:t>
      </w:r>
    </w:p>
    <w:p>
      <w:pPr>
        <w:pStyle w:val="BodyText"/>
      </w:pPr>
      <w:r>
        <w:t xml:space="preserve">23.3.2 The framework architecture prohibits any Participant from denying, or threatening to deny, correspondent banking services or access to the international financial system to any entity solely on the basis of its contractual relationship with the Fund.</w:t>
      </w:r>
    </w:p>
    <w:p>
      <w:pPr>
        <w:pStyle w:val="BodyText"/>
      </w:pPr>
      <w:r>
        <w:t xml:space="preserve">23.3.3 Any action prohibited by this section classifies as a Tier 3 event and triggers automatic freeze of the acting Participant’s distributions and Council voting rights until the action fully reverses.</w:t>
      </w:r>
    </w:p>
    <w:bookmarkEnd w:id="197"/>
    <w:bookmarkStart w:id="198" w:name="adjustment-to-legal-change"/>
    <w:p>
      <w:pPr>
        <w:pStyle w:val="Heading3"/>
      </w:pPr>
      <w:r>
        <w:t xml:space="preserve">23.4 Adjustment to Legal Change</w:t>
      </w:r>
    </w:p>
    <w:p>
      <w:pPr>
        <w:pStyle w:val="FirstParagraph"/>
      </w:pPr>
      <w:r>
        <w:t xml:space="preserve">23.4.1 The sanctions landscape shifts, and the firewall shifts with it. The compliance review desk tracks changes to the registered instruments, the Joint Technical Committee reviews the firewall against each change within thirty days, and the Council adopts structural adjustments that preserve both the settlement of the toll question and the firewall’s integrity. Under the no-fade rule, an adjustment accumulates into the architecture without resetting any certification, and the adjustment record publishes in full.</w:t>
      </w:r>
    </w:p>
    <w:bookmarkEnd w:id="198"/>
    <w:bookmarkStart w:id="199" w:name="the-humanitarian-carve-out"/>
    <w:p>
      <w:pPr>
        <w:pStyle w:val="Heading3"/>
      </w:pPr>
      <w:r>
        <w:t xml:space="preserve">23.5 The Humanitarian Carve-Out</w:t>
      </w:r>
    </w:p>
    <w:p>
      <w:pPr>
        <w:pStyle w:val="FirstParagraph"/>
      </w:pPr>
      <w:r>
        <w:t xml:space="preserve">23.5.1 The payment channel treats humanitarian flows as sacred. Payments for food, medicine, medical equipment, and the services of Class H vessels move through the channel on a fast track of forty-eight hours, under the standing general permissions of Annex E, and no review, dispute, or step-back measure touches them.</w:t>
      </w:r>
    </w:p>
    <w:bookmarkEnd w:id="199"/>
    <w:bookmarkEnd w:id="200"/>
    <w:bookmarkStart w:id="205" w:name="Xdaca201fd0a932ebb38ed8ccd2d4b90e4b73bb6"/>
    <w:p>
      <w:pPr>
        <w:pStyle w:val="Heading2"/>
      </w:pPr>
      <w:r>
        <w:t xml:space="preserve">Article 24: Budget, Audit, and Cost Discipline</w:t>
      </w:r>
    </w:p>
    <w:bookmarkStart w:id="201" w:name="the-annual-envelope"/>
    <w:p>
      <w:pPr>
        <w:pStyle w:val="Heading3"/>
      </w:pPr>
      <w:r>
        <w:t xml:space="preserve">24.1 The Annual Envelope</w:t>
      </w:r>
    </w:p>
    <w:p>
      <w:pPr>
        <w:pStyle w:val="FirstParagraph"/>
      </w:pPr>
      <w:r>
        <w:t xml:space="preserve">24.1.1 The Executive Directorate prepares the annual budget of the Authority, the Council adopts it within the envelope formula of this Article, and the Fund finances it. The founding envelope stands at ninety-five million dollars per year, indexed to the audited cost record, and Annex N carries the founding three-year budget and the cost-effectiveness assessment of the whole architecture.</w:t>
      </w:r>
    </w:p>
    <w:bookmarkEnd w:id="201"/>
    <w:bookmarkStart w:id="202" w:name="cost-discipline-rules"/>
    <w:p>
      <w:pPr>
        <w:pStyle w:val="Heading3"/>
      </w:pPr>
      <w:r>
        <w:t xml:space="preserve">24.2 Cost Discipline Rules</w:t>
      </w:r>
    </w:p>
    <w:p>
      <w:pPr>
        <w:pStyle w:val="FirstParagraph"/>
      </w:pPr>
      <w:r>
        <w:t xml:space="preserve">24.2.1 Every budget line names the shared asset it uses or the reason no shared asset suffices. The Participants share watch floors, patrol schedules, survey assets, training pipelines, and data feeds before procuring duplicates. The Joint Technical Committee audits the duplication record annually, and the audit names every duplicated asset and its cost.</w:t>
      </w:r>
    </w:p>
    <w:bookmarkEnd w:id="202"/>
    <w:bookmarkStart w:id="203" w:name="the-audit-architecture"/>
    <w:p>
      <w:pPr>
        <w:pStyle w:val="Heading3"/>
      </w:pPr>
      <w:r>
        <w:t xml:space="preserve">24.3 The Audit Architecture</w:t>
      </w:r>
    </w:p>
    <w:p>
      <w:pPr>
        <w:pStyle w:val="FirstParagraph"/>
      </w:pPr>
      <w:r>
        <w:t xml:space="preserve">24.3.1 Three audit layers protect the Fund. The Administrator reconciles every transaction against operational records in real time. The Auditor conducts quarterly verification audits and the annual systems audit, with unrestricted access to the books of the Fund, the invoices of the service providers, and the operational records of the Center. The Stakeholder Panel receives the audit certificates and the summary accounts each year. Audit findings publish on the Shared Dashboard in full, with the sole redaction of personal data and commercially sensitive contract pricing between the Fund and private contractors.</w:t>
      </w:r>
    </w:p>
    <w:bookmarkEnd w:id="203"/>
    <w:bookmarkStart w:id="204" w:name="the-transparency-record"/>
    <w:p>
      <w:pPr>
        <w:pStyle w:val="Heading3"/>
      </w:pPr>
      <w:r>
        <w:t xml:space="preserve">24.4 The Transparency Record</w:t>
      </w:r>
    </w:p>
    <w:p>
      <w:pPr>
        <w:pStyle w:val="FirstParagraph"/>
      </w:pPr>
      <w:r>
        <w:t xml:space="preserve">24.4.1 The dashboard carries the live financial telemetry of the architecture: contribution receipts by stream, invoice submissions and their reconciliation status, payments by category, reserve balances, and the fulfillment standing of every participant. Every entry carries a cryptographic timestamp, and the record retains for seven years under the data custody rule of Article 14.5. Transparency operates as the architecture’s own enforcement: a system this visible disciplines itself.</w:t>
      </w:r>
    </w:p>
    <w:bookmarkEnd w:id="204"/>
    <w:bookmarkEnd w:id="205"/>
    <w:bookmarkEnd w:id="206"/>
    <w:bookmarkStart w:id="242" w:name="X7b0e68c8d7777dda5f95a967b9f37662bbc4532"/>
    <w:p>
      <w:pPr>
        <w:pStyle w:val="Heading1"/>
      </w:pPr>
      <w:r>
        <w:t xml:space="preserve">Part V: Safety, Security, and Environmental Protection</w:t>
      </w:r>
    </w:p>
    <w:bookmarkStart w:id="211" w:name="Xe2c898ea430d2305302c1817154cc5b948a6295"/>
    <w:p>
      <w:pPr>
        <w:pStyle w:val="Heading2"/>
      </w:pPr>
      <w:r>
        <w:t xml:space="preserve">Article 25: Verification Philosophy: The Human Anchor Method</w:t>
      </w:r>
    </w:p>
    <w:bookmarkStart w:id="207" w:name="layered-inputs"/>
    <w:p>
      <w:pPr>
        <w:pStyle w:val="Heading3"/>
      </w:pPr>
      <w:r>
        <w:t xml:space="preserve">25.1 Layered Inputs</w:t>
      </w:r>
    </w:p>
    <w:p>
      <w:pPr>
        <w:pStyle w:val="FirstParagraph"/>
      </w:pPr>
      <w:r>
        <w:t xml:space="preserve">25.1.1 The Charter verifies through five coequal layers: human observation by embarked observers and watch officers; scheduled voice reporting by masters; coastal radar and visual patrol confirmation; satellite identification and imagery data; and documentary records of ports, pilots, and service delivery. No layer outranks another, and no compliance determination rests on a single layer.</w:t>
      </w:r>
    </w:p>
    <w:bookmarkEnd w:id="207"/>
    <w:bookmarkStart w:id="208" w:name="the-convergence-standard"/>
    <w:p>
      <w:pPr>
        <w:pStyle w:val="Heading3"/>
      </w:pPr>
      <w:r>
        <w:t xml:space="preserve">25.2 The Convergence Standard</w:t>
      </w:r>
    </w:p>
    <w:p>
      <w:pPr>
        <w:pStyle w:val="FirstParagraph"/>
      </w:pPr>
      <w:r>
        <w:t xml:space="preserve">25.2.1 The verification architecture considers a fact established when data from at least two independent inputs agree within the measurement tolerance defined for each metric in Annex L. Independence requires that the two inputs do not share: sensor platform; data fusion algorithm; national origin of operator; or communication backbone. The verification office maintains a published registry of approved input pairings and reviews it quarterly.</w:t>
      </w:r>
    </w:p>
    <w:p>
      <w:pPr>
        <w:pStyle w:val="BodyText"/>
      </w:pPr>
      <w:r>
        <w:t xml:space="preserve">25.2.2 A single-input finding receives provisional status pending corroboration. The compliance engine does not trigger consequences on provisional findings alone. Unverified transits count neither as successful transits nor as failed transits unless corroborated evidence resolves them.</w:t>
      </w:r>
    </w:p>
    <w:bookmarkEnd w:id="208"/>
    <w:bookmarkStart w:id="209" w:name="human-in-the-loop"/>
    <w:p>
      <w:pPr>
        <w:pStyle w:val="Heading3"/>
      </w:pPr>
      <w:r>
        <w:t xml:space="preserve">25.3 Human-in-the-Loop</w:t>
      </w:r>
    </w:p>
    <w:p>
      <w:pPr>
        <w:pStyle w:val="FirstParagraph"/>
      </w:pPr>
      <w:r>
        <w:t xml:space="preserve">25.3.1 Human judgment sits between every sensor and every consequence. Every automated alert routes to a duty analyst before any classification, and every classification above Tier 1 routes to the Council review layer of Article 36.4 before any consequence executes. The architecture automates detection and publishes everything; it never automates judgment.</w:t>
      </w:r>
    </w:p>
    <w:bookmarkEnd w:id="209"/>
    <w:bookmarkStart w:id="210" w:name="data-sovereignty"/>
    <w:p>
      <w:pPr>
        <w:pStyle w:val="Heading3"/>
      </w:pPr>
      <w:r>
        <w:t xml:space="preserve">25.4 Data Sovereignty</w:t>
      </w:r>
    </w:p>
    <w:p>
      <w:pPr>
        <w:pStyle w:val="FirstParagraph"/>
      </w:pPr>
      <w:r>
        <w:t xml:space="preserve">25.4.1 Charter data belongs to the Participants collectively under Article 14.6. Verification data carries the same prohibited-use rules: safety, deconfliction, compliance, investigation, audit, and statistics, and nothing else.</w:t>
      </w:r>
    </w:p>
    <w:bookmarkEnd w:id="210"/>
    <w:bookmarkEnd w:id="211"/>
    <w:bookmarkStart w:id="214" w:name="Xebcbf96f3eb65de7b9bdb55189ae8e774b1b0d1"/>
    <w:p>
      <w:pPr>
        <w:pStyle w:val="Heading2"/>
      </w:pPr>
      <w:r>
        <w:t xml:space="preserve">Article 26: The Joint Emergency Response Cell</w:t>
      </w:r>
    </w:p>
    <w:bookmarkStart w:id="212" w:name="establishment-1"/>
    <w:p>
      <w:pPr>
        <w:pStyle w:val="Heading3"/>
      </w:pPr>
      <w:r>
        <w:t xml:space="preserve">26.1 Establishment</w:t>
      </w:r>
    </w:p>
    <w:p>
      <w:pPr>
        <w:pStyle w:val="FirstParagraph"/>
      </w:pPr>
      <w:r>
        <w:t xml:space="preserve">26.1.1 A Joint Emergency Response Cell operates within the Center in Muscat, staffed twenty-four hours per day, seven days per week, by liaison officers of the Littoral Parties and the Regional Participants. The Cell coordinates responses to groundings, mechanical failures, fires, pollution events, and medical emergencies involving vessels in the Operating Area, and it maintains direct communication links to all port authorities, coast guard stations, and naval liaison desks in the region.</w:t>
      </w:r>
    </w:p>
    <w:bookmarkEnd w:id="212"/>
    <w:bookmarkStart w:id="213" w:name="functions"/>
    <w:p>
      <w:pPr>
        <w:pStyle w:val="Heading3"/>
      </w:pPr>
      <w:r>
        <w:t xml:space="preserve">26.2 Functions</w:t>
      </w:r>
    </w:p>
    <w:p>
      <w:pPr>
        <w:pStyle w:val="FirstParagraph"/>
      </w:pPr>
      <w:r>
        <w:t xml:space="preserve">26.2.1 The Cell serves as the primary deconfliction hotline for any military-to-military or military-to-civilian incident. The hotline operates on a dedicated satellite communications channel with failover capability to three redundant ground stations.</w:t>
      </w:r>
    </w:p>
    <w:p>
      <w:pPr>
        <w:pStyle w:val="BodyText"/>
      </w:pPr>
      <w:r>
        <w:t xml:space="preserve">26.2.2 The Cell activates joint mine-countermeasure operations under Annex G in the event of a suspected or confirmed mine presence, and it coordinates the clearance sequence from information exchange through full certification.</w:t>
      </w:r>
    </w:p>
    <w:p>
      <w:pPr>
        <w:pStyle w:val="BodyText"/>
      </w:pPr>
      <w:r>
        <w:t xml:space="preserve">26.2.3 The Cell maintains a staffing model of four analysts on duty during normal conditions, increasing to eight analysts with supervisory oversight during elevated alert conditions.</w:t>
      </w:r>
    </w:p>
    <w:bookmarkEnd w:id="213"/>
    <w:bookmarkEnd w:id="214"/>
    <w:bookmarkStart w:id="223" w:name="X6c7dffd8484d9164b6023905be05dbe18453912"/>
    <w:p>
      <w:pPr>
        <w:pStyle w:val="Heading2"/>
      </w:pPr>
      <w:r>
        <w:t xml:space="preserve">Article 27: Maritime Security and the Dual-Key Deconfliction Architecture</w:t>
      </w:r>
    </w:p>
    <w:bookmarkStart w:id="215" w:name="the-standoff-rule"/>
    <w:p>
      <w:pPr>
        <w:pStyle w:val="Heading3"/>
      </w:pPr>
      <w:r>
        <w:t xml:space="preserve">27.1 The Standoff Rule</w:t>
      </w:r>
    </w:p>
    <w:p>
      <w:pPr>
        <w:pStyle w:val="FirstParagraph"/>
      </w:pPr>
      <w:r>
        <w:t xml:space="preserve">27.1.1 Military assets of all states maintain a minimum standoff distance of one nautical mile from commercial vessels in the corridor system, except under three narrowly defined circumstances: an explicit escort request by the vessel’s master or flag state, logged with the Center; a bona fide emergency response to a distress call broadcast on the incident line; or a perpendicular crossing of a corridor to reach another operational area, completed within five minutes without impeding commercial traffic.</w:t>
      </w:r>
    </w:p>
    <w:p>
      <w:pPr>
        <w:pStyle w:val="BodyText"/>
      </w:pPr>
      <w:r>
        <w:t xml:space="preserve">27.1.2 Any military asset approaching within one nautical mile of a commercial vessel outside these circumstances triggers an automatic presumption of violation, and the burden of proving the exception lies with the approaching asset’s state.</w:t>
      </w:r>
    </w:p>
    <w:bookmarkEnd w:id="215"/>
    <w:bookmarkStart w:id="216" w:name="the-zone-rules"/>
    <w:p>
      <w:pPr>
        <w:pStyle w:val="Heading3"/>
      </w:pPr>
      <w:r>
        <w:t xml:space="preserve">27.2 The Zone Rules</w:t>
      </w:r>
    </w:p>
    <w:p>
      <w:pPr>
        <w:pStyle w:val="FirstParagraph"/>
      </w:pPr>
      <w:r>
        <w:t xml:space="preserve">27.2.1 Within the commercial corridors: the framework architecture excludes fast attack craft under all circumstances except hot pursuit of a pirate vessel under Article 111 of the United Nations Convention on the Law of the Sea with immediate Center notification within five minutes. Patrol craft enter the commercial corridors only for escort on request, distress response, or transit to and from port with four-hour notice and continuous identification broadcast.</w:t>
      </w:r>
    </w:p>
    <w:p>
      <w:pPr>
        <w:pStyle w:val="BodyText"/>
      </w:pPr>
      <w:r>
        <w:t xml:space="preserve">27.2.2 Within the territorial waters of a Littoral Party outside the corridors: the coastal state’s patrol craft conduct normal law enforcement activities, including customs, immigration, safety, and fisheries enforcement, with continuous identification broadcast. Boardings in this zone cover vessels entering or departing that state’s ports, never vessels in transit passage through the Strait.</w:t>
      </w:r>
    </w:p>
    <w:p>
      <w:pPr>
        <w:pStyle w:val="BodyText"/>
      </w:pPr>
      <w:r>
        <w:t xml:space="preserve">27.2.3 In international waters: no vessel of any Participant possesses authority under this Charter to stop, board, or inspect any commercial vessel. Any such attempt triggers automatic Tier 3 classification.</w:t>
      </w:r>
    </w:p>
    <w:bookmarkEnd w:id="216"/>
    <w:bookmarkStart w:id="217" w:name="the-dual-key-rule"/>
    <w:p>
      <w:pPr>
        <w:pStyle w:val="Heading3"/>
      </w:pPr>
      <w:r>
        <w:t xml:space="preserve">27.3 The Dual-Key Rule</w:t>
      </w:r>
    </w:p>
    <w:p>
      <w:pPr>
        <w:pStyle w:val="FirstParagraph"/>
      </w:pPr>
      <w:r>
        <w:t xml:space="preserve">27.3.1 Security functions in the corridor system execute under a dual-key architecture. No single state’s forces perform a defined security function alone, and no function executes without the concurrence of its designated keys.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Keys</w:t>
            </w:r>
          </w:p>
        </w:tc>
        <w:tc>
          <w:tcPr/>
          <w:p>
            <w:pPr>
              <w:pStyle w:val="Compact"/>
              <w:jc w:val="left"/>
            </w:pPr>
            <w:r>
              <w:t xml:space="preserve">Verification Layer</w:t>
            </w:r>
          </w:p>
        </w:tc>
      </w:tr>
      <w:tr>
        <w:tc>
          <w:tcPr/>
          <w:p>
            <w:pPr>
              <w:pStyle w:val="Compact"/>
              <w:jc w:val="left"/>
            </w:pPr>
            <w:r>
              <w:t xml:space="preserve">Inbound Corridor incident response</w:t>
            </w:r>
          </w:p>
        </w:tc>
        <w:tc>
          <w:tcPr/>
          <w:p>
            <w:pPr>
              <w:pStyle w:val="Compact"/>
              <w:jc w:val="left"/>
            </w:pPr>
            <w:r>
              <w:t xml:space="preserve">Iran plus Oman</w:t>
            </w:r>
          </w:p>
        </w:tc>
        <w:tc>
          <w:tcPr/>
          <w:p>
            <w:pPr>
              <w:pStyle w:val="Compact"/>
              <w:jc w:val="left"/>
            </w:pPr>
            <w:r>
              <w:t xml:space="preserve">Even Keel observation, Center log</w:t>
            </w:r>
          </w:p>
        </w:tc>
      </w:tr>
      <w:tr>
        <w:tc>
          <w:tcPr/>
          <w:p>
            <w:pPr>
              <w:pStyle w:val="Compact"/>
              <w:jc w:val="left"/>
            </w:pPr>
            <w:r>
              <w:t xml:space="preserve">Outbound Corridor incident response</w:t>
            </w:r>
          </w:p>
        </w:tc>
        <w:tc>
          <w:tcPr/>
          <w:p>
            <w:pPr>
              <w:pStyle w:val="Compact"/>
              <w:jc w:val="left"/>
            </w:pPr>
            <w:r>
              <w:t xml:space="preserve">Oman plus GCC liaison</w:t>
            </w:r>
          </w:p>
        </w:tc>
        <w:tc>
          <w:tcPr/>
          <w:p>
            <w:pPr>
              <w:pStyle w:val="Compact"/>
              <w:jc w:val="left"/>
            </w:pPr>
            <w:r>
              <w:t xml:space="preserve">Even Keel observation, Center log</w:t>
            </w:r>
          </w:p>
        </w:tc>
      </w:tr>
      <w:tr>
        <w:tc>
          <w:tcPr/>
          <w:p>
            <w:pPr>
              <w:pStyle w:val="Compact"/>
              <w:jc w:val="left"/>
            </w:pPr>
            <w:r>
              <w:t xml:space="preserve">Central Corridor activation for safety case</w:t>
            </w:r>
          </w:p>
        </w:tc>
        <w:tc>
          <w:tcPr/>
          <w:p>
            <w:pPr>
              <w:pStyle w:val="Compact"/>
              <w:jc w:val="left"/>
            </w:pPr>
            <w:r>
              <w:t xml:space="preserve">Iran plus Oman plus Even Keel Director</w:t>
            </w:r>
          </w:p>
        </w:tc>
        <w:tc>
          <w:tcPr/>
          <w:p>
            <w:pPr>
              <w:pStyle w:val="Compact"/>
              <w:jc w:val="left"/>
            </w:pPr>
            <w:r>
              <w:t xml:space="preserve">Full telemetry and observer record</w:t>
            </w:r>
          </w:p>
        </w:tc>
      </w:tr>
      <w:tr>
        <w:tc>
          <w:tcPr/>
          <w:p>
            <w:pPr>
              <w:pStyle w:val="Compact"/>
              <w:jc w:val="left"/>
            </w:pPr>
            <w:r>
              <w:t xml:space="preserve">Mine-risk response</w:t>
            </w:r>
          </w:p>
        </w:tc>
        <w:tc>
          <w:tcPr/>
          <w:p>
            <w:pPr>
              <w:pStyle w:val="Compact"/>
              <w:jc w:val="left"/>
            </w:pPr>
            <w:r>
              <w:t xml:space="preserve">Iran plus Oman plus Even Keel Director</w:t>
            </w:r>
          </w:p>
        </w:tc>
        <w:tc>
          <w:tcPr/>
          <w:p>
            <w:pPr>
              <w:pStyle w:val="Compact"/>
              <w:jc w:val="left"/>
            </w:pPr>
            <w:r>
              <w:t xml:space="preserve">Annex G certification chain</w:t>
            </w:r>
          </w:p>
        </w:tc>
      </w:tr>
      <w:tr>
        <w:tc>
          <w:tcPr/>
          <w:p>
            <w:pPr>
              <w:pStyle w:val="Compact"/>
              <w:jc w:val="left"/>
            </w:pPr>
            <w:r>
              <w:t xml:space="preserve">Military deconfliction action</w:t>
            </w:r>
          </w:p>
        </w:tc>
        <w:tc>
          <w:tcPr/>
          <w:p>
            <w:pPr>
              <w:pStyle w:val="Compact"/>
              <w:jc w:val="left"/>
            </w:pPr>
            <w:r>
              <w:t xml:space="preserve">The two affected states plus Center duty supervisors</w:t>
            </w:r>
          </w:p>
        </w:tc>
        <w:tc>
          <w:tcPr/>
          <w:p>
            <w:pPr>
              <w:pStyle w:val="Compact"/>
              <w:jc w:val="left"/>
            </w:pPr>
            <w:r>
              <w:t xml:space="preserve">Hotline record, position log</w:t>
            </w:r>
          </w:p>
        </w:tc>
      </w:tr>
      <w:tr>
        <w:tc>
          <w:tcPr/>
          <w:p>
            <w:pPr>
              <w:pStyle w:val="Compact"/>
              <w:jc w:val="left"/>
            </w:pPr>
            <w:r>
              <w:t xml:space="preserve">Escort of electing commercial vessel</w:t>
            </w:r>
          </w:p>
        </w:tc>
        <w:tc>
          <w:tcPr/>
          <w:p>
            <w:pPr>
              <w:pStyle w:val="Compact"/>
              <w:jc w:val="left"/>
            </w:pPr>
            <w:r>
              <w:t xml:space="preserve">Requesting flag state plus corridor administrator</w:t>
            </w:r>
          </w:p>
        </w:tc>
        <w:tc>
          <w:tcPr/>
          <w:p>
            <w:pPr>
              <w:pStyle w:val="Compact"/>
              <w:jc w:val="left"/>
            </w:pPr>
            <w:r>
              <w:t xml:space="preserve">Center escort board, observer option</w:t>
            </w:r>
          </w:p>
        </w:tc>
      </w:tr>
    </w:tbl>
    <w:p>
      <w:pPr>
        <w:pStyle w:val="BodyText"/>
      </w:pPr>
      <w:r>
        <w:t xml:space="preserve">27.3.2 A function executed without its designated keys classifies as a Tier 3 event. A function executed with its designated keys carries a complete defense to any interference claim under Article 37.</w:t>
      </w:r>
    </w:p>
    <w:bookmarkEnd w:id="217"/>
    <w:bookmarkStart w:id="218" w:name="the-hotline-architecture"/>
    <w:p>
      <w:pPr>
        <w:pStyle w:val="Heading3"/>
      </w:pPr>
      <w:r>
        <w:t xml:space="preserve">27.4 The Hotline Architecture</w:t>
      </w:r>
    </w:p>
    <w:p>
      <w:pPr>
        <w:pStyle w:val="FirstParagraph"/>
      </w:pPr>
      <w:r>
        <w:t xml:space="preserve">27.4.1 The Charter operates a three-tier hotline: the incident line for vessel reports; the duty hotline between the multinational watch teams; and the senior hotline between the military liaison desks of the Littoral Parties, the Regional Participants, and the Strategic Partners’ naval commands. Each tier carries a published response time: immediate answer on the incident line, two minutes on the duty hotline, and fifteen minutes on the senior hotline.</w:t>
      </w:r>
    </w:p>
    <w:bookmarkEnd w:id="218"/>
    <w:bookmarkStart w:id="219" w:name="Xc158d5a404d7cd527561271196850666accc530"/>
    <w:p>
      <w:pPr>
        <w:pStyle w:val="Heading3"/>
      </w:pPr>
      <w:r>
        <w:t xml:space="preserve">27.5 The Mishap Protocol and the Thirty-Minute Position Log</w:t>
      </w:r>
    </w:p>
    <w:p>
      <w:pPr>
        <w:pStyle w:val="FirstParagraph"/>
      </w:pPr>
      <w:r>
        <w:t xml:space="preserve">27.5.1 On any incident involving a military asset and a commercial vessel, every involved unit logs its position, course, speed, and sensor state every thirty minutes from one hour before to one hour after the event, and the logs flow to the Center’s sealed incident file. The protocol captures the event from all sides, and the sealed file opens only to the attribution pathway of Article 36.</w:t>
      </w:r>
    </w:p>
    <w:bookmarkEnd w:id="219"/>
    <w:bookmarkStart w:id="220" w:name="the-rogue-actor-and-false-flag-pathway"/>
    <w:p>
      <w:pPr>
        <w:pStyle w:val="Heading3"/>
      </w:pPr>
      <w:r>
        <w:t xml:space="preserve">27.6 The Rogue Actor and False-Flag Pathway</w:t>
      </w:r>
    </w:p>
    <w:p>
      <w:pPr>
        <w:pStyle w:val="FirstParagraph"/>
      </w:pPr>
      <w:r>
        <w:t xml:space="preserve">27.6.1 Where an attack on shipping occurs and attribution stands contested, the Center freezes the affected sector in a Protected Hold of sixty minutes, renewable in sixty-minute increments, while the Joint Emergency Response Cell investigates. Attribution rests on the convergence standard applied to the sealed incident file, the telemetry record, and observer reports. The architecture presumes good faith: attribution requires evidence, and false-flag scenarios receive explicit analysis before any classification.</w:t>
      </w:r>
    </w:p>
    <w:bookmarkEnd w:id="220"/>
    <w:bookmarkStart w:id="221" w:name="quiet-water-windows"/>
    <w:p>
      <w:pPr>
        <w:pStyle w:val="Heading3"/>
      </w:pPr>
      <w:r>
        <w:t xml:space="preserve">27.7 Quiet Water Windows</w:t>
      </w:r>
    </w:p>
    <w:p>
      <w:pPr>
        <w:pStyle w:val="FirstParagraph"/>
      </w:pPr>
      <w:r>
        <w:t xml:space="preserve">27.7.1 The Charter publishes daily Quiet Water Windows inside the precautionary zones: defined periods during which military assets reduce posture, exercises pause, and Class S transit follows the notified schedule. The Bulletin carries the windows forty-eight hours ahead, and the verification office observes compliance.</w:t>
      </w:r>
    </w:p>
    <w:bookmarkEnd w:id="221"/>
    <w:bookmarkStart w:id="222" w:name="exercise-notification"/>
    <w:p>
      <w:pPr>
        <w:pStyle w:val="Heading3"/>
      </w:pPr>
      <w:r>
        <w:t xml:space="preserve">27.8 Exercise Notification</w:t>
      </w:r>
    </w:p>
    <w:p>
      <w:pPr>
        <w:pStyle w:val="FirstParagraph"/>
      </w:pPr>
      <w:r>
        <w:t xml:space="preserve">27.8.1 Every Participant and every Strategic Partner pre-notifies the Council forty-eight hours in advance of any naval exercise within one hundred nautical miles of the Strait, stating area, duration, and forces involved. The Center publishes the exercise notice in the Bulletin, and the deconfliction calendar of Annex F de-conflicts exercises against transit windows.</w:t>
      </w:r>
    </w:p>
    <w:bookmarkEnd w:id="222"/>
    <w:bookmarkEnd w:id="223"/>
    <w:bookmarkStart w:id="228" w:name="X42b47f5aecd63d9fe303dbcabb0b44f2828637f"/>
    <w:p>
      <w:pPr>
        <w:pStyle w:val="Heading2"/>
      </w:pPr>
      <w:r>
        <w:t xml:space="preserve">Article 28: Mine Countermeasures and Hazard Clearance</w:t>
      </w:r>
    </w:p>
    <w:bookmarkStart w:id="224" w:name="the-clearance-mandate"/>
    <w:p>
      <w:pPr>
        <w:pStyle w:val="Heading3"/>
      </w:pPr>
      <w:r>
        <w:t xml:space="preserve">28.1 The Clearance Mandate</w:t>
      </w:r>
    </w:p>
    <w:p>
      <w:pPr>
        <w:pStyle w:val="FirstParagraph"/>
      </w:pPr>
      <w:r>
        <w:t xml:space="preserve">28.1.1 The corridor system operates free of mines and placed hazards. The Islamic Republic of Iran leads operational mine clearance along the Inbound Corridor and the northern separation belt, and Omani and GCC service entities support clearance along the Outbound Corridor and the southern approaches, each under the Catalog rates of Annex D. The architecture excludes the laying of mines and the placing of hazards anywhere in the Operating Area under Article 10.3.</w:t>
      </w:r>
    </w:p>
    <w:bookmarkEnd w:id="224"/>
    <w:bookmarkStart w:id="225" w:name="the-clearance-sequence"/>
    <w:p>
      <w:pPr>
        <w:pStyle w:val="Heading3"/>
      </w:pPr>
      <w:r>
        <w:t xml:space="preserve">28.2 The Clearance Sequence</w:t>
      </w:r>
    </w:p>
    <w:p>
      <w:pPr>
        <w:pStyle w:val="FirstParagraph"/>
      </w:pPr>
      <w:r>
        <w:t xml:space="preserve">28.2.1 Clearance proceeds in the four phases of Annex G: information exchange and historical data pooling; survey and contact classification; clearance and neutralization; and certification. The Even Keel Office verifies and certifies each phase, logs every cleared contact in the incident record, and publishes clearance status in the Open Water Bulletin.</w:t>
      </w:r>
    </w:p>
    <w:bookmarkEnd w:id="225"/>
    <w:bookmarkStart w:id="226" w:name="certification-and-the-seal-of-assurance"/>
    <w:p>
      <w:pPr>
        <w:pStyle w:val="Heading3"/>
      </w:pPr>
      <w:r>
        <w:t xml:space="preserve">28.3 Certification and the Seal of Assurance</w:t>
      </w:r>
    </w:p>
    <w:p>
      <w:pPr>
        <w:pStyle w:val="FirstParagraph"/>
      </w:pPr>
      <w:r>
        <w:t xml:space="preserve">28.3.1 On completion of certification for a corridor sector, the verification office issues a Sector Assurance Certificate, and the Center publishes it to the Safe Registry and the Route Assurance Data Service. The certificate states the survey standard, the clearance record, and the residual risk classification of the sector. Insurers and charterers read the certificate as the objective basis for restoring commercial risk terms, sector by sector.</w:t>
      </w:r>
    </w:p>
    <w:bookmarkEnd w:id="226"/>
    <w:bookmarkStart w:id="227" w:name="standing-watch"/>
    <w:p>
      <w:pPr>
        <w:pStyle w:val="Heading3"/>
      </w:pPr>
      <w:r>
        <w:t xml:space="preserve">28.4 Standing Watch</w:t>
      </w:r>
    </w:p>
    <w:p>
      <w:pPr>
        <w:pStyle w:val="FirstParagraph"/>
      </w:pPr>
      <w:r>
        <w:t xml:space="preserve">28.4.1 After certification, the survey program of Annex G maintains a standing mine-watch: monthly survey passes of the corridor lanes, immediate re-survey of any reported contact, and automatic Protected Hold of any sector with a credible new contact until classification resolves it.</w:t>
      </w:r>
    </w:p>
    <w:bookmarkEnd w:id="227"/>
    <w:bookmarkEnd w:id="228"/>
    <w:bookmarkStart w:id="236" w:name="Xf75f50777722bebd1c29e5e10336902a9364ccd"/>
    <w:p>
      <w:pPr>
        <w:pStyle w:val="Heading2"/>
      </w:pPr>
      <w:r>
        <w:t xml:space="preserve">Article 29: Search and Rescue and Environmental Protection</w:t>
      </w:r>
    </w:p>
    <w:bookmarkStart w:id="229" w:name="the-shared-grid"/>
    <w:p>
      <w:pPr>
        <w:pStyle w:val="Heading3"/>
      </w:pPr>
      <w:r>
        <w:t xml:space="preserve">29.1 The Shared Grid</w:t>
      </w:r>
    </w:p>
    <w:p>
      <w:pPr>
        <w:pStyle w:val="FirstParagraph"/>
      </w:pPr>
      <w:r>
        <w:t xml:space="preserve">29.1.1 The Charter operates one search and rescue grid across the Operating Area, divided into response sectors assigned under Annex H, with a published rescue coordination chain that crosses every political line. Life at sea outranks every dispute: a distress call activates the nearest capable unit regardless of nationality, and the activation logs to the Center.</w:t>
      </w:r>
    </w:p>
    <w:bookmarkEnd w:id="229"/>
    <w:bookmarkStart w:id="230" w:name="the-sar-rota"/>
    <w:p>
      <w:pPr>
        <w:pStyle w:val="Heading3"/>
      </w:pPr>
      <w:r>
        <w:t xml:space="preserve">29.2 The SAR Rota</w:t>
      </w:r>
    </w:p>
    <w:p>
      <w:pPr>
        <w:pStyle w:val="FirstParagraph"/>
      </w:pPr>
      <w:r>
        <w:t xml:space="preserve">29.2.1 The Littoral Parties and the Regional Participants rotate rescue coordination responsibility across the sectors on the published rota of Annex H. Each rota period carries named standby assets, response time standards, and escalation contacts. The Even Keel Office observes every rescue operation and reports quarterly on response performance.</w:t>
      </w:r>
    </w:p>
    <w:bookmarkEnd w:id="230"/>
    <w:bookmarkStart w:id="231" w:name="humanitarian-priority"/>
    <w:p>
      <w:pPr>
        <w:pStyle w:val="Heading3"/>
      </w:pPr>
      <w:r>
        <w:t xml:space="preserve">29.3 Humanitarian Priority</w:t>
      </w:r>
    </w:p>
    <w:p>
      <w:pPr>
        <w:pStyle w:val="FirstParagraph"/>
      </w:pPr>
      <w:r>
        <w:t xml:space="preserve">29.3.1 Class H and Class P vessels hold absolute rescue priority. The response to a passenger vessel in distress overrides every other operational activity in the affected sector, and the nearest military asset joins the rescue under the distress exception of Article 27.1 without dual-key delay.</w:t>
      </w:r>
    </w:p>
    <w:bookmarkEnd w:id="231"/>
    <w:bookmarkStart w:id="232" w:name="the-pollution-response-readiness-service"/>
    <w:p>
      <w:pPr>
        <w:pStyle w:val="Heading3"/>
      </w:pPr>
      <w:r>
        <w:t xml:space="preserve">29.4 The Pollution Response Readiness Service</w:t>
      </w:r>
    </w:p>
    <w:p>
      <w:pPr>
        <w:pStyle w:val="FirstParagraph"/>
      </w:pPr>
      <w:r>
        <w:t xml:space="preserve">29.4.1 The Charter maintains a standing pollution response capability: pre-positioned equipment at Bandar Abbas, Khasab, and Fujairah; contracted salvage and cleanup capacity on thirty-minute readiness; and a joint response plan tested twice yearly. The environmental response reserve of Article 21.4 finances the capability.</w:t>
      </w:r>
    </w:p>
    <w:bookmarkEnd w:id="232"/>
    <w:bookmarkStart w:id="233" w:name="X1f4212b73bb1f67e79d8db6cd3b42d4c5d72cbc"/>
    <w:p>
      <w:pPr>
        <w:pStyle w:val="Heading3"/>
      </w:pPr>
      <w:r>
        <w:t xml:space="preserve">29.5 The Environmental Liability Coverage Rule</w:t>
      </w:r>
    </w:p>
    <w:p>
      <w:pPr>
        <w:pStyle w:val="FirstParagraph"/>
      </w:pPr>
      <w:r>
        <w:t xml:space="preserve">29.5.1 Every vessel transiting the corridor system carries pollution liability coverage under its flag state or protection and indemnity arrangements, verified through standard port documentation and never through any check at the Strait. The Charter adds no documentation burden at the water’s edge.</w:t>
      </w:r>
    </w:p>
    <w:bookmarkEnd w:id="233"/>
    <w:bookmarkStart w:id="234" w:name="sensitive-areas"/>
    <w:p>
      <w:pPr>
        <w:pStyle w:val="Heading3"/>
      </w:pPr>
      <w:r>
        <w:t xml:space="preserve">29.6 Sensitive Areas</w:t>
      </w:r>
    </w:p>
    <w:p>
      <w:pPr>
        <w:pStyle w:val="FirstParagraph"/>
      </w:pPr>
      <w:r>
        <w:t xml:space="preserve">29.6.1 Annex I designates the environmentally sensitive areas of the Operating Area, including the Musandam headland waters, the Larak and Qeshm island approaches, and the spawning and migration zones identified in the joint survey. In sensitive areas, the Charter applies the tightest discharge rules of the International Convention for the Prevention of Pollution from Ships, doubled spacing for laden tankers in Managed Flow, and continuous environmental sensor monitoring published to the dashboard.</w:t>
      </w:r>
    </w:p>
    <w:bookmarkEnd w:id="234"/>
    <w:bookmarkStart w:id="235" w:name="environmental-baseline-and-audit"/>
    <w:p>
      <w:pPr>
        <w:pStyle w:val="Heading3"/>
      </w:pPr>
      <w:r>
        <w:t xml:space="preserve">29.7 Environmental Baseline and Audit</w:t>
      </w:r>
    </w:p>
    <w:p>
      <w:pPr>
        <w:pStyle w:val="FirstParagraph"/>
      </w:pPr>
      <w:r>
        <w:t xml:space="preserve">29.7.1 The Charter establishes an environmental baseline within ninety days of entry into force: water quality, emissions, acoustic levels, and ecological indicators across the Operating Area. Quarterly monitoring measures deviation against the baseline, and the annual environmental audit publishes the full record with third-party verification under Annex I.</w:t>
      </w:r>
    </w:p>
    <w:bookmarkEnd w:id="235"/>
    <w:bookmarkEnd w:id="236"/>
    <w:bookmarkStart w:id="241" w:name="X3be1e9e99b44556a30dcfdbeab237820095ab70"/>
    <w:p>
      <w:pPr>
        <w:pStyle w:val="Heading2"/>
      </w:pPr>
      <w:r>
        <w:t xml:space="preserve">Article 30: Incident Classification and Reporting</w:t>
      </w:r>
    </w:p>
    <w:bookmarkStart w:id="237" w:name="the-classification-ladder"/>
    <w:p>
      <w:pPr>
        <w:pStyle w:val="Heading3"/>
      </w:pPr>
      <w:r>
        <w:t xml:space="preserve">30.1 The Classification Ladder</w:t>
      </w:r>
    </w:p>
    <w:p>
      <w:pPr>
        <w:pStyle w:val="FirstParagraph"/>
      </w:pPr>
      <w:r>
        <w:t xml:space="preserve">30.1.1 Every event in the Operating Area enters the incident record under the four-tier ladder of Annex J: Tier 1, navigational irregularities and administrative events; Tier 2, safety-relevant deviations and unauthorized approaches; Tier 3, interference events, unauthorized mine-related events, and coercive conduct; Tier 4, attacks on vessels, closure attempts, and casualties with loss of life or vessel.</w:t>
      </w:r>
    </w:p>
    <w:bookmarkEnd w:id="237"/>
    <w:bookmarkStart w:id="238" w:name="reporting-obligations"/>
    <w:p>
      <w:pPr>
        <w:pStyle w:val="Heading3"/>
      </w:pPr>
      <w:r>
        <w:t xml:space="preserve">30.2 Reporting Obligations</w:t>
      </w:r>
    </w:p>
    <w:p>
      <w:pPr>
        <w:pStyle w:val="FirstParagraph"/>
      </w:pPr>
      <w:r>
        <w:t xml:space="preserve">30.2.1 Any collision, grounding, near-miss, pollution event, or hostile interaction involving a vessel in the Operating Area enters the incident record within six hours of the event. The report includes: vessel name and number; time and position; nature of the event; identities of all vessels involved; preliminary assessment of cause; and any injuries or damage sustained.</w:t>
      </w:r>
    </w:p>
    <w:bookmarkEnd w:id="238"/>
    <w:bookmarkStart w:id="239" w:name="the-statistics-feed"/>
    <w:p>
      <w:pPr>
        <w:pStyle w:val="Heading3"/>
      </w:pPr>
      <w:r>
        <w:t xml:space="preserve">30.3 The Statistics Feed</w:t>
      </w:r>
    </w:p>
    <w:p>
      <w:pPr>
        <w:pStyle w:val="FirstParagraph"/>
      </w:pPr>
      <w:r>
        <w:t xml:space="preserve">30.3.1 The Center compiles an anonymized quarterly incident report for the IMO and the Route Assurance Data Service: aggregate statistics by type and severity, trend analysis, identification of recurring hazards or compliance patterns, and recommendations for protocol adjustments.</w:t>
      </w:r>
    </w:p>
    <w:bookmarkEnd w:id="239"/>
    <w:bookmarkStart w:id="240" w:name="X329e31d69ac42bea8996dfc4251c1963cc2cb0c"/>
    <w:p>
      <w:pPr>
        <w:pStyle w:val="Heading3"/>
      </w:pPr>
      <w:r>
        <w:t xml:space="preserve">30.4 The Incident Archive and the Lessons Cycle</w:t>
      </w:r>
    </w:p>
    <w:p>
      <w:pPr>
        <w:pStyle w:val="FirstParagraph"/>
      </w:pPr>
      <w:r>
        <w:t xml:space="preserve">30.4.1 Every incident closes with a lessons note in the archive: what happened, what the record shows, what the system changes. The Joint Technical Committee reviews the archive quarterly and converts recurring lessons into procedure adjustments under Article 16.1.</w:t>
      </w:r>
    </w:p>
    <w:bookmarkEnd w:id="240"/>
    <w:bookmarkEnd w:id="241"/>
    <w:bookmarkEnd w:id="242"/>
    <w:bookmarkStart w:id="265" w:name="part-vi-the-nuclear-interface"/>
    <w:p>
      <w:pPr>
        <w:pStyle w:val="Heading1"/>
      </w:pPr>
      <w:r>
        <w:t xml:space="preserve">Part VI: The Nuclear Interface</w:t>
      </w:r>
    </w:p>
    <w:bookmarkStart w:id="246" w:name="article-31-the-two-track-firewall"/>
    <w:p>
      <w:pPr>
        <w:pStyle w:val="Heading2"/>
      </w:pPr>
      <w:r>
        <w:t xml:space="preserve">Article 31: The Two-Track Firewall</w:t>
      </w:r>
    </w:p>
    <w:bookmarkStart w:id="243" w:name="the-separation-rule"/>
    <w:p>
      <w:pPr>
        <w:pStyle w:val="Heading3"/>
      </w:pPr>
      <w:r>
        <w:t xml:space="preserve">31.1 The Separation Rule</w:t>
      </w:r>
    </w:p>
    <w:p>
      <w:pPr>
        <w:pStyle w:val="FirstParagraph"/>
      </w:pPr>
      <w:r>
        <w:t xml:space="preserve">31.1.1 The Charter governs the water. The parallel negotiation between the Islamic Republic of Iran and the United States of America, with its working groups on sanctions termination, nuclear affairs, reconstruction and economic development, and monitoring and implementation, owns the nuclear file. The framework architecture treats the two tracks as separate instruments with separate texts, separate verification, and separate remedies.</w:t>
      </w:r>
    </w:p>
    <w:p>
      <w:pPr>
        <w:pStyle w:val="BodyText"/>
      </w:pPr>
      <w:r>
        <w:t xml:space="preserve">31.1.2 The architecture excludes the use of either track as leverage over the other. No maritime measure under this Charter punishes, rewards, or pressures a nuclear position. No nuclear position justifies any closure, charge, or interference in the corridor system. The corridors operate under every state of the nuclear track: progress, stall, dispute, or breakdown.</w:t>
      </w:r>
    </w:p>
    <w:bookmarkEnd w:id="243"/>
    <w:bookmarkStart w:id="244" w:name="the-anti-hostage-clause"/>
    <w:p>
      <w:pPr>
        <w:pStyle w:val="Heading3"/>
      </w:pPr>
      <w:r>
        <w:t xml:space="preserve">31.2 The Anti-Hostage Clause</w:t>
      </w:r>
    </w:p>
    <w:p>
      <w:pPr>
        <w:pStyle w:val="FirstParagraph"/>
      </w:pPr>
      <w:r>
        <w:t xml:space="preserve">31.2.1 The framework architecture prohibits every Participant from conditioning corridor operations, Fund operations, or verification operations on the state of the nuclear track, and from conditioning nuclear-track conduct on the state of corridor operations. The clause binds every Participant symmetrically, and a violation of the clause classifies as a Tier 3 event under Article 37.</w:t>
      </w:r>
    </w:p>
    <w:bookmarkEnd w:id="244"/>
    <w:bookmarkStart w:id="245" w:name="the-synchronization-exception"/>
    <w:p>
      <w:pPr>
        <w:pStyle w:val="Heading3"/>
      </w:pPr>
      <w:r>
        <w:t xml:space="preserve">31.3 The Synchronization Exception</w:t>
      </w:r>
    </w:p>
    <w:p>
      <w:pPr>
        <w:pStyle w:val="FirstParagraph"/>
      </w:pPr>
      <w:r>
        <w:t xml:space="preserve">31.3.1 One linkage exists, and one only: the published Synchronization Schedule of Article 34, which pairs maritime phase gates with nuclear track steps as parallel confidence measures. Synchronization pairs progress with progress; it never pairs punishment with punishment. A stall in one track slows the schedule’s next pair; it never reverses a completed pair and never touches the corridor system’s core operations.</w:t>
      </w:r>
    </w:p>
    <w:bookmarkEnd w:id="245"/>
    <w:bookmarkEnd w:id="246"/>
    <w:bookmarkStart w:id="250" w:name="Xbcb2b247a60a49263acea18d97fa0321d3becfa"/>
    <w:p>
      <w:pPr>
        <w:pStyle w:val="Heading2"/>
      </w:pPr>
      <w:r>
        <w:t xml:space="preserve">Article 32: The Verification Logistics Protocol</w:t>
      </w:r>
    </w:p>
    <w:bookmarkStart w:id="247" w:name="the-agency-access-corridor"/>
    <w:p>
      <w:pPr>
        <w:pStyle w:val="Heading3"/>
      </w:pPr>
      <w:r>
        <w:t xml:space="preserve">32.1 The Agency Access Corridor</w:t>
      </w:r>
    </w:p>
    <w:p>
      <w:pPr>
        <w:pStyle w:val="FirstParagraph"/>
      </w:pPr>
      <w:r>
        <w:t xml:space="preserve">32.1.1 The Charter provides the maritime logistics of the International Atomic Energy Agency’s mission in Iran. Agency inspectors, equipment, and samples move through the corridor system as Class H or Class R traffic, with the fast-track desk at the Center, priority anchorage, and escort on request. The Fund treats Agency logistics services as a standing Catalog item at zero margin.</w:t>
      </w:r>
    </w:p>
    <w:bookmarkEnd w:id="247"/>
    <w:bookmarkStart w:id="248" w:name="the-verification-calendar-interface"/>
    <w:p>
      <w:pPr>
        <w:pStyle w:val="Heading3"/>
      </w:pPr>
      <w:r>
        <w:t xml:space="preserve">32.2 The Verification Calendar Interface</w:t>
      </w:r>
    </w:p>
    <w:p>
      <w:pPr>
        <w:pStyle w:val="FirstParagraph"/>
      </w:pPr>
      <w:r>
        <w:t xml:space="preserve">32.2.1 The Agency’s verification calendar in Iran, including the thirty-day verification cycle for highly enriched uranium stocks, enters the Center’s operational calendar as protected windows. During an Agency movement window, the relevant corridor sectors carry elevated observer presence and the dual-key posture stands at readiness. The architecture protects the Agency’s work the way it protects humanitarian traffic: absolutely, in every flow state.</w:t>
      </w:r>
    </w:p>
    <w:bookmarkEnd w:id="248"/>
    <w:bookmarkStart w:id="249" w:name="the-re-entry-anchor"/>
    <w:p>
      <w:pPr>
        <w:pStyle w:val="Heading3"/>
      </w:pPr>
      <w:r>
        <w:t xml:space="preserve">32.3 The Re-Entry Anchor</w:t>
      </w:r>
    </w:p>
    <w:p>
      <w:pPr>
        <w:pStyle w:val="FirstParagraph"/>
      </w:pPr>
      <w:r>
        <w:t xml:space="preserve">32.3.1 The Participants record the Agency’s return to verification activities in Iran under the June 2026 framework as the anchor event of the nuclear interface. The Charter operationalizes that anchor on the water: every Agency access route through the Operating Area carries a standing safe-conduct record in the daily log, and the Even Keel Office reports monthly on the integrity of those routes.</w:t>
      </w:r>
    </w:p>
    <w:bookmarkEnd w:id="249"/>
    <w:bookmarkEnd w:id="250"/>
    <w:bookmarkStart w:id="255" w:name="article-33-the-zero-stockpile-corridor"/>
    <w:p>
      <w:pPr>
        <w:pStyle w:val="Heading2"/>
      </w:pPr>
      <w:r>
        <w:t xml:space="preserve">Article 33: The Zero-Stockpile Corridor</w:t>
      </w:r>
    </w:p>
    <w:bookmarkStart w:id="251" w:name="the-stockpile-settlement-reference"/>
    <w:p>
      <w:pPr>
        <w:pStyle w:val="Heading3"/>
      </w:pPr>
      <w:r>
        <w:t xml:space="preserve">33.1 The Stockpile Settlement Reference</w:t>
      </w:r>
    </w:p>
    <w:p>
      <w:pPr>
        <w:pStyle w:val="FirstParagraph"/>
      </w:pPr>
      <w:r>
        <w:t xml:space="preserve">33.1.1 The Participants record the settlement direction established in the parallel track: the Islamic Republic of Iran retains no stockpile of enriched uranium beyond the fuel-cycle needs the final nuclear agreement defines; the existing highly enriched stockpile converts to reactor-grade material through downblending under Agency supervision; and the Agency verifies the process end to end. The Charter takes no position on the final terms. The Charter builds the seaward and logistics architecture those terms require.</w:t>
      </w:r>
    </w:p>
    <w:bookmarkEnd w:id="251"/>
    <w:bookmarkStart w:id="252" w:name="the-downblend-logistics-chain"/>
    <w:p>
      <w:pPr>
        <w:pStyle w:val="Heading3"/>
      </w:pPr>
      <w:r>
        <w:t xml:space="preserve">33.2 The Downblend Logistics Chain</w:t>
      </w:r>
    </w:p>
    <w:p>
      <w:pPr>
        <w:pStyle w:val="FirstParagraph"/>
      </w:pPr>
      <w:r>
        <w:t xml:space="preserve">33.2.1 Where downblending occurs inside Iran, the Charter provides the movement of Agency-verified blending material, equipment, and product between the facilities and the coast under Class X protocol: pre-completed registration seven days ahead, designated transit windows, escort with sterile spacing, and continuous observation. Land-segment movement follows the national procedures of the Islamic Republic of Iran under Agency seals; the Charter governs the water segment.</w:t>
      </w:r>
    </w:p>
    <w:bookmarkEnd w:id="252"/>
    <w:bookmarkStart w:id="253" w:name="the-seaward-removal-option"/>
    <w:p>
      <w:pPr>
        <w:pStyle w:val="Heading3"/>
      </w:pPr>
      <w:r>
        <w:t xml:space="preserve">33.3 The Seaward Removal Option</w:t>
      </w:r>
    </w:p>
    <w:p>
      <w:pPr>
        <w:pStyle w:val="FirstParagraph"/>
      </w:pPr>
      <w:r>
        <w:t xml:space="preserve">33.3.1 Where the final nuclear agreement directs removal of nuclear material by sea, the movement executes under the full Class X protocol of Annex K: a designated vessel under charter to the Agency’s verification chain; Agency seals and continuous Agency custody records; a sterile spacing bubble of five nautical miles; dual-key escort under Article 27.3 with Even Keel observers embarked; advance notification to all Participants through the Bulletin without disclosure of cargo details beyond the class designation; and routing through the corridor the Central Corridor Management Board designates for the movement.</w:t>
      </w:r>
    </w:p>
    <w:p>
      <w:pPr>
        <w:pStyle w:val="BodyText"/>
      </w:pPr>
      <w:r>
        <w:t xml:space="preserve">33.3.2 The architecture treats a Class X nuclear movement as the highest-consequence transit in the system. During a nuclear movement window, the affected corridor sectors operate in Coordinated Flow, the senior hotline stands at immediate-answer posture, and the mishap protocol runs at continuous logging.</w:t>
      </w:r>
    </w:p>
    <w:bookmarkEnd w:id="253"/>
    <w:bookmarkStart w:id="254" w:name="the-regional-consortium-interface"/>
    <w:p>
      <w:pPr>
        <w:pStyle w:val="Heading3"/>
      </w:pPr>
      <w:r>
        <w:t xml:space="preserve">33.4 The Regional Consortium Interface</w:t>
      </w:r>
    </w:p>
    <w:p>
      <w:pPr>
        <w:pStyle w:val="FirstParagraph"/>
      </w:pPr>
      <w:r>
        <w:t xml:space="preserve">33.3.3 Where the parallel track establishes a regional enrichment or fuel-bank consortium, the Charter provides the maritime interface of that consortium: fuel movements in and out of Gulf ports under Class X protocol; verified chain-of-custody data flowing into the Shared Dashboard’s restricted layer; and Agency access logistics under Article 32. The consortium’s governance remains the property of the parallel track; its cargoes move on the water under this Charter.</w:t>
      </w:r>
    </w:p>
    <w:bookmarkEnd w:id="254"/>
    <w:bookmarkEnd w:id="255"/>
    <w:bookmarkStart w:id="260" w:name="article-34-the-synchronization-schedule"/>
    <w:p>
      <w:pPr>
        <w:pStyle w:val="Heading2"/>
      </w:pPr>
      <w:r>
        <w:t xml:space="preserve">Article 34: The Synchronization Schedule</w:t>
      </w:r>
    </w:p>
    <w:bookmarkStart w:id="256" w:name="the-pairing-method"/>
    <w:p>
      <w:pPr>
        <w:pStyle w:val="Heading3"/>
      </w:pPr>
      <w:r>
        <w:t xml:space="preserve">34.1 The Pairing Method</w:t>
      </w:r>
    </w:p>
    <w:p>
      <w:pPr>
        <w:pStyle w:val="FirstParagraph"/>
      </w:pPr>
      <w:r>
        <w:t xml:space="preserve">34.1.1 The Synchronization Schedule pairs each maritime phase gate of Article 41 with the corresponding step of the nuclear track, as Annex K states in full. Each pair contains one maritime gate and one nuclear step, each with its own verification. Completion of both elements of a pair, each on its own evidence, unlocks the next pair automatically. The Council records each completion in the decision register, and the dashboard publishes the schedule’s status weekly.</w:t>
      </w:r>
    </w:p>
    <w:bookmarkEnd w:id="256"/>
    <w:bookmarkStart w:id="257" w:name="the-founding-pairs"/>
    <w:p>
      <w:pPr>
        <w:pStyle w:val="Heading3"/>
      </w:pPr>
      <w:r>
        <w:t xml:space="preserve">34.2 The Founding Pairs</w:t>
      </w:r>
    </w:p>
    <w:p>
      <w:pPr>
        <w:pStyle w:val="FirstParagraph"/>
      </w:pPr>
      <w:r>
        <w:t xml:space="preserve">34.2.1 Pair One: signature of this Charter and activation of Phase One pairs with the continued presence of Agency inspectors in Iran and the resumption of verification access to the unaffected facilities.</w:t>
      </w:r>
    </w:p>
    <w:p>
      <w:pPr>
        <w:pStyle w:val="BodyText"/>
      </w:pPr>
      <w:r>
        <w:t xml:space="preserve">34.2.2 Pair Two: activation of the Outbound Assurance Corridor pairs with Agency verification access to the Isfahan tunnel complex and the first verified physical inventory of stored enriched uranium since the conflict.</w:t>
      </w:r>
    </w:p>
    <w:p>
      <w:pPr>
        <w:pStyle w:val="BodyText"/>
      </w:pPr>
      <w:r>
        <w:t xml:space="preserve">34.2.3 Pair Three: activation of the Inbound Coordination Corridor pairs with the commencement of verified downblending of the sixty percent stockpile under Agency supervision.</w:t>
      </w:r>
    </w:p>
    <w:p>
      <w:pPr>
        <w:pStyle w:val="BodyText"/>
      </w:pPr>
      <w:r>
        <w:t xml:space="preserve">34.2.4 Pair Four: completion of the pilot phase and the stability audit pairs with verified completion of downblending of the highly enriched stockpile and the verified inventory of all remaining enriched material.</w:t>
      </w:r>
    </w:p>
    <w:p>
      <w:pPr>
        <w:pStyle w:val="BodyText"/>
      </w:pPr>
      <w:r>
        <w:t xml:space="preserve">34.2.5 Pair Five: full activation of the corridor system pairs with the conclusion of the final nuclear agreement and the activation of its verification regime, including any regional consortium or fuel-bank arrangement.</w:t>
      </w:r>
    </w:p>
    <w:bookmarkEnd w:id="257"/>
    <w:bookmarkStart w:id="258" w:name="the-stall-rule"/>
    <w:p>
      <w:pPr>
        <w:pStyle w:val="Heading3"/>
      </w:pPr>
      <w:r>
        <w:t xml:space="preserve">34.3 The Stall Rule</w:t>
      </w:r>
    </w:p>
    <w:p>
      <w:pPr>
        <w:pStyle w:val="FirstParagraph"/>
      </w:pPr>
      <w:r>
        <w:t xml:space="preserve">34.3.1 Where one element of a pair completes and its counterpart stalls, the completed element banks permanently under the no-fade rule, the schedule’s next pair waits, and every completed function continues to operate. A stall never reverses a completed pair, never suspends a corridor, never freezes a payment, and never interrupts a verification activity already under way. The schedule breathes; it never collapses.</w:t>
      </w:r>
    </w:p>
    <w:bookmarkEnd w:id="258"/>
    <w:bookmarkStart w:id="259" w:name="evidence-separation"/>
    <w:p>
      <w:pPr>
        <w:pStyle w:val="Heading3"/>
      </w:pPr>
      <w:r>
        <w:t xml:space="preserve">34.4 Evidence Separation</w:t>
      </w:r>
    </w:p>
    <w:p>
      <w:pPr>
        <w:pStyle w:val="FirstParagraph"/>
      </w:pPr>
      <w:r>
        <w:t xml:space="preserve">34.4.1 Each element of each pair stands or falls on its own evidence: maritime gates on the Charter’s verification record, nuclear steps on the Agency’s findings. The Charter cites Agency findings as inputs to the schedule and to nothing else, and the Charter’s record enters the nuclear track through the same one-way valve.</w:t>
      </w:r>
    </w:p>
    <w:bookmarkEnd w:id="259"/>
    <w:bookmarkEnd w:id="260"/>
    <w:bookmarkStart w:id="264" w:name="Xa2095952732661439e441c50ed317898ebe0aa6"/>
    <w:p>
      <w:pPr>
        <w:pStyle w:val="Heading2"/>
      </w:pPr>
      <w:r>
        <w:t xml:space="preserve">Article 35: Nuclear-Maritime Deconfliction</w:t>
      </w:r>
    </w:p>
    <w:bookmarkStart w:id="261" w:name="the-protected-continuity-rule"/>
    <w:p>
      <w:pPr>
        <w:pStyle w:val="Heading3"/>
      </w:pPr>
      <w:r>
        <w:t xml:space="preserve">35.1 The Protected Continuity Rule</w:t>
      </w:r>
    </w:p>
    <w:p>
      <w:pPr>
        <w:pStyle w:val="FirstParagraph"/>
      </w:pPr>
      <w:r>
        <w:t xml:space="preserve">35.1.1 Military action affecting nuclear facilities, and military action affecting the corridor system, activate the same deconfliction machinery: immediate senior hotline exchange, automatic logging under the mishap protocol, and a Protected Hold limited to the affected sector for a stated period never exceeding seventy-two hours. The architecture excludes closure of the Strait as a response to any nuclear-track event.</w:t>
      </w:r>
    </w:p>
    <w:bookmarkEnd w:id="261"/>
    <w:bookmarkStart w:id="262" w:name="the-facility-traffic-buffer"/>
    <w:p>
      <w:pPr>
        <w:pStyle w:val="Heading3"/>
      </w:pPr>
      <w:r>
        <w:t xml:space="preserve">35.2 The Facility-Traffic Buffer</w:t>
      </w:r>
    </w:p>
    <w:p>
      <w:pPr>
        <w:pStyle w:val="FirstParagraph"/>
      </w:pPr>
      <w:r>
        <w:t xml:space="preserve">35.2.1 Coastal nuclear facilities adjacent to the Operating Area enter the Center’s chart as fixed reference points. Transit routing keeps the published lanes outside the precautionary radii of Annex A around those points, and any military activity inside those radii triggers the dual-key notification of Article 27.3.</w:t>
      </w:r>
    </w:p>
    <w:bookmarkEnd w:id="262"/>
    <w:bookmarkStart w:id="263" w:name="the-escalation-decoupling-clause"/>
    <w:p>
      <w:pPr>
        <w:pStyle w:val="Heading3"/>
      </w:pPr>
      <w:r>
        <w:t xml:space="preserve">35.3 The Escalation Decoupling Clause</w:t>
      </w:r>
    </w:p>
    <w:p>
      <w:pPr>
        <w:pStyle w:val="FirstParagraph"/>
      </w:pPr>
      <w:r>
        <w:t xml:space="preserve">35.3.1 Military escalation anywhere in the region decouples structurally from the Charter’s economic and verification operations. The Fund continues to pay, the Bulletin continues to publish, the observers continue to ride, and the corridors continue to carry traffic under every regional condition short of a direct, verified, immediate physical hazard to a specific sector, which the Protected Hold mechanism alone addresses.</w:t>
      </w:r>
    </w:p>
    <w:bookmarkEnd w:id="263"/>
    <w:bookmarkEnd w:id="264"/>
    <w:bookmarkEnd w:id="265"/>
    <w:bookmarkStart w:id="287" w:name="X7400c91dd6eff190e5822158f5c3cfa890f7788"/>
    <w:p>
      <w:pPr>
        <w:pStyle w:val="Heading1"/>
      </w:pPr>
      <w:r>
        <w:t xml:space="preserve">Part VII: Compliance and Dispute Resolution</w:t>
      </w:r>
    </w:p>
    <w:bookmarkStart w:id="271" w:name="article-36-the-compliance-engine"/>
    <w:p>
      <w:pPr>
        <w:pStyle w:val="Heading2"/>
      </w:pPr>
      <w:r>
        <w:t xml:space="preserve">Article 36: The Compliance Engine</w:t>
      </w:r>
    </w:p>
    <w:bookmarkStart w:id="266" w:name="the-four-category-classification"/>
    <w:p>
      <w:pPr>
        <w:pStyle w:val="Heading3"/>
      </w:pPr>
      <w:r>
        <w:t xml:space="preserve">36.1 The Four-Category Classification</w:t>
      </w:r>
    </w:p>
    <w:p>
      <w:pPr>
        <w:pStyle w:val="FirstParagraph"/>
      </w:pPr>
      <w:r>
        <w:t xml:space="preserve">36.1.1 The engine classifies every event into one of four categories: Category One, administrative deviations with no safety or security content; Category Two, safety-relevant deviations; Category Three, interference, coercion, or architecture violations; Category Four, attacks, closure attempts, and fundamental breaches. Annex J carries the full classification matrix with examples for every cell.</w:t>
      </w:r>
    </w:p>
    <w:bookmarkEnd w:id="266"/>
    <w:bookmarkStart w:id="267" w:name="the-convergence-standard-1"/>
    <w:p>
      <w:pPr>
        <w:pStyle w:val="Heading3"/>
      </w:pPr>
      <w:r>
        <w:t xml:space="preserve">36.2 The Convergence Standard</w:t>
      </w:r>
    </w:p>
    <w:p>
      <w:pPr>
        <w:pStyle w:val="FirstParagraph"/>
      </w:pPr>
      <w:r>
        <w:t xml:space="preserve">36.2.1 Every classification rests on the convergence standard of Article 25.2: two independent inputs, human review, and a recorded evidence chain. The engine never classifies on a single source, never classifies on an accusation, and never classifies on data collected outside the permitted uses of Article 14.6.</w:t>
      </w:r>
    </w:p>
    <w:bookmarkEnd w:id="267"/>
    <w:bookmarkStart w:id="268" w:name="the-performance-reserve"/>
    <w:p>
      <w:pPr>
        <w:pStyle w:val="Heading3"/>
      </w:pPr>
      <w:r>
        <w:t xml:space="preserve">36.3 The Performance Reserve</w:t>
      </w:r>
    </w:p>
    <w:p>
      <w:pPr>
        <w:pStyle w:val="FirstParagraph"/>
      </w:pPr>
      <w:r>
        <w:t xml:space="preserve">36.3.1 The engine banks over-compliance and good governance contribution as Performance Reserve credit. A Participant that exceeds a standard, volunteers an observer slot, funds an extra survey pass, or resolves a dispute early earns credit on the public ledger. Credit offsets future Category One and Category Two responses automatically, transfers across modules within the same functional family, and never claws back.</w:t>
      </w:r>
    </w:p>
    <w:bookmarkEnd w:id="268"/>
    <w:bookmarkStart w:id="269" w:name="human-review-layers"/>
    <w:p>
      <w:pPr>
        <w:pStyle w:val="Heading3"/>
      </w:pPr>
      <w:r>
        <w:t xml:space="preserve">36.4 Human Review Layers</w:t>
      </w:r>
    </w:p>
    <w:p>
      <w:pPr>
        <w:pStyle w:val="FirstParagraph"/>
      </w:pPr>
      <w:r>
        <w:t xml:space="preserve">36.4.1 Every classification above Tier 1 routes to human review before consequence: Tier 2 reviews within seven days by the Joint Technical Committee; Tier 3 reviews within fourteen days by an emergency session of the Council; Tier 4 reviews within fourteen days by an emergency session of the Council with the facilitation states present. During review, provisional measures hold in escrow: financial consequences park undistributed but unforfeited, and operational consequences take their least restrictive form. A reversed classification unwinds its provisional measures retroactively and in full.</w:t>
      </w:r>
    </w:p>
    <w:bookmarkEnd w:id="269"/>
    <w:bookmarkStart w:id="270" w:name="the-first-violation-protocol"/>
    <w:p>
      <w:pPr>
        <w:pStyle w:val="Heading3"/>
      </w:pPr>
      <w:r>
        <w:t xml:space="preserve">36.5 The First Violation Protocol</w:t>
      </w:r>
    </w:p>
    <w:p>
      <w:pPr>
        <w:pStyle w:val="FirstParagraph"/>
      </w:pPr>
      <w:r>
        <w:t xml:space="preserve">36.5.1 The first Category Two violation by any Participant during the life of the Charter receives First Violation designation where the preponderance of evidence indicates no premeditation and no coordinated pattern. The designation converts the response to a private notice and a technical consultation within fourteen days, without public alert and without financial consequence. The protocol applies once per Participant for the life of the Charter, and Categories Three and Four never qualify.</w:t>
      </w:r>
    </w:p>
    <w:bookmarkEnd w:id="270"/>
    <w:bookmarkEnd w:id="271"/>
    <w:bookmarkStart w:id="278" w:name="Xa703336646e2fede401d1fee0df7fccb40a74a7"/>
    <w:p>
      <w:pPr>
        <w:pStyle w:val="Heading2"/>
      </w:pPr>
      <w:r>
        <w:t xml:space="preserve">Article 37: The Step-Back Ladder and the Earn-Back Pathway</w:t>
      </w:r>
    </w:p>
    <w:bookmarkStart w:id="272" w:name="the-ladder"/>
    <w:p>
      <w:pPr>
        <w:pStyle w:val="Heading3"/>
      </w:pPr>
      <w:r>
        <w:t xml:space="preserve">37.1 The Ladder</w:t>
      </w:r>
    </w:p>
    <w:p>
      <w:pPr>
        <w:pStyle w:val="FirstParagraph"/>
      </w:pPr>
      <w:r>
        <w:t xml:space="preserve">37.1.1 Verified violations engage the graduated, reversible response ladder of this Article. Every step states its trigger, its consequence, and its restoration path in the same sentence of the architecture, and every step operates on the principles of proportionality, human judgment, reversibility, and humanitarian exemption.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Automatic Response</w:t>
            </w:r>
          </w:p>
        </w:tc>
        <w:tc>
          <w:tcPr/>
          <w:p>
            <w:pPr>
              <w:pStyle w:val="Compact"/>
              <w:jc w:val="left"/>
            </w:pPr>
            <w:r>
              <w:t xml:space="preserve">Restoration Path</w:t>
            </w:r>
          </w:p>
        </w:tc>
      </w:tr>
      <w:tr>
        <w:tc>
          <w:tcPr/>
          <w:p>
            <w:pPr>
              <w:pStyle w:val="Compact"/>
              <w:jc w:val="left"/>
            </w:pPr>
            <w:r>
              <w:t xml:space="preserve">Tier 1</w:t>
            </w:r>
          </w:p>
        </w:tc>
        <w:tc>
          <w:tcPr/>
          <w:p>
            <w:pPr>
              <w:pStyle w:val="Compact"/>
              <w:jc w:val="left"/>
            </w:pPr>
            <w:r>
              <w:t xml:space="preserve">Administrative deviation; voice protocol breach</w:t>
            </w:r>
          </w:p>
        </w:tc>
        <w:tc>
          <w:tcPr/>
          <w:p>
            <w:pPr>
              <w:pStyle w:val="Compact"/>
              <w:jc w:val="left"/>
            </w:pPr>
            <w:r>
              <w:t xml:space="preserve">Private notice of concern; no other consequence</w:t>
            </w:r>
          </w:p>
        </w:tc>
        <w:tc>
          <w:tcPr/>
          <w:p>
            <w:pPr>
              <w:pStyle w:val="Compact"/>
              <w:jc w:val="left"/>
            </w:pPr>
            <w:r>
              <w:t xml:space="preserve">Automatic on correction</w:t>
            </w:r>
          </w:p>
        </w:tc>
      </w:tr>
      <w:tr>
        <w:tc>
          <w:tcPr/>
          <w:p>
            <w:pPr>
              <w:pStyle w:val="Compact"/>
              <w:jc w:val="left"/>
            </w:pPr>
            <w:r>
              <w:t xml:space="preserve">Tier 2</w:t>
            </w:r>
          </w:p>
        </w:tc>
        <w:tc>
          <w:tcPr/>
          <w:p>
            <w:pPr>
              <w:pStyle w:val="Compact"/>
              <w:jc w:val="left"/>
            </w:pPr>
            <w:r>
              <w:t xml:space="preserve">Unauthorized approach within standoff distance; safety-relevant deviation</w:t>
            </w:r>
          </w:p>
        </w:tc>
        <w:tc>
          <w:tcPr/>
          <w:p>
            <w:pPr>
              <w:pStyle w:val="Compact"/>
              <w:jc w:val="left"/>
            </w:pPr>
            <w:r>
              <w:t xml:space="preserve">Public compliance alert; monthly distribution to the responsible service account reduces by 10 percent for that month</w:t>
            </w:r>
          </w:p>
        </w:tc>
        <w:tc>
          <w:tcPr/>
          <w:p>
            <w:pPr>
              <w:pStyle w:val="Compact"/>
              <w:jc w:val="left"/>
            </w:pPr>
            <w:r>
              <w:t xml:space="preserve">Full restoration on thirty clean days</w:t>
            </w:r>
          </w:p>
        </w:tc>
      </w:tr>
      <w:tr>
        <w:tc>
          <w:tcPr/>
          <w:p>
            <w:pPr>
              <w:pStyle w:val="Compact"/>
              <w:jc w:val="left"/>
            </w:pPr>
            <w:r>
              <w:t xml:space="preserve">Tier 3</w:t>
            </w:r>
          </w:p>
        </w:tc>
        <w:tc>
          <w:tcPr/>
          <w:p>
            <w:pPr>
              <w:pStyle w:val="Compact"/>
              <w:jc w:val="left"/>
            </w:pPr>
            <w:r>
              <w:t xml:space="preserve">Interference event; unauthorized security action; charge on passage; firewall violation</w:t>
            </w:r>
          </w:p>
        </w:tc>
        <w:tc>
          <w:tcPr/>
          <w:p>
            <w:pPr>
              <w:pStyle w:val="Compact"/>
              <w:jc w:val="left"/>
            </w:pPr>
            <w:r>
              <w:t xml:space="preserve">Distributions to the responsible account hold in escrow for sixty days; mandatory Council crisis session in Muscat within seven days</w:t>
            </w:r>
          </w:p>
        </w:tc>
        <w:tc>
          <w:tcPr/>
          <w:p>
            <w:pPr>
              <w:pStyle w:val="Compact"/>
              <w:jc w:val="left"/>
            </w:pPr>
            <w:r>
              <w:t xml:space="preserve">Restoration on verified reversal plus thirty clean days</w:t>
            </w:r>
          </w:p>
        </w:tc>
      </w:tr>
      <w:tr>
        <w:tc>
          <w:tcPr/>
          <w:p>
            <w:pPr>
              <w:pStyle w:val="Compact"/>
              <w:jc w:val="left"/>
            </w:pPr>
            <w:r>
              <w:t xml:space="preserve">Tier 4</w:t>
            </w:r>
          </w:p>
        </w:tc>
        <w:tc>
          <w:tcPr/>
          <w:p>
            <w:pPr>
              <w:pStyle w:val="Compact"/>
              <w:jc w:val="left"/>
            </w:pPr>
            <w:r>
              <w:t xml:space="preserve">Attack on a vessel; closure attempt; fundamental breach</w:t>
            </w:r>
          </w:p>
        </w:tc>
        <w:tc>
          <w:tcPr/>
          <w:p>
            <w:pPr>
              <w:pStyle w:val="Compact"/>
              <w:jc w:val="left"/>
            </w:pPr>
            <w:r>
              <w:t xml:space="preserve">Emergency session within seventy-two hours; reversible posture measures of Annex F re-engage for the responsible Participant’s sectors; escrow hold extends to one hundred eighty days</w:t>
            </w:r>
          </w:p>
        </w:tc>
        <w:tc>
          <w:tcPr/>
          <w:p>
            <w:pPr>
              <w:pStyle w:val="Compact"/>
              <w:jc w:val="left"/>
            </w:pPr>
            <w:r>
              <w:t xml:space="preserve">Restoration on verified reversal, remediation, and ninety clean days</w:t>
            </w:r>
          </w:p>
        </w:tc>
      </w:tr>
    </w:tbl>
    <w:bookmarkEnd w:id="272"/>
    <w:bookmarkStart w:id="273" w:name="the-operating-principles-of-the-ladder"/>
    <w:p>
      <w:pPr>
        <w:pStyle w:val="Heading3"/>
      </w:pPr>
      <w:r>
        <w:t xml:space="preserve">37.2 The Operating Principles of the Ladder</w:t>
      </w:r>
    </w:p>
    <w:p>
      <w:pPr>
        <w:pStyle w:val="FirstParagraph"/>
      </w:pPr>
      <w:r>
        <w:t xml:space="preserve">37.2.1 The ladder operates on fixed principles: proportionality governs every response; the response fits the violation; human judgment sits above automation; detection informs and humans decide; earn-back stands always open and no violation creates permanent exclusion; humanitarian flows remain sacred and no step touches food, medicine, or safety; modules fire independently and failure in one never collapses the rest; cooling-off prevents heat-of-moment escalation and every consequence pauses for consultation; military escalation decouples structurally from economic consequences. The architecture presumes good faith: attribution requires evidence and false flags receive explicit exclusion analysis.</w:t>
      </w:r>
    </w:p>
    <w:bookmarkEnd w:id="273"/>
    <w:bookmarkStart w:id="274" w:name="the-earn-back-pathway"/>
    <w:p>
      <w:pPr>
        <w:pStyle w:val="Heading3"/>
      </w:pPr>
      <w:r>
        <w:t xml:space="preserve">37.3 The Earn-Back Pathway</w:t>
      </w:r>
    </w:p>
    <w:p>
      <w:pPr>
        <w:pStyle w:val="FirstParagraph"/>
      </w:pPr>
      <w:r>
        <w:t xml:space="preserve">37.3.1 Every step-down on the ladder opens automatically on verified compliance: thirty clean days restores a Tier 2 position; verified reversal plus thirty clean days restores a Tier 3 position; verified reversal, remediation, and ninety clean days restores a Tier 4 position. A clean day means a day with zero verified violations in the responsible category. The Center publishes every clean-day counter on the dashboard, and restoration executes automatically on the day the counter completes, without any vote.</w:t>
      </w:r>
    </w:p>
    <w:bookmarkEnd w:id="274"/>
    <w:bookmarkStart w:id="275" w:name="the-humanitarian-firewall"/>
    <w:p>
      <w:pPr>
        <w:pStyle w:val="Heading3"/>
      </w:pPr>
      <w:r>
        <w:t xml:space="preserve">37.4 The Humanitarian Firewall</w:t>
      </w:r>
    </w:p>
    <w:p>
      <w:pPr>
        <w:pStyle w:val="FirstParagraph"/>
      </w:pPr>
      <w:r>
        <w:t xml:space="preserve">37.4.1 No response measure touches: Class H traffic or services; search and rescue operations; environmental response; Agency verification logistics; medical or food cargo in any class; or the verification office’s funding. The firewall binds every tier of the ladder and every dispute instrument of Article 38.</w:t>
      </w:r>
    </w:p>
    <w:bookmarkEnd w:id="275"/>
    <w:bookmarkStart w:id="276" w:name="no-automatic-snapback"/>
    <w:p>
      <w:pPr>
        <w:pStyle w:val="Heading3"/>
      </w:pPr>
      <w:r>
        <w:t xml:space="preserve">37.5 No Automatic Snapback</w:t>
      </w:r>
    </w:p>
    <w:p>
      <w:pPr>
        <w:pStyle w:val="FirstParagraph"/>
      </w:pPr>
      <w:r>
        <w:t xml:space="preserve">37.5.1 The Charter contains no snapback. No single event restores a prior regime, revokes a banked gain, or suspends the Charter. Every consequence runs forward from its trigger through the ladder, and every restoration runs forward through earn-back. The only exit from the Charter runs through the notice ladder of Article 40.</w:t>
      </w:r>
    </w:p>
    <w:bookmarkEnd w:id="276"/>
    <w:bookmarkStart w:id="277" w:name="the-still-water-clause"/>
    <w:p>
      <w:pPr>
        <w:pStyle w:val="Heading3"/>
      </w:pPr>
      <w:r>
        <w:t xml:space="preserve">37.6 The Still Water Clause</w:t>
      </w:r>
    </w:p>
    <w:p>
      <w:pPr>
        <w:pStyle w:val="FirstParagraph"/>
      </w:pPr>
      <w:r>
        <w:t xml:space="preserve">37.6.1 Where a sudden event shocks the system, any Participant invokes a Still Water pause: a seventy-two hour freeze on new consequences, new phase steps, and new classifications, during which the corridors keep operating, the hotlines stay open, and the Council convenes. The clause exists so that the system never decides anything in the first heat of a crisis. Still Water pauses stack to a maximum of two consecutive invocations on the same event.</w:t>
      </w:r>
    </w:p>
    <w:bookmarkEnd w:id="277"/>
    <w:bookmarkEnd w:id="278"/>
    <w:bookmarkStart w:id="283" w:name="article-38-dispute-resolution"/>
    <w:p>
      <w:pPr>
        <w:pStyle w:val="Heading2"/>
      </w:pPr>
      <w:r>
        <w:t xml:space="preserve">Article 38: Dispute Resolution</w:t>
      </w:r>
    </w:p>
    <w:bookmarkStart w:id="279" w:name="the-ladder-1"/>
    <w:p>
      <w:pPr>
        <w:pStyle w:val="Heading3"/>
      </w:pPr>
      <w:r>
        <w:t xml:space="preserve">38.1 The Ladder</w:t>
      </w:r>
    </w:p>
    <w:p>
      <w:pPr>
        <w:pStyle w:val="FirstParagraph"/>
      </w:pPr>
      <w:r>
        <w:t xml:space="preserve">38.1.1 Disputes regarding the interpretation or application of this Charter move through a four-rung ladder: technical consultation in the Joint Technical Committee, fourteen days; facilitation by the facilitating states, fourteen days; formal Council decision under the Qualified Majority Rule, thirty days; and binding arbitration under this Article.</w:t>
      </w:r>
    </w:p>
    <w:bookmarkEnd w:id="279"/>
    <w:bookmarkStart w:id="280" w:name="the-technical-arbitration-panel"/>
    <w:p>
      <w:pPr>
        <w:pStyle w:val="Heading3"/>
      </w:pPr>
      <w:r>
        <w:t xml:space="preserve">38.2 The Technical Arbitration Panel</w:t>
      </w:r>
    </w:p>
    <w:p>
      <w:pPr>
        <w:pStyle w:val="FirstParagraph"/>
      </w:pPr>
      <w:r>
        <w:t xml:space="preserve">38.2.1 Any dispute the ladder does not resolve moves, on the request of any Participant, to a three-member arbitration panel appointed by the Secretary-General of the International Maritime Organization from a standing roster of eleven maritime arbitrators maintained under Annex O. The framework architecture excludes mutual consent as a requirement for referral once the ladder’s rungs complete.</w:t>
      </w:r>
    </w:p>
    <w:p>
      <w:pPr>
        <w:pStyle w:val="BodyText"/>
      </w:pPr>
      <w:r>
        <w:t xml:space="preserve">38.2.2 The panel convenes within fourteen days of appointment and issues a ruling within thirty days of its first hearing. The ruling binds all Participants on the matter referred, and it carries no appeal. The panel’s authority covers interpretation and application of this Charter and its annexes; it touches no question of sovereignty, boundary, sanctions policy, or the nuclear track.</w:t>
      </w:r>
    </w:p>
    <w:bookmarkEnd w:id="280"/>
    <w:bookmarkStart w:id="281" w:name="interim-operation"/>
    <w:p>
      <w:pPr>
        <w:pStyle w:val="Heading3"/>
      </w:pPr>
      <w:r>
        <w:t xml:space="preserve">38.3 Interim Operation</w:t>
      </w:r>
    </w:p>
    <w:p>
      <w:pPr>
        <w:pStyle w:val="FirstParagraph"/>
      </w:pPr>
      <w:r>
        <w:t xml:space="preserve">38.3.1 During any dispute, every provision of this Charter remains in full effect, the corridors keep operating, the Fund keeps paying verified invoices, and no Participant takes unilateral coercive action of any kind pending resolution. Default continuity governs the disputed function at its last certified level.</w:t>
      </w:r>
    </w:p>
    <w:bookmarkEnd w:id="281"/>
    <w:bookmarkStart w:id="282" w:name="decoupling-from-force"/>
    <w:p>
      <w:pPr>
        <w:pStyle w:val="Heading3"/>
      </w:pPr>
      <w:r>
        <w:t xml:space="preserve">38.4 Decoupling from Force</w:t>
      </w:r>
    </w:p>
    <w:p>
      <w:pPr>
        <w:pStyle w:val="FirstParagraph"/>
      </w:pPr>
      <w:r>
        <w:t xml:space="preserve">38.4.1 The dispute machinery operates entirely outside the military domain. No rung of the ladder authorizes, excuses, or accelerates any use of force, and no military development suspends any rung. The architecture treats the ladder and the hotlines as parallel systems: the ladder resolves disputes, the hotlines prevent incidents, and each runs under all conditions.</w:t>
      </w:r>
    </w:p>
    <w:bookmarkEnd w:id="282"/>
    <w:bookmarkEnd w:id="283"/>
    <w:bookmarkStart w:id="286" w:name="Xf83fa8a9c7f260f1f92820d297190d2d2cd47a8"/>
    <w:p>
      <w:pPr>
        <w:pStyle w:val="Heading2"/>
      </w:pPr>
      <w:r>
        <w:t xml:space="preserve">Article 39: Good Faith and the Conduct Standard</w:t>
      </w:r>
    </w:p>
    <w:bookmarkStart w:id="284" w:name="the-standard"/>
    <w:p>
      <w:pPr>
        <w:pStyle w:val="Heading3"/>
      </w:pPr>
      <w:r>
        <w:t xml:space="preserve">39.1 The Standard</w:t>
      </w:r>
    </w:p>
    <w:p>
      <w:pPr>
        <w:pStyle w:val="FirstParagraph"/>
      </w:pPr>
      <w:r>
        <w:t xml:space="preserve">39.1.1 Good faith under this Charter means: timely and complete reporting of incidents and data; absence of deliberate exploitation of ambiguities to avoid compliance; immediate correction of Category One deviations on notice; provision of unaltered, complete raw data to the Shared Dashboard; and refusal to use procedural objections as obstruction. A Council finding of bad faith conduct treats the conduct as a Tier 2 event for the first instance and a Tier 3 event for any subsequent instance within the same twelve-month period.</w:t>
      </w:r>
    </w:p>
    <w:bookmarkEnd w:id="284"/>
    <w:bookmarkStart w:id="285" w:name="the-good-faith-reset"/>
    <w:p>
      <w:pPr>
        <w:pStyle w:val="Heading3"/>
      </w:pPr>
      <w:r>
        <w:t xml:space="preserve">39.2 The Good Faith Reset</w:t>
      </w:r>
    </w:p>
    <w:p>
      <w:pPr>
        <w:pStyle w:val="FirstParagraph"/>
      </w:pPr>
      <w:r>
        <w:t xml:space="preserve">39.2.1 Once per calendar year, any Participant invokes the Good Faith Reset: a facilitated session at which every outstanding Category One and Category Two item on that Participant’s record closes on a remediation plan, and the ledger resets to zero for those categories. The reset exists so that small frictions never accumulate into structural hostility.</w:t>
      </w:r>
    </w:p>
    <w:bookmarkEnd w:id="285"/>
    <w:bookmarkEnd w:id="286"/>
    <w:bookmarkEnd w:id="287"/>
    <w:bookmarkStart w:id="317" w:name="Xf0a08225e3c32ba0306a69fa3c04ffb5aa1e3fb"/>
    <w:p>
      <w:pPr>
        <w:pStyle w:val="Heading1"/>
      </w:pPr>
      <w:r>
        <w:t xml:space="preserve">Part VIII: Continuity, Activation, and Transition</w:t>
      </w:r>
    </w:p>
    <w:bookmarkStart w:id="293" w:name="X9357a03ed240f2c262b7345272121a6914a0078"/>
    <w:p>
      <w:pPr>
        <w:pStyle w:val="Heading2"/>
      </w:pPr>
      <w:r>
        <w:t xml:space="preserve">Article 40: No-Fade Continuity, Banked Performance, and the Notice Ladder</w:t>
      </w:r>
    </w:p>
    <w:bookmarkStart w:id="288" w:name="the-rule-1"/>
    <w:p>
      <w:pPr>
        <w:pStyle w:val="Heading3"/>
      </w:pPr>
      <w:r>
        <w:t xml:space="preserve">40.1 The Rule</w:t>
      </w:r>
    </w:p>
    <w:p>
      <w:pPr>
        <w:pStyle w:val="FirstParagraph"/>
      </w:pPr>
      <w:r>
        <w:t xml:space="preserve">40.1.1 No commitment under this Charter fades at any date boundary. Verified performance banks permanently and carries forward into every review, every renewal, and every successor instrument. Review points, reporting deadlines, and phase boundaries operate as administrative rhythms, never as expiries.</w:t>
      </w:r>
    </w:p>
    <w:bookmarkEnd w:id="288"/>
    <w:bookmarkStart w:id="289" w:name="the-rolling-horizon"/>
    <w:p>
      <w:pPr>
        <w:pStyle w:val="Heading3"/>
      </w:pPr>
      <w:r>
        <w:t xml:space="preserve">40.2 The Rolling Horizon</w:t>
      </w:r>
    </w:p>
    <w:p>
      <w:pPr>
        <w:pStyle w:val="FirstParagraph"/>
      </w:pPr>
      <w:r>
        <w:t xml:space="preserve">40.2.1 The Charter continues in force without term. At each annual Open Water Review Conference, continuation forms the default, and any change proceeds only by written instrument under Article 43. Renewal occurs by silence; amendment occurs by writing; exit occurs by the notice ladder.</w:t>
      </w:r>
    </w:p>
    <w:bookmarkEnd w:id="289"/>
    <w:bookmarkStart w:id="290" w:name="banked-performance-survival"/>
    <w:p>
      <w:pPr>
        <w:pStyle w:val="Heading3"/>
      </w:pPr>
      <w:r>
        <w:t xml:space="preserve">40.3 Banked Performance Survival</w:t>
      </w:r>
    </w:p>
    <w:p>
      <w:pPr>
        <w:pStyle w:val="FirstParagraph"/>
      </w:pPr>
      <w:r>
        <w:t xml:space="preserve">40.3.1 Every certification, every clean-day counter, every Performance Reserve credit, every stability audit result, and every verified step of the Synchronization Schedule survives every review, every amendment, every personnel change, and every political transition in every Participant. The architecture remembers everything it has earned.</w:t>
      </w:r>
    </w:p>
    <w:bookmarkEnd w:id="290"/>
    <w:bookmarkStart w:id="291" w:name="the-notice-ladder"/>
    <w:p>
      <w:pPr>
        <w:pStyle w:val="Heading3"/>
      </w:pPr>
      <w:r>
        <w:t xml:space="preserve">40.4 The Notice Ladder</w:t>
      </w:r>
    </w:p>
    <w:p>
      <w:pPr>
        <w:pStyle w:val="FirstParagraph"/>
      </w:pPr>
      <w:r>
        <w:t xml:space="preserve">40.4.1 A Participant withdraws from this Charter through a four-rung notice ladder: written notice of intent to the Depositary, starting a one hundred eighty day window; facilitated consultation during the first sixty days; Council review during the second sixty days; and effect at the end of the window unless the Participant rescinds in writing. During the entire window, every provision of this Charter remains in full effect, and no Participant takes unilateral coercive action pending the window’s close.</w:t>
      </w:r>
    </w:p>
    <w:p>
      <w:pPr>
        <w:pStyle w:val="BodyText"/>
      </w:pPr>
      <w:r>
        <w:t xml:space="preserve">40.4.2 On effect of withdrawal, the withdrawing Participant remains bound by: all financial obligations accrued prior to the withdrawal date; all incident reports and compliance determinations issued; all dispute proceedings initiated prior to the withdrawal date; and the data sovereignty provisions of Article 14.6, which survive withdrawal without limit in time.</w:t>
      </w:r>
    </w:p>
    <w:bookmarkEnd w:id="291"/>
    <w:bookmarkStart w:id="292" w:name="material-adverse-change"/>
    <w:p>
      <w:pPr>
        <w:pStyle w:val="Heading3"/>
      </w:pPr>
      <w:r>
        <w:t xml:space="preserve">40.5 Material Adverse Change</w:t>
      </w:r>
    </w:p>
    <w:p>
      <w:pPr>
        <w:pStyle w:val="FirstParagraph"/>
      </w:pPr>
      <w:r>
        <w:t xml:space="preserve">40.5.1 If the United Nations Security Council adopts a resolution under Chapter VII concerning a Participant’s conduct in the Strait, or a Participant conducts a nuclear explosive test, or the Agency’s Board of Governors issues a determination of safeguards non-compliance concerning a Participant, any Participant invokes a sixty-day emergency suspension of the reversible posture measures of Annex F, with rolling renewal on Council affirmation. The suspension touches nothing else: the corridors operate, the Fund pays, the Bulletin publishes, and the earn-back pathway stands open throughout. The framework architecture breathes; it never collapses upon breach.</w:t>
      </w:r>
    </w:p>
    <w:bookmarkEnd w:id="292"/>
    <w:bookmarkEnd w:id="293"/>
    <w:bookmarkStart w:id="301" w:name="Xa19cdd65c0ec9e9b5662574d43bdf0e65cf5fcd"/>
    <w:p>
      <w:pPr>
        <w:pStyle w:val="Heading2"/>
      </w:pPr>
      <w:r>
        <w:t xml:space="preserve">Article 41: Phased Activation: The One Hundred Twenty Day Sequence</w:t>
      </w:r>
    </w:p>
    <w:bookmarkStart w:id="294" w:name="the-sequence-at-a-glance"/>
    <w:p>
      <w:pPr>
        <w:pStyle w:val="Heading3"/>
      </w:pPr>
      <w:r>
        <w:t xml:space="preserve">41.1 The Sequence at a Glance</w:t>
      </w:r>
    </w:p>
    <w:p>
      <w:pPr>
        <w:pStyle w:val="FirstParagraph"/>
      </w:pPr>
      <w:r>
        <w:t xml:space="preserve">41.1.1 The Charter activates in six phases over one hundred twenty days from signature. Each phase carries defined gates, defined verifications, and defined public announcements, and Annex M carries the complete activation checklist. The sequence moves the Strait from wartime routing to full Charter governance without a single day of uncovered water.</w:t>
      </w:r>
    </w:p>
    <w:bookmarkEnd w:id="294"/>
    <w:bookmarkStart w:id="295" w:name="Xf9facbb0213c594c9f415b1271289b7fbf29c4d"/>
    <w:p>
      <w:pPr>
        <w:pStyle w:val="Heading3"/>
      </w:pPr>
      <w:r>
        <w:t xml:space="preserve">41.2 Phase One: Minimal Viable Activation, Days 0 to 10</w:t>
      </w:r>
    </w:p>
    <w:p>
      <w:pPr>
        <w:pStyle w:val="FirstParagraph"/>
      </w:pPr>
      <w:r>
        <w:t xml:space="preserve">41.2.1 On signature: the corridor geometry of Annex A enters force as provisional guidance; the Center opens its watch floor with the founding multinational teams; the dual-key rules of Article 27.3 activate; the Open Water Bulletin begins publication; the zero-toll rule activates immediately across all waters of the Operating Area; and the Littoral Parties issue their joint statement. The wartime lanes remain in interim effect under Center monitoring pending their sunset under Article 5.2.</w:t>
      </w:r>
    </w:p>
    <w:bookmarkEnd w:id="295"/>
    <w:bookmarkStart w:id="296" w:name="Xc7c3fb8e1bad35695584ab54179d0e84626b048"/>
    <w:p>
      <w:pPr>
        <w:pStyle w:val="Heading3"/>
      </w:pPr>
      <w:r>
        <w:t xml:space="preserve">41.3 Phase Two: Pilot Announcement and Corridor Preparation, Days 10 to 20</w:t>
      </w:r>
    </w:p>
    <w:p>
      <w:pPr>
        <w:pStyle w:val="FirstParagraph"/>
      </w:pPr>
      <w:r>
        <w:t xml:space="preserve">41.3.1 The Council announces the pilot phase publicly. The Center releases provisional corridor guidance to shipping companies, flag states, and insurers; the Safe Registry opens for listing; the Fund’s escrow activates at the Central Bank of Oman; the mine countermeasure survey of Annex G begins its first passes; and the Agency access corridor of Article 32 opens for verification logistics.</w:t>
      </w:r>
    </w:p>
    <w:bookmarkEnd w:id="296"/>
    <w:bookmarkStart w:id="297" w:name="Xf7b3cb9c7335f34cc95f09534247bf0605b3f86"/>
    <w:p>
      <w:pPr>
        <w:pStyle w:val="Heading3"/>
      </w:pPr>
      <w:r>
        <w:t xml:space="preserve">41.4 Phase Three: Sequential Corridor Activation, Days 20 to 40</w:t>
      </w:r>
    </w:p>
    <w:p>
      <w:pPr>
        <w:pStyle w:val="FirstParagraph"/>
      </w:pPr>
      <w:r>
        <w:t xml:space="preserve">41.4.1 The corridors activate one at a time. The Central Deconfliction Corridor activates first, on days 20 to 25, establishing separation and emergency routing. The Outbound Assurance Corridor activates second, on days 25 to 35, under Omani functional administration with GCC observer access. The Inbound Coordination Corridor activates third, on days 35 to 40, under Iranian functional administration with observer access for all Participants. Each activation follows Even Keel certification of the sector, and the Bulletin announces each activation forty-eight hours ahead.</w:t>
      </w:r>
    </w:p>
    <w:bookmarkEnd w:id="297"/>
    <w:bookmarkStart w:id="298" w:name="X0032e8f611bd95573ce009b5650e1db5b04a7f0"/>
    <w:p>
      <w:pPr>
        <w:pStyle w:val="Heading3"/>
      </w:pPr>
      <w:r>
        <w:t xml:space="preserve">41.5 Phase Four: Financial Channel Activation, Days 40 to 55</w:t>
      </w:r>
    </w:p>
    <w:p>
      <w:pPr>
        <w:pStyle w:val="FirstParagraph"/>
      </w:pPr>
      <w:r>
        <w:t xml:space="preserve">41.5.1 The Fund opens the six contribution channels at pilot rates set at fifty percent of the founding schedule; the payment channel of Article 23 undergoes its first live transactions under Auditor observation; the compliance review desk publishes the founding firewall certificate; and the first monthly distribution executes on the fifth day following channel activation.</w:t>
      </w:r>
    </w:p>
    <w:bookmarkEnd w:id="298"/>
    <w:bookmarkStart w:id="299" w:name="X90efc735c8779e360e9edd86cfaf25bf3158dad"/>
    <w:p>
      <w:pPr>
        <w:pStyle w:val="Heading3"/>
      </w:pPr>
      <w:r>
        <w:t xml:space="preserve">41.6 Phase Five: The Pilot Period and the Stability Audit, Days 55 to 90</w:t>
      </w:r>
    </w:p>
    <w:p>
      <w:pPr>
        <w:pStyle w:val="FirstParagraph"/>
      </w:pPr>
      <w:r>
        <w:t xml:space="preserve">41.6.1 The system operates at full function under pilot rules: reduced rates, elevated observer presence, and weekly audit snapshots. The Even Keel Office conducts the stability audit of Annex L across the five domains: navigation and identification compliance; security and deconfliction; monitoring and transparency; environment and safety; and finance and payments. The audit produces one of three outcomes: Pass, activating full operation; Conditional Pass, activating full operation with named annex adjustments; or Extend, continuing the pilot for a further thirty days with a published remediation plan.</w:t>
      </w:r>
    </w:p>
    <w:bookmarkEnd w:id="299"/>
    <w:bookmarkStart w:id="300" w:name="phase-six-full-activation-days-90-to-120"/>
    <w:p>
      <w:pPr>
        <w:pStyle w:val="Heading3"/>
      </w:pPr>
      <w:r>
        <w:t xml:space="preserve">41.7 Phase Six: Full Activation, Days 90 to 120</w:t>
      </w:r>
    </w:p>
    <w:p>
      <w:pPr>
        <w:pStyle w:val="FirstParagraph"/>
      </w:pPr>
      <w:r>
        <w:t xml:space="preserve">41.7.1 On a Pass or remediated Conditional Pass: the Council publishes the final corridor coordinates with IMO registration; rates move from pilot to founding levels; the wartime lanes sunset completely; the stability audit publishes in full; and the Council declares the corridor system fully active under permanent Charter governance. The declaration marks no expiry and no completion: the Charter simply continues, without fade, from that day forward.</w:t>
      </w:r>
    </w:p>
    <w:bookmarkEnd w:id="300"/>
    <w:bookmarkEnd w:id="301"/>
    <w:bookmarkStart w:id="304" w:name="Xa40a51feba3add21b33aa9da0988386d4ea0c1b"/>
    <w:p>
      <w:pPr>
        <w:pStyle w:val="Heading2"/>
      </w:pPr>
      <w:r>
        <w:t xml:space="preserve">Article 42: The Open Water Review Conference and Annual Review</w:t>
      </w:r>
    </w:p>
    <w:bookmarkStart w:id="302" w:name="the-conference"/>
    <w:p>
      <w:pPr>
        <w:pStyle w:val="Heading3"/>
      </w:pPr>
      <w:r>
        <w:t xml:space="preserve">42.1 The Conference</w:t>
      </w:r>
    </w:p>
    <w:p>
      <w:pPr>
        <w:pStyle w:val="FirstParagraph"/>
      </w:pPr>
      <w:r>
        <w:t xml:space="preserve">42.1.1 The Participants convene the Open Water Review Conference annually in Muscat, open to all participation categories, the technical organizations, and the Stakeholder Panel. The Conference reviews the annual report, the audit certificates, the stability record, the Synchronization Schedule status, and the budget; elects the rotational Council members; and adopts the annual envelope formula within Article 24.</w:t>
      </w:r>
    </w:p>
    <w:bookmarkEnd w:id="302"/>
    <w:bookmarkStart w:id="303" w:name="the-annual-review-and-lessons-cycle"/>
    <w:p>
      <w:pPr>
        <w:pStyle w:val="Heading3"/>
      </w:pPr>
      <w:r>
        <w:t xml:space="preserve">42.2 The Annual Review and Lessons Cycle</w:t>
      </w:r>
    </w:p>
    <w:p>
      <w:pPr>
        <w:pStyle w:val="FirstParagraph"/>
      </w:pPr>
      <w:r>
        <w:t xml:space="preserve">42.2.1 The Council produces an annual review: operational effectiveness of all provisions; compliance patterns and trends; gaps and ambiguities; lessons from incidents and exercises; and recommendations for amendment. The review publishes publicly, with operational details of a sensitive character redacted by Qualified Majority decision recorded with reasons. The annual review is a technical, operational assessment; it never reopens political questions unless a Participant explicitly tables an amendment under Article 43.</w:t>
      </w:r>
    </w:p>
    <w:bookmarkEnd w:id="303"/>
    <w:bookmarkEnd w:id="304"/>
    <w:bookmarkStart w:id="308" w:name="X95639fbd2d3c446f9fbebee16f47e1aaa4be736"/>
    <w:p>
      <w:pPr>
        <w:pStyle w:val="Heading2"/>
      </w:pPr>
      <w:r>
        <w:t xml:space="preserve">Article 43: Amendment, Accession, and Participation Categories</w:t>
      </w:r>
    </w:p>
    <w:bookmarkStart w:id="305" w:name="amendment-rules"/>
    <w:p>
      <w:pPr>
        <w:pStyle w:val="Heading3"/>
      </w:pPr>
      <w:r>
        <w:t xml:space="preserve">43.1 Amendment Rules</w:t>
      </w:r>
    </w:p>
    <w:p>
      <w:pPr>
        <w:pStyle w:val="FirstParagraph"/>
      </w:pPr>
      <w:r>
        <w:t xml:space="preserve">43.1.1 Amendments to the articles require a Qualified Majority decision of the Council plus written ratification by both Littoral Parties. Amendments to annexes require a Qualified Majority decision of the Council alone. Technical corrections, including cross-reference repairs, tolerance adjustments within plus or minus twenty percent of defined values, and reporting timeframe adjustments, proceed by Joint Technical Committee consensus and enter the master registry with immediate effect. Amendments to the Red Lines Register require unanimity in the Council plus ratification by all Category I Participants.</w:t>
      </w:r>
    </w:p>
    <w:bookmarkEnd w:id="305"/>
    <w:bookmarkStart w:id="306" w:name="accession"/>
    <w:p>
      <w:pPr>
        <w:pStyle w:val="Heading3"/>
      </w:pPr>
      <w:r>
        <w:t xml:space="preserve">43.2 Accession</w:t>
      </w:r>
    </w:p>
    <w:p>
      <w:pPr>
        <w:pStyle w:val="FirstParagraph"/>
      </w:pPr>
      <w:r>
        <w:t xml:space="preserve">43.2.1 Additional states accede to the Charter in the categories of Article 17 by written instrument deposited with the Depositary. Accession to Category II requires the concurrence of the Gulf Cooperation Council members holding seats. Accession to Category III requires a Qualified Majority decision. The Depositary circulates every accession instrument to all Participants within seven days.</w:t>
      </w:r>
    </w:p>
    <w:bookmarkEnd w:id="306"/>
    <w:bookmarkStart w:id="307" w:name="succession-of-the-joint-work"/>
    <w:p>
      <w:pPr>
        <w:pStyle w:val="Heading3"/>
      </w:pPr>
      <w:r>
        <w:t xml:space="preserve">43.3 Succession of the Joint Work</w:t>
      </w:r>
    </w:p>
    <w:p>
      <w:pPr>
        <w:pStyle w:val="FirstParagraph"/>
      </w:pPr>
      <w:r>
        <w:t xml:space="preserve">43.3.1 If any Participant withdraws, the Charter continues among the remaining Participants without interruption. The withdrawing Participant’s functions transfer under the transition plan of Annex M, its banked record remains in the archive, and its seat stands open for re-accession at any time on written notice, with full restoration of banked performance on the day of return.</w:t>
      </w:r>
    </w:p>
    <w:bookmarkEnd w:id="307"/>
    <w:bookmarkEnd w:id="308"/>
    <w:bookmarkStart w:id="316" w:name="article-44-final-provisions"/>
    <w:p>
      <w:pPr>
        <w:pStyle w:val="Heading2"/>
      </w:pPr>
      <w:r>
        <w:t xml:space="preserve">Article 44: Final Provisions</w:t>
      </w:r>
    </w:p>
    <w:bookmarkStart w:id="309" w:name="depositary"/>
    <w:p>
      <w:pPr>
        <w:pStyle w:val="Heading3"/>
      </w:pPr>
      <w:r>
        <w:t xml:space="preserve">44.1 Depositary</w:t>
      </w:r>
    </w:p>
    <w:p>
      <w:pPr>
        <w:pStyle w:val="FirstParagraph"/>
      </w:pPr>
      <w:r>
        <w:t xml:space="preserve">44.1.1 The Ministry of Foreign Affairs of the Sultanate of Oman serves as Depositary of this Charter. The Depositary maintains the original signed instrument and all amendments, certifications, and accessions; verifies the authenticity of signatures and instruments; notifies all Participants of every communication received; and registers this Charter with the International Maritime Organization upon entry into force.</w:t>
      </w:r>
    </w:p>
    <w:bookmarkEnd w:id="309"/>
    <w:bookmarkStart w:id="310" w:name="languages"/>
    <w:p>
      <w:pPr>
        <w:pStyle w:val="Heading3"/>
      </w:pPr>
      <w:r>
        <w:t xml:space="preserve">44.2 Languages</w:t>
      </w:r>
    </w:p>
    <w:p>
      <w:pPr>
        <w:pStyle w:val="FirstParagraph"/>
      </w:pPr>
      <w:r>
        <w:t xml:space="preserve">44.2.1 The Parties execute this Charter in Persian, Arabic, and English, each text equally authoritative. In case of divergence among the texts, the Council adopts the shared meaning the negotiators intended and records that meaning in the Council minutes. The English text governs technical interpretation of the annexes.</w:t>
      </w:r>
    </w:p>
    <w:bookmarkEnd w:id="310"/>
    <w:bookmarkStart w:id="311" w:name="operational-commander-acknowledgment"/>
    <w:p>
      <w:pPr>
        <w:pStyle w:val="Heading3"/>
      </w:pPr>
      <w:r>
        <w:t xml:space="preserve">44.3 Operational Commander Acknowledgment</w:t>
      </w:r>
    </w:p>
    <w:p>
      <w:pPr>
        <w:pStyle w:val="FirstParagraph"/>
      </w:pPr>
      <w:r>
        <w:t xml:space="preserve">44.3.1 Within thirty days of signature, each Littoral Party and each Regional Participant submits to the Council a written acknowledgment from its operational commands responsible for activities in the Strait, confirming receipt of the annexes and commitment to executing their provisions. The acknowledgment provides operational buy-in without giving any military body a formal veto over the Charter. If acknowledgment is not received within thirty days, the Council publishes a notice of non-acknowledgment, and the non-acknowledging Participant’s phase benefits pause until receipt. The pause lifts automatically on receipt and triggers no other consequence.</w:t>
      </w:r>
    </w:p>
    <w:bookmarkEnd w:id="311"/>
    <w:bookmarkStart w:id="312" w:name="non-retroactivity"/>
    <w:p>
      <w:pPr>
        <w:pStyle w:val="Heading3"/>
      </w:pPr>
      <w:r>
        <w:t xml:space="preserve">44.4 Non-Retroactivity</w:t>
      </w:r>
    </w:p>
    <w:p>
      <w:pPr>
        <w:pStyle w:val="FirstParagraph"/>
      </w:pPr>
      <w:r>
        <w:t xml:space="preserve">44.4.1 This Charter applies exclusively to conduct occurring on or after its effective date. Incidents prior to the effective date remain governed by the regimes in force at the time.</w:t>
      </w:r>
    </w:p>
    <w:bookmarkEnd w:id="312"/>
    <w:bookmarkStart w:id="313" w:name="relationship-among-annexes"/>
    <w:p>
      <w:pPr>
        <w:pStyle w:val="Heading3"/>
      </w:pPr>
      <w:r>
        <w:t xml:space="preserve">44.5 Relationship Among Annexes</w:t>
      </w:r>
    </w:p>
    <w:p>
      <w:pPr>
        <w:pStyle w:val="FirstParagraph"/>
      </w:pPr>
      <w:r>
        <w:t xml:space="preserve">44.5.1 The annexes form an integral part of this Charter and carry equal legal weight. In case of inconsistency: Annex A governs geometry; Annex D governs financial mechanics; Annex F governs security posture; Annex K governs the nuclear interface; and in every case the articles govern the annexes.</w:t>
      </w:r>
    </w:p>
    <w:bookmarkEnd w:id="313"/>
    <w:bookmarkStart w:id="314" w:name="confidentiality-and-publication"/>
    <w:p>
      <w:pPr>
        <w:pStyle w:val="Heading3"/>
      </w:pPr>
      <w:r>
        <w:t xml:space="preserve">44.6 Confidentiality and Publication</w:t>
      </w:r>
    </w:p>
    <w:p>
      <w:pPr>
        <w:pStyle w:val="FirstParagraph"/>
      </w:pPr>
      <w:r>
        <w:t xml:space="preserve">44.6.1 Operational data, communications logs, incident reports, and financial records bear the classification RESTRICTED and circulate among the Participants under Article 14.6. The Bulletin, the daily status report, the audit certificates, the compliance dashboard, the annual review, and the published rates and coordinates stand public by design.</w:t>
      </w:r>
    </w:p>
    <w:bookmarkEnd w:id="314"/>
    <w:bookmarkStart w:id="315" w:name="the-simultaneous-exchange-protocol"/>
    <w:p>
      <w:pPr>
        <w:pStyle w:val="Heading3"/>
      </w:pPr>
      <w:r>
        <w:t xml:space="preserve">44.7 The Simultaneous Exchange Protocol</w:t>
      </w:r>
    </w:p>
    <w:p>
      <w:pPr>
        <w:pStyle w:val="FirstParagraph"/>
      </w:pPr>
      <w:r>
        <w:t xml:space="preserve">44.7.1 Signature proceeds by simultaneous exchange: the delegations hold identical pre-printed signature pages; at the signal of the Depositary, all sign at the same time; the signed originals pass immediately to the Depositary, who certifies them on the spot; and no delegation leaves the room with an unsigned copy.</w:t>
      </w:r>
    </w:p>
    <w:bookmarkEnd w:id="315"/>
    <w:bookmarkEnd w:id="316"/>
    <w:bookmarkEnd w:id="317"/>
    <w:bookmarkStart w:id="329" w:name="Xf2926fa6c72c0986bce02d8d124778546a38534"/>
    <w:p>
      <w:pPr>
        <w:pStyle w:val="Heading1"/>
      </w:pPr>
      <w:r>
        <w:t xml:space="preserve">ANNEX A: Corridor Coordinates and Geometry Registry</w:t>
      </w:r>
    </w:p>
    <w:bookmarkStart w:id="318" w:name="a.1-purpose-and-geodetic-standard"/>
    <w:p>
      <w:pPr>
        <w:pStyle w:val="Heading2"/>
      </w:pPr>
      <w:r>
        <w:t xml:space="preserve">A.1 Purpose and Geodetic Standard</w:t>
      </w:r>
    </w:p>
    <w:p>
      <w:pPr>
        <w:pStyle w:val="FirstParagraph"/>
      </w:pPr>
      <w:r>
        <w:t xml:space="preserve">A.1.1 This annex fixes the complete geometry of the corridor system: every waypoint, every lateral boundary, every separation belt, every reporting point, every holding anchorage, and every chart reference. The Center maintains this registry as the single authoritative source, publishes it on the Shared Dashboard, and files it with the International Maritime Organization and the International Hydrographic Organization through the joint notification of Article 2.5.</w:t>
      </w:r>
    </w:p>
    <w:p>
      <w:pPr>
        <w:pStyle w:val="BodyText"/>
      </w:pPr>
      <w:r>
        <w:t xml:space="preserve">A.1.2 All coordinates use the World Geodetic System 1984 datum, expressed in degrees and decimal minutes of north latitude and east longitude. All distances use nautical miles. All depths use meters below chart datum. The chart reproduction scale stands at 1:150,000 for the Operating Area and 1:50,000 for the critical reaches, with the graticule and symbols of the International Hydrographic Organization standard.</w:t>
      </w:r>
    </w:p>
    <w:bookmarkEnd w:id="318"/>
    <w:bookmarkStart w:id="319" w:name="a.2-operating-area-boundary"/>
    <w:p>
      <w:pPr>
        <w:pStyle w:val="Heading2"/>
      </w:pPr>
      <w:r>
        <w:t xml:space="preserve">A.2 Operating Area Boundary</w:t>
      </w:r>
    </w:p>
    <w:p>
      <w:pPr>
        <w:pStyle w:val="FirstParagraph"/>
      </w:pPr>
      <w:r>
        <w:t xml:space="preserve">A.2.1 The Operating Area boundary connects the following points in order: 26 degrees 42.0 minutes N, 056 degrees 35.0 minutes E, at Ra’s al Kuh; 26 degrees 10.0 minutes N, 056 degrees 20.0 minutes E; 25 degrees 50.0 minutes N, 056 degrees 40.0 minutes E; 25 degrees 40.0 minutes N, 057 degrees 10.0 minutes E; 26 degrees 05.0 minutes N, 057 degrees 05.0 minutes E; 26 degrees 30.0 minutes N, 056 degrees 55.0 minutes E; 26 degrees 55.0 minutes N, 056 degrees 40.0 minutes E; and return to Ra’s al Kuh. The envelope includes the territorial seas of the Littoral Parties within it, the holding anchorages of Section A.6, and the approach sectors of Section A.8.</w:t>
      </w:r>
    </w:p>
    <w:bookmarkEnd w:id="319"/>
    <w:bookmarkStart w:id="320" w:name="a.3-the-inbound-coordination-corridor"/>
    <w:p>
      <w:pPr>
        <w:pStyle w:val="Heading2"/>
      </w:pPr>
      <w:r>
        <w:t xml:space="preserve">A.3 The Inbound Coordination Corridor</w:t>
      </w:r>
    </w:p>
    <w:p>
      <w:pPr>
        <w:pStyle w:val="FirstParagraph"/>
      </w:pPr>
      <w:r>
        <w:t xml:space="preserve">A.3.1 The Inbound Coordination Corridor carries Gulf-entering traffic from the eastern entrance to the western exit along the northern lanes. The following reference waypoints define the corridor centerline against which lane adherence measurement operates.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Waypoint</w:t>
            </w:r>
          </w:p>
        </w:tc>
        <w:tc>
          <w:tcPr/>
          <w:p>
            <w:pPr>
              <w:pStyle w:val="Compact"/>
              <w:jc w:val="left"/>
            </w:pPr>
            <w:r>
              <w:t xml:space="preserve">Latitude (N)</w:t>
            </w:r>
          </w:p>
        </w:tc>
        <w:tc>
          <w:tcPr/>
          <w:p>
            <w:pPr>
              <w:pStyle w:val="Compact"/>
              <w:jc w:val="left"/>
            </w:pPr>
            <w:r>
              <w:t xml:space="preserve">Longitude (E)</w:t>
            </w:r>
          </w:p>
        </w:tc>
        <w:tc>
          <w:tcPr/>
          <w:p>
            <w:pPr>
              <w:pStyle w:val="Compact"/>
              <w:jc w:val="left"/>
            </w:pPr>
            <w:r>
              <w:t xml:space="preserve">Function</w:t>
            </w:r>
          </w:p>
        </w:tc>
      </w:tr>
      <w:tr>
        <w:tc>
          <w:tcPr/>
          <w:p>
            <w:pPr>
              <w:pStyle w:val="Compact"/>
              <w:jc w:val="left"/>
            </w:pPr>
            <w:r>
              <w:t xml:space="preserve">IC-Alpha</w:t>
            </w:r>
          </w:p>
        </w:tc>
        <w:tc>
          <w:tcPr/>
          <w:p>
            <w:pPr>
              <w:pStyle w:val="Compact"/>
              <w:jc w:val="left"/>
            </w:pPr>
            <w:r>
              <w:t xml:space="preserve">26 degrees 32.0 minutes</w:t>
            </w:r>
          </w:p>
        </w:tc>
        <w:tc>
          <w:tcPr/>
          <w:p>
            <w:pPr>
              <w:pStyle w:val="Compact"/>
              <w:jc w:val="left"/>
            </w:pPr>
            <w:r>
              <w:t xml:space="preserve">056 degrees 52.0 minutes</w:t>
            </w:r>
          </w:p>
        </w:tc>
        <w:tc>
          <w:tcPr/>
          <w:p>
            <w:pPr>
              <w:pStyle w:val="Compact"/>
              <w:jc w:val="left"/>
            </w:pPr>
            <w:r>
              <w:t xml:space="preserve">Eastern entry gate</w:t>
            </w:r>
          </w:p>
        </w:tc>
      </w:tr>
      <w:tr>
        <w:tc>
          <w:tcPr/>
          <w:p>
            <w:pPr>
              <w:pStyle w:val="Compact"/>
              <w:jc w:val="left"/>
            </w:pPr>
            <w:r>
              <w:t xml:space="preserve">IC-1</w:t>
            </w:r>
          </w:p>
        </w:tc>
        <w:tc>
          <w:tcPr/>
          <w:p>
            <w:pPr>
              <w:pStyle w:val="Compact"/>
              <w:jc w:val="left"/>
            </w:pPr>
            <w:r>
              <w:t xml:space="preserve">26 degrees 34.0 minutes</w:t>
            </w:r>
          </w:p>
        </w:tc>
        <w:tc>
          <w:tcPr/>
          <w:p>
            <w:pPr>
              <w:pStyle w:val="Compact"/>
              <w:jc w:val="left"/>
            </w:pPr>
            <w:r>
              <w:t xml:space="preserve">056 degrees 45.0 minutes</w:t>
            </w:r>
          </w:p>
        </w:tc>
        <w:tc>
          <w:tcPr/>
          <w:p>
            <w:pPr>
              <w:pStyle w:val="Compact"/>
              <w:jc w:val="left"/>
            </w:pPr>
            <w:r>
              <w:t xml:space="preserve">Larak southern approach</w:t>
            </w:r>
          </w:p>
        </w:tc>
      </w:tr>
      <w:tr>
        <w:tc>
          <w:tcPr/>
          <w:p>
            <w:pPr>
              <w:pStyle w:val="Compact"/>
              <w:jc w:val="left"/>
            </w:pPr>
            <w:r>
              <w:t xml:space="preserve">IC-2</w:t>
            </w:r>
          </w:p>
        </w:tc>
        <w:tc>
          <w:tcPr/>
          <w:p>
            <w:pPr>
              <w:pStyle w:val="Compact"/>
              <w:jc w:val="left"/>
            </w:pPr>
            <w:r>
              <w:t xml:space="preserve">26 degrees 36.0 minutes</w:t>
            </w:r>
          </w:p>
        </w:tc>
        <w:tc>
          <w:tcPr/>
          <w:p>
            <w:pPr>
              <w:pStyle w:val="Compact"/>
              <w:jc w:val="left"/>
            </w:pPr>
            <w:r>
              <w:t xml:space="preserve">056 degrees 38.0 minutes</w:t>
            </w:r>
          </w:p>
        </w:tc>
        <w:tc>
          <w:tcPr/>
          <w:p>
            <w:pPr>
              <w:pStyle w:val="Compact"/>
              <w:jc w:val="left"/>
            </w:pPr>
            <w:r>
              <w:t xml:space="preserve">Mid-corridor reference</w:t>
            </w:r>
          </w:p>
        </w:tc>
      </w:tr>
      <w:tr>
        <w:tc>
          <w:tcPr/>
          <w:p>
            <w:pPr>
              <w:pStyle w:val="Compact"/>
              <w:jc w:val="left"/>
            </w:pPr>
            <w:r>
              <w:t xml:space="preserve">IC-3</w:t>
            </w:r>
          </w:p>
        </w:tc>
        <w:tc>
          <w:tcPr/>
          <w:p>
            <w:pPr>
              <w:pStyle w:val="Compact"/>
              <w:jc w:val="left"/>
            </w:pPr>
            <w:r>
              <w:t xml:space="preserve">26 degrees 35.0 minutes</w:t>
            </w:r>
          </w:p>
        </w:tc>
        <w:tc>
          <w:tcPr/>
          <w:p>
            <w:pPr>
              <w:pStyle w:val="Compact"/>
              <w:jc w:val="left"/>
            </w:pPr>
            <w:r>
              <w:t xml:space="preserve">056 degrees 30.0 minutes</w:t>
            </w:r>
          </w:p>
        </w:tc>
        <w:tc>
          <w:tcPr/>
          <w:p>
            <w:pPr>
              <w:pStyle w:val="Compact"/>
              <w:jc w:val="left"/>
            </w:pPr>
            <w:r>
              <w:t xml:space="preserve">Qeshm channel approach</w:t>
            </w:r>
          </w:p>
        </w:tc>
      </w:tr>
      <w:tr>
        <w:tc>
          <w:tcPr/>
          <w:p>
            <w:pPr>
              <w:pStyle w:val="Compact"/>
              <w:jc w:val="left"/>
            </w:pPr>
            <w:r>
              <w:t xml:space="preserve">IC-4</w:t>
            </w:r>
          </w:p>
        </w:tc>
        <w:tc>
          <w:tcPr/>
          <w:p>
            <w:pPr>
              <w:pStyle w:val="Compact"/>
              <w:jc w:val="left"/>
            </w:pPr>
            <w:r>
              <w:t xml:space="preserve">26 degrees 33.0 minutes</w:t>
            </w:r>
          </w:p>
        </w:tc>
        <w:tc>
          <w:tcPr/>
          <w:p>
            <w:pPr>
              <w:pStyle w:val="Compact"/>
              <w:jc w:val="left"/>
            </w:pPr>
            <w:r>
              <w:t xml:space="preserve">056 degrees 24.0 minutes</w:t>
            </w:r>
          </w:p>
        </w:tc>
        <w:tc>
          <w:tcPr/>
          <w:p>
            <w:pPr>
              <w:pStyle w:val="Compact"/>
              <w:jc w:val="left"/>
            </w:pPr>
            <w:r>
              <w:t xml:space="preserve">Passing zone east</w:t>
            </w:r>
          </w:p>
        </w:tc>
      </w:tr>
      <w:tr>
        <w:tc>
          <w:tcPr/>
          <w:p>
            <w:pPr>
              <w:pStyle w:val="Compact"/>
              <w:jc w:val="left"/>
            </w:pPr>
            <w:r>
              <w:t xml:space="preserve">IC-Omega</w:t>
            </w:r>
          </w:p>
        </w:tc>
        <w:tc>
          <w:tcPr/>
          <w:p>
            <w:pPr>
              <w:pStyle w:val="Compact"/>
              <w:jc w:val="left"/>
            </w:pPr>
            <w:r>
              <w:t xml:space="preserve">26 degrees 31.0 minutes</w:t>
            </w:r>
          </w:p>
        </w:tc>
        <w:tc>
          <w:tcPr/>
          <w:p>
            <w:pPr>
              <w:pStyle w:val="Compact"/>
              <w:jc w:val="left"/>
            </w:pPr>
            <w:r>
              <w:t xml:space="preserve">056 degrees 16.0 minutes</w:t>
            </w:r>
          </w:p>
        </w:tc>
        <w:tc>
          <w:tcPr/>
          <w:p>
            <w:pPr>
              <w:pStyle w:val="Compact"/>
              <w:jc w:val="left"/>
            </w:pPr>
            <w:r>
              <w:t xml:space="preserve">Western exit gate</w:t>
            </w:r>
          </w:p>
        </w:tc>
      </w:tr>
    </w:tbl>
    <w:p>
      <w:pPr>
        <w:pStyle w:val="BodyText"/>
      </w:pPr>
      <w:r>
        <w:t xml:space="preserve">A.3.2 The corridor measures two to three nautical miles in width, with a westbound primary lane and designated passing zones between waypoints IC-3 and IC-Omega. Lateral boundaries lie one to one and a half nautical miles either side of the centerline, and the northern boundary stands clear of the Inshore Local Craft Band of Section A.7.</w:t>
      </w:r>
    </w:p>
    <w:bookmarkEnd w:id="320"/>
    <w:bookmarkStart w:id="321" w:name="a.4-the-outbound-assurance-corridor"/>
    <w:p>
      <w:pPr>
        <w:pStyle w:val="Heading2"/>
      </w:pPr>
      <w:r>
        <w:t xml:space="preserve">A.4 The Outbound Assurance Corridor</w:t>
      </w:r>
    </w:p>
    <w:p>
      <w:pPr>
        <w:pStyle w:val="FirstParagraph"/>
      </w:pPr>
      <w:r>
        <w:t xml:space="preserve">A.4.1 The Outbound Assurance Corridor carries Gulf-exiting traffic from the western entrance to the eastern exit along the southern lanes.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Waypoint</w:t>
            </w:r>
          </w:p>
        </w:tc>
        <w:tc>
          <w:tcPr/>
          <w:p>
            <w:pPr>
              <w:pStyle w:val="Compact"/>
              <w:jc w:val="left"/>
            </w:pPr>
            <w:r>
              <w:t xml:space="preserve">Latitude (N)</w:t>
            </w:r>
          </w:p>
        </w:tc>
        <w:tc>
          <w:tcPr/>
          <w:p>
            <w:pPr>
              <w:pStyle w:val="Compact"/>
              <w:jc w:val="left"/>
            </w:pPr>
            <w:r>
              <w:t xml:space="preserve">Longitude (E)</w:t>
            </w:r>
          </w:p>
        </w:tc>
        <w:tc>
          <w:tcPr/>
          <w:p>
            <w:pPr>
              <w:pStyle w:val="Compact"/>
              <w:jc w:val="left"/>
            </w:pPr>
            <w:r>
              <w:t xml:space="preserve">Function</w:t>
            </w:r>
          </w:p>
        </w:tc>
      </w:tr>
      <w:tr>
        <w:tc>
          <w:tcPr/>
          <w:p>
            <w:pPr>
              <w:pStyle w:val="Compact"/>
              <w:jc w:val="left"/>
            </w:pPr>
            <w:r>
              <w:t xml:space="preserve">OC-Omega</w:t>
            </w:r>
          </w:p>
        </w:tc>
        <w:tc>
          <w:tcPr/>
          <w:p>
            <w:pPr>
              <w:pStyle w:val="Compact"/>
              <w:jc w:val="left"/>
            </w:pPr>
            <w:r>
              <w:t xml:space="preserve">26 degrees 24.0 minutes</w:t>
            </w:r>
          </w:p>
        </w:tc>
        <w:tc>
          <w:tcPr/>
          <w:p>
            <w:pPr>
              <w:pStyle w:val="Compact"/>
              <w:jc w:val="left"/>
            </w:pPr>
            <w:r>
              <w:t xml:space="preserve">056 degrees 15.0 minutes</w:t>
            </w:r>
          </w:p>
        </w:tc>
        <w:tc>
          <w:tcPr/>
          <w:p>
            <w:pPr>
              <w:pStyle w:val="Compact"/>
              <w:jc w:val="left"/>
            </w:pPr>
            <w:r>
              <w:t xml:space="preserve">Western entry gate</w:t>
            </w:r>
          </w:p>
        </w:tc>
      </w:tr>
      <w:tr>
        <w:tc>
          <w:tcPr/>
          <w:p>
            <w:pPr>
              <w:pStyle w:val="Compact"/>
              <w:jc w:val="left"/>
            </w:pPr>
            <w:r>
              <w:t xml:space="preserve">OC-1</w:t>
            </w:r>
          </w:p>
        </w:tc>
        <w:tc>
          <w:tcPr/>
          <w:p>
            <w:pPr>
              <w:pStyle w:val="Compact"/>
              <w:jc w:val="left"/>
            </w:pPr>
            <w:r>
              <w:t xml:space="preserve">26 degrees 23.0 minutes</w:t>
            </w:r>
          </w:p>
        </w:tc>
        <w:tc>
          <w:tcPr/>
          <w:p>
            <w:pPr>
              <w:pStyle w:val="Compact"/>
              <w:jc w:val="left"/>
            </w:pPr>
            <w:r>
              <w:t xml:space="preserve">056 degrees 24.0 minutes</w:t>
            </w:r>
          </w:p>
        </w:tc>
        <w:tc>
          <w:tcPr/>
          <w:p>
            <w:pPr>
              <w:pStyle w:val="Compact"/>
              <w:jc w:val="left"/>
            </w:pPr>
            <w:r>
              <w:t xml:space="preserve">Musandam approach</w:t>
            </w:r>
          </w:p>
        </w:tc>
      </w:tr>
      <w:tr>
        <w:tc>
          <w:tcPr/>
          <w:p>
            <w:pPr>
              <w:pStyle w:val="Compact"/>
              <w:jc w:val="left"/>
            </w:pPr>
            <w:r>
              <w:t xml:space="preserve">OC-2</w:t>
            </w:r>
          </w:p>
        </w:tc>
        <w:tc>
          <w:tcPr/>
          <w:p>
            <w:pPr>
              <w:pStyle w:val="Compact"/>
              <w:jc w:val="left"/>
            </w:pPr>
            <w:r>
              <w:t xml:space="preserve">26 degrees 22.0 minutes</w:t>
            </w:r>
          </w:p>
        </w:tc>
        <w:tc>
          <w:tcPr/>
          <w:p>
            <w:pPr>
              <w:pStyle w:val="Compact"/>
              <w:jc w:val="left"/>
            </w:pPr>
            <w:r>
              <w:t xml:space="preserve">056 degrees 33.0 minutes</w:t>
            </w:r>
          </w:p>
        </w:tc>
        <w:tc>
          <w:tcPr/>
          <w:p>
            <w:pPr>
              <w:pStyle w:val="Compact"/>
              <w:jc w:val="left"/>
            </w:pPr>
            <w:r>
              <w:t xml:space="preserve">Mid-corridor reference</w:t>
            </w:r>
          </w:p>
        </w:tc>
      </w:tr>
      <w:tr>
        <w:tc>
          <w:tcPr/>
          <w:p>
            <w:pPr>
              <w:pStyle w:val="Compact"/>
              <w:jc w:val="left"/>
            </w:pPr>
            <w:r>
              <w:t xml:space="preserve">OC-3</w:t>
            </w:r>
          </w:p>
        </w:tc>
        <w:tc>
          <w:tcPr/>
          <w:p>
            <w:pPr>
              <w:pStyle w:val="Compact"/>
              <w:jc w:val="left"/>
            </w:pPr>
            <w:r>
              <w:t xml:space="preserve">26 degrees 21.0 minutes</w:t>
            </w:r>
          </w:p>
        </w:tc>
        <w:tc>
          <w:tcPr/>
          <w:p>
            <w:pPr>
              <w:pStyle w:val="Compact"/>
              <w:jc w:val="left"/>
            </w:pPr>
            <w:r>
              <w:t xml:space="preserve">056 degrees 42.0 minutes</w:t>
            </w:r>
          </w:p>
        </w:tc>
        <w:tc>
          <w:tcPr/>
          <w:p>
            <w:pPr>
              <w:pStyle w:val="Compact"/>
              <w:jc w:val="left"/>
            </w:pPr>
            <w:r>
              <w:t xml:space="preserve">Khasab offshore reference</w:t>
            </w:r>
          </w:p>
        </w:tc>
      </w:tr>
      <w:tr>
        <w:tc>
          <w:tcPr/>
          <w:p>
            <w:pPr>
              <w:pStyle w:val="Compact"/>
              <w:jc w:val="left"/>
            </w:pPr>
            <w:r>
              <w:t xml:space="preserve">OC-4</w:t>
            </w:r>
          </w:p>
        </w:tc>
        <w:tc>
          <w:tcPr/>
          <w:p>
            <w:pPr>
              <w:pStyle w:val="Compact"/>
              <w:jc w:val="left"/>
            </w:pPr>
            <w:r>
              <w:t xml:space="preserve">26 degrees 22.0 minutes</w:t>
            </w:r>
          </w:p>
        </w:tc>
        <w:tc>
          <w:tcPr/>
          <w:p>
            <w:pPr>
              <w:pStyle w:val="Compact"/>
              <w:jc w:val="left"/>
            </w:pPr>
            <w:r>
              <w:t xml:space="preserve">056 degrees 50.0 minutes</w:t>
            </w:r>
          </w:p>
        </w:tc>
        <w:tc>
          <w:tcPr/>
          <w:p>
            <w:pPr>
              <w:pStyle w:val="Compact"/>
              <w:jc w:val="left"/>
            </w:pPr>
            <w:r>
              <w:t xml:space="preserve">Eastern approach</w:t>
            </w:r>
          </w:p>
        </w:tc>
      </w:tr>
      <w:tr>
        <w:tc>
          <w:tcPr/>
          <w:p>
            <w:pPr>
              <w:pStyle w:val="Compact"/>
              <w:jc w:val="left"/>
            </w:pPr>
            <w:r>
              <w:t xml:space="preserve">OC-Alpha</w:t>
            </w:r>
          </w:p>
        </w:tc>
        <w:tc>
          <w:tcPr/>
          <w:p>
            <w:pPr>
              <w:pStyle w:val="Compact"/>
              <w:jc w:val="left"/>
            </w:pPr>
            <w:r>
              <w:t xml:space="preserve">26 degrees 24.0 minutes</w:t>
            </w:r>
          </w:p>
        </w:tc>
        <w:tc>
          <w:tcPr/>
          <w:p>
            <w:pPr>
              <w:pStyle w:val="Compact"/>
              <w:jc w:val="left"/>
            </w:pPr>
            <w:r>
              <w:t xml:space="preserve">056 degrees 56.0 minutes</w:t>
            </w:r>
          </w:p>
        </w:tc>
        <w:tc>
          <w:tcPr/>
          <w:p>
            <w:pPr>
              <w:pStyle w:val="Compact"/>
              <w:jc w:val="left"/>
            </w:pPr>
            <w:r>
              <w:t xml:space="preserve">Eastern exit gate</w:t>
            </w:r>
          </w:p>
        </w:tc>
      </w:tr>
    </w:tbl>
    <w:p>
      <w:pPr>
        <w:pStyle w:val="BodyText"/>
      </w:pPr>
      <w:r>
        <w:t xml:space="preserve">A.4.2 The corridor measures two to three nautical miles in width, with an eastbound primary lane and a half-mile intra-corridor separation line. The southern boundary stands clear of the Omani Inshore Local Craft Band.</w:t>
      </w:r>
    </w:p>
    <w:bookmarkEnd w:id="321"/>
    <w:bookmarkStart w:id="322" w:name="Xd597223967ba8bc38a814f57fef0cfc9301f851"/>
    <w:p>
      <w:pPr>
        <w:pStyle w:val="Heading2"/>
      </w:pPr>
      <w:r>
        <w:t xml:space="preserve">A.5 The Central Deconfliction Corridor and the Separation Belts</w:t>
      </w:r>
    </w:p>
    <w:p>
      <w:pPr>
        <w:pStyle w:val="FirstParagraph"/>
      </w:pPr>
      <w:r>
        <w:t xml:space="preserve">A.5.1 The Central Deconfliction Corridor occupies the water between the northern boundary of the Outbound Corridor and the southern boundary of the Inbound Corridor, between the meridians of 056 degrees 16.0 minutes E and 056 degrees 54.0 minutes E. Its centerline runs at 26 degrees 27.5 minutes N. The corridor measures two nautical miles in width, one nautical mile either side of the centerline.</w:t>
      </w:r>
    </w:p>
    <w:p>
      <w:pPr>
        <w:pStyle w:val="BodyText"/>
      </w:pPr>
      <w:r>
        <w:t xml:space="preserve">A.5.2 Two separation belts divide the three corridors: the Northern Separation Belt between the Inbound Corridor and the Central Corridor, and the Southern Separation Belt between the Central Corridor and the Outbound Corridor. Each belt measures one nautical mile in width. Traffic enters a belt only to cross between corridors at the designated crossing sectors, to respond to a casualty, or to perform Charter service work. Each belt carries no anchoring, no fishing, and no exercises.</w:t>
      </w:r>
    </w:p>
    <w:p>
      <w:pPr>
        <w:pStyle w:val="BodyText"/>
      </w:pPr>
      <w:r>
        <w:t xml:space="preserve">A.5.3 The crossing sectors stand at the following center points: Crossing Sector East at 26 degrees 27.5 minutes N, 056 degrees 50.0 minutes E; Crossing Sector Center at 26 degrees 27.5 minutes N, 056 degrees 35.0 minutes E; and Crossing Sector West at 26 degrees 27.5 minutes N, 056 degrees 20.0 minutes E. Each crossing sector extends one nautical mile along the corridor axis.</w:t>
      </w:r>
    </w:p>
    <w:bookmarkEnd w:id="322"/>
    <w:bookmarkStart w:id="323" w:name="X25394e6d8456ca521a69f6961e0d343fb910671"/>
    <w:p>
      <w:pPr>
        <w:pStyle w:val="Heading2"/>
      </w:pPr>
      <w:r>
        <w:t xml:space="preserve">A.6 Holding Anchorages and Rendezvous Points</w:t>
      </w:r>
    </w:p>
    <w:p>
      <w:pPr>
        <w:pStyle w:val="FirstParagraph"/>
      </w:pPr>
      <w:r>
        <w:t xml:space="preserve">A.6.1 The Eastern Holding Anchorage centers on 26 degrees 18.0 minutes N, 056 degrees 58.0 minutes E, radius two nautical miles, depth exceeding thirty meters, for vessels awaiting Gulf entry windows. The Western Holding Anchorage centers on 26 degrees 20.0 minutes N, 056 degrees 10.0 minutes E, radius two nautical miles, for vessels awaiting Gulf exit sequencing.</w:t>
      </w:r>
    </w:p>
    <w:p>
      <w:pPr>
        <w:pStyle w:val="BodyText"/>
      </w:pPr>
      <w:r>
        <w:t xml:space="preserve">A.6.2 Rendezvous points for observer embarkation, escort meeting, and pilot exchange: Rendezvous East at 26 degrees 26.0 minutes N, 056 degrees 54.0 minutes E; Rendezvous Center at 26 degrees 27.5 minutes N, 056 degrees 35.0 minutes E; and Rendezvous West at 26 degrees 27.0 minutes N, 056 degrees 17.0 minutes E.</w:t>
      </w:r>
    </w:p>
    <w:bookmarkEnd w:id="323"/>
    <w:bookmarkStart w:id="324" w:name="X548622259efe8c3be65c102552797dd534507b0"/>
    <w:p>
      <w:pPr>
        <w:pStyle w:val="Heading2"/>
      </w:pPr>
      <w:r>
        <w:t xml:space="preserve">A.7 The Inshore Local Craft Bands and Crossing Gates</w:t>
      </w:r>
    </w:p>
    <w:p>
      <w:pPr>
        <w:pStyle w:val="FirstParagraph"/>
      </w:pPr>
      <w:r>
        <w:t xml:space="preserve">A.7.1 A band three nautical miles wide along each coast forms the Inshore Local Craft Band of that coast, reserved for Class F local craft licensed by the coastal state of that coast. The Bands lie outside the corridors.</w:t>
      </w:r>
    </w:p>
    <w:p>
      <w:pPr>
        <w:pStyle w:val="BodyText"/>
      </w:pPr>
      <w:r>
        <w:t xml:space="preserve">A.7.2 Class F crossing gates stand at: Gate North One at 26 degrees 40.0 minutes N, 056 degrees 30.0 minutes E; Gate North Two at 26 degrees 38.0 minutes N, 056 degrees 44.0 minutes E; Gate South One at 26 degrees 15.0 minutes N, 056 degrees 28.0 minutes E; and Gate South Two at 26 degrees 14.0 minutes N, 056 degrees 46.0 minutes E. The Bulletin publishes gate windows twice daily.</w:t>
      </w:r>
    </w:p>
    <w:bookmarkEnd w:id="324"/>
    <w:bookmarkStart w:id="325" w:name="X125794cc764156ea5eac3260a9e8f31232279fa"/>
    <w:p>
      <w:pPr>
        <w:pStyle w:val="Heading2"/>
      </w:pPr>
      <w:r>
        <w:t xml:space="preserve">A.8 The Precautionary Zones and Facility Reference Points</w:t>
      </w:r>
    </w:p>
    <w:p>
      <w:pPr>
        <w:pStyle w:val="FirstParagraph"/>
      </w:pPr>
      <w:r>
        <w:t xml:space="preserve">A.8.1 The Eastern Precautionary Zone centers on 26 degrees 24.0 minutes N, 056 degrees 54.0 minutes E, radius five nautical miles, covering the sector where the corridors curve around the Musandam headland. The Western Precautionary Zone centers on 26 degrees 28.0 minutes N, 056 degrees 16.0 minutes E, radius five nautical miles, covering the western entry sector.</w:t>
      </w:r>
    </w:p>
    <w:p>
      <w:pPr>
        <w:pStyle w:val="BodyText"/>
      </w:pPr>
      <w:r>
        <w:t xml:space="preserve">A.8.2 Coastal nuclear facility reference points carry precautionary radii of three nautical miles, charted as fixed reference points under Article 35.2. The published lanes keep outside these radii at every point.</w:t>
      </w:r>
    </w:p>
    <w:bookmarkEnd w:id="325"/>
    <w:bookmarkStart w:id="326" w:name="a.9-voice-reporting-points"/>
    <w:p>
      <w:pPr>
        <w:pStyle w:val="Heading2"/>
      </w:pPr>
      <w:r>
        <w:t xml:space="preserve">A.9 Voice Reporting Points</w:t>
      </w:r>
    </w:p>
    <w:p>
      <w:pPr>
        <w:pStyle w:val="FirstParagraph"/>
      </w:pPr>
      <w:r>
        <w:t xml:space="preserve">A.9.1 Each lane carries voice reporting points at entry, mid-passage, and exit, co-located with the first, middle, and final waypoints of Sections A.3 and A.4. The Central Corridor carries reporting points at the three crossing sectors for authorized entries.</w:t>
      </w:r>
    </w:p>
    <w:bookmarkEnd w:id="326"/>
    <w:bookmarkStart w:id="327" w:name="a.10-particularly-sensitive-areas"/>
    <w:p>
      <w:pPr>
        <w:pStyle w:val="Heading2"/>
      </w:pPr>
      <w:r>
        <w:t xml:space="preserve">A.10 Particularly Sensitive Areas</w:t>
      </w:r>
    </w:p>
    <w:p>
      <w:pPr>
        <w:pStyle w:val="FirstParagraph"/>
      </w:pPr>
      <w:r>
        <w:t xml:space="preserve">A.10.1 Annex I designates the particularly sensitive environmental areas with their center points and radii: the Musandam Headland Sensitive Area, the Larak Approach Sensitive Area, and the Qeshm Channel Sensitive Area.</w:t>
      </w:r>
    </w:p>
    <w:bookmarkEnd w:id="327"/>
    <w:bookmarkStart w:id="328" w:name="a.11-geometry-adjustment"/>
    <w:p>
      <w:pPr>
        <w:pStyle w:val="Heading2"/>
      </w:pPr>
      <w:r>
        <w:t xml:space="preserve">A.11 Geometry Adjustment</w:t>
      </w:r>
    </w:p>
    <w:p>
      <w:pPr>
        <w:pStyle w:val="FirstParagraph"/>
      </w:pPr>
      <w:r>
        <w:t xml:space="preserve">A.11.1 Adjustment of this geometry proceeds as a technical correction, never as a renegotiation. The Center proposes an adjustment with survey evidence, the Joint Technical Committee confirms it within seventy-two hours, and the dashboard publishes the updated geometry with forty-eight hours’ notice to mariners. Under the no-fade rule, an adjustment accumulates into the registry without resetting any certification, and the registry carries a full audit trail of every change.</w:t>
      </w:r>
    </w:p>
    <w:bookmarkEnd w:id="328"/>
    <w:bookmarkEnd w:id="329"/>
    <w:bookmarkStart w:id="334" w:name="Xfd9df51d577b0a583135f2c7ee94bda4ae0edde"/>
    <w:p>
      <w:pPr>
        <w:pStyle w:val="Heading1"/>
      </w:pPr>
      <w:r>
        <w:t xml:space="preserve">ANNEX B: Vessel Classification and Treatment Matrix</w:t>
      </w:r>
    </w:p>
    <w:bookmarkStart w:id="330" w:name="b.1-the-matrix"/>
    <w:p>
      <w:pPr>
        <w:pStyle w:val="Heading2"/>
      </w:pPr>
      <w:r>
        <w:t xml:space="preserve">B.1 The Matrix</w:t>
      </w:r>
    </w:p>
    <w:p>
      <w:pPr>
        <w:pStyle w:val="FirstParagraph"/>
      </w:pPr>
      <w:r>
        <w:t xml:space="preserve">B.1.1 The following matrix states the standing treatment rules for each vessel class. Where this matrix and an article conflict, the article governs.</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Class</w:t>
            </w:r>
          </w:p>
        </w:tc>
        <w:tc>
          <w:tcPr/>
          <w:p>
            <w:pPr>
              <w:pStyle w:val="Compact"/>
              <w:jc w:val="left"/>
            </w:pPr>
            <w:r>
              <w:t xml:space="preserve">Purpose</w:t>
            </w:r>
          </w:p>
        </w:tc>
        <w:tc>
          <w:tcPr/>
          <w:p>
            <w:pPr>
              <w:pStyle w:val="Compact"/>
              <w:jc w:val="left"/>
            </w:pPr>
            <w:r>
              <w:t xml:space="preserve">Corridor Guidance</w:t>
            </w:r>
          </w:p>
        </w:tc>
        <w:tc>
          <w:tcPr/>
          <w:p>
            <w:pPr>
              <w:pStyle w:val="Compact"/>
              <w:jc w:val="left"/>
            </w:pPr>
            <w:r>
              <w:t xml:space="preserve">Registration Depth</w:t>
            </w:r>
          </w:p>
        </w:tc>
        <w:tc>
          <w:tcPr/>
          <w:p>
            <w:pPr>
              <w:pStyle w:val="Compact"/>
              <w:jc w:val="left"/>
            </w:pPr>
            <w:r>
              <w:t xml:space="preserve">Lead Time</w:t>
            </w:r>
          </w:p>
        </w:tc>
        <w:tc>
          <w:tcPr/>
          <w:p>
            <w:pPr>
              <w:pStyle w:val="Compact"/>
              <w:jc w:val="left"/>
            </w:pPr>
            <w:r>
              <w:t xml:space="preserve">Speed Band</w:t>
            </w:r>
          </w:p>
        </w:tc>
        <w:tc>
          <w:tcPr/>
          <w:p>
            <w:pPr>
              <w:pStyle w:val="Compact"/>
              <w:jc w:val="left"/>
            </w:pPr>
            <w:r>
              <w:t xml:space="preserve">Spacing</w:t>
            </w:r>
          </w:p>
        </w:tc>
        <w:tc>
          <w:tcPr/>
          <w:p>
            <w:pPr>
              <w:pStyle w:val="Compact"/>
              <w:jc w:val="left"/>
            </w:pPr>
            <w:r>
              <w:t xml:space="preserve">Escort Availability</w:t>
            </w:r>
          </w:p>
        </w:tc>
        <w:tc>
          <w:tcPr/>
          <w:p>
            <w:pPr>
              <w:pStyle w:val="Compact"/>
              <w:jc w:val="left"/>
            </w:pPr>
            <w:r>
              <w:t xml:space="preserve">Reporting</w:t>
            </w:r>
          </w:p>
        </w:tc>
      </w:tr>
      <w:tr>
        <w:tc>
          <w:tcPr/>
          <w:p>
            <w:pPr>
              <w:pStyle w:val="Compact"/>
              <w:jc w:val="left"/>
            </w:pPr>
            <w:r>
              <w:t xml:space="preserve">E: Energy carriers</w:t>
            </w:r>
          </w:p>
        </w:tc>
        <w:tc>
          <w:tcPr/>
          <w:p>
            <w:pPr>
              <w:pStyle w:val="Compact"/>
              <w:jc w:val="left"/>
            </w:pPr>
            <w:r>
              <w:t xml:space="preserve">Crude, product, LNG, LPG, chemical tankers</w:t>
            </w:r>
          </w:p>
        </w:tc>
        <w:tc>
          <w:tcPr/>
          <w:p>
            <w:pPr>
              <w:pStyle w:val="Compact"/>
              <w:jc w:val="left"/>
            </w:pPr>
            <w:r>
              <w:t xml:space="preserve">Priority windows, all corridors</w:t>
            </w:r>
          </w:p>
        </w:tc>
        <w:tc>
          <w:tcPr/>
          <w:p>
            <w:pPr>
              <w:pStyle w:val="Compact"/>
              <w:jc w:val="left"/>
            </w:pPr>
            <w:r>
              <w:t xml:space="preserve">Standard form C-1</w:t>
            </w:r>
          </w:p>
        </w:tc>
        <w:tc>
          <w:tcPr/>
          <w:p>
            <w:pPr>
              <w:pStyle w:val="Compact"/>
              <w:jc w:val="left"/>
            </w:pPr>
            <w:r>
              <w:t xml:space="preserve">6 hours inbound; none outbound</w:t>
            </w:r>
          </w:p>
        </w:tc>
        <w:tc>
          <w:tcPr/>
          <w:p>
            <w:pPr>
              <w:pStyle w:val="Compact"/>
              <w:jc w:val="left"/>
            </w:pPr>
            <w:r>
              <w:t xml:space="preserve">8 to 14 knots</w:t>
            </w:r>
          </w:p>
        </w:tc>
        <w:tc>
          <w:tcPr/>
          <w:p>
            <w:pPr>
              <w:pStyle w:val="Compact"/>
              <w:jc w:val="left"/>
            </w:pPr>
            <w:r>
              <w:t xml:space="preserve">2.0 nautical miles</w:t>
            </w:r>
          </w:p>
        </w:tc>
        <w:tc>
          <w:tcPr/>
          <w:p>
            <w:pPr>
              <w:pStyle w:val="Compact"/>
              <w:jc w:val="left"/>
            </w:pPr>
            <w:r>
              <w:t xml:space="preserve">Deepest; escort on election</w:t>
            </w:r>
          </w:p>
        </w:tc>
        <w:tc>
          <w:tcPr/>
          <w:p>
            <w:pPr>
              <w:pStyle w:val="Compact"/>
              <w:jc w:val="left"/>
            </w:pPr>
            <w:r>
              <w:t xml:space="preserve">Entry and exit; every point in Managed Flow</w:t>
            </w:r>
          </w:p>
        </w:tc>
      </w:tr>
      <w:tr>
        <w:tc>
          <w:tcPr/>
          <w:p>
            <w:pPr>
              <w:pStyle w:val="Compact"/>
              <w:jc w:val="left"/>
            </w:pPr>
            <w:r>
              <w:t xml:space="preserve">G: General cargo</w:t>
            </w:r>
          </w:p>
        </w:tc>
        <w:tc>
          <w:tcPr/>
          <w:p>
            <w:pPr>
              <w:pStyle w:val="Compact"/>
              <w:jc w:val="left"/>
            </w:pPr>
            <w:r>
              <w:t xml:space="preserve">Container, bulk, vehicle, general cargo</w:t>
            </w:r>
          </w:p>
        </w:tc>
        <w:tc>
          <w:tcPr/>
          <w:p>
            <w:pPr>
              <w:pStyle w:val="Compact"/>
              <w:jc w:val="left"/>
            </w:pPr>
            <w:r>
              <w:t xml:space="preserve">Standard windows</w:t>
            </w:r>
          </w:p>
        </w:tc>
        <w:tc>
          <w:tcPr/>
          <w:p>
            <w:pPr>
              <w:pStyle w:val="Compact"/>
              <w:jc w:val="left"/>
            </w:pPr>
            <w:r>
              <w:t xml:space="preserve">Standard form C-1</w:t>
            </w:r>
          </w:p>
        </w:tc>
        <w:tc>
          <w:tcPr/>
          <w:p>
            <w:pPr>
              <w:pStyle w:val="Compact"/>
              <w:jc w:val="left"/>
            </w:pPr>
            <w:r>
              <w:t xml:space="preserve">6 hours inbound; none outbound</w:t>
            </w:r>
          </w:p>
        </w:tc>
        <w:tc>
          <w:tcPr/>
          <w:p>
            <w:pPr>
              <w:pStyle w:val="Compact"/>
              <w:jc w:val="left"/>
            </w:pPr>
            <w:r>
              <w:t xml:space="preserve">8 to 16 knots</w:t>
            </w:r>
          </w:p>
        </w:tc>
        <w:tc>
          <w:tcPr/>
          <w:p>
            <w:pPr>
              <w:pStyle w:val="Compact"/>
              <w:jc w:val="left"/>
            </w:pPr>
            <w:r>
              <w:t xml:space="preserve">1.0 nautical mile</w:t>
            </w:r>
          </w:p>
        </w:tc>
        <w:tc>
          <w:tcPr/>
          <w:p>
            <w:pPr>
              <w:pStyle w:val="Compact"/>
              <w:jc w:val="left"/>
            </w:pPr>
            <w:r>
              <w:t xml:space="preserve">On election</w:t>
            </w:r>
          </w:p>
        </w:tc>
        <w:tc>
          <w:tcPr/>
          <w:p>
            <w:pPr>
              <w:pStyle w:val="Compact"/>
              <w:jc w:val="left"/>
            </w:pPr>
            <w:r>
              <w:t xml:space="preserve">Entry and exit; every point in Managed Flow</w:t>
            </w:r>
          </w:p>
        </w:tc>
      </w:tr>
      <w:tr>
        <w:tc>
          <w:tcPr/>
          <w:p>
            <w:pPr>
              <w:pStyle w:val="Compact"/>
              <w:jc w:val="left"/>
            </w:pPr>
            <w:r>
              <w:t xml:space="preserve">H: Humanitarian</w:t>
            </w:r>
          </w:p>
        </w:tc>
        <w:tc>
          <w:tcPr/>
          <w:p>
            <w:pPr>
              <w:pStyle w:val="Compact"/>
              <w:jc w:val="left"/>
            </w:pPr>
            <w:r>
              <w:t xml:space="preserve">Declared relief cargo</w:t>
            </w:r>
          </w:p>
        </w:tc>
        <w:tc>
          <w:tcPr/>
          <w:p>
            <w:pPr>
              <w:pStyle w:val="Compact"/>
              <w:jc w:val="left"/>
            </w:pPr>
            <w:r>
              <w:t xml:space="preserve">Every flow state including Protected Hold</w:t>
            </w:r>
          </w:p>
        </w:tc>
        <w:tc>
          <w:tcPr/>
          <w:p>
            <w:pPr>
              <w:pStyle w:val="Compact"/>
              <w:jc w:val="left"/>
            </w:pPr>
            <w:r>
              <w:t xml:space="preserve">Fast-track form C-2</w:t>
            </w:r>
          </w:p>
        </w:tc>
        <w:tc>
          <w:tcPr/>
          <w:p>
            <w:pPr>
              <w:pStyle w:val="Compact"/>
              <w:jc w:val="left"/>
            </w:pPr>
            <w:r>
              <w:t xml:space="preserve">2 hours</w:t>
            </w:r>
          </w:p>
        </w:tc>
        <w:tc>
          <w:tcPr/>
          <w:p>
            <w:pPr>
              <w:pStyle w:val="Compact"/>
              <w:jc w:val="left"/>
            </w:pPr>
            <w:r>
              <w:t xml:space="preserve">As safe</w:t>
            </w:r>
          </w:p>
        </w:tc>
        <w:tc>
          <w:tcPr/>
          <w:p>
            <w:pPr>
              <w:pStyle w:val="Compact"/>
              <w:jc w:val="left"/>
            </w:pPr>
            <w:r>
              <w:t xml:space="preserve">1.0 nautical mile</w:t>
            </w:r>
          </w:p>
        </w:tc>
        <w:tc>
          <w:tcPr/>
          <w:p>
            <w:pPr>
              <w:pStyle w:val="Compact"/>
              <w:jc w:val="left"/>
            </w:pPr>
            <w:r>
              <w:t xml:space="preserve">Center escort on request</w:t>
            </w:r>
          </w:p>
        </w:tc>
        <w:tc>
          <w:tcPr/>
          <w:p>
            <w:pPr>
              <w:pStyle w:val="Compact"/>
              <w:jc w:val="left"/>
            </w:pPr>
            <w:r>
              <w:t xml:space="preserve">Every point</w:t>
            </w:r>
          </w:p>
        </w:tc>
      </w:tr>
      <w:tr>
        <w:tc>
          <w:tcPr/>
          <w:p>
            <w:pPr>
              <w:pStyle w:val="Compact"/>
              <w:jc w:val="left"/>
            </w:pPr>
            <w:r>
              <w:t xml:space="preserve">P: Passenger</w:t>
            </w:r>
          </w:p>
        </w:tc>
        <w:tc>
          <w:tcPr/>
          <w:p>
            <w:pPr>
              <w:pStyle w:val="Compact"/>
              <w:jc w:val="left"/>
            </w:pPr>
            <w:r>
              <w:t xml:space="preserve">Ferries, passenger ships</w:t>
            </w:r>
          </w:p>
        </w:tc>
        <w:tc>
          <w:tcPr/>
          <w:p>
            <w:pPr>
              <w:pStyle w:val="Compact"/>
              <w:jc w:val="left"/>
            </w:pPr>
            <w:r>
              <w:t xml:space="preserve">Fixed schedule windows</w:t>
            </w:r>
          </w:p>
        </w:tc>
        <w:tc>
          <w:tcPr/>
          <w:p>
            <w:pPr>
              <w:pStyle w:val="Compact"/>
              <w:jc w:val="left"/>
            </w:pPr>
            <w:r>
              <w:t xml:space="preserve">Standard form C-1</w:t>
            </w:r>
          </w:p>
        </w:tc>
        <w:tc>
          <w:tcPr/>
          <w:p>
            <w:pPr>
              <w:pStyle w:val="Compact"/>
              <w:jc w:val="left"/>
            </w:pPr>
            <w:r>
              <w:t xml:space="preserve">12 hours</w:t>
            </w:r>
          </w:p>
        </w:tc>
        <w:tc>
          <w:tcPr/>
          <w:p>
            <w:pPr>
              <w:pStyle w:val="Compact"/>
              <w:jc w:val="left"/>
            </w:pPr>
            <w:r>
              <w:t xml:space="preserve">10 to 16 knots</w:t>
            </w:r>
          </w:p>
        </w:tc>
        <w:tc>
          <w:tcPr/>
          <w:p>
            <w:pPr>
              <w:pStyle w:val="Compact"/>
              <w:jc w:val="left"/>
            </w:pPr>
            <w:r>
              <w:t xml:space="preserve">1.0 nautical mile</w:t>
            </w:r>
          </w:p>
        </w:tc>
        <w:tc>
          <w:tcPr/>
          <w:p>
            <w:pPr>
              <w:pStyle w:val="Compact"/>
              <w:jc w:val="left"/>
            </w:pPr>
            <w:r>
              <w:t xml:space="preserve">On election</w:t>
            </w:r>
          </w:p>
        </w:tc>
        <w:tc>
          <w:tcPr/>
          <w:p>
            <w:pPr>
              <w:pStyle w:val="Compact"/>
              <w:jc w:val="left"/>
            </w:pPr>
            <w:r>
              <w:t xml:space="preserve">Every point</w:t>
            </w:r>
          </w:p>
        </w:tc>
      </w:tr>
      <w:tr>
        <w:tc>
          <w:tcPr/>
          <w:p>
            <w:pPr>
              <w:pStyle w:val="Compact"/>
              <w:jc w:val="left"/>
            </w:pPr>
            <w:r>
              <w:t xml:space="preserve">F: Local craft</w:t>
            </w:r>
          </w:p>
        </w:tc>
        <w:tc>
          <w:tcPr/>
          <w:p>
            <w:pPr>
              <w:pStyle w:val="Compact"/>
              <w:jc w:val="left"/>
            </w:pPr>
            <w:r>
              <w:t xml:space="preserve">Fishing, traditional craft</w:t>
            </w:r>
          </w:p>
        </w:tc>
        <w:tc>
          <w:tcPr/>
          <w:p>
            <w:pPr>
              <w:pStyle w:val="Compact"/>
              <w:jc w:val="left"/>
            </w:pPr>
            <w:r>
              <w:t xml:space="preserve">Inshore Bands; crossing gates</w:t>
            </w:r>
          </w:p>
        </w:tc>
        <w:tc>
          <w:tcPr/>
          <w:p>
            <w:pPr>
              <w:pStyle w:val="Compact"/>
              <w:jc w:val="left"/>
            </w:pPr>
            <w:r>
              <w:t xml:space="preserve">Gate call only</w:t>
            </w:r>
          </w:p>
        </w:tc>
        <w:tc>
          <w:tcPr/>
          <w:p>
            <w:pPr>
              <w:pStyle w:val="Compact"/>
              <w:jc w:val="left"/>
            </w:pPr>
            <w:r>
              <w:t xml:space="preserve">None</w:t>
            </w:r>
          </w:p>
        </w:tc>
        <w:tc>
          <w:tcPr/>
          <w:p>
            <w:pPr>
              <w:pStyle w:val="Compact"/>
              <w:jc w:val="left"/>
            </w:pPr>
            <w:r>
              <w:t xml:space="preserve">Customary</w:t>
            </w:r>
          </w:p>
        </w:tc>
        <w:tc>
          <w:tcPr/>
          <w:p>
            <w:pPr>
              <w:pStyle w:val="Compact"/>
              <w:jc w:val="left"/>
            </w:pPr>
            <w:r>
              <w:t xml:space="preserve">N/A</w:t>
            </w:r>
          </w:p>
        </w:tc>
        <w:tc>
          <w:tcPr/>
          <w:p>
            <w:pPr>
              <w:pStyle w:val="Compact"/>
              <w:jc w:val="left"/>
            </w:pPr>
            <w:r>
              <w:t xml:space="preserve">Crossing protection during gate windows</w:t>
            </w:r>
          </w:p>
        </w:tc>
        <w:tc>
          <w:tcPr/>
          <w:p>
            <w:pPr>
              <w:pStyle w:val="Compact"/>
              <w:jc w:val="left"/>
            </w:pPr>
            <w:r>
              <w:t xml:space="preserve">At gates</w:t>
            </w:r>
          </w:p>
        </w:tc>
      </w:tr>
      <w:tr>
        <w:tc>
          <w:tcPr/>
          <w:p>
            <w:pPr>
              <w:pStyle w:val="Compact"/>
              <w:jc w:val="left"/>
            </w:pPr>
            <w:r>
              <w:t xml:space="preserve">S: State and naval</w:t>
            </w:r>
          </w:p>
        </w:tc>
        <w:tc>
          <w:tcPr/>
          <w:p>
            <w:pPr>
              <w:pStyle w:val="Compact"/>
              <w:jc w:val="left"/>
            </w:pPr>
            <w:r>
              <w:t xml:space="preserve">Warships, coast guard, state non-commercial</w:t>
            </w:r>
          </w:p>
        </w:tc>
        <w:tc>
          <w:tcPr/>
          <w:p>
            <w:pPr>
              <w:pStyle w:val="Compact"/>
              <w:jc w:val="left"/>
            </w:pPr>
            <w:r>
              <w:t xml:space="preserve">All corridors; Quiet Water discipline</w:t>
            </w:r>
          </w:p>
        </w:tc>
        <w:tc>
          <w:tcPr/>
          <w:p>
            <w:pPr>
              <w:pStyle w:val="Compact"/>
              <w:jc w:val="left"/>
            </w:pPr>
            <w:r>
              <w:t xml:space="preserve">Diplomatic-military channel</w:t>
            </w:r>
          </w:p>
        </w:tc>
        <w:tc>
          <w:tcPr/>
          <w:p>
            <w:pPr>
              <w:pStyle w:val="Compact"/>
              <w:jc w:val="left"/>
            </w:pPr>
            <w:r>
              <w:t xml:space="preserve">48 hours</w:t>
            </w:r>
          </w:p>
        </w:tc>
        <w:tc>
          <w:tcPr/>
          <w:p>
            <w:pPr>
              <w:pStyle w:val="Compact"/>
              <w:jc w:val="left"/>
            </w:pPr>
            <w:r>
              <w:t xml:space="preserve">8 to 18 knots</w:t>
            </w:r>
          </w:p>
        </w:tc>
        <w:tc>
          <w:tcPr/>
          <w:p>
            <w:pPr>
              <w:pStyle w:val="Compact"/>
              <w:jc w:val="left"/>
            </w:pPr>
            <w:r>
              <w:t xml:space="preserve">1.0 nautical mile from commercial traffic</w:t>
            </w:r>
          </w:p>
        </w:tc>
        <w:tc>
          <w:tcPr/>
          <w:p>
            <w:pPr>
              <w:pStyle w:val="Compact"/>
              <w:jc w:val="left"/>
            </w:pPr>
            <w:r>
              <w:t xml:space="preserve">N/A</w:t>
            </w:r>
          </w:p>
        </w:tc>
        <w:tc>
          <w:tcPr/>
          <w:p>
            <w:pPr>
              <w:pStyle w:val="Compact"/>
              <w:jc w:val="left"/>
            </w:pPr>
            <w:r>
              <w:t xml:space="preserve">Zone entry and exit</w:t>
            </w:r>
          </w:p>
        </w:tc>
      </w:tr>
      <w:tr>
        <w:tc>
          <w:tcPr/>
          <w:p>
            <w:pPr>
              <w:pStyle w:val="Compact"/>
              <w:jc w:val="left"/>
            </w:pPr>
            <w:r>
              <w:t xml:space="preserve">M: Multinational</w:t>
            </w:r>
          </w:p>
        </w:tc>
        <w:tc>
          <w:tcPr/>
          <w:p>
            <w:pPr>
              <w:pStyle w:val="Compact"/>
              <w:jc w:val="left"/>
            </w:pPr>
            <w:r>
              <w:t xml:space="preserve">Joint patrols, coalition tasks</w:t>
            </w:r>
          </w:p>
        </w:tc>
        <w:tc>
          <w:tcPr/>
          <w:p>
            <w:pPr>
              <w:pStyle w:val="Compact"/>
              <w:jc w:val="left"/>
            </w:pPr>
            <w:r>
              <w:t xml:space="preserve">Coordinated windows via deconfliction calendar</w:t>
            </w:r>
          </w:p>
        </w:tc>
        <w:tc>
          <w:tcPr/>
          <w:p>
            <w:pPr>
              <w:pStyle w:val="Compact"/>
              <w:jc w:val="left"/>
            </w:pPr>
            <w:r>
              <w:t xml:space="preserve">Standing accreditation plus streamlined form</w:t>
            </w:r>
          </w:p>
        </w:tc>
        <w:tc>
          <w:tcPr/>
          <w:p>
            <w:pPr>
              <w:pStyle w:val="Compact"/>
              <w:jc w:val="left"/>
            </w:pPr>
            <w:r>
              <w:t xml:space="preserve">48 hours</w:t>
            </w:r>
          </w:p>
        </w:tc>
        <w:tc>
          <w:tcPr/>
          <w:p>
            <w:pPr>
              <w:pStyle w:val="Compact"/>
              <w:jc w:val="left"/>
            </w:pPr>
            <w:r>
              <w:t xml:space="preserve">8 to 18 knots</w:t>
            </w:r>
          </w:p>
        </w:tc>
        <w:tc>
          <w:tcPr/>
          <w:p>
            <w:pPr>
              <w:pStyle w:val="Compact"/>
              <w:jc w:val="left"/>
            </w:pPr>
            <w:r>
              <w:t xml:space="preserve">1.0 nautical mile from commercial traffic</w:t>
            </w:r>
          </w:p>
        </w:tc>
        <w:tc>
          <w:tcPr/>
          <w:p>
            <w:pPr>
              <w:pStyle w:val="Compact"/>
              <w:jc w:val="left"/>
            </w:pPr>
            <w:r>
              <w:t xml:space="preserve">N/A</w:t>
            </w:r>
          </w:p>
        </w:tc>
        <w:tc>
          <w:tcPr/>
          <w:p>
            <w:pPr>
              <w:pStyle w:val="Compact"/>
              <w:jc w:val="left"/>
            </w:pPr>
            <w:r>
              <w:t xml:space="preserve">Zone entry and exit</w:t>
            </w:r>
          </w:p>
        </w:tc>
      </w:tr>
      <w:tr>
        <w:tc>
          <w:tcPr/>
          <w:p>
            <w:pPr>
              <w:pStyle w:val="Compact"/>
              <w:jc w:val="left"/>
            </w:pPr>
            <w:r>
              <w:t xml:space="preserve">R: Research and survey</w:t>
            </w:r>
          </w:p>
        </w:tc>
        <w:tc>
          <w:tcPr/>
          <w:p>
            <w:pPr>
              <w:pStyle w:val="Compact"/>
              <w:jc w:val="left"/>
            </w:pPr>
            <w:r>
              <w:t xml:space="preserve">Research, survey, cable</w:t>
            </w:r>
          </w:p>
        </w:tc>
        <w:tc>
          <w:tcPr/>
          <w:p>
            <w:pPr>
              <w:pStyle w:val="Compact"/>
              <w:jc w:val="left"/>
            </w:pPr>
            <w:r>
              <w:t xml:space="preserve">Coordinated working areas</w:t>
            </w:r>
          </w:p>
        </w:tc>
        <w:tc>
          <w:tcPr/>
          <w:p>
            <w:pPr>
              <w:pStyle w:val="Compact"/>
              <w:jc w:val="left"/>
            </w:pPr>
            <w:r>
              <w:t xml:space="preserve">Voyage plan form C-3</w:t>
            </w:r>
          </w:p>
        </w:tc>
        <w:tc>
          <w:tcPr/>
          <w:p>
            <w:pPr>
              <w:pStyle w:val="Compact"/>
              <w:jc w:val="left"/>
            </w:pPr>
            <w:r>
              <w:t xml:space="preserve">5 days</w:t>
            </w:r>
          </w:p>
        </w:tc>
        <w:tc>
          <w:tcPr/>
          <w:p>
            <w:pPr>
              <w:pStyle w:val="Compact"/>
              <w:jc w:val="left"/>
            </w:pPr>
            <w:r>
              <w:t xml:space="preserve">As tasked</w:t>
            </w:r>
          </w:p>
        </w:tc>
        <w:tc>
          <w:tcPr/>
          <w:p>
            <w:pPr>
              <w:pStyle w:val="Compact"/>
              <w:jc w:val="left"/>
            </w:pPr>
            <w:r>
              <w:t xml:space="preserve">N/A</w:t>
            </w:r>
          </w:p>
        </w:tc>
        <w:tc>
          <w:tcPr/>
          <w:p>
            <w:pPr>
              <w:pStyle w:val="Compact"/>
              <w:jc w:val="left"/>
            </w:pPr>
            <w:r>
              <w:t xml:space="preserve">N/A</w:t>
            </w:r>
          </w:p>
        </w:tc>
        <w:tc>
          <w:tcPr/>
          <w:p>
            <w:pPr>
              <w:pStyle w:val="Compact"/>
              <w:jc w:val="left"/>
            </w:pPr>
            <w:r>
              <w:t xml:space="preserve">Daily position report</w:t>
            </w:r>
          </w:p>
        </w:tc>
      </w:tr>
      <w:tr>
        <w:tc>
          <w:tcPr/>
          <w:p>
            <w:pPr>
              <w:pStyle w:val="Compact"/>
              <w:jc w:val="left"/>
            </w:pPr>
            <w:r>
              <w:t xml:space="preserve">X: Special cargo</w:t>
            </w:r>
          </w:p>
        </w:tc>
        <w:tc>
          <w:tcPr/>
          <w:p>
            <w:pPr>
              <w:pStyle w:val="Compact"/>
              <w:jc w:val="left"/>
            </w:pPr>
            <w:r>
              <w:t xml:space="preserve">Nuclear material, explosive military cargo</w:t>
            </w:r>
          </w:p>
        </w:tc>
        <w:tc>
          <w:tcPr/>
          <w:p>
            <w:pPr>
              <w:pStyle w:val="Compact"/>
              <w:jc w:val="left"/>
            </w:pPr>
            <w:r>
              <w:t xml:space="preserve">Designated windows; sterile bubble</w:t>
            </w:r>
          </w:p>
        </w:tc>
        <w:tc>
          <w:tcPr/>
          <w:p>
            <w:pPr>
              <w:pStyle w:val="Compact"/>
              <w:jc w:val="left"/>
            </w:pPr>
            <w:r>
              <w:t xml:space="preserve">Pre-completed form C-4</w:t>
            </w:r>
          </w:p>
        </w:tc>
        <w:tc>
          <w:tcPr/>
          <w:p>
            <w:pPr>
              <w:pStyle w:val="Compact"/>
              <w:jc w:val="left"/>
            </w:pPr>
            <w:r>
              <w:t xml:space="preserve">7 days</w:t>
            </w:r>
          </w:p>
        </w:tc>
        <w:tc>
          <w:tcPr/>
          <w:p>
            <w:pPr>
              <w:pStyle w:val="Compact"/>
              <w:jc w:val="left"/>
            </w:pPr>
            <w:r>
              <w:t xml:space="preserve">8 to 12 knots</w:t>
            </w:r>
          </w:p>
        </w:tc>
        <w:tc>
          <w:tcPr/>
          <w:p>
            <w:pPr>
              <w:pStyle w:val="Compact"/>
              <w:jc w:val="left"/>
            </w:pPr>
            <w:r>
              <w:t xml:space="preserve">5.0 nautical mile bubble</w:t>
            </w:r>
          </w:p>
        </w:tc>
        <w:tc>
          <w:tcPr/>
          <w:p>
            <w:pPr>
              <w:pStyle w:val="Compact"/>
              <w:jc w:val="left"/>
            </w:pPr>
            <w:r>
              <w:t xml:space="preserve">Mandatory dual-key escort</w:t>
            </w:r>
          </w:p>
        </w:tc>
        <w:tc>
          <w:tcPr/>
          <w:p>
            <w:pPr>
              <w:pStyle w:val="Compact"/>
              <w:jc w:val="left"/>
            </w:pPr>
            <w:r>
              <w:t xml:space="preserve">Every point with escort confirmation</w:t>
            </w:r>
          </w:p>
        </w:tc>
      </w:tr>
    </w:tbl>
    <w:bookmarkEnd w:id="330"/>
    <w:bookmarkStart w:id="331" w:name="b.2-lane-assignment-defaults"/>
    <w:p>
      <w:pPr>
        <w:pStyle w:val="Heading2"/>
      </w:pPr>
      <w:r>
        <w:t xml:space="preserve">B.2 Lane Assignment Defaults</w:t>
      </w:r>
    </w:p>
    <w:p>
      <w:pPr>
        <w:pStyle w:val="FirstParagraph"/>
      </w:pPr>
      <w:r>
        <w:t xml:space="preserve">B.2.1 A vessel with an Iranian port call follows the Inbound Coordination Corridor. A vessel exiting the Gulf follows the Outbound Assurance Corridor. A vessel without a littoral port call follows the corridor matching its direction of travel. A master elects the alternative directional corridor for navigational reasons, and the election records in the daily log without challenge. The Charter treats route choice within the directional logic as the master’s own, always.</w:t>
      </w:r>
    </w:p>
    <w:bookmarkEnd w:id="331"/>
    <w:bookmarkStart w:id="332" w:name="b.3-class-s-and-class-m-protocol-details"/>
    <w:p>
      <w:pPr>
        <w:pStyle w:val="Heading2"/>
      </w:pPr>
      <w:r>
        <w:t xml:space="preserve">B.3 Class S and Class M Protocol Details</w:t>
      </w:r>
    </w:p>
    <w:p>
      <w:pPr>
        <w:pStyle w:val="FirstParagraph"/>
      </w:pPr>
      <w:r>
        <w:t xml:space="preserve">B.3.1 Class S and Class M vessels transit all corridors freely under the deconfliction discipline: continuous surface transit, active transponders, no weapons employment, no aircraft launch operations over the corridors, no exercises inside a corridor or a belt, and forty-eight hour notification through the diplomatic-military channel. The notification records as information and coordination, never as a permission request.</w:t>
      </w:r>
    </w:p>
    <w:p>
      <w:pPr>
        <w:pStyle w:val="BodyText"/>
      </w:pPr>
      <w:r>
        <w:t xml:space="preserve">B.3.2 Inside the precautionary zones, Class S and Class M traffic observes the Quiet Water Windows of Article 27.7 and maintains two nautical miles from any Class E, Class H, or Class P vessel.</w:t>
      </w:r>
    </w:p>
    <w:bookmarkEnd w:id="332"/>
    <w:bookmarkStart w:id="333" w:name="b.4-class-x-protocol-details"/>
    <w:p>
      <w:pPr>
        <w:pStyle w:val="Heading2"/>
      </w:pPr>
      <w:r>
        <w:t xml:space="preserve">B.4 Class X Protocol Details</w:t>
      </w:r>
    </w:p>
    <w:p>
      <w:pPr>
        <w:pStyle w:val="FirstParagraph"/>
      </w:pPr>
      <w:r>
        <w:t xml:space="preserve">B.4.1 Class X movements file pre-completed registration on form C-4 seven days ahead, through the diplomatic-technical channel where the cargo designation carries sensitivity. The Center publishes the movement window without cargo details beyond the class designation.</w:t>
      </w:r>
    </w:p>
    <w:p>
      <w:pPr>
        <w:pStyle w:val="BodyText"/>
      </w:pPr>
      <w:r>
        <w:t xml:space="preserve">B.4.2 During a Class X window: the affected sector operates in Coordinated Flow; escort executes under the dual-key rule with Even Keel observers embarked; the sterile bubble of five nautical miles ahead and astern holds continuously; and the mishap protocol logs continuously.</w:t>
      </w:r>
    </w:p>
    <w:p>
      <w:pPr>
        <w:pStyle w:val="BodyText"/>
      </w:pPr>
      <w:r>
        <w:t xml:space="preserve">B.4.3 Nuclear material movements execute the full protocol of Annex K, which supplements this section for the nuclear interface.</w:t>
      </w:r>
    </w:p>
    <w:bookmarkEnd w:id="333"/>
    <w:bookmarkEnd w:id="334"/>
    <w:bookmarkStart w:id="342" w:name="X46ed0c4ea16936e118aa73a831dc4678d6ad979"/>
    <w:p>
      <w:pPr>
        <w:pStyle w:val="Heading1"/>
      </w:pPr>
      <w:r>
        <w:t xml:space="preserve">ANNEX C: Transit Registration and Recording Procedures</w:t>
      </w:r>
    </w:p>
    <w:bookmarkStart w:id="335" w:name="c.1-the-twelve-fields"/>
    <w:p>
      <w:pPr>
        <w:pStyle w:val="Heading2"/>
      </w:pPr>
      <w:r>
        <w:t xml:space="preserve">C.1 The Twelve Fields</w:t>
      </w:r>
    </w:p>
    <w:p>
      <w:pPr>
        <w:pStyle w:val="FirstParagraph"/>
      </w:pPr>
      <w:r>
        <w:t xml:space="preserve">C.1.1 A transit registration on form C-1 contains twelve fields: vessel name; vessel number in the international registry; flag state; vessel class under Annex B; gross tonnage; last port of call; next port of call; intended corridor and lane; intended entry window; master name and contact channel; dangerous cargo declaration by international code; and identification transponder identifier. No field touches cargo value, ownership structure, charterer identity beyond the contact channel, or political information of any kind.</w:t>
      </w:r>
    </w:p>
    <w:bookmarkEnd w:id="335"/>
    <w:bookmarkStart w:id="336" w:name="c.2-filing-channels"/>
    <w:p>
      <w:pPr>
        <w:pStyle w:val="Heading2"/>
      </w:pPr>
      <w:r>
        <w:t xml:space="preserve">C.2 Filing Channels</w:t>
      </w:r>
    </w:p>
    <w:p>
      <w:pPr>
        <w:pStyle w:val="FirstParagraph"/>
      </w:pPr>
      <w:r>
        <w:t xml:space="preserve">C.2.1 Registration files through three channels, all equivalent: the Safe Registry web portal; the digital message channel of the standard maritime reporting format; or voice filing on the working channel for vessels with limited connectivity, with the Center operator transcribing verbatim. Each channel returns the Multilateral Transit Record within thirty minutes, and issuance time averages under ninety seconds for digital filings.</w:t>
      </w:r>
    </w:p>
    <w:bookmarkEnd w:id="336"/>
    <w:bookmarkStart w:id="337" w:name="X81f5946080f05e07ada91e676557c30ee953bc8"/>
    <w:p>
      <w:pPr>
        <w:pStyle w:val="Heading2"/>
      </w:pPr>
      <w:r>
        <w:t xml:space="preserve">C.3 The Multilateral Transit Record Format</w:t>
      </w:r>
    </w:p>
    <w:p>
      <w:pPr>
        <w:pStyle w:val="FirstParagraph"/>
      </w:pPr>
      <w:r>
        <w:t xml:space="preserve">C.3.1 The record reads: year, month, day; corridor identifier IC, OC, or CC; lane; transit window; and a six-digit sequence number. Example format: 2026-09-14, IC, Lane 1, Window 0400 to 0445, Sequence 000217. The record carries no fee, no validity judgment, and no expiry beyond its transit window plus six hours.</w:t>
      </w:r>
    </w:p>
    <w:bookmarkEnd w:id="337"/>
    <w:bookmarkStart w:id="338" w:name="c.4-the-fast-track-form-for-class-h"/>
    <w:p>
      <w:pPr>
        <w:pStyle w:val="Heading2"/>
      </w:pPr>
      <w:r>
        <w:t xml:space="preserve">C.4 The Fast-Track Form for Class H</w:t>
      </w:r>
    </w:p>
    <w:p>
      <w:pPr>
        <w:pStyle w:val="FirstParagraph"/>
      </w:pPr>
      <w:r>
        <w:t xml:space="preserve">C.4.1 Form C-2 carries six fields only: vessel name; vessel number; flag state; humanitarian consignment reference; intended corridor; and contact channel. The fast-track desk returns the record within fifteen minutes at any hour, and the desk staffs continuously.</w:t>
      </w:r>
    </w:p>
    <w:bookmarkEnd w:id="338"/>
    <w:bookmarkStart w:id="339" w:name="c.5-the-class-s-channel-message"/>
    <w:p>
      <w:pPr>
        <w:pStyle w:val="Heading2"/>
      </w:pPr>
      <w:r>
        <w:t xml:space="preserve">C.5 The Class S Channel Message</w:t>
      </w:r>
    </w:p>
    <w:p>
      <w:pPr>
        <w:pStyle w:val="FirstParagraph"/>
      </w:pPr>
      <w:r>
        <w:t xml:space="preserve">C.5.1 Class S notification travels on the diplomatic-military channel and carries: vessel identity; state; transit window; corridor; speed; and a deconfliction contact. The Center publishes the notification to all Participants simultaneously, without cargo or mission details.</w:t>
      </w:r>
    </w:p>
    <w:bookmarkEnd w:id="339"/>
    <w:bookmarkStart w:id="340" w:name="c.6-corrections-and-updates"/>
    <w:p>
      <w:pPr>
        <w:pStyle w:val="Heading2"/>
      </w:pPr>
      <w:r>
        <w:t xml:space="preserve">C.6 Corrections and Updates</w:t>
      </w:r>
    </w:p>
    <w:p>
      <w:pPr>
        <w:pStyle w:val="FirstParagraph"/>
      </w:pPr>
      <w:r>
        <w:t xml:space="preserve">C.6.1 A master corrects any field underway on the working channel, and the Center logs the correction with a timestamp. A correction never delays transit, never attracts a charge, and never alters the record’s sequence number.</w:t>
      </w:r>
    </w:p>
    <w:bookmarkEnd w:id="340"/>
    <w:bookmarkStart w:id="341" w:name="c.7-non-registered-transit"/>
    <w:p>
      <w:pPr>
        <w:pStyle w:val="Heading2"/>
      </w:pPr>
      <w:r>
        <w:t xml:space="preserve">C.7 Non-Registered Transit</w:t>
      </w:r>
    </w:p>
    <w:p>
      <w:pPr>
        <w:pStyle w:val="FirstParagraph"/>
      </w:pPr>
      <w:r>
        <w:t xml:space="preserve">C.7.1 A vessel that enters the Inbound Corridor without registration receives an information hail on the working channel and completes the registration underway without stopping. A persistent refusal to register routes the vessel to a holding anchorage under the traffic management rules, never to an interdiction at sea, and the Even Keel Office reviews every such routing within twenty-four hours for conformity with Article 8.2.</w:t>
      </w:r>
    </w:p>
    <w:bookmarkEnd w:id="341"/>
    <w:bookmarkEnd w:id="342"/>
    <w:bookmarkStart w:id="349" w:name="X2ca3eb3eda60733eeb52e8ada79498b72b8a879"/>
    <w:p>
      <w:pPr>
        <w:pStyle w:val="Heading1"/>
      </w:pPr>
      <w:r>
        <w:t xml:space="preserve">ANNEX D: The Verified Services Catalog and Rate Schedule</w:t>
      </w:r>
    </w:p>
    <w:bookmarkStart w:id="343" w:name="d.1-catalog-structure"/>
    <w:p>
      <w:pPr>
        <w:pStyle w:val="Heading2"/>
      </w:pPr>
      <w:r>
        <w:t xml:space="preserve">D.1 Catalog Structure</w:t>
      </w:r>
    </w:p>
    <w:p>
      <w:pPr>
        <w:pStyle w:val="FirstParagraph"/>
      </w:pPr>
      <w:r>
        <w:t xml:space="preserve">D.1.1 The Catalog divides into standing services, delivered continuously to the shipping community as a whole, and requested services, ordered by a vessel or operator for itself. Every service line states: definition; delivery standard; documentation requirement; unit rate; and provider assignment.</w:t>
      </w:r>
    </w:p>
    <w:bookmarkEnd w:id="343"/>
    <w:bookmarkStart w:id="344" w:name="d.2-standing-services-and-annual-rates"/>
    <w:p>
      <w:pPr>
        <w:pStyle w:val="Heading2"/>
      </w:pPr>
      <w:r>
        <w:t xml:space="preserve">D.2 Standing Services and Annual Rates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Code</w:t>
            </w:r>
          </w:p>
        </w:tc>
        <w:tc>
          <w:tcPr/>
          <w:p>
            <w:pPr>
              <w:pStyle w:val="Compact"/>
              <w:jc w:val="left"/>
            </w:pPr>
            <w:r>
              <w:t xml:space="preserve">Service</w:t>
            </w:r>
          </w:p>
        </w:tc>
        <w:tc>
          <w:tcPr/>
          <w:p>
            <w:pPr>
              <w:pStyle w:val="Compact"/>
              <w:jc w:val="left"/>
            </w:pPr>
            <w:r>
              <w:t xml:space="preserve">Delivery Standard</w:t>
            </w:r>
          </w:p>
        </w:tc>
        <w:tc>
          <w:tcPr/>
          <w:p>
            <w:pPr>
              <w:pStyle w:val="Compact"/>
              <w:jc w:val="left"/>
            </w:pPr>
            <w:r>
              <w:t xml:space="preserve">Documentation</w:t>
            </w:r>
          </w:p>
        </w:tc>
        <w:tc>
          <w:tcPr/>
          <w:p>
            <w:pPr>
              <w:pStyle w:val="Compact"/>
              <w:jc w:val="left"/>
            </w:pPr>
            <w:r>
              <w:t xml:space="preserve">Annual Rate (USD)</w:t>
            </w:r>
          </w:p>
        </w:tc>
        <w:tc>
          <w:tcPr/>
          <w:p>
            <w:pPr>
              <w:pStyle w:val="Compact"/>
              <w:jc w:val="left"/>
            </w:pPr>
            <w:r>
              <w:t xml:space="preserve">Provider</w:t>
            </w:r>
          </w:p>
        </w:tc>
      </w:tr>
      <w:tr>
        <w:tc>
          <w:tcPr/>
          <w:p>
            <w:pPr>
              <w:pStyle w:val="Compact"/>
              <w:jc w:val="left"/>
            </w:pPr>
            <w:r>
              <w:t xml:space="preserve">S-01</w:t>
            </w:r>
          </w:p>
        </w:tc>
        <w:tc>
          <w:tcPr/>
          <w:p>
            <w:pPr>
              <w:pStyle w:val="Compact"/>
              <w:jc w:val="left"/>
            </w:pPr>
            <w:r>
              <w:t xml:space="preserve">Vessel traffic service operation</w:t>
            </w:r>
          </w:p>
        </w:tc>
        <w:tc>
          <w:tcPr/>
          <w:p>
            <w:pPr>
              <w:pStyle w:val="Compact"/>
              <w:jc w:val="left"/>
            </w:pPr>
            <w:r>
              <w:t xml:space="preserve">Continuous watch, three corridors</w:t>
            </w:r>
          </w:p>
        </w:tc>
        <w:tc>
          <w:tcPr/>
          <w:p>
            <w:pPr>
              <w:pStyle w:val="Compact"/>
              <w:jc w:val="left"/>
            </w:pPr>
            <w:r>
              <w:t xml:space="preserve">Watch logs, daily report</w:t>
            </w:r>
          </w:p>
        </w:tc>
        <w:tc>
          <w:tcPr/>
          <w:p>
            <w:pPr>
              <w:pStyle w:val="Compact"/>
              <w:jc w:val="left"/>
            </w:pPr>
            <w:r>
              <w:t xml:space="preserve">18,000,000</w:t>
            </w:r>
          </w:p>
        </w:tc>
        <w:tc>
          <w:tcPr/>
          <w:p>
            <w:pPr>
              <w:pStyle w:val="Compact"/>
              <w:jc w:val="left"/>
            </w:pPr>
            <w:r>
              <w:t xml:space="preserve">Center, joint teams</w:t>
            </w:r>
          </w:p>
        </w:tc>
      </w:tr>
      <w:tr>
        <w:tc>
          <w:tcPr/>
          <w:p>
            <w:pPr>
              <w:pStyle w:val="Compact"/>
              <w:jc w:val="left"/>
            </w:pPr>
            <w:r>
              <w:t xml:space="preserve">S-02</w:t>
            </w:r>
          </w:p>
        </w:tc>
        <w:tc>
          <w:tcPr/>
          <w:p>
            <w:pPr>
              <w:pStyle w:val="Compact"/>
              <w:jc w:val="left"/>
            </w:pPr>
            <w:r>
              <w:t xml:space="preserve">Aids to navigation</w:t>
            </w:r>
          </w:p>
        </w:tc>
        <w:tc>
          <w:tcPr/>
          <w:p>
            <w:pPr>
              <w:pStyle w:val="Compact"/>
              <w:jc w:val="left"/>
            </w:pPr>
            <w:r>
              <w:t xml:space="preserve">100 percent availability of lights, buoys, beacons</w:t>
            </w:r>
          </w:p>
        </w:tc>
        <w:tc>
          <w:tcPr/>
          <w:p>
            <w:pPr>
              <w:pStyle w:val="Compact"/>
              <w:jc w:val="left"/>
            </w:pPr>
            <w:r>
              <w:t xml:space="preserve">Monthly availability audit</w:t>
            </w:r>
          </w:p>
        </w:tc>
        <w:tc>
          <w:tcPr/>
          <w:p>
            <w:pPr>
              <w:pStyle w:val="Compact"/>
              <w:jc w:val="left"/>
            </w:pPr>
            <w:r>
              <w:t xml:space="preserve">9,500,000</w:t>
            </w:r>
          </w:p>
        </w:tc>
        <w:tc>
          <w:tcPr/>
          <w:p>
            <w:pPr>
              <w:pStyle w:val="Compact"/>
              <w:jc w:val="left"/>
            </w:pPr>
            <w:r>
              <w:t xml:space="preserve">Iran north; Oman south</w:t>
            </w:r>
          </w:p>
        </w:tc>
      </w:tr>
      <w:tr>
        <w:tc>
          <w:tcPr/>
          <w:p>
            <w:pPr>
              <w:pStyle w:val="Compact"/>
              <w:jc w:val="left"/>
            </w:pPr>
            <w:r>
              <w:t xml:space="preserve">S-03</w:t>
            </w:r>
          </w:p>
        </w:tc>
        <w:tc>
          <w:tcPr/>
          <w:p>
            <w:pPr>
              <w:pStyle w:val="Compact"/>
              <w:jc w:val="left"/>
            </w:pPr>
            <w:r>
              <w:t xml:space="preserve">Hydrographic survey and chart maintenance</w:t>
            </w:r>
          </w:p>
        </w:tc>
        <w:tc>
          <w:tcPr/>
          <w:p>
            <w:pPr>
              <w:pStyle w:val="Compact"/>
              <w:jc w:val="left"/>
            </w:pPr>
            <w:r>
              <w:t xml:space="preserve">Full corridor survey twice yearly</w:t>
            </w:r>
          </w:p>
        </w:tc>
        <w:tc>
          <w:tcPr/>
          <w:p>
            <w:pPr>
              <w:pStyle w:val="Compact"/>
              <w:jc w:val="left"/>
            </w:pPr>
            <w:r>
              <w:t xml:space="preserve">Survey reports, chart notes</w:t>
            </w:r>
          </w:p>
        </w:tc>
        <w:tc>
          <w:tcPr/>
          <w:p>
            <w:pPr>
              <w:pStyle w:val="Compact"/>
              <w:jc w:val="left"/>
            </w:pPr>
            <w:r>
              <w:t xml:space="preserve">7,000,000</w:t>
            </w:r>
          </w:p>
        </w:tc>
        <w:tc>
          <w:tcPr/>
          <w:p>
            <w:pPr>
              <w:pStyle w:val="Compact"/>
              <w:jc w:val="left"/>
            </w:pPr>
            <w:r>
              <w:t xml:space="preserve">Alternating lead</w:t>
            </w:r>
          </w:p>
        </w:tc>
      </w:tr>
      <w:tr>
        <w:tc>
          <w:tcPr/>
          <w:p>
            <w:pPr>
              <w:pStyle w:val="Compact"/>
              <w:jc w:val="left"/>
            </w:pPr>
            <w:r>
              <w:t xml:space="preserve">S-04</w:t>
            </w:r>
          </w:p>
        </w:tc>
        <w:tc>
          <w:tcPr/>
          <w:p>
            <w:pPr>
              <w:pStyle w:val="Compact"/>
              <w:jc w:val="left"/>
            </w:pPr>
            <w:r>
              <w:t xml:space="preserve">Environmental monitoring</w:t>
            </w:r>
          </w:p>
        </w:tc>
        <w:tc>
          <w:tcPr/>
          <w:p>
            <w:pPr>
              <w:pStyle w:val="Compact"/>
              <w:jc w:val="left"/>
            </w:pPr>
            <w:r>
              <w:t xml:space="preserve">Continuous sensor grid, quarterly sampling</w:t>
            </w:r>
          </w:p>
        </w:tc>
        <w:tc>
          <w:tcPr/>
          <w:p>
            <w:pPr>
              <w:pStyle w:val="Compact"/>
              <w:jc w:val="left"/>
            </w:pPr>
            <w:r>
              <w:t xml:space="preserve">Sensor telemetry, lab records</w:t>
            </w:r>
          </w:p>
        </w:tc>
        <w:tc>
          <w:tcPr/>
          <w:p>
            <w:pPr>
              <w:pStyle w:val="Compact"/>
              <w:jc w:val="left"/>
            </w:pPr>
            <w:r>
              <w:t xml:space="preserve">4,500,000</w:t>
            </w:r>
          </w:p>
        </w:tc>
        <w:tc>
          <w:tcPr/>
          <w:p>
            <w:pPr>
              <w:pStyle w:val="Compact"/>
              <w:jc w:val="left"/>
            </w:pPr>
            <w:r>
              <w:t xml:space="preserve">Joint teams</w:t>
            </w:r>
          </w:p>
        </w:tc>
      </w:tr>
      <w:tr>
        <w:tc>
          <w:tcPr/>
          <w:p>
            <w:pPr>
              <w:pStyle w:val="Compact"/>
              <w:jc w:val="left"/>
            </w:pPr>
            <w:r>
              <w:t xml:space="preserve">S-05</w:t>
            </w:r>
          </w:p>
        </w:tc>
        <w:tc>
          <w:tcPr/>
          <w:p>
            <w:pPr>
              <w:pStyle w:val="Compact"/>
              <w:jc w:val="left"/>
            </w:pPr>
            <w:r>
              <w:t xml:space="preserve">Search and rescue standby</w:t>
            </w:r>
          </w:p>
        </w:tc>
        <w:tc>
          <w:tcPr/>
          <w:p>
            <w:pPr>
              <w:pStyle w:val="Compact"/>
              <w:jc w:val="left"/>
            </w:pPr>
            <w:r>
              <w:t xml:space="preserve">30-minute readiness, all sectors</w:t>
            </w:r>
          </w:p>
        </w:tc>
        <w:tc>
          <w:tcPr/>
          <w:p>
            <w:pPr>
              <w:pStyle w:val="Compact"/>
              <w:jc w:val="left"/>
            </w:pPr>
            <w:r>
              <w:t xml:space="preserve">Rota logs, drill records</w:t>
            </w:r>
          </w:p>
        </w:tc>
        <w:tc>
          <w:tcPr/>
          <w:p>
            <w:pPr>
              <w:pStyle w:val="Compact"/>
              <w:jc w:val="left"/>
            </w:pPr>
            <w:r>
              <w:t xml:space="preserve">8,000,000</w:t>
            </w:r>
          </w:p>
        </w:tc>
        <w:tc>
          <w:tcPr/>
          <w:p>
            <w:pPr>
              <w:pStyle w:val="Compact"/>
              <w:jc w:val="left"/>
            </w:pPr>
            <w:r>
              <w:t xml:space="preserve">SAR rota states</w:t>
            </w:r>
          </w:p>
        </w:tc>
      </w:tr>
      <w:tr>
        <w:tc>
          <w:tcPr/>
          <w:p>
            <w:pPr>
              <w:pStyle w:val="Compact"/>
              <w:jc w:val="left"/>
            </w:pPr>
            <w:r>
              <w:t xml:space="preserve">S-06</w:t>
            </w:r>
          </w:p>
        </w:tc>
        <w:tc>
          <w:tcPr/>
          <w:p>
            <w:pPr>
              <w:pStyle w:val="Compact"/>
              <w:jc w:val="left"/>
            </w:pPr>
            <w:r>
              <w:t xml:space="preserve">Monitoring and reporting architecture</w:t>
            </w:r>
          </w:p>
        </w:tc>
        <w:tc>
          <w:tcPr/>
          <w:p>
            <w:pPr>
              <w:pStyle w:val="Compact"/>
              <w:jc w:val="left"/>
            </w:pPr>
            <w:r>
              <w:t xml:space="preserve">Bulletin, dashboard, data custody</w:t>
            </w:r>
          </w:p>
        </w:tc>
        <w:tc>
          <w:tcPr/>
          <w:p>
            <w:pPr>
              <w:pStyle w:val="Compact"/>
              <w:jc w:val="left"/>
            </w:pPr>
            <w:r>
              <w:t xml:space="preserve">System uptime logs</w:t>
            </w:r>
          </w:p>
        </w:tc>
        <w:tc>
          <w:tcPr/>
          <w:p>
            <w:pPr>
              <w:pStyle w:val="Compact"/>
              <w:jc w:val="left"/>
            </w:pPr>
            <w:r>
              <w:t xml:space="preserve">6,500,000</w:t>
            </w:r>
          </w:p>
        </w:tc>
        <w:tc>
          <w:tcPr/>
          <w:p>
            <w:pPr>
              <w:pStyle w:val="Compact"/>
              <w:jc w:val="left"/>
            </w:pPr>
            <w:r>
              <w:t xml:space="preserve">Center</w:t>
            </w:r>
          </w:p>
        </w:tc>
      </w:tr>
      <w:tr>
        <w:tc>
          <w:tcPr/>
          <w:p>
            <w:pPr>
              <w:pStyle w:val="Compact"/>
              <w:jc w:val="left"/>
            </w:pPr>
            <w:r>
              <w:t xml:space="preserve">S-07</w:t>
            </w:r>
          </w:p>
        </w:tc>
        <w:tc>
          <w:tcPr/>
          <w:p>
            <w:pPr>
              <w:pStyle w:val="Compact"/>
              <w:jc w:val="left"/>
            </w:pPr>
            <w:r>
              <w:t xml:space="preserve">Even Keel verification operations</w:t>
            </w:r>
          </w:p>
        </w:tc>
        <w:tc>
          <w:tcPr/>
          <w:p>
            <w:pPr>
              <w:pStyle w:val="Compact"/>
              <w:jc w:val="left"/>
            </w:pPr>
            <w:r>
              <w:t xml:space="preserve">Observer rota, audits, certificates</w:t>
            </w:r>
          </w:p>
        </w:tc>
        <w:tc>
          <w:tcPr/>
          <w:p>
            <w:pPr>
              <w:pStyle w:val="Compact"/>
              <w:jc w:val="left"/>
            </w:pPr>
            <w:r>
              <w:t xml:space="preserve">Office reports</w:t>
            </w:r>
          </w:p>
        </w:tc>
        <w:tc>
          <w:tcPr/>
          <w:p>
            <w:pPr>
              <w:pStyle w:val="Compact"/>
              <w:jc w:val="left"/>
            </w:pPr>
            <w:r>
              <w:t xml:space="preserve">7,500,000</w:t>
            </w:r>
          </w:p>
        </w:tc>
        <w:tc>
          <w:tcPr/>
          <w:p>
            <w:pPr>
              <w:pStyle w:val="Compact"/>
              <w:jc w:val="left"/>
            </w:pPr>
            <w:r>
              <w:t xml:space="preserve">Even Keel Office</w:t>
            </w:r>
          </w:p>
        </w:tc>
      </w:tr>
      <w:tr>
        <w:tc>
          <w:tcPr/>
          <w:p>
            <w:pPr>
              <w:pStyle w:val="Compact"/>
              <w:jc w:val="left"/>
            </w:pPr>
            <w:r>
              <w:t xml:space="preserve">S-08</w:t>
            </w:r>
          </w:p>
        </w:tc>
        <w:tc>
          <w:tcPr/>
          <w:p>
            <w:pPr>
              <w:pStyle w:val="Compact"/>
              <w:jc w:val="left"/>
            </w:pPr>
            <w:r>
              <w:t xml:space="preserve">Mine-watch survey passes</w:t>
            </w:r>
          </w:p>
        </w:tc>
        <w:tc>
          <w:tcPr/>
          <w:p>
            <w:pPr>
              <w:pStyle w:val="Compact"/>
              <w:jc w:val="left"/>
            </w:pPr>
            <w:r>
              <w:t xml:space="preserve">Monthly lane passes</w:t>
            </w:r>
          </w:p>
        </w:tc>
        <w:tc>
          <w:tcPr/>
          <w:p>
            <w:pPr>
              <w:pStyle w:val="Compact"/>
              <w:jc w:val="left"/>
            </w:pPr>
            <w:r>
              <w:t xml:space="preserve">Survey logs</w:t>
            </w:r>
          </w:p>
        </w:tc>
        <w:tc>
          <w:tcPr/>
          <w:p>
            <w:pPr>
              <w:pStyle w:val="Compact"/>
              <w:jc w:val="left"/>
            </w:pPr>
            <w:r>
              <w:t xml:space="preserve">6,000,000</w:t>
            </w:r>
          </w:p>
        </w:tc>
        <w:tc>
          <w:tcPr/>
          <w:p>
            <w:pPr>
              <w:pStyle w:val="Compact"/>
              <w:jc w:val="left"/>
            </w:pPr>
            <w:r>
              <w:t xml:space="preserve">Iran lead, Oman support</w:t>
            </w:r>
          </w:p>
        </w:tc>
      </w:tr>
      <w:tr>
        <w:tc>
          <w:tcPr/>
          <w:p>
            <w:pPr>
              <w:pStyle w:val="Compact"/>
              <w:jc w:val="left"/>
            </w:pPr>
            <w:r>
              <w:t xml:space="preserve">S-09</w:t>
            </w:r>
          </w:p>
        </w:tc>
        <w:tc>
          <w:tcPr/>
          <w:p>
            <w:pPr>
              <w:pStyle w:val="Compact"/>
              <w:jc w:val="left"/>
            </w:pPr>
            <w:r>
              <w:t xml:space="preserve">Escort coordination standby</w:t>
            </w:r>
          </w:p>
        </w:tc>
        <w:tc>
          <w:tcPr/>
          <w:p>
            <w:pPr>
              <w:pStyle w:val="Compact"/>
              <w:jc w:val="left"/>
            </w:pPr>
            <w:r>
              <w:t xml:space="preserve">Escort availability for electing classes</w:t>
            </w:r>
          </w:p>
        </w:tc>
        <w:tc>
          <w:tcPr/>
          <w:p>
            <w:pPr>
              <w:pStyle w:val="Compact"/>
              <w:jc w:val="left"/>
            </w:pPr>
            <w:r>
              <w:t xml:space="preserve">Escort board records</w:t>
            </w:r>
          </w:p>
        </w:tc>
        <w:tc>
          <w:tcPr/>
          <w:p>
            <w:pPr>
              <w:pStyle w:val="Compact"/>
              <w:jc w:val="left"/>
            </w:pPr>
            <w:r>
              <w:t xml:space="preserve">5,000,000</w:t>
            </w:r>
          </w:p>
        </w:tc>
        <w:tc>
          <w:tcPr/>
          <w:p>
            <w:pPr>
              <w:pStyle w:val="Compact"/>
              <w:jc w:val="left"/>
            </w:pPr>
            <w:r>
              <w:t xml:space="preserve">Corridor administrators</w:t>
            </w:r>
          </w:p>
        </w:tc>
      </w:tr>
    </w:tbl>
    <w:bookmarkEnd w:id="344"/>
    <w:bookmarkStart w:id="345" w:name="d.3-requested-services-and-unit-rates"/>
    <w:p>
      <w:pPr>
        <w:pStyle w:val="Heading2"/>
      </w:pPr>
      <w:r>
        <w:t xml:space="preserve">D.3 Requested Services and Unit Rates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Code</w:t>
            </w:r>
          </w:p>
        </w:tc>
        <w:tc>
          <w:tcPr/>
          <w:p>
            <w:pPr>
              <w:pStyle w:val="Compact"/>
              <w:jc w:val="left"/>
            </w:pPr>
            <w:r>
              <w:t xml:space="preserve">Service</w:t>
            </w:r>
          </w:p>
        </w:tc>
        <w:tc>
          <w:tcPr/>
          <w:p>
            <w:pPr>
              <w:pStyle w:val="Compact"/>
              <w:jc w:val="left"/>
            </w:pPr>
            <w:r>
              <w:t xml:space="preserve">Unit</w:t>
            </w:r>
          </w:p>
        </w:tc>
        <w:tc>
          <w:tcPr/>
          <w:p>
            <w:pPr>
              <w:pStyle w:val="Compact"/>
              <w:jc w:val="left"/>
            </w:pPr>
            <w:r>
              <w:t xml:space="preserve">Rate (USD)</w:t>
            </w:r>
          </w:p>
        </w:tc>
        <w:tc>
          <w:tcPr/>
          <w:p>
            <w:pPr>
              <w:pStyle w:val="Compact"/>
              <w:jc w:val="left"/>
            </w:pPr>
            <w:r>
              <w:t xml:space="preserve">Delivery Standard</w:t>
            </w:r>
          </w:p>
        </w:tc>
      </w:tr>
      <w:tr>
        <w:tc>
          <w:tcPr/>
          <w:p>
            <w:pPr>
              <w:pStyle w:val="Compact"/>
              <w:jc w:val="left"/>
            </w:pPr>
            <w:r>
              <w:t xml:space="preserve">R-01</w:t>
            </w:r>
          </w:p>
        </w:tc>
        <w:tc>
          <w:tcPr/>
          <w:p>
            <w:pPr>
              <w:pStyle w:val="Compact"/>
              <w:jc w:val="left"/>
            </w:pPr>
            <w:r>
              <w:t xml:space="preserve">Pilotage, full corridor transit</w:t>
            </w:r>
          </w:p>
        </w:tc>
        <w:tc>
          <w:tcPr/>
          <w:p>
            <w:pPr>
              <w:pStyle w:val="Compact"/>
              <w:jc w:val="left"/>
            </w:pPr>
            <w:r>
              <w:t xml:space="preserve">Per transit</w:t>
            </w:r>
          </w:p>
        </w:tc>
        <w:tc>
          <w:tcPr/>
          <w:p>
            <w:pPr>
              <w:pStyle w:val="Compact"/>
              <w:jc w:val="left"/>
            </w:pPr>
            <w:r>
              <w:t xml:space="preserve">4,800</w:t>
            </w:r>
          </w:p>
        </w:tc>
        <w:tc>
          <w:tcPr/>
          <w:p>
            <w:pPr>
              <w:pStyle w:val="Compact"/>
              <w:jc w:val="left"/>
            </w:pPr>
            <w:r>
              <w:t xml:space="preserve">Pilot boards within 2 hours of request</w:t>
            </w:r>
          </w:p>
        </w:tc>
      </w:tr>
      <w:tr>
        <w:tc>
          <w:tcPr/>
          <w:p>
            <w:pPr>
              <w:pStyle w:val="Compact"/>
              <w:jc w:val="left"/>
            </w:pPr>
            <w:r>
              <w:t xml:space="preserve">R-02</w:t>
            </w:r>
          </w:p>
        </w:tc>
        <w:tc>
          <w:tcPr/>
          <w:p>
            <w:pPr>
              <w:pStyle w:val="Compact"/>
              <w:jc w:val="left"/>
            </w:pPr>
            <w:r>
              <w:t xml:space="preserve">Pilotage, partial segment</w:t>
            </w:r>
          </w:p>
        </w:tc>
        <w:tc>
          <w:tcPr/>
          <w:p>
            <w:pPr>
              <w:pStyle w:val="Compact"/>
              <w:jc w:val="left"/>
            </w:pPr>
            <w:r>
              <w:t xml:space="preserve">Per segment</w:t>
            </w:r>
          </w:p>
        </w:tc>
        <w:tc>
          <w:tcPr/>
          <w:p>
            <w:pPr>
              <w:pStyle w:val="Compact"/>
              <w:jc w:val="left"/>
            </w:pPr>
            <w:r>
              <w:t xml:space="preserve">2,600</w:t>
            </w:r>
          </w:p>
        </w:tc>
        <w:tc>
          <w:tcPr/>
          <w:p>
            <w:pPr>
              <w:pStyle w:val="Compact"/>
              <w:jc w:val="left"/>
            </w:pPr>
            <w:r>
              <w:t xml:space="preserve">Pilot boards within 2 hours</w:t>
            </w:r>
          </w:p>
        </w:tc>
      </w:tr>
      <w:tr>
        <w:tc>
          <w:tcPr/>
          <w:p>
            <w:pPr>
              <w:pStyle w:val="Compact"/>
              <w:jc w:val="left"/>
            </w:pPr>
            <w:r>
              <w:t xml:space="preserve">R-03</w:t>
            </w:r>
          </w:p>
        </w:tc>
        <w:tc>
          <w:tcPr/>
          <w:p>
            <w:pPr>
              <w:pStyle w:val="Compact"/>
              <w:jc w:val="left"/>
            </w:pPr>
            <w:r>
              <w:t xml:space="preserve">Tug assistance, escort tug</w:t>
            </w:r>
          </w:p>
        </w:tc>
        <w:tc>
          <w:tcPr/>
          <w:p>
            <w:pPr>
              <w:pStyle w:val="Compact"/>
              <w:jc w:val="left"/>
            </w:pPr>
            <w:r>
              <w:t xml:space="preserve">Per hour</w:t>
            </w:r>
          </w:p>
        </w:tc>
        <w:tc>
          <w:tcPr/>
          <w:p>
            <w:pPr>
              <w:pStyle w:val="Compact"/>
              <w:jc w:val="left"/>
            </w:pPr>
            <w:r>
              <w:t xml:space="preserve">3,900</w:t>
            </w:r>
          </w:p>
        </w:tc>
        <w:tc>
          <w:tcPr/>
          <w:p>
            <w:pPr>
              <w:pStyle w:val="Compact"/>
              <w:jc w:val="left"/>
            </w:pPr>
            <w:r>
              <w:t xml:space="preserve">30-minute readiness at both ends</w:t>
            </w:r>
          </w:p>
        </w:tc>
      </w:tr>
      <w:tr>
        <w:tc>
          <w:tcPr/>
          <w:p>
            <w:pPr>
              <w:pStyle w:val="Compact"/>
              <w:jc w:val="left"/>
            </w:pPr>
            <w:r>
              <w:t xml:space="preserve">R-04</w:t>
            </w:r>
          </w:p>
        </w:tc>
        <w:tc>
          <w:tcPr/>
          <w:p>
            <w:pPr>
              <w:pStyle w:val="Compact"/>
              <w:jc w:val="left"/>
            </w:pPr>
            <w:r>
              <w:t xml:space="preserve">Scheduled escort, single vessel</w:t>
            </w:r>
          </w:p>
        </w:tc>
        <w:tc>
          <w:tcPr/>
          <w:p>
            <w:pPr>
              <w:pStyle w:val="Compact"/>
              <w:jc w:val="left"/>
            </w:pPr>
            <w:r>
              <w:t xml:space="preserve">Per transit</w:t>
            </w:r>
          </w:p>
        </w:tc>
        <w:tc>
          <w:tcPr/>
          <w:p>
            <w:pPr>
              <w:pStyle w:val="Compact"/>
              <w:jc w:val="left"/>
            </w:pPr>
            <w:r>
              <w:t xml:space="preserve">22,000</w:t>
            </w:r>
          </w:p>
        </w:tc>
        <w:tc>
          <w:tcPr/>
          <w:p>
            <w:pPr>
              <w:pStyle w:val="Compact"/>
              <w:jc w:val="left"/>
            </w:pPr>
            <w:r>
              <w:t xml:space="preserve">Dual-key escort under Annex F</w:t>
            </w:r>
          </w:p>
        </w:tc>
      </w:tr>
      <w:tr>
        <w:tc>
          <w:tcPr/>
          <w:p>
            <w:pPr>
              <w:pStyle w:val="Compact"/>
              <w:jc w:val="left"/>
            </w:pPr>
            <w:r>
              <w:t xml:space="preserve">R-05</w:t>
            </w:r>
          </w:p>
        </w:tc>
        <w:tc>
          <w:tcPr/>
          <w:p>
            <w:pPr>
              <w:pStyle w:val="Compact"/>
              <w:jc w:val="left"/>
            </w:pPr>
            <w:r>
              <w:t xml:space="preserve">Dedicated traffic information product</w:t>
            </w:r>
          </w:p>
        </w:tc>
        <w:tc>
          <w:tcPr/>
          <w:p>
            <w:pPr>
              <w:pStyle w:val="Compact"/>
              <w:jc w:val="left"/>
            </w:pPr>
            <w:r>
              <w:t xml:space="preserve">Per month</w:t>
            </w:r>
          </w:p>
        </w:tc>
        <w:tc>
          <w:tcPr/>
          <w:p>
            <w:pPr>
              <w:pStyle w:val="Compact"/>
              <w:jc w:val="left"/>
            </w:pPr>
            <w:r>
              <w:t xml:space="preserve">1,500</w:t>
            </w:r>
          </w:p>
        </w:tc>
        <w:tc>
          <w:tcPr/>
          <w:p>
            <w:pPr>
              <w:pStyle w:val="Compact"/>
              <w:jc w:val="left"/>
            </w:pPr>
            <w:r>
              <w:t xml:space="preserve">Real-time feed, 5-minute updates</w:t>
            </w:r>
          </w:p>
        </w:tc>
      </w:tr>
      <w:tr>
        <w:tc>
          <w:tcPr/>
          <w:p>
            <w:pPr>
              <w:pStyle w:val="Compact"/>
              <w:jc w:val="left"/>
            </w:pPr>
            <w:r>
              <w:t xml:space="preserve">R-06</w:t>
            </w:r>
          </w:p>
        </w:tc>
        <w:tc>
          <w:tcPr/>
          <w:p>
            <w:pPr>
              <w:pStyle w:val="Compact"/>
              <w:jc w:val="left"/>
            </w:pPr>
            <w:r>
              <w:t xml:space="preserve">Transit certification product</w:t>
            </w:r>
          </w:p>
        </w:tc>
        <w:tc>
          <w:tcPr/>
          <w:p>
            <w:pPr>
              <w:pStyle w:val="Compact"/>
              <w:jc w:val="left"/>
            </w:pPr>
            <w:r>
              <w:t xml:space="preserve">Per certificate</w:t>
            </w:r>
          </w:p>
        </w:tc>
        <w:tc>
          <w:tcPr/>
          <w:p>
            <w:pPr>
              <w:pStyle w:val="Compact"/>
              <w:jc w:val="left"/>
            </w:pPr>
            <w:r>
              <w:t xml:space="preserve">400</w:t>
            </w:r>
          </w:p>
        </w:tc>
        <w:tc>
          <w:tcPr/>
          <w:p>
            <w:pPr>
              <w:pStyle w:val="Compact"/>
              <w:jc w:val="left"/>
            </w:pPr>
            <w:r>
              <w:t xml:space="preserve">Registry-verified record extract</w:t>
            </w:r>
          </w:p>
        </w:tc>
      </w:tr>
      <w:tr>
        <w:tc>
          <w:tcPr/>
          <w:p>
            <w:pPr>
              <w:pStyle w:val="Compact"/>
              <w:jc w:val="left"/>
            </w:pPr>
            <w:r>
              <w:t xml:space="preserve">R-07</w:t>
            </w:r>
          </w:p>
        </w:tc>
        <w:tc>
          <w:tcPr/>
          <w:p>
            <w:pPr>
              <w:pStyle w:val="Compact"/>
              <w:jc w:val="left"/>
            </w:pPr>
            <w:r>
              <w:t xml:space="preserve">Route Assurance Data Service, Tier 1</w:t>
            </w:r>
          </w:p>
        </w:tc>
        <w:tc>
          <w:tcPr/>
          <w:p>
            <w:pPr>
              <w:pStyle w:val="Compact"/>
              <w:jc w:val="left"/>
            </w:pPr>
            <w:r>
              <w:t xml:space="preserve">Per year</w:t>
            </w:r>
          </w:p>
        </w:tc>
        <w:tc>
          <w:tcPr/>
          <w:p>
            <w:pPr>
              <w:pStyle w:val="Compact"/>
              <w:jc w:val="left"/>
            </w:pPr>
            <w:r>
              <w:t xml:space="preserve">120,000</w:t>
            </w:r>
          </w:p>
        </w:tc>
        <w:tc>
          <w:tcPr/>
          <w:p>
            <w:pPr>
              <w:pStyle w:val="Compact"/>
              <w:jc w:val="left"/>
            </w:pPr>
            <w:r>
              <w:t xml:space="preserve">Full actuarial feed, daily update</w:t>
            </w:r>
          </w:p>
        </w:tc>
      </w:tr>
      <w:tr>
        <w:tc>
          <w:tcPr/>
          <w:p>
            <w:pPr>
              <w:pStyle w:val="Compact"/>
              <w:jc w:val="left"/>
            </w:pPr>
            <w:r>
              <w:t xml:space="preserve">R-08</w:t>
            </w:r>
          </w:p>
        </w:tc>
        <w:tc>
          <w:tcPr/>
          <w:p>
            <w:pPr>
              <w:pStyle w:val="Compact"/>
              <w:jc w:val="left"/>
            </w:pPr>
            <w:r>
              <w:t xml:space="preserve">Route Assurance Data Service, Tier 2</w:t>
            </w:r>
          </w:p>
        </w:tc>
        <w:tc>
          <w:tcPr/>
          <w:p>
            <w:pPr>
              <w:pStyle w:val="Compact"/>
              <w:jc w:val="left"/>
            </w:pPr>
            <w:r>
              <w:t xml:space="preserve">Per year</w:t>
            </w:r>
          </w:p>
        </w:tc>
        <w:tc>
          <w:tcPr/>
          <w:p>
            <w:pPr>
              <w:pStyle w:val="Compact"/>
              <w:jc w:val="left"/>
            </w:pPr>
            <w:r>
              <w:t xml:space="preserve">45,000</w:t>
            </w:r>
          </w:p>
        </w:tc>
        <w:tc>
          <w:tcPr/>
          <w:p>
            <w:pPr>
              <w:pStyle w:val="Compact"/>
              <w:jc w:val="left"/>
            </w:pPr>
            <w:r>
              <w:t xml:space="preserve">Summary feed, weekly update</w:t>
            </w:r>
          </w:p>
        </w:tc>
      </w:tr>
      <w:tr>
        <w:tc>
          <w:tcPr/>
          <w:p>
            <w:pPr>
              <w:pStyle w:val="Compact"/>
              <w:jc w:val="left"/>
            </w:pPr>
            <w:r>
              <w:t xml:space="preserve">R-09</w:t>
            </w:r>
          </w:p>
        </w:tc>
        <w:tc>
          <w:tcPr/>
          <w:p>
            <w:pPr>
              <w:pStyle w:val="Compact"/>
              <w:jc w:val="left"/>
            </w:pPr>
            <w:r>
              <w:t xml:space="preserve">Observer embarkation service</w:t>
            </w:r>
          </w:p>
        </w:tc>
        <w:tc>
          <w:tcPr/>
          <w:p>
            <w:pPr>
              <w:pStyle w:val="Compact"/>
              <w:jc w:val="left"/>
            </w:pPr>
            <w:r>
              <w:t xml:space="preserve">Per transit</w:t>
            </w:r>
          </w:p>
        </w:tc>
        <w:tc>
          <w:tcPr/>
          <w:p>
            <w:pPr>
              <w:pStyle w:val="Compact"/>
              <w:jc w:val="left"/>
            </w:pPr>
            <w:r>
              <w:t xml:space="preserve">0</w:t>
            </w:r>
          </w:p>
        </w:tc>
        <w:tc>
          <w:tcPr/>
          <w:p>
            <w:pPr>
              <w:pStyle w:val="Compact"/>
              <w:jc w:val="left"/>
            </w:pPr>
            <w:r>
              <w:t xml:space="preserve">Fund-reimbursed; no charge to vessel</w:t>
            </w:r>
          </w:p>
        </w:tc>
      </w:tr>
    </w:tbl>
    <w:bookmarkEnd w:id="345"/>
    <w:bookmarkStart w:id="346" w:name="d.4-rate-rules"/>
    <w:p>
      <w:pPr>
        <w:pStyle w:val="Heading2"/>
      </w:pPr>
      <w:r>
        <w:t xml:space="preserve">D.4 Rate Rules</w:t>
      </w:r>
    </w:p>
    <w:p>
      <w:pPr>
        <w:pStyle w:val="FirstParagraph"/>
      </w:pPr>
      <w:r>
        <w:t xml:space="preserve">D.4.1 Rates price cost recovery with a capped margin of ten percent. The benchmarking study compares every rate against the equivalent service in the Suez Canal service tariff, the Strait of Malacca cooperative mechanism, and the Bosporus service schedule, and the study publishes with the annual rate schedule.</w:t>
      </w:r>
    </w:p>
    <w:p>
      <w:pPr>
        <w:pStyle w:val="BodyText"/>
      </w:pPr>
      <w:r>
        <w:t xml:space="preserve">D.4.2 A rate never prices the passage of any vessel, never varies by flag, cargo origin, or political relationship, and never changes inside a budget year except by the emergency rate procedure of Annex E, which requires a Qualified Majority decision and publishes with reasons.</w:t>
      </w:r>
    </w:p>
    <w:bookmarkEnd w:id="346"/>
    <w:bookmarkStart w:id="347" w:name="d.5-the-pilot-rate-schedule"/>
    <w:p>
      <w:pPr>
        <w:pStyle w:val="Heading2"/>
      </w:pPr>
      <w:r>
        <w:t xml:space="preserve">D.5 The Pilot Rate Schedule</w:t>
      </w:r>
    </w:p>
    <w:p>
      <w:pPr>
        <w:pStyle w:val="FirstParagraph"/>
      </w:pPr>
      <w:r>
        <w:t xml:space="preserve">D.5.1 During the pilot period of Phase Five, all Catalog rates apply at fifty percent. The pilot schedule converts to the founding schedule automatically on the declaration of full activation under Article 41.7.</w:t>
      </w:r>
    </w:p>
    <w:bookmarkEnd w:id="347"/>
    <w:bookmarkStart w:id="348" w:name="d.6-evidence-rules"/>
    <w:p>
      <w:pPr>
        <w:pStyle w:val="Heading2"/>
      </w:pPr>
      <w:r>
        <w:t xml:space="preserve">D.6 Evidence Rules</w:t>
      </w:r>
    </w:p>
    <w:p>
      <w:pPr>
        <w:pStyle w:val="FirstParagraph"/>
      </w:pPr>
      <w:r>
        <w:t xml:space="preserve">D.6.1 Every invoice line attaches its evidence: watch log extract, session record, delivery record signed by the receiving master, patrol or escort log, or survey report reference. The Administrator rejects an undocumented line within seventy-two hours with reasons, and the provider resubmits with documentation. The Auditor samples one hundred percent of lines above fifty thousand dollars and a ten percent random sample of all other lines each quarter.</w:t>
      </w:r>
    </w:p>
    <w:bookmarkEnd w:id="348"/>
    <w:bookmarkEnd w:id="349"/>
    <w:bookmarkStart w:id="357" w:name="X714a900d565a781a5787aa071ed5ccba4c656e1"/>
    <w:p>
      <w:pPr>
        <w:pStyle w:val="Heading1"/>
      </w:pPr>
      <w:r>
        <w:t xml:space="preserve">ANNEX E: Fund Operating Procedures, Escrow, and the Payment Channel</w:t>
      </w:r>
    </w:p>
    <w:bookmarkStart w:id="350" w:name="e.1-accounts-architecture"/>
    <w:p>
      <w:pPr>
        <w:pStyle w:val="Heading2"/>
      </w:pPr>
      <w:r>
        <w:t xml:space="preserve">E.1 Accounts Architecture</w:t>
      </w:r>
    </w:p>
    <w:p>
      <w:pPr>
        <w:pStyle w:val="FirstParagraph"/>
      </w:pPr>
      <w:r>
        <w:t xml:space="preserve">E.1.1 The Fund operates four accounts at the Central Bank of Oman under sovereign immunity protections: the Receipts Account, the Operations Account, the Reserve Account, and the Escrow Holding Account. Every contribution enters the Receipts Account. The Administrator sweeps cleared funds to the Operations Account weekly. The reserves hold in the Reserve Account under the conservative investment mandate. Provisional amounts under review hold in the Escrow Holding Account, earning the Omani central bank rate, and release or return on the review’s conclusion.</w:t>
      </w:r>
    </w:p>
    <w:bookmarkEnd w:id="350"/>
    <w:bookmarkStart w:id="351" w:name="e.2-the-transaction-cycle"/>
    <w:p>
      <w:pPr>
        <w:pStyle w:val="Heading2"/>
      </w:pPr>
      <w:r>
        <w:t xml:space="preserve">E.2 The Transaction Cycle</w:t>
      </w:r>
    </w:p>
    <w:p>
      <w:pPr>
        <w:pStyle w:val="FirstParagraph"/>
      </w:pPr>
      <w:r>
        <w:t xml:space="preserve">E.2.1 The cycle runs on published rails. Contributions invoice annually in the first month of each budget year, with multi-year agreements invoicing on their anniversary. Service invoices submit quarterly, reconcile within twenty-one days, audit within the quarter, and pay within thirty days of receipt of a complete invoice. Distributions execute on the fifth day of each month on the previous month’s verified record. Every step publishes to the dashboard with a cryptographic timestamp.</w:t>
      </w:r>
    </w:p>
    <w:bookmarkEnd w:id="351"/>
    <w:bookmarkStart w:id="352" w:name="e.3-the-sanctions-register"/>
    <w:p>
      <w:pPr>
        <w:pStyle w:val="Heading2"/>
      </w:pPr>
      <w:r>
        <w:t xml:space="preserve">E.3 The Sanctions Register</w:t>
      </w:r>
    </w:p>
    <w:p>
      <w:pPr>
        <w:pStyle w:val="FirstParagraph"/>
      </w:pPr>
      <w:r>
        <w:t xml:space="preserve">E.3.1 The compliance review desk maintains the Sanctions Register: the standing list of sanctions instruments of the United States, the European Union, the United Kingdom, and the United Nations relevant to the payment channel, with a legal mapping of each instrument against each Fund flow. The Register updates within thirty days of any legal change, and the annual external legal opinion publishes with the firewall certificate.</w:t>
      </w:r>
    </w:p>
    <w:bookmarkEnd w:id="352"/>
    <w:bookmarkStart w:id="353" w:name="e.4-the-five-standing-permissions"/>
    <w:p>
      <w:pPr>
        <w:pStyle w:val="Heading2"/>
      </w:pPr>
      <w:r>
        <w:t xml:space="preserve">E.4 The Five Standing Permissions</w:t>
      </w:r>
    </w:p>
    <w:p>
      <w:pPr>
        <w:pStyle w:val="FirstParagraph"/>
      </w:pPr>
      <w:r>
        <w:t xml:space="preserve">E.4.1 The payment channel operates under five standing permissions, recorded in the founding legal opinions: contributions from any participant in any freely convertible currency to the Fund’s accounts; reimbursement from the Fund to any service provider against audited invoices; humanitarian flows on the forty-eight hour fast track; Agency logistics flows at zero margin; and reserve investment under the conservative mandate. The desk screens every flow against the Register, and a screened-clean flow moves without delay.</w:t>
      </w:r>
    </w:p>
    <w:bookmarkEnd w:id="353"/>
    <w:bookmarkStart w:id="354" w:name="e.5-the-firewall-certificate"/>
    <w:p>
      <w:pPr>
        <w:pStyle w:val="Heading2"/>
      </w:pPr>
      <w:r>
        <w:t xml:space="preserve">E.5 The Firewall Certificate</w:t>
      </w:r>
    </w:p>
    <w:p>
      <w:pPr>
        <w:pStyle w:val="FirstParagraph"/>
      </w:pPr>
      <w:r>
        <w:t xml:space="preserve">E.5.1 The annual firewall certificate states: the flows screened in the period; the instruments reviewed; the external legal opinion’s conclusion; any adjustment adopted under Article 23.4; and the attestation that no shipper paid any Participant directly and no payment conditioned any transit. The certificate publishes on the dashboard and files with the Depositary.</w:t>
      </w:r>
    </w:p>
    <w:bookmarkEnd w:id="354"/>
    <w:bookmarkStart w:id="355" w:name="e.6-the-escrow-fallback-drill"/>
    <w:p>
      <w:pPr>
        <w:pStyle w:val="Heading2"/>
      </w:pPr>
      <w:r>
        <w:t xml:space="preserve">E.6 The Escrow Fallback Drill</w:t>
      </w:r>
    </w:p>
    <w:p>
      <w:pPr>
        <w:pStyle w:val="FirstParagraph"/>
      </w:pPr>
      <w:r>
        <w:t xml:space="preserve">E.6.1 The Administrator drills the Bank for International Settlements fallback of Article 21.5 twice yearly: a simulated transfer of escrow administration executed against the live account structure, with a published drill report. The drill guarantees that the thirty-day fallback never operates for the first time in a crisis.</w:t>
      </w:r>
    </w:p>
    <w:bookmarkEnd w:id="355"/>
    <w:bookmarkStart w:id="356" w:name="e.7-audit-access"/>
    <w:p>
      <w:pPr>
        <w:pStyle w:val="Heading2"/>
      </w:pPr>
      <w:r>
        <w:t xml:space="preserve">E.7 Audit Access</w:t>
      </w:r>
    </w:p>
    <w:p>
      <w:pPr>
        <w:pStyle w:val="FirstParagraph"/>
      </w:pPr>
      <w:r>
        <w:t xml:space="preserve">E.7.1 The Auditor holds unrestricted, continuous access to every account, every ledger, every invoice, and every reconciliation record of the Fund, and the Trustee provides read-only banking access directly to the Auditor without Administrator intermediation. A denial of audit access freezes the affected account’s distributions automatically until access restores.</w:t>
      </w:r>
    </w:p>
    <w:bookmarkEnd w:id="356"/>
    <w:bookmarkEnd w:id="357"/>
    <w:bookmarkStart w:id="365" w:name="X59bb4f1a8a2cf4d175d8127efc2dc1ba18812e1"/>
    <w:p>
      <w:pPr>
        <w:pStyle w:val="Heading1"/>
      </w:pPr>
      <w:r>
        <w:t xml:space="preserve">ANNEX F: Military Deconfliction and the Dual-Key Security Protocol</w:t>
      </w:r>
    </w:p>
    <w:bookmarkStart w:id="358" w:name="f.1-the-posture-baseline"/>
    <w:p>
      <w:pPr>
        <w:pStyle w:val="Heading2"/>
      </w:pPr>
      <w:r>
        <w:t xml:space="preserve">F.1 The Posture Baseline</w:t>
      </w:r>
    </w:p>
    <w:p>
      <w:pPr>
        <w:pStyle w:val="FirstParagraph"/>
      </w:pPr>
      <w:r>
        <w:t xml:space="preserve">F.1.1 On entry into force, every Participant and every Strategic Partner files its posture baseline for the Operating Area with the Council: patrol craft counts, forward stations, and exercise patterns. The baseline enters the restricted layer of the dashboard, and every change notifies forty-eight hours ahead.</w:t>
      </w:r>
    </w:p>
    <w:bookmarkEnd w:id="358"/>
    <w:bookmarkStart w:id="359" w:name="f.2-the-reversible-posture-measures"/>
    <w:p>
      <w:pPr>
        <w:pStyle w:val="Heading2"/>
      </w:pPr>
      <w:r>
        <w:t xml:space="preserve">F.2 The Reversible Posture Measures</w:t>
      </w:r>
    </w:p>
    <w:p>
      <w:pPr>
        <w:pStyle w:val="FirstParagraph"/>
      </w:pPr>
      <w:r>
        <w:t xml:space="preserve">F.2.1 The architecture holds a set of reversible posture measures, engaged or released by the compliance engine under Article 37: increased standoff distances; reduced patrol frequency in designated sectors; relocation of strike group operations beyond fifty nautical miles from the Strait entrance; pre-notification windows extended from forty-eight to ninety-six hours; and enhanced observer embarkation. A Tier 4 classification re-engages the measures for the responsible Participant’s sectors; earn-back releases them.</w:t>
      </w:r>
    </w:p>
    <w:bookmarkEnd w:id="359"/>
    <w:bookmarkStart w:id="360" w:name="f.3-the-dual-key-activation-procedure"/>
    <w:p>
      <w:pPr>
        <w:pStyle w:val="Heading2"/>
      </w:pPr>
      <w:r>
        <w:t xml:space="preserve">F.3 The Dual-Key Activation Procedure</w:t>
      </w:r>
    </w:p>
    <w:p>
      <w:pPr>
        <w:pStyle w:val="FirstParagraph"/>
      </w:pPr>
      <w:r>
        <w:t xml:space="preserve">F.3.1 A designated security function executes through this procedure: the initiating state notifies the Center duty supervisors of the function, the sector, and the duration; the second key confirms or declines on the hotline within fifteen minutes; where the rule requires a third key, the Even Keel Director confirms against the observer record; the Center logs the activation with all keys named; and the function executes within its stated envelope. A function without its keys classifies automatically as Tier 3.</w:t>
      </w:r>
    </w:p>
    <w:bookmarkEnd w:id="360"/>
    <w:bookmarkStart w:id="361" w:name="f.4-the-deconfliction-calendar"/>
    <w:p>
      <w:pPr>
        <w:pStyle w:val="Heading2"/>
      </w:pPr>
      <w:r>
        <w:t xml:space="preserve">F.4 The Deconfliction Calendar</w:t>
      </w:r>
    </w:p>
    <w:p>
      <w:pPr>
        <w:pStyle w:val="FirstParagraph"/>
      </w:pPr>
      <w:r>
        <w:t xml:space="preserve">F.4.1 The Center maintains the deconfliction calendar: every notified exercise, every Class S and Class M transit window, every Class X window, every Quiet Water Window, and every Agency movement window, on a single timeline visible to all Participants. A conflict on the calendar resolves by priority: Class H first, Class X second, Class E third, and everything else by filing time.</w:t>
      </w:r>
    </w:p>
    <w:bookmarkEnd w:id="361"/>
    <w:bookmarkStart w:id="362" w:name="f.5-the-hotline-test-cycle"/>
    <w:p>
      <w:pPr>
        <w:pStyle w:val="Heading2"/>
      </w:pPr>
      <w:r>
        <w:t xml:space="preserve">F.5 The Hotline Test Cycle</w:t>
      </w:r>
    </w:p>
    <w:p>
      <w:pPr>
        <w:pStyle w:val="FirstParagraph"/>
      </w:pPr>
      <w:r>
        <w:t xml:space="preserve">F.5.1 The duty hotline tests every six hours with a recorded check call. The senior hotline tests daily at a published time. A failed test logs as an equipment event and triggers a technical response within two hours, never a compliance classification unless the failure persists beyond twenty-four hours.</w:t>
      </w:r>
    </w:p>
    <w:bookmarkEnd w:id="362"/>
    <w:bookmarkStart w:id="363" w:name="f.6-standoff-distances-summary"/>
    <w:p>
      <w:pPr>
        <w:pStyle w:val="Heading2"/>
      </w:pPr>
      <w:r>
        <w:t xml:space="preserve">F.6 Standoff Distances Summary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Minimum Distance</w:t>
            </w:r>
          </w:p>
        </w:tc>
        <w:tc>
          <w:tcPr/>
          <w:p>
            <w:pPr>
              <w:pStyle w:val="Compact"/>
              <w:jc w:val="left"/>
            </w:pPr>
            <w:r>
              <w:t xml:space="preserve">Exception</w:t>
            </w:r>
          </w:p>
        </w:tc>
      </w:tr>
      <w:tr>
        <w:tc>
          <w:tcPr/>
          <w:p>
            <w:pPr>
              <w:pStyle w:val="Compact"/>
              <w:jc w:val="left"/>
            </w:pPr>
            <w:r>
              <w:t xml:space="preserve">Military asset to commercial vessel</w:t>
            </w:r>
          </w:p>
        </w:tc>
        <w:tc>
          <w:tcPr/>
          <w:p>
            <w:pPr>
              <w:pStyle w:val="Compact"/>
              <w:jc w:val="left"/>
            </w:pPr>
            <w:r>
              <w:t xml:space="preserve">1.0 nautical mile</w:t>
            </w:r>
          </w:p>
        </w:tc>
        <w:tc>
          <w:tcPr/>
          <w:p>
            <w:pPr>
              <w:pStyle w:val="Compact"/>
              <w:jc w:val="left"/>
            </w:pPr>
            <w:r>
              <w:t xml:space="preserve">Escort on request; distress response; perpendicular crossing under 5 minutes</w:t>
            </w:r>
          </w:p>
        </w:tc>
      </w:tr>
      <w:tr>
        <w:tc>
          <w:tcPr/>
          <w:p>
            <w:pPr>
              <w:pStyle w:val="Compact"/>
              <w:jc w:val="left"/>
            </w:pPr>
            <w:r>
              <w:t xml:space="preserve">Military asset to Class E, H, or P vessel in precautionary zone</w:t>
            </w:r>
          </w:p>
        </w:tc>
        <w:tc>
          <w:tcPr/>
          <w:p>
            <w:pPr>
              <w:pStyle w:val="Compact"/>
              <w:jc w:val="left"/>
            </w:pPr>
            <w:r>
              <w:t xml:space="preserve">2.0 nautical miles</w:t>
            </w:r>
          </w:p>
        </w:tc>
        <w:tc>
          <w:tcPr/>
          <w:p>
            <w:pPr>
              <w:pStyle w:val="Compact"/>
              <w:jc w:val="left"/>
            </w:pPr>
            <w:r>
              <w:t xml:space="preserve">Distress response only</w:t>
            </w:r>
          </w:p>
        </w:tc>
      </w:tr>
      <w:tr>
        <w:tc>
          <w:tcPr/>
          <w:p>
            <w:pPr>
              <w:pStyle w:val="Compact"/>
              <w:jc w:val="left"/>
            </w:pPr>
            <w:r>
              <w:t xml:space="preserve">Military asset to Class X bubble</w:t>
            </w:r>
          </w:p>
        </w:tc>
        <w:tc>
          <w:tcPr/>
          <w:p>
            <w:pPr>
              <w:pStyle w:val="Compact"/>
              <w:jc w:val="left"/>
            </w:pPr>
            <w:r>
              <w:t xml:space="preserve">5.0 nautical miles</w:t>
            </w:r>
          </w:p>
        </w:tc>
        <w:tc>
          <w:tcPr/>
          <w:p>
            <w:pPr>
              <w:pStyle w:val="Compact"/>
              <w:jc w:val="left"/>
            </w:pPr>
            <w:r>
              <w:t xml:space="preserve">Designated escort units only</w:t>
            </w:r>
          </w:p>
        </w:tc>
      </w:tr>
      <w:tr>
        <w:tc>
          <w:tcPr/>
          <w:p>
            <w:pPr>
              <w:pStyle w:val="Compact"/>
              <w:jc w:val="left"/>
            </w:pPr>
            <w:r>
              <w:t xml:space="preserve">Fast attack craft to commercial corridor</w:t>
            </w:r>
          </w:p>
        </w:tc>
        <w:tc>
          <w:tcPr/>
          <w:p>
            <w:pPr>
              <w:pStyle w:val="Compact"/>
              <w:jc w:val="left"/>
            </w:pPr>
            <w:r>
              <w:t xml:space="preserve">Excluded entirely</w:t>
            </w:r>
          </w:p>
        </w:tc>
        <w:tc>
          <w:tcPr/>
          <w:p>
            <w:pPr>
              <w:pStyle w:val="Compact"/>
              <w:jc w:val="left"/>
            </w:pPr>
            <w:r>
              <w:t xml:space="preserve">Hot pursuit under UNCLOS Article 111 with 5-minute notice</w:t>
            </w:r>
          </w:p>
        </w:tc>
      </w:tr>
    </w:tbl>
    <w:bookmarkEnd w:id="363"/>
    <w:bookmarkStart w:id="364" w:name="f.7-the-sealed-incident-file"/>
    <w:p>
      <w:pPr>
        <w:pStyle w:val="Heading2"/>
      </w:pPr>
      <w:r>
        <w:t xml:space="preserve">F.7 The Sealed Incident File</w:t>
      </w:r>
    </w:p>
    <w:p>
      <w:pPr>
        <w:pStyle w:val="FirstParagraph"/>
      </w:pPr>
      <w:r>
        <w:t xml:space="preserve">F.7.1 Every military-commercial interaction generates a sealed incident file: the thirty-minute position logs of every involved unit, the hotline record, the observer reports, and the telemetry extract. The file seals on creation and opens only to the attribution pathway of Article 36, to the arbitration panel of Article 38, or to all affected states jointly.</w:t>
      </w:r>
    </w:p>
    <w:bookmarkEnd w:id="364"/>
    <w:bookmarkEnd w:id="365"/>
    <w:bookmarkStart w:id="372" w:name="X73c21397031f9971e0158be06e307c3cdfe110f"/>
    <w:p>
      <w:pPr>
        <w:pStyle w:val="Heading1"/>
      </w:pPr>
      <w:r>
        <w:t xml:space="preserve">ANNEX G: Mine Countermeasures and Hazard Clearance Protocol</w:t>
      </w:r>
    </w:p>
    <w:bookmarkStart w:id="366" w:name="g.1-phase-zero-information-exchange"/>
    <w:p>
      <w:pPr>
        <w:pStyle w:val="Heading2"/>
      </w:pPr>
      <w:r>
        <w:t xml:space="preserve">G.1 Phase Zero: Information Exchange</w:t>
      </w:r>
    </w:p>
    <w:p>
      <w:pPr>
        <w:pStyle w:val="FirstParagraph"/>
      </w:pPr>
      <w:r>
        <w:t xml:space="preserve">G.1.1 Within ten days of signature, the Littoral Parties exchange all historical mine-related data for the Operating Area: laying records, contact reports, clearance records, and survey archives. The exchange enters the sealed technical archive, and the Even Keel Office holds the index. The exchange covers every period, including the conflict period of 2026, and no Party edits, withholds, or filters its record.</w:t>
      </w:r>
    </w:p>
    <w:bookmarkEnd w:id="366"/>
    <w:bookmarkStart w:id="367" w:name="g.2-phase-one-survey-and-classification"/>
    <w:p>
      <w:pPr>
        <w:pStyle w:val="Heading2"/>
      </w:pPr>
      <w:r>
        <w:t xml:space="preserve">G.2 Phase One: Survey and Classification</w:t>
      </w:r>
    </w:p>
    <w:p>
      <w:pPr>
        <w:pStyle w:val="FirstParagraph"/>
      </w:pPr>
      <w:r>
        <w:t xml:space="preserve">G.2.1 The survey program sweeps every lane, belt, anchorage, and crossing sector with hull-mounted and towed sonar, autonomous underwater vehicles, and diver verification of classified contacts. Iran leads the northern lanes and the northern belt; Oman leads the southern lanes and the southern belt, with GCC service entities supporting; the Central Corridor sweeps under dual-key direction. Every contact receives a classification: mine-like, non-mine-like, or unresolved.</w:t>
      </w:r>
    </w:p>
    <w:bookmarkEnd w:id="367"/>
    <w:bookmarkStart w:id="368" w:name="X321e5b5225d78a697d208addd44dcde71e920cb"/>
    <w:p>
      <w:pPr>
        <w:pStyle w:val="Heading2"/>
      </w:pPr>
      <w:r>
        <w:t xml:space="preserve">G.3 Phase Two: Clearance and Neutralization</w:t>
      </w:r>
    </w:p>
    <w:p>
      <w:pPr>
        <w:pStyle w:val="FirstParagraph"/>
      </w:pPr>
      <w:r>
        <w:t xml:space="preserve">G.3.1 Mine-like and unresolved contacts neutralize under dual-key control with Even Keel observation: remote identification first, diver or vehicle intervention second, disposal third. Every neutralized contact enters the clearance record with position, type, condition, and disposal method.</w:t>
      </w:r>
    </w:p>
    <w:bookmarkEnd w:id="368"/>
    <w:bookmarkStart w:id="369" w:name="g.4-phase-three-certification"/>
    <w:p>
      <w:pPr>
        <w:pStyle w:val="Heading2"/>
      </w:pPr>
      <w:r>
        <w:t xml:space="preserve">G.4 Phase Three: Certification</w:t>
      </w:r>
    </w:p>
    <w:p>
      <w:pPr>
        <w:pStyle w:val="FirstParagraph"/>
      </w:pPr>
      <w:r>
        <w:t xml:space="preserve">G.4.1 On completion of clearance for a sector, the Even Keel Office conducts the certification survey independently, compares the clearance record against the survey record, and issues the Sector Assurance Certificate of Article 28.3. The certificate states: the survey standard applied; the contacts classified and cleared; the residual risk classification; and the re-survey interval. The Center publishes the certificate to the Safe Registry and the Route Assurance Data Service on issuance.</w:t>
      </w:r>
    </w:p>
    <w:bookmarkEnd w:id="369"/>
    <w:bookmarkStart w:id="370" w:name="g.5-the-standing-mine-watch"/>
    <w:p>
      <w:pPr>
        <w:pStyle w:val="Heading2"/>
      </w:pPr>
      <w:r>
        <w:t xml:space="preserve">G.5 The Standing Mine-Watch</w:t>
      </w:r>
    </w:p>
    <w:p>
      <w:pPr>
        <w:pStyle w:val="FirstParagraph"/>
      </w:pPr>
      <w:r>
        <w:t xml:space="preserve">G.5.1 After certification, the mine-watch maintains: monthly sonar passes of every lane; immediate re-survey of any reported contact within twenty-four hours; automatic Protected Hold of any sector with a credible new contact; and quarterly publication of the watch record. A credible new contact in a certified sector suspends that sector’s certificate automatically until re-certification, and the suspension publishes in the Bulletin with the re-survey schedule.</w:t>
      </w:r>
    </w:p>
    <w:bookmarkEnd w:id="370"/>
    <w:bookmarkStart w:id="371" w:name="g.6-the-prohibition-record"/>
    <w:p>
      <w:pPr>
        <w:pStyle w:val="Heading2"/>
      </w:pPr>
      <w:r>
        <w:t xml:space="preserve">G.6 The Prohibition Record</w:t>
      </w:r>
    </w:p>
    <w:p>
      <w:pPr>
        <w:pStyle w:val="FirstParagraph"/>
      </w:pPr>
      <w:r>
        <w:t xml:space="preserve">G.6.1 The architecture excludes the laying of mines and the placing of hazards anywhere in the Operating Area. A verified laying event classifies as Tier 3 at minimum, Tier 4 where a vessel suffers damage, and the sealed incident file of Annex F carries the attribution evidence.</w:t>
      </w:r>
    </w:p>
    <w:bookmarkEnd w:id="371"/>
    <w:bookmarkEnd w:id="372"/>
    <w:bookmarkStart w:id="378" w:name="X71646a39a72ab53a9a81cfeb994e625bd31daa4"/>
    <w:p>
      <w:pPr>
        <w:pStyle w:val="Heading1"/>
      </w:pPr>
      <w:r>
        <w:t xml:space="preserve">ANNEX H: Search and Rescue Operations Plan</w:t>
      </w:r>
    </w:p>
    <w:bookmarkStart w:id="373" w:name="h.1-the-response-sectors"/>
    <w:p>
      <w:pPr>
        <w:pStyle w:val="Heading2"/>
      </w:pPr>
      <w:r>
        <w:t xml:space="preserve">H.1 The Response Sectors</w:t>
      </w:r>
    </w:p>
    <w:p>
      <w:pPr>
        <w:pStyle w:val="FirstParagraph"/>
      </w:pPr>
      <w:r>
        <w:t xml:space="preserve">H.1.1 The Operating Area divides into six rescue sectors: Sector North-East, covering the Inbound Corridor eastern segment; Sector North-West, covering the Inbound Corridor western segment; Sector South-East, covering the Outbound Corridor eastern segment; Sector South-West, covering the Outbound Corridor western segment; Sector Center, covering the Central Deconfliction Corridor; and Sector Anchorages, covering both holding anchorages and the precautionary zones.</w:t>
      </w:r>
    </w:p>
    <w:bookmarkEnd w:id="373"/>
    <w:bookmarkStart w:id="374" w:name="h.2-the-rota"/>
    <w:p>
      <w:pPr>
        <w:pStyle w:val="Heading2"/>
      </w:pPr>
      <w:r>
        <w:t xml:space="preserve">H.2 The Rota</w:t>
      </w:r>
    </w:p>
    <w:p>
      <w:pPr>
        <w:pStyle w:val="FirstParagraph"/>
      </w:pPr>
      <w:r>
        <w:t xml:space="preserve">H.2.1 Rescue coordination responsibility rotates quarterly: Iran holds Sectors North-East and North-West; Oman holds Sectors South-East and South-West; the joint teams hold Sector Center under dual-key direction; and the Regional Participants hold Sector Anchorages on the GCC rotation. Each rota period names the standby assets, the response time standards, and the escalation contacts in the published rota table.</w:t>
      </w:r>
    </w:p>
    <w:bookmarkEnd w:id="374"/>
    <w:bookmarkStart w:id="375" w:name="h.3-response-standards"/>
    <w:p>
      <w:pPr>
        <w:pStyle w:val="Heading2"/>
      </w:pPr>
      <w:r>
        <w:t xml:space="preserve">H.3 Response Standards</w:t>
      </w:r>
    </w:p>
    <w:p>
      <w:pPr>
        <w:pStyle w:val="FirstParagraph"/>
      </w:pPr>
      <w:r>
        <w:t xml:space="preserve">H.3.1 First unit on scene within sixty minutes for ninety-five percent of events in every sector. Rescue coordination center acknowledgment within five minutes of any distress call on the incident line. Medical evacuation capability within ninety minutes to the nearest equipped facility. The Even Keel Office observes every operation and publishes quarterly performance against these standards.</w:t>
      </w:r>
    </w:p>
    <w:bookmarkEnd w:id="375"/>
    <w:bookmarkStart w:id="376" w:name="h.4-the-distress-protocol"/>
    <w:p>
      <w:pPr>
        <w:pStyle w:val="Heading2"/>
      </w:pPr>
      <w:r>
        <w:t xml:space="preserve">H.4 The Distress Protocol</w:t>
      </w:r>
    </w:p>
    <w:p>
      <w:pPr>
        <w:pStyle w:val="FirstParagraph"/>
      </w:pPr>
      <w:r>
        <w:t xml:space="preserve">H.4.1 On a distress call: the nearest capable unit responds regardless of nationality; the Center logs the activation; the sector coordinator assumes coordination; military assets join under the distress exception without dual-key delay; and the operation closes with a lessons note in the incident archive. No distress operation ever pauses for any dispute, any classification, or any phase boundary.</w:t>
      </w:r>
    </w:p>
    <w:bookmarkEnd w:id="376"/>
    <w:bookmarkStart w:id="377" w:name="h.5-the-annual-exercise"/>
    <w:p>
      <w:pPr>
        <w:pStyle w:val="Heading2"/>
      </w:pPr>
      <w:r>
        <w:t xml:space="preserve">H.5 The Annual Exercise</w:t>
      </w:r>
    </w:p>
    <w:p>
      <w:pPr>
        <w:pStyle w:val="FirstParagraph"/>
      </w:pPr>
      <w:r>
        <w:t xml:space="preserve">H.5.1 The Participants conduct one full-scale rescue exercise per year and one tabletop per quarter, rotating the scenario across the six sectors. The IMO observes the annual exercise, and the after-action report publishes with the quarterly statistics.</w:t>
      </w:r>
    </w:p>
    <w:bookmarkEnd w:id="377"/>
    <w:bookmarkEnd w:id="378"/>
    <w:bookmarkStart w:id="385" w:name="X7430989fd598a7df32f9e4250072d51ad7b7f1b"/>
    <w:p>
      <w:pPr>
        <w:pStyle w:val="Heading1"/>
      </w:pPr>
      <w:r>
        <w:t xml:space="preserve">ANNEX I: Environmental Protection and Pollution Response Protocol</w:t>
      </w:r>
    </w:p>
    <w:bookmarkStart w:id="379" w:name="i.1-the-particularly-sensitive-areas"/>
    <w:p>
      <w:pPr>
        <w:pStyle w:val="Heading2"/>
      </w:pPr>
      <w:r>
        <w:t xml:space="preserve">I.1 The Particularly Sensitive Areas</w:t>
      </w:r>
    </w:p>
    <w:p>
      <w:pPr>
        <w:pStyle w:val="FirstParagraph"/>
      </w:pPr>
      <w:r>
        <w:t xml:space="preserve">I.1.1 Three particularly sensitive areas carry enhanced protection. The Musandam Headland Sensitive Area centers on 26 degrees 22.0 minutes N, 056 degrees 50.0 minutes E, radius four nautical miles. The Larak Approach Sensitive Area centers on 26 degrees 36.0 minutes N, 056 degrees 40.0 minutes E, radius three nautical miles. The Qeshm Channel Sensitive Area centers on 26 degrees 44.0 minutes N, 056 degrees 10.0 minutes E, radius three nautical miles. In each area: the strictest discharge rules apply; laden tankers in Managed Flow double spacing; and the sensor grid monitors continuously.</w:t>
      </w:r>
    </w:p>
    <w:bookmarkEnd w:id="379"/>
    <w:bookmarkStart w:id="380" w:name="i.2-the-sensor-grid"/>
    <w:p>
      <w:pPr>
        <w:pStyle w:val="Heading2"/>
      </w:pPr>
      <w:r>
        <w:t xml:space="preserve">I.2 The Sensor Grid</w:t>
      </w:r>
    </w:p>
    <w:p>
      <w:pPr>
        <w:pStyle w:val="FirstParagraph"/>
      </w:pPr>
      <w:r>
        <w:t xml:space="preserve">I.2.1 The environmental sensor grid comprises twelve monitoring stations: four on the Iranian coast and islands, four on the Omani coast, two on GCC southern approach platforms, and two buoy-mounted stations in the Central Corridor. Each station measures water quality, hydrocarbon presence, acoustic levels, and meteorological state, and transmits to the dashboard hourly.</w:t>
      </w:r>
    </w:p>
    <w:bookmarkEnd w:id="380"/>
    <w:bookmarkStart w:id="381" w:name="i.3-the-pollution-response-plan"/>
    <w:p>
      <w:pPr>
        <w:pStyle w:val="Heading2"/>
      </w:pPr>
      <w:r>
        <w:t xml:space="preserve">I.3 The Pollution Response Plan</w:t>
      </w:r>
    </w:p>
    <w:p>
      <w:pPr>
        <w:pStyle w:val="FirstParagraph"/>
      </w:pPr>
      <w:r>
        <w:t xml:space="preserve">I.3.1 Pre-positioned equipment caches stand at Bandar Abbas, Khasab, and Fujairah: boom, skimmers, dispersant aircraft contracts, and shoreline protection kits. Contracted salvage and cleanup capacity holds thirty-minute readiness. A pollution event activates the joint response within sixty minutes, with the sector coordinator of Annex H directing and the environmental reserve paying verified costs.</w:t>
      </w:r>
    </w:p>
    <w:bookmarkEnd w:id="381"/>
    <w:bookmarkStart w:id="382" w:name="i.4-the-baseline-and-the-quarterly-cycle"/>
    <w:p>
      <w:pPr>
        <w:pStyle w:val="Heading2"/>
      </w:pPr>
      <w:r>
        <w:t xml:space="preserve">I.4 The Baseline and the Quarterly Cycle</w:t>
      </w:r>
    </w:p>
    <w:p>
      <w:pPr>
        <w:pStyle w:val="FirstParagraph"/>
      </w:pPr>
      <w:r>
        <w:t xml:space="preserve">I.4.1 The environmental baseline completes within ninety days of entry into force and publishes in full. Quarterly monitoring reports deviation from baseline across twelve indicators, and the annual environmental audit verifies the record with third-party laboratories from three different states.</w:t>
      </w:r>
    </w:p>
    <w:bookmarkEnd w:id="382"/>
    <w:bookmarkStart w:id="383" w:name="i.5-the-ballast-and-discharge-rules"/>
    <w:p>
      <w:pPr>
        <w:pStyle w:val="Heading2"/>
      </w:pPr>
      <w:r>
        <w:t xml:space="preserve">I.5 The Ballast and Discharge Rules</w:t>
      </w:r>
    </w:p>
    <w:p>
      <w:pPr>
        <w:pStyle w:val="FirstParagraph"/>
      </w:pPr>
      <w:r>
        <w:t xml:space="preserve">I.5.1 The corridors apply the international ballast water management standard and the strictest applicable discharge rules of the International Convention for the Prevention of Pollution from Ships. Verification operates through port documentation and random embarked observation, never through any check at the Strait.</w:t>
      </w:r>
    </w:p>
    <w:bookmarkEnd w:id="383"/>
    <w:bookmarkStart w:id="384" w:name="i.6-the-environmental-incident-ladder"/>
    <w:p>
      <w:pPr>
        <w:pStyle w:val="Heading2"/>
      </w:pPr>
      <w:r>
        <w:t xml:space="preserve">I.6 The Environmental Incident Ladder</w:t>
      </w:r>
    </w:p>
    <w:p>
      <w:pPr>
        <w:pStyle w:val="FirstParagraph"/>
      </w:pPr>
      <w:r>
        <w:t xml:space="preserve">I.6.1 An environmental event classifies with the incident ladder of Annex J: a discharge below reportable threshold records as Tier 1; a reportable discharge records as Tier 2; a significant pollution event records as Tier 3; and a major casualty with serious environmental harm records as Tier 4. Every classification activates the pollution response plan in parallel with the compliance ladder, and the response never waits for the classification.</w:t>
      </w:r>
    </w:p>
    <w:bookmarkEnd w:id="384"/>
    <w:bookmarkEnd w:id="385"/>
    <w:bookmarkStart w:id="390" w:name="X115e97f90f75a8b94b894af569fa48b8c1ad822"/>
    <w:p>
      <w:pPr>
        <w:pStyle w:val="Heading1"/>
      </w:pPr>
      <w:r>
        <w:t xml:space="preserve">ANNEX J: Incident Classification, Reporting, and Investigation</w:t>
      </w:r>
    </w:p>
    <w:bookmarkStart w:id="386" w:name="j.1-the-classification-standard"/>
    <w:p>
      <w:pPr>
        <w:pStyle w:val="Heading2"/>
      </w:pPr>
      <w:r>
        <w:t xml:space="preserve">J.1 The Classification Standard</w:t>
      </w:r>
    </w:p>
    <w:p>
      <w:pPr>
        <w:pStyle w:val="FirstParagraph"/>
      </w:pPr>
      <w:r>
        <w:t xml:space="preserve">J.1.1 Every event in the Operating Area classifies on one scale, applied identically to every actor, by the duty supervisors at the Center with Even Keel countersignature.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Examples</w:t>
            </w:r>
          </w:p>
        </w:tc>
        <w:tc>
          <w:tcPr/>
          <w:p>
            <w:pPr>
              <w:pStyle w:val="Compact"/>
              <w:jc w:val="left"/>
            </w:pPr>
            <w:r>
              <w:t xml:space="preserve">Reporting Deadline</w:t>
            </w:r>
          </w:p>
        </w:tc>
        <w:tc>
          <w:tcPr/>
          <w:p>
            <w:pPr>
              <w:pStyle w:val="Compact"/>
              <w:jc w:val="left"/>
            </w:pPr>
            <w:r>
              <w:t xml:space="preserve">Consequence</w:t>
            </w:r>
          </w:p>
        </w:tc>
      </w:tr>
      <w:tr>
        <w:tc>
          <w:tcPr/>
          <w:p>
            <w:pPr>
              <w:pStyle w:val="Compact"/>
              <w:jc w:val="left"/>
            </w:pPr>
            <w:r>
              <w:t xml:space="preserve">Tier 1: Anomaly</w:t>
            </w:r>
          </w:p>
        </w:tc>
        <w:tc>
          <w:tcPr/>
          <w:p>
            <w:pPr>
              <w:pStyle w:val="Compact"/>
              <w:jc w:val="left"/>
            </w:pPr>
            <w:r>
              <w:t xml:space="preserve">Deviation from a rule without harm or intent indicators</w:t>
            </w:r>
          </w:p>
        </w:tc>
        <w:tc>
          <w:tcPr/>
          <w:p>
            <w:pPr>
              <w:pStyle w:val="Compact"/>
              <w:jc w:val="left"/>
            </w:pPr>
            <w:r>
              <w:t xml:space="preserve">Lane deviation corrected on hail; late notification</w:t>
            </w:r>
          </w:p>
        </w:tc>
        <w:tc>
          <w:tcPr/>
          <w:p>
            <w:pPr>
              <w:pStyle w:val="Compact"/>
              <w:jc w:val="left"/>
            </w:pPr>
            <w:r>
              <w:t xml:space="preserve">24 hours, daily log</w:t>
            </w:r>
          </w:p>
        </w:tc>
        <w:tc>
          <w:tcPr/>
          <w:p>
            <w:pPr>
              <w:pStyle w:val="Compact"/>
              <w:jc w:val="left"/>
            </w:pPr>
            <w:r>
              <w:t xml:space="preserve">Logged; no consequence</w:t>
            </w:r>
          </w:p>
        </w:tc>
      </w:tr>
      <w:tr>
        <w:tc>
          <w:tcPr/>
          <w:p>
            <w:pPr>
              <w:pStyle w:val="Compact"/>
              <w:jc w:val="left"/>
            </w:pPr>
            <w:r>
              <w:t xml:space="preserve">Tier 2: Incident</w:t>
            </w:r>
          </w:p>
        </w:tc>
        <w:tc>
          <w:tcPr/>
          <w:p>
            <w:pPr>
              <w:pStyle w:val="Compact"/>
              <w:jc w:val="left"/>
            </w:pPr>
            <w:r>
              <w:t xml:space="preserve">Rule breach or unsafe act with potential harm</w:t>
            </w:r>
          </w:p>
        </w:tc>
        <w:tc>
          <w:tcPr/>
          <w:p>
            <w:pPr>
              <w:pStyle w:val="Compact"/>
              <w:jc w:val="left"/>
            </w:pPr>
            <w:r>
              <w:t xml:space="preserve">Standoff violation; unsafe approach; harassment hail</w:t>
            </w:r>
          </w:p>
        </w:tc>
        <w:tc>
          <w:tcPr/>
          <w:p>
            <w:pPr>
              <w:pStyle w:val="Compact"/>
              <w:jc w:val="left"/>
            </w:pPr>
            <w:r>
              <w:t xml:space="preserve">6 hours, Bulletin</w:t>
            </w:r>
          </w:p>
        </w:tc>
        <w:tc>
          <w:tcPr/>
          <w:p>
            <w:pPr>
              <w:pStyle w:val="Compact"/>
              <w:jc w:val="left"/>
            </w:pPr>
            <w:r>
              <w:t xml:space="preserve">Investigative entry; Party response due 7 days</w:t>
            </w:r>
          </w:p>
        </w:tc>
      </w:tr>
      <w:tr>
        <w:tc>
          <w:tcPr/>
          <w:p>
            <w:pPr>
              <w:pStyle w:val="Compact"/>
              <w:jc w:val="left"/>
            </w:pPr>
            <w:r>
              <w:t xml:space="preserve">Tier 3: Serious Incident</w:t>
            </w:r>
          </w:p>
        </w:tc>
        <w:tc>
          <w:tcPr/>
          <w:p>
            <w:pPr>
              <w:pStyle w:val="Compact"/>
              <w:jc w:val="left"/>
            </w:pPr>
            <w:r>
              <w:t xml:space="preserve">Deliberate breach, harm, or danger to life or vessel</w:t>
            </w:r>
          </w:p>
        </w:tc>
        <w:tc>
          <w:tcPr/>
          <w:p>
            <w:pPr>
              <w:pStyle w:val="Compact"/>
              <w:jc w:val="left"/>
            </w:pPr>
            <w:r>
              <w:t xml:space="preserve">Interdiction attempt; unauthorized escort; weapons display; credible mine contact</w:t>
            </w:r>
          </w:p>
        </w:tc>
        <w:tc>
          <w:tcPr/>
          <w:p>
            <w:pPr>
              <w:pStyle w:val="Compact"/>
              <w:jc w:val="left"/>
            </w:pPr>
            <w:r>
              <w:t xml:space="preserve">2 hours, senior hotline</w:t>
            </w:r>
          </w:p>
        </w:tc>
        <w:tc>
          <w:tcPr/>
          <w:p>
            <w:pPr>
              <w:pStyle w:val="Compact"/>
              <w:jc w:val="left"/>
            </w:pPr>
            <w:r>
              <w:t xml:space="preserve">First Violation Protocol; step-back Tier 1 measures</w:t>
            </w:r>
          </w:p>
        </w:tc>
      </w:tr>
      <w:tr>
        <w:tc>
          <w:tcPr/>
          <w:p>
            <w:pPr>
              <w:pStyle w:val="Compact"/>
              <w:jc w:val="left"/>
            </w:pPr>
            <w:r>
              <w:t xml:space="preserve">Tier 4: Grave Incident</w:t>
            </w:r>
          </w:p>
        </w:tc>
        <w:tc>
          <w:tcPr/>
          <w:p>
            <w:pPr>
              <w:pStyle w:val="Compact"/>
              <w:jc w:val="left"/>
            </w:pPr>
            <w:r>
              <w:t xml:space="preserve">Attack, seizure, sinking, or mass-casualty risk</w:t>
            </w:r>
          </w:p>
        </w:tc>
        <w:tc>
          <w:tcPr/>
          <w:p>
            <w:pPr>
              <w:pStyle w:val="Compact"/>
              <w:jc w:val="left"/>
            </w:pPr>
            <w:r>
              <w:t xml:space="preserve">Vessel strike; seizure; explosion</w:t>
            </w:r>
          </w:p>
        </w:tc>
        <w:tc>
          <w:tcPr/>
          <w:p>
            <w:pPr>
              <w:pStyle w:val="Compact"/>
              <w:jc w:val="left"/>
            </w:pPr>
            <w:r>
              <w:t xml:space="preserve">Immediate, all channels</w:t>
            </w:r>
          </w:p>
        </w:tc>
        <w:tc>
          <w:tcPr/>
          <w:p>
            <w:pPr>
              <w:pStyle w:val="Compact"/>
              <w:jc w:val="left"/>
            </w:pPr>
            <w:r>
              <w:t xml:space="preserve">Still Water Clause; step-back Tiers 1 to 3; Council in 24 hours</w:t>
            </w:r>
          </w:p>
        </w:tc>
      </w:tr>
    </w:tbl>
    <w:bookmarkEnd w:id="386"/>
    <w:bookmarkStart w:id="387" w:name="j.2-the-report-format"/>
    <w:p>
      <w:pPr>
        <w:pStyle w:val="Heading2"/>
      </w:pPr>
      <w:r>
        <w:t xml:space="preserve">J.2 The Report Format</w:t>
      </w:r>
    </w:p>
    <w:p>
      <w:pPr>
        <w:pStyle w:val="FirstParagraph"/>
      </w:pPr>
      <w:r>
        <w:t xml:space="preserve">J.2.1 Every incident report carries twelve fields: timestamp; position; actors involved; vessel identities; event narrative; immediate actions; notifications made; observer inputs; telemetry references; classification with reasons; responsible officer; and follow-up actions. The report files to the incident archive, and the Even Keel Office countersigns within twenty-four hours.</w:t>
      </w:r>
    </w:p>
    <w:bookmarkEnd w:id="387"/>
    <w:bookmarkStart w:id="388" w:name="j.3-the-investigation-procedure"/>
    <w:p>
      <w:pPr>
        <w:pStyle w:val="Heading2"/>
      </w:pPr>
      <w:r>
        <w:t xml:space="preserve">J.3 The Investigation Procedure</w:t>
      </w:r>
    </w:p>
    <w:p>
      <w:pPr>
        <w:pStyle w:val="FirstParagraph"/>
      </w:pPr>
      <w:r>
        <w:t xml:space="preserve">J.3.1 The Joint Event Review Cell of Article 36.4 investigates every Tier 2 and above: it convenes within seventy-two hours; it holds the sealed incident file; it hears the involved actors; and it issues findings within thirty days, classified on the shared four-category architecture. Findings of fact publish; attribution findings under the Composite Picture travel the attribution pathway of Article 36.6.</w:t>
      </w:r>
    </w:p>
    <w:bookmarkEnd w:id="388"/>
    <w:bookmarkStart w:id="389" w:name="j.4-the-quarterly-trend-report"/>
    <w:p>
      <w:pPr>
        <w:pStyle w:val="Heading2"/>
      </w:pPr>
      <w:r>
        <w:t xml:space="preserve">J.4 The Quarterly Trend Report</w:t>
      </w:r>
    </w:p>
    <w:p>
      <w:pPr>
        <w:pStyle w:val="FirstParagraph"/>
      </w:pPr>
      <w:r>
        <w:t xml:space="preserve">J.4.1 The Even Keel Office publishes quarterly: event counts by tier and sector; response times; hotline performance; escort statistics; and the compliance picture of Article 36. The report carries no political commentary and classifies nothing beyond the filed record.</w:t>
      </w:r>
    </w:p>
    <w:bookmarkEnd w:id="389"/>
    <w:bookmarkEnd w:id="390"/>
    <w:bookmarkStart w:id="398" w:name="annex-k-the-nuclear-interface-protocol"/>
    <w:p>
      <w:pPr>
        <w:pStyle w:val="Heading1"/>
      </w:pPr>
      <w:r>
        <w:t xml:space="preserve">ANNEX K: The Nuclear Interface Protocol</w:t>
      </w:r>
    </w:p>
    <w:bookmarkStart w:id="391" w:name="k.1-purpose"/>
    <w:p>
      <w:pPr>
        <w:pStyle w:val="Heading2"/>
      </w:pPr>
      <w:r>
        <w:t xml:space="preserve">K.1 Purpose</w:t>
      </w:r>
    </w:p>
    <w:p>
      <w:pPr>
        <w:pStyle w:val="FirstParagraph"/>
      </w:pPr>
      <w:r>
        <w:t xml:space="preserve">K.1.1 This annex operationalizes Part VI: the protected logistics, verification windows, and deconfliction rules through which the maritime architecture and the nuclear file advance in parallel, each protected from the other’s turbulence, each gaining from the other’s stability.</w:t>
      </w:r>
    </w:p>
    <w:bookmarkEnd w:id="391"/>
    <w:bookmarkStart w:id="392" w:name="k.2-the-agency-access-corridor"/>
    <w:p>
      <w:pPr>
        <w:pStyle w:val="Heading2"/>
      </w:pPr>
      <w:r>
        <w:t xml:space="preserve">K.2 The Agency Access Corridor</w:t>
      </w:r>
    </w:p>
    <w:p>
      <w:pPr>
        <w:pStyle w:val="FirstParagraph"/>
      </w:pPr>
      <w:r>
        <w:t xml:space="preserve">K.2.1 International Atomic Energy Agency personnel and equipment moving through the Operating Area travel as Class H and Class R traffic with the deepest protection: fast-track registration, Center escort on request, and priority in every flow state. The Center maintains a standing liaison channel with the Agency’s safeguards department, staffed during every verification window.</w:t>
      </w:r>
    </w:p>
    <w:p>
      <w:pPr>
        <w:pStyle w:val="BodyText"/>
      </w:pPr>
      <w:r>
        <w:t xml:space="preserve">K.2.2 The thirty-day verification cycle of the high-enriched uranium inventory receives protected transit windows on the deconfliction calendar, fixed one cycle ahead and published to Participants as Class X calendar blocks without cargo detail. A verification movement never waits behind commercial traffic.</w:t>
      </w:r>
    </w:p>
    <w:bookmarkEnd w:id="392"/>
    <w:bookmarkStart w:id="393" w:name="X2fd43c5588adf4128c03fa3e3f84d5a34c17274"/>
    <w:p>
      <w:pPr>
        <w:pStyle w:val="Heading2"/>
      </w:pPr>
      <w:r>
        <w:t xml:space="preserve">K.3 The Zero-Stockpile Logistics Protocol</w:t>
      </w:r>
    </w:p>
    <w:p>
      <w:pPr>
        <w:pStyle w:val="FirstParagraph"/>
      </w:pPr>
      <w:r>
        <w:t xml:space="preserve">K.3.1 Downblending product and downblending equipment move under this protocol: movement windows designate seven days ahead on form C-4; the sterile bubble of five nautical miles holds ahead and astern for the full transit; dual-key escort executes with Even Keel observers embarked; the Agency tracks the consignment under its own seals and surveillance; and the mishap protocol of Article 33.3 logs continuously.</w:t>
      </w:r>
    </w:p>
    <w:p>
      <w:pPr>
        <w:pStyle w:val="BodyText"/>
      </w:pPr>
      <w:r>
        <w:t xml:space="preserve">K.3.2 Seaward removal consignments follow the Outbound Assurance Corridor to the open ocean rendezvous, where the receiving state’s vessel accepts custody under Agency witness. The custody transfer record files with the Depositary, the Agency, and the Council simultaneously.</w:t>
      </w:r>
    </w:p>
    <w:p>
      <w:pPr>
        <w:pStyle w:val="BodyText"/>
      </w:pPr>
      <w:r>
        <w:t xml:space="preserve">K.3.3 Downblending equipment arriving by sea follows the Inbound Coordination Corridor under identical protection, with the regional consortium of the June framework named as logistics consignee.</w:t>
      </w:r>
    </w:p>
    <w:bookmarkEnd w:id="393"/>
    <w:bookmarkStart w:id="394" w:name="k.4-the-synchronization-calendar"/>
    <w:p>
      <w:pPr>
        <w:pStyle w:val="Heading2"/>
      </w:pPr>
      <w:r>
        <w:t xml:space="preserve">K.4 The Synchronization Calendar</w:t>
      </w:r>
    </w:p>
    <w:p>
      <w:pPr>
        <w:pStyle w:val="FirstParagraph"/>
      </w:pPr>
      <w:r>
        <w:t xml:space="preserve">K.4.1 The founding synchronization pairs of Article 34 calendar as follows, each date banked on completion under the stall rule: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Pair</w:t>
            </w:r>
          </w:p>
        </w:tc>
        <w:tc>
          <w:tcPr/>
          <w:p>
            <w:pPr>
              <w:pStyle w:val="Compact"/>
              <w:jc w:val="left"/>
            </w:pPr>
            <w:r>
              <w:t xml:space="preserve">Maritime Step</w:t>
            </w:r>
          </w:p>
        </w:tc>
        <w:tc>
          <w:tcPr/>
          <w:p>
            <w:pPr>
              <w:pStyle w:val="Compact"/>
              <w:jc w:val="left"/>
            </w:pPr>
            <w:r>
              <w:t xml:space="preserve">Nuclear Step</w:t>
            </w:r>
          </w:p>
        </w:tc>
        <w:tc>
          <w:tcPr/>
          <w:p>
            <w:pPr>
              <w:pStyle w:val="Compact"/>
              <w:jc w:val="left"/>
            </w:pPr>
            <w:r>
              <w:t xml:space="preserve">Verification</w:t>
            </w:r>
          </w:p>
        </w:tc>
        <w:tc>
          <w:tcPr/>
          <w:p>
            <w:pPr>
              <w:pStyle w:val="Compact"/>
              <w:jc w:val="left"/>
            </w:pPr>
            <w:r>
              <w:t xml:space="preserve">Target Day</w:t>
            </w:r>
          </w:p>
        </w:tc>
      </w:tr>
      <w:tr>
        <w:tc>
          <w:tcPr/>
          <w:p>
            <w:pPr>
              <w:pStyle w:val="Compact"/>
              <w:jc w:val="left"/>
            </w:pPr>
            <w:r>
              <w:t xml:space="preserve">P-1</w:t>
            </w:r>
          </w:p>
        </w:tc>
        <w:tc>
          <w:tcPr/>
          <w:p>
            <w:pPr>
              <w:pStyle w:val="Compact"/>
              <w:jc w:val="left"/>
            </w:pPr>
            <w:r>
              <w:t xml:space="preserve">Charter signature and Depositary instruments</w:t>
            </w:r>
          </w:p>
        </w:tc>
        <w:tc>
          <w:tcPr/>
          <w:p>
            <w:pPr>
              <w:pStyle w:val="Compact"/>
              <w:jc w:val="left"/>
            </w:pPr>
            <w:r>
              <w:t xml:space="preserve">Agency safeguards presence restored at declared sites</w:t>
            </w:r>
          </w:p>
        </w:tc>
        <w:tc>
          <w:tcPr/>
          <w:p>
            <w:pPr>
              <w:pStyle w:val="Compact"/>
              <w:jc w:val="left"/>
            </w:pPr>
            <w:r>
              <w:t xml:space="preserve">Agency report to its Board</w:t>
            </w:r>
          </w:p>
        </w:tc>
        <w:tc>
          <w:tcPr/>
          <w:p>
            <w:pPr>
              <w:pStyle w:val="Compact"/>
              <w:jc w:val="left"/>
            </w:pPr>
            <w:r>
              <w:t xml:space="preserve">Day 0 to 10</w:t>
            </w:r>
          </w:p>
        </w:tc>
      </w:tr>
      <w:tr>
        <w:tc>
          <w:tcPr/>
          <w:p>
            <w:pPr>
              <w:pStyle w:val="Compact"/>
              <w:jc w:val="left"/>
            </w:pPr>
            <w:r>
              <w:t xml:space="preserve">P-2</w:t>
            </w:r>
          </w:p>
        </w:tc>
        <w:tc>
          <w:tcPr/>
          <w:p>
            <w:pPr>
              <w:pStyle w:val="Compact"/>
              <w:jc w:val="left"/>
            </w:pPr>
            <w:r>
              <w:t xml:space="preserve">Outbound Corridor activation</w:t>
            </w:r>
          </w:p>
        </w:tc>
        <w:tc>
          <w:tcPr/>
          <w:p>
            <w:pPr>
              <w:pStyle w:val="Compact"/>
              <w:jc w:val="left"/>
            </w:pPr>
            <w:r>
              <w:t xml:space="preserve">Isfahan inventory access for the thirty-day verification cycle</w:t>
            </w:r>
          </w:p>
        </w:tc>
        <w:tc>
          <w:tcPr/>
          <w:p>
            <w:pPr>
              <w:pStyle w:val="Compact"/>
              <w:jc w:val="left"/>
            </w:pPr>
            <w:r>
              <w:t xml:space="preserve">Agency inventory verification report</w:t>
            </w:r>
          </w:p>
        </w:tc>
        <w:tc>
          <w:tcPr/>
          <w:p>
            <w:pPr>
              <w:pStyle w:val="Compact"/>
              <w:jc w:val="left"/>
            </w:pPr>
            <w:r>
              <w:t xml:space="preserve">Day 20 to 40</w:t>
            </w:r>
          </w:p>
        </w:tc>
      </w:tr>
      <w:tr>
        <w:tc>
          <w:tcPr/>
          <w:p>
            <w:pPr>
              <w:pStyle w:val="Compact"/>
              <w:jc w:val="left"/>
            </w:pPr>
            <w:r>
              <w:t xml:space="preserve">P-3</w:t>
            </w:r>
          </w:p>
        </w:tc>
        <w:tc>
          <w:tcPr/>
          <w:p>
            <w:pPr>
              <w:pStyle w:val="Compact"/>
              <w:jc w:val="left"/>
            </w:pPr>
            <w:r>
              <w:t xml:space="preserve">Inbound Corridor activation</w:t>
            </w:r>
          </w:p>
        </w:tc>
        <w:tc>
          <w:tcPr/>
          <w:p>
            <w:pPr>
              <w:pStyle w:val="Compact"/>
              <w:jc w:val="left"/>
            </w:pPr>
            <w:r>
              <w:t xml:space="preserve">Downblending commences under Agency supervision</w:t>
            </w:r>
          </w:p>
        </w:tc>
        <w:tc>
          <w:tcPr/>
          <w:p>
            <w:pPr>
              <w:pStyle w:val="Compact"/>
              <w:jc w:val="left"/>
            </w:pPr>
            <w:r>
              <w:t xml:space="preserve">Agency supervision confirmation</w:t>
            </w:r>
          </w:p>
        </w:tc>
        <w:tc>
          <w:tcPr/>
          <w:p>
            <w:pPr>
              <w:pStyle w:val="Compact"/>
              <w:jc w:val="left"/>
            </w:pPr>
            <w:r>
              <w:t xml:space="preserve">Day 40 to 55</w:t>
            </w:r>
          </w:p>
        </w:tc>
      </w:tr>
      <w:tr>
        <w:tc>
          <w:tcPr/>
          <w:p>
            <w:pPr>
              <w:pStyle w:val="Compact"/>
              <w:jc w:val="left"/>
            </w:pPr>
            <w:r>
              <w:t xml:space="preserve">P-4</w:t>
            </w:r>
          </w:p>
        </w:tc>
        <w:tc>
          <w:tcPr/>
          <w:p>
            <w:pPr>
              <w:pStyle w:val="Compact"/>
              <w:jc w:val="left"/>
            </w:pPr>
            <w:r>
              <w:t xml:space="preserve">Pilot phase completion</w:t>
            </w:r>
          </w:p>
        </w:tc>
        <w:tc>
          <w:tcPr/>
          <w:p>
            <w:pPr>
              <w:pStyle w:val="Compact"/>
              <w:jc w:val="left"/>
            </w:pPr>
            <w:r>
              <w:t xml:space="preserve">Downblending of the sixty percent stockpile complete</w:t>
            </w:r>
          </w:p>
        </w:tc>
        <w:tc>
          <w:tcPr/>
          <w:p>
            <w:pPr>
              <w:pStyle w:val="Compact"/>
              <w:jc w:val="left"/>
            </w:pPr>
            <w:r>
              <w:t xml:space="preserve">Agency verification of product and remainder</w:t>
            </w:r>
          </w:p>
        </w:tc>
        <w:tc>
          <w:tcPr/>
          <w:p>
            <w:pPr>
              <w:pStyle w:val="Compact"/>
              <w:jc w:val="left"/>
            </w:pPr>
            <w:r>
              <w:t xml:space="preserve">Day 55 to 90</w:t>
            </w:r>
          </w:p>
        </w:tc>
      </w:tr>
      <w:tr>
        <w:tc>
          <w:tcPr/>
          <w:p>
            <w:pPr>
              <w:pStyle w:val="Compact"/>
              <w:jc w:val="left"/>
            </w:pPr>
            <w:r>
              <w:t xml:space="preserve">P-5</w:t>
            </w:r>
          </w:p>
        </w:tc>
        <w:tc>
          <w:tcPr/>
          <w:p>
            <w:pPr>
              <w:pStyle w:val="Compact"/>
              <w:jc w:val="left"/>
            </w:pPr>
            <w:r>
              <w:t xml:space="preserve">Full activation</w:t>
            </w:r>
          </w:p>
        </w:tc>
        <w:tc>
          <w:tcPr/>
          <w:p>
            <w:pPr>
              <w:pStyle w:val="Compact"/>
              <w:jc w:val="left"/>
            </w:pPr>
            <w:r>
              <w:t xml:space="preserve">Final nuclear agreement conclusion</w:t>
            </w:r>
          </w:p>
        </w:tc>
        <w:tc>
          <w:tcPr/>
          <w:p>
            <w:pPr>
              <w:pStyle w:val="Compact"/>
              <w:jc w:val="left"/>
            </w:pPr>
            <w:r>
              <w:t xml:space="preserve">Depositary instrument exchange</w:t>
            </w:r>
          </w:p>
        </w:tc>
        <w:tc>
          <w:tcPr/>
          <w:p>
            <w:pPr>
              <w:pStyle w:val="Compact"/>
              <w:jc w:val="left"/>
            </w:pPr>
            <w:r>
              <w:t xml:space="preserve">Day 90 to 120</w:t>
            </w:r>
          </w:p>
        </w:tc>
      </w:tr>
    </w:tbl>
    <w:p>
      <w:pPr>
        <w:pStyle w:val="BodyText"/>
      </w:pPr>
      <w:r>
        <w:t xml:space="preserve">K.4.2 Where a nuclear step completes ahead of its maritime pair, the completed step banks, and its protection continues independent of the maritime calendar. Where a maritime step completes ahead of its nuclear pair, the same rule applies in reverse. No party ever un-completes a banked step.</w:t>
      </w:r>
    </w:p>
    <w:bookmarkEnd w:id="394"/>
    <w:bookmarkStart w:id="395" w:name="k.5-the-anti-closure-rule"/>
    <w:p>
      <w:pPr>
        <w:pStyle w:val="Heading2"/>
      </w:pPr>
      <w:r>
        <w:t xml:space="preserve">K.5 The Anti-Closure Rule</w:t>
      </w:r>
    </w:p>
    <w:p>
      <w:pPr>
        <w:pStyle w:val="FirstParagraph"/>
      </w:pPr>
      <w:r>
        <w:t xml:space="preserve">K.5.1 A nuclear file event of any kind, including a verification dispute, a safeguards question, or a negotiating breakdown, never closes, slows, or conditions any corridor. The maximum response inside the maritime architecture stands at a seventy-two hour Protected Hold of a directly affected sector, and the Humanitarian Firewall applies inside the hold.</w:t>
      </w:r>
    </w:p>
    <w:bookmarkEnd w:id="395"/>
    <w:bookmarkStart w:id="396" w:name="X8725c7a1d9cf55f1e224e30ea07f8ca0dab0784"/>
    <w:p>
      <w:pPr>
        <w:pStyle w:val="Heading2"/>
      </w:pPr>
      <w:r>
        <w:t xml:space="preserve">K.6 The Technical Working Group Interface</w:t>
      </w:r>
    </w:p>
    <w:p>
      <w:pPr>
        <w:pStyle w:val="FirstParagraph"/>
      </w:pPr>
      <w:r>
        <w:t xml:space="preserve">K.6.1 The Joint Technical Committee maintains a standing interface with the nuclear working groups of the June framework: the Monitoring and Implementation Working Group receives the maritime synchronization record weekly, and the Nuclear Affairs Working Group receives the Class X movement record under confidentiality. The interface carries information only; it carries no authority in either direction.</w:t>
      </w:r>
    </w:p>
    <w:bookmarkEnd w:id="396"/>
    <w:bookmarkStart w:id="397" w:name="k.7-the-facility-protection-set"/>
    <w:p>
      <w:pPr>
        <w:pStyle w:val="Heading2"/>
      </w:pPr>
      <w:r>
        <w:t xml:space="preserve">K.7 The Facility Protection Set</w:t>
      </w:r>
    </w:p>
    <w:p>
      <w:pPr>
        <w:pStyle w:val="FirstParagraph"/>
      </w:pPr>
      <w:r>
        <w:t xml:space="preserve">K.7.1 Coastal nuclear facilities carry the precautionary radii of Annex A.8. No military exercise, no weapons employment, and no Class X transit enters a radius. The chart publishes the radii as fixed reference points so that every mariner plans around them automatically, and the Even Keel Office verifies compliance through the telemetry record.</w:t>
      </w:r>
    </w:p>
    <w:bookmarkEnd w:id="397"/>
    <w:bookmarkEnd w:id="398"/>
    <w:bookmarkStart w:id="407" w:name="Xf987f5b53724d6323c522b608dc39f9a291ef35"/>
    <w:p>
      <w:pPr>
        <w:pStyle w:val="Heading1"/>
      </w:pPr>
      <w:r>
        <w:t xml:space="preserve">ANNEX L: Compliance Metrics and the Stability Audit Framework</w:t>
      </w:r>
    </w:p>
    <w:bookmarkStart w:id="399" w:name="l.1-the-stability-audit-instrument"/>
    <w:p>
      <w:pPr>
        <w:pStyle w:val="Heading2"/>
      </w:pPr>
      <w:r>
        <w:t xml:space="preserve">L.1 The Stability Audit Instrument</w:t>
      </w:r>
    </w:p>
    <w:p>
      <w:pPr>
        <w:pStyle w:val="FirstParagraph"/>
      </w:pPr>
      <w:r>
        <w:t xml:space="preserve">L.1.1 The stability audit measures the architecture across five domains, each scored on a published scale from zero to one hundred, with the pass threshold at seventy in every domain and the composite threshold at eighty.</w:t>
      </w:r>
    </w:p>
    <w:bookmarkEnd w:id="399"/>
    <w:bookmarkStart w:id="400" w:name="l.2-domain-one-transit-reliability"/>
    <w:p>
      <w:pPr>
        <w:pStyle w:val="Heading2"/>
      </w:pPr>
      <w:r>
        <w:t xml:space="preserve">L.2 Domain One: Transit Reliability</w:t>
      </w:r>
    </w:p>
    <w:p>
      <w:pPr>
        <w:pStyle w:val="FirstParagraph"/>
      </w:pPr>
      <w:r>
        <w:t xml:space="preserve">L.2.1 Metrics: scheduled window adherence rate; average transit time against baseline; corridor availability percentage; Bulletin accuracy rate against the telemetry record. Sources: Center logs, Safe Registry, Even Keel observation.</w:t>
      </w:r>
    </w:p>
    <w:bookmarkEnd w:id="400"/>
    <w:bookmarkStart w:id="401" w:name="l.3-domain-two-security-performance"/>
    <w:p>
      <w:pPr>
        <w:pStyle w:val="Heading2"/>
      </w:pPr>
      <w:r>
        <w:t xml:space="preserve">L.3 Domain Two: Security Performance</w:t>
      </w:r>
    </w:p>
    <w:p>
      <w:pPr>
        <w:pStyle w:val="FirstParagraph"/>
      </w:pPr>
      <w:r>
        <w:t xml:space="preserve">L.3.1 Metrics: Tier 2 and above event count per hundred transits; hotline response performance; dual-key conformity rate; standoff compliance rate from telemetry; military deconfliction calendar conformance. Sources: sealed incident files, telemetry, hotline logs.</w:t>
      </w:r>
    </w:p>
    <w:bookmarkEnd w:id="401"/>
    <w:bookmarkStart w:id="402" w:name="l.4-domain-three-safety-and-environment"/>
    <w:p>
      <w:pPr>
        <w:pStyle w:val="Heading2"/>
      </w:pPr>
      <w:r>
        <w:t xml:space="preserve">L.4 Domain Three: Safety and Environment</w:t>
      </w:r>
    </w:p>
    <w:p>
      <w:pPr>
        <w:pStyle w:val="FirstParagraph"/>
      </w:pPr>
      <w:r>
        <w:t xml:space="preserve">L.4.1 Metrics: casualty rate per hundred transits; rescue response performance against Annex H standards; pollution event count and response times; sensor grid uptime; environmental deviation from baseline. Sources: incident archive, sensor grid, quarterly environmental reports.</w:t>
      </w:r>
    </w:p>
    <w:bookmarkEnd w:id="402"/>
    <w:bookmarkStart w:id="403" w:name="l.5-domain-four-financial-integrity"/>
    <w:p>
      <w:pPr>
        <w:pStyle w:val="Heading2"/>
      </w:pPr>
      <w:r>
        <w:t xml:space="preserve">L.5 Domain Four: Financial Integrity</w:t>
      </w:r>
    </w:p>
    <w:p>
      <w:pPr>
        <w:pStyle w:val="FirstParagraph"/>
      </w:pPr>
      <w:r>
        <w:t xml:space="preserve">L.5.1 Metrics: invoice documentation rate; audit exception count; distribution timeliness against the fifth-day rule; firewall certificate status; contribution settlement rate. Sources: Fund ledgers, Auditor reports, firewall certificates.</w:t>
      </w:r>
    </w:p>
    <w:bookmarkEnd w:id="403"/>
    <w:bookmarkStart w:id="404" w:name="l.6-domain-five-institutional-function"/>
    <w:p>
      <w:pPr>
        <w:pStyle w:val="Heading2"/>
      </w:pPr>
      <w:r>
        <w:t xml:space="preserve">L.6 Domain Five: Institutional Function</w:t>
      </w:r>
    </w:p>
    <w:p>
      <w:pPr>
        <w:pStyle w:val="FirstParagraph"/>
      </w:pPr>
      <w:r>
        <w:t xml:space="preserve">L.6.1 Metrics: Council decision rate within mandated timelines; Technical Committee response times; observer coverage rate; dispute ladder usage and resolution rate; synchronization pair completion against Annex K. Sources: body records, Depositary instruments.</w:t>
      </w:r>
    </w:p>
    <w:bookmarkEnd w:id="404"/>
    <w:bookmarkStart w:id="405" w:name="l.7-the-audit-cycle"/>
    <w:p>
      <w:pPr>
        <w:pStyle w:val="Heading2"/>
      </w:pPr>
      <w:r>
        <w:t xml:space="preserve">L.7 The Audit Cycle</w:t>
      </w:r>
    </w:p>
    <w:p>
      <w:pPr>
        <w:pStyle w:val="FirstParagraph"/>
      </w:pPr>
      <w:r>
        <w:t xml:space="preserve">L.7.1 The pilot audit runs at day ninety under Article 41.6 and issues Pass, Conditional Pass, or Extend. Thereafter the audit runs annually, publishes in full, and anchors the Open Water Review Conference of Article 43. A Conditional Pass carries a published remediation list with owners and dates; the next audit measures against the list.</w:t>
      </w:r>
    </w:p>
    <w:bookmarkEnd w:id="405"/>
    <w:bookmarkStart w:id="406" w:name="l.8-data-custody-for-the-audit"/>
    <w:p>
      <w:pPr>
        <w:pStyle w:val="Heading2"/>
      </w:pPr>
      <w:r>
        <w:t xml:space="preserve">L.8 Data Custody for the Audit</w:t>
      </w:r>
    </w:p>
    <w:p>
      <w:pPr>
        <w:pStyle w:val="FirstParagraph"/>
      </w:pPr>
      <w:r>
        <w:t xml:space="preserve">L.8.1 Every audit source record sits in the data custody architecture of Article 17: the Center holds the operational record, the Even Keel Office holds the verification record, the Depositary holds the instrument record, and no Participant edits any record after countersignature. Corrections append; nothing overwrites.</w:t>
      </w:r>
    </w:p>
    <w:bookmarkEnd w:id="406"/>
    <w:bookmarkEnd w:id="407"/>
    <w:bookmarkStart w:id="415" w:name="X452cb4a742374dbabfe27282adbff4a7425456b"/>
    <w:p>
      <w:pPr>
        <w:pStyle w:val="Heading1"/>
      </w:pPr>
      <w:r>
        <w:t xml:space="preserve">ANNEX M: Activation Checklist and Phase Gates, Days 0 to 120</w:t>
      </w:r>
    </w:p>
    <w:bookmarkStart w:id="408" w:name="X38efb606693e3dc1758a4a6ac3cb996813c98f5"/>
    <w:p>
      <w:pPr>
        <w:pStyle w:val="Heading2"/>
      </w:pPr>
      <w:r>
        <w:t xml:space="preserve">M.1 Phase One: Founding Instruments, Days 0 to 10</w:t>
      </w:r>
    </w:p>
    <w:p>
      <w:pPr>
        <w:pStyle w:val="FirstParagraph"/>
      </w:pPr>
      <w:r>
        <w:t xml:space="preserve">M.1.1 Checklist: signature instruments deposited with the Depositary; Council first meeting convened; Directorate directors appointed; Center duty supervisors stood up; hotline triple layer tested; Safe Registry portal live; Fund accounts opened at the Central Bank of Oman; Administrator and Auditor contracted; Bulletin number one published; Phase One gate review passed by the Council.</w:t>
      </w:r>
    </w:p>
    <w:bookmarkEnd w:id="408"/>
    <w:bookmarkStart w:id="409" w:name="X562e3eca0dd7ba90a2053b601fb8ed03d7ec722"/>
    <w:p>
      <w:pPr>
        <w:pStyle w:val="Heading2"/>
      </w:pPr>
      <w:r>
        <w:t xml:space="preserve">M.2 Phase Two: Pilot Announcement, Days 10 to 20</w:t>
      </w:r>
    </w:p>
    <w:p>
      <w:pPr>
        <w:pStyle w:val="FirstParagraph"/>
      </w:pPr>
      <w:r>
        <w:t xml:space="preserve">M.2.1 Checklist: corridor geometry notice to mariners published; pilot participation call issued to flag states and operators; observer exchange program first rotation embarked; deconfliction calendar populated with standing notifications; Annex G information exchange complete; Phase Two gate review passed.</w:t>
      </w:r>
    </w:p>
    <w:bookmarkEnd w:id="409"/>
    <w:bookmarkStart w:id="410" w:name="Xfa03fd340b88762d898676a997e9b0ef2759af0"/>
    <w:p>
      <w:pPr>
        <w:pStyle w:val="Heading2"/>
      </w:pPr>
      <w:r>
        <w:t xml:space="preserve">M.3 Phase Three: Sequential Corridor Activation, Days 20 to 40</w:t>
      </w:r>
    </w:p>
    <w:p>
      <w:pPr>
        <w:pStyle w:val="FirstParagraph"/>
      </w:pPr>
      <w:r>
        <w:t xml:space="preserve">M.3.1 Checklist: Central Deconfliction Corridor activated with dual administration stood up; Outbound Assurance Corridor activated under unconditional rule; synchronization pair P-2 executed; Inbound Coordination Corridor activated with registration architecture live; synchronization pair P-3 executed; mine-watch passes running; Phase Three gate review passed.</w:t>
      </w:r>
    </w:p>
    <w:bookmarkEnd w:id="410"/>
    <w:bookmarkStart w:id="411" w:name="X0cb790c48aaa1b7a3e85d07a800e52a30d0a045"/>
    <w:p>
      <w:pPr>
        <w:pStyle w:val="Heading2"/>
      </w:pPr>
      <w:r>
        <w:t xml:space="preserve">M.4 Phase Four: Financial Channel, Days 40 to 55</w:t>
      </w:r>
    </w:p>
    <w:p>
      <w:pPr>
        <w:pStyle w:val="FirstParagraph"/>
      </w:pPr>
      <w:r>
        <w:t xml:space="preserve">M.4.1 Checklist: Catalog live at pilot rates; Route Assurance Data Service first feed delivered; voluntary contribution round one opened; Sanctions Register published; firewall first screen cycle complete; escrow fallback drill number one executed; Phase Four gate review passed.</w:t>
      </w:r>
    </w:p>
    <w:bookmarkEnd w:id="411"/>
    <w:bookmarkStart w:id="412" w:name="X1ead7aa4e5ac9a8fa2d1f481791b7ee8fad6868"/>
    <w:p>
      <w:pPr>
        <w:pStyle w:val="Heading2"/>
      </w:pPr>
      <w:r>
        <w:t xml:space="preserve">M.5 Phase Five: Pilot and Stability Audit, Days 55 to 90</w:t>
      </w:r>
    </w:p>
    <w:p>
      <w:pPr>
        <w:pStyle w:val="FirstParagraph"/>
      </w:pPr>
      <w:r>
        <w:t xml:space="preserve">M.5.1 Checklist: pilot transits running across all corridors; weekly pilot statistics published; synchronization pair P-4 executed; Joint Event Review Cell exercised on live events; day ninety stability audit conducted and published; pilot verdict issued under Article 41.6.</w:t>
      </w:r>
    </w:p>
    <w:bookmarkEnd w:id="412"/>
    <w:bookmarkStart w:id="413" w:name="X20f05598104ba0f5f53312ccbdef12e7ccb9bd2"/>
    <w:p>
      <w:pPr>
        <w:pStyle w:val="Heading2"/>
      </w:pPr>
      <w:r>
        <w:t xml:space="preserve">M.6 Phase Six: Full Activation, Days 90 to 120</w:t>
      </w:r>
    </w:p>
    <w:p>
      <w:pPr>
        <w:pStyle w:val="FirstParagraph"/>
      </w:pPr>
      <w:r>
        <w:t xml:space="preserve">M.6.1 Checklist: full rate schedule live; all bodies at full operating tempo; IMO registration filed; annual budget adopted; exercise cycle calendar published for year one; synchronization pair P-5 executed or banked per the stall rule; declaration of full activation published; Open Water Review Conference scheduled.</w:t>
      </w:r>
    </w:p>
    <w:bookmarkEnd w:id="413"/>
    <w:bookmarkStart w:id="414" w:name="m.7-gate-rules"/>
    <w:p>
      <w:pPr>
        <w:pStyle w:val="Heading2"/>
      </w:pPr>
      <w:r>
        <w:t xml:space="preserve">M.7 Gate Rules</w:t>
      </w:r>
    </w:p>
    <w:p>
      <w:pPr>
        <w:pStyle w:val="FirstParagraph"/>
      </w:pPr>
      <w:r>
        <w:t xml:space="preserve">M.7.1 A phase gate passes on the Council’s confirmation of its checklist, with the Even Keel Office verifying each item against the record. An incomplete item carries into the next phase with a named owner and date; a gate never blocks on a single item unless the item touches navigation safety, in which case the affected corridor segment waits while everything else proceeds.</w:t>
      </w:r>
    </w:p>
    <w:bookmarkEnd w:id="414"/>
    <w:bookmarkEnd w:id="415"/>
    <w:bookmarkStart w:id="420" w:name="X80331c4a652e617f3567ab5edc726c4d230b52c"/>
    <w:p>
      <w:pPr>
        <w:pStyle w:val="Heading1"/>
      </w:pPr>
      <w:r>
        <w:t xml:space="preserve">ANNEX N: Budget, Cost-Effectiveness, and the Governance Calendar</w:t>
      </w:r>
    </w:p>
    <w:bookmarkStart w:id="416" w:name="n.1-the-founding-budget-envelope"/>
    <w:p>
      <w:pPr>
        <w:pStyle w:val="Heading2"/>
      </w:pPr>
      <w:r>
        <w:t xml:space="preserve">N.1 The Founding Budget Envelope</w:t>
      </w:r>
    </w:p>
    <w:p>
      <w:pPr>
        <w:pStyle w:val="FirstParagraph"/>
      </w:pPr>
      <w:r>
        <w:t xml:space="preserve">N.1.1 The founding year envelope stands at ninety-five million United States dollars, allocated as follows.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Amount (USD million)</w:t>
            </w:r>
          </w:p>
        </w:tc>
        <w:tc>
          <w:tcPr/>
          <w:p>
            <w:pPr>
              <w:pStyle w:val="Compact"/>
              <w:jc w:val="left"/>
            </w:pPr>
            <w:r>
              <w:t xml:space="preserve">Share</w:t>
            </w:r>
          </w:p>
        </w:tc>
      </w:tr>
      <w:tr>
        <w:tc>
          <w:tcPr/>
          <w:p>
            <w:pPr>
              <w:pStyle w:val="Compact"/>
              <w:jc w:val="left"/>
            </w:pPr>
            <w:r>
              <w:t xml:space="preserve">Center operations and watchkeeping</w:t>
            </w:r>
          </w:p>
        </w:tc>
        <w:tc>
          <w:tcPr/>
          <w:p>
            <w:pPr>
              <w:pStyle w:val="Compact"/>
              <w:jc w:val="left"/>
            </w:pPr>
            <w:r>
              <w:t xml:space="preserve">18.0</w:t>
            </w:r>
          </w:p>
        </w:tc>
        <w:tc>
          <w:tcPr/>
          <w:p>
            <w:pPr>
              <w:pStyle w:val="Compact"/>
              <w:jc w:val="left"/>
            </w:pPr>
            <w:r>
              <w:t xml:space="preserve">18.9 percent</w:t>
            </w:r>
          </w:p>
        </w:tc>
      </w:tr>
      <w:tr>
        <w:tc>
          <w:tcPr/>
          <w:p>
            <w:pPr>
              <w:pStyle w:val="Compact"/>
              <w:jc w:val="left"/>
            </w:pPr>
            <w:r>
              <w:t xml:space="preserve">Aids to navigation and survey</w:t>
            </w:r>
          </w:p>
        </w:tc>
        <w:tc>
          <w:tcPr/>
          <w:p>
            <w:pPr>
              <w:pStyle w:val="Compact"/>
              <w:jc w:val="left"/>
            </w:pPr>
            <w:r>
              <w:t xml:space="preserve">16.5</w:t>
            </w:r>
          </w:p>
        </w:tc>
        <w:tc>
          <w:tcPr/>
          <w:p>
            <w:pPr>
              <w:pStyle w:val="Compact"/>
              <w:jc w:val="left"/>
            </w:pPr>
            <w:r>
              <w:t xml:space="preserve">17.4 percent</w:t>
            </w:r>
          </w:p>
        </w:tc>
      </w:tr>
      <w:tr>
        <w:tc>
          <w:tcPr/>
          <w:p>
            <w:pPr>
              <w:pStyle w:val="Compact"/>
              <w:jc w:val="left"/>
            </w:pPr>
            <w:r>
              <w:t xml:space="preserve">Even Keel Office and observer program</w:t>
            </w:r>
          </w:p>
        </w:tc>
        <w:tc>
          <w:tcPr/>
          <w:p>
            <w:pPr>
              <w:pStyle w:val="Compact"/>
              <w:jc w:val="left"/>
            </w:pPr>
            <w:r>
              <w:t xml:space="preserve">7.5</w:t>
            </w:r>
          </w:p>
        </w:tc>
        <w:tc>
          <w:tcPr/>
          <w:p>
            <w:pPr>
              <w:pStyle w:val="Compact"/>
              <w:jc w:val="left"/>
            </w:pPr>
            <w:r>
              <w:t xml:space="preserve">7.9 percent</w:t>
            </w:r>
          </w:p>
        </w:tc>
      </w:tr>
      <w:tr>
        <w:tc>
          <w:tcPr/>
          <w:p>
            <w:pPr>
              <w:pStyle w:val="Compact"/>
              <w:jc w:val="left"/>
            </w:pPr>
            <w:r>
              <w:t xml:space="preserve">Search and rescue standby</w:t>
            </w:r>
          </w:p>
        </w:tc>
        <w:tc>
          <w:tcPr/>
          <w:p>
            <w:pPr>
              <w:pStyle w:val="Compact"/>
              <w:jc w:val="left"/>
            </w:pPr>
            <w:r>
              <w:t xml:space="preserve">8.0</w:t>
            </w:r>
          </w:p>
        </w:tc>
        <w:tc>
          <w:tcPr/>
          <w:p>
            <w:pPr>
              <w:pStyle w:val="Compact"/>
              <w:jc w:val="left"/>
            </w:pPr>
            <w:r>
              <w:t xml:space="preserve">8.4 percent</w:t>
            </w:r>
          </w:p>
        </w:tc>
      </w:tr>
      <w:tr>
        <w:tc>
          <w:tcPr/>
          <w:p>
            <w:pPr>
              <w:pStyle w:val="Compact"/>
              <w:jc w:val="left"/>
            </w:pPr>
            <w:r>
              <w:t xml:space="preserve">Environmental monitoring and response readiness</w:t>
            </w:r>
          </w:p>
        </w:tc>
        <w:tc>
          <w:tcPr/>
          <w:p>
            <w:pPr>
              <w:pStyle w:val="Compact"/>
              <w:jc w:val="left"/>
            </w:pPr>
            <w:r>
              <w:t xml:space="preserve">4.5</w:t>
            </w:r>
          </w:p>
        </w:tc>
        <w:tc>
          <w:tcPr/>
          <w:p>
            <w:pPr>
              <w:pStyle w:val="Compact"/>
              <w:jc w:val="left"/>
            </w:pPr>
            <w:r>
              <w:t xml:space="preserve">4.7 percent</w:t>
            </w:r>
          </w:p>
        </w:tc>
      </w:tr>
      <w:tr>
        <w:tc>
          <w:tcPr/>
          <w:p>
            <w:pPr>
              <w:pStyle w:val="Compact"/>
              <w:jc w:val="left"/>
            </w:pPr>
            <w:r>
              <w:t xml:space="preserve">Mine-watch standing program</w:t>
            </w:r>
          </w:p>
        </w:tc>
        <w:tc>
          <w:tcPr/>
          <w:p>
            <w:pPr>
              <w:pStyle w:val="Compact"/>
              <w:jc w:val="left"/>
            </w:pPr>
            <w:r>
              <w:t xml:space="preserve">6.0</w:t>
            </w:r>
          </w:p>
        </w:tc>
        <w:tc>
          <w:tcPr/>
          <w:p>
            <w:pPr>
              <w:pStyle w:val="Compact"/>
              <w:jc w:val="left"/>
            </w:pPr>
            <w:r>
              <w:t xml:space="preserve">6.3 percent</w:t>
            </w:r>
          </w:p>
        </w:tc>
      </w:tr>
      <w:tr>
        <w:tc>
          <w:tcPr/>
          <w:p>
            <w:pPr>
              <w:pStyle w:val="Compact"/>
              <w:jc w:val="left"/>
            </w:pPr>
            <w:r>
              <w:t xml:space="preserve">Escort coordination and security standby</w:t>
            </w:r>
          </w:p>
        </w:tc>
        <w:tc>
          <w:tcPr/>
          <w:p>
            <w:pPr>
              <w:pStyle w:val="Compact"/>
              <w:jc w:val="left"/>
            </w:pPr>
            <w:r>
              <w:t xml:space="preserve">5.0</w:t>
            </w:r>
          </w:p>
        </w:tc>
        <w:tc>
          <w:tcPr/>
          <w:p>
            <w:pPr>
              <w:pStyle w:val="Compact"/>
              <w:jc w:val="left"/>
            </w:pPr>
            <w:r>
              <w:t xml:space="preserve">5.3 percent</w:t>
            </w:r>
          </w:p>
        </w:tc>
      </w:tr>
      <w:tr>
        <w:tc>
          <w:tcPr/>
          <w:p>
            <w:pPr>
              <w:pStyle w:val="Compact"/>
              <w:jc w:val="left"/>
            </w:pPr>
            <w:r>
              <w:t xml:space="preserve">Fund administration, audit, and compliance desk</w:t>
            </w:r>
          </w:p>
        </w:tc>
        <w:tc>
          <w:tcPr/>
          <w:p>
            <w:pPr>
              <w:pStyle w:val="Compact"/>
              <w:jc w:val="left"/>
            </w:pPr>
            <w:r>
              <w:t xml:space="preserve">4.0</w:t>
            </w:r>
          </w:p>
        </w:tc>
        <w:tc>
          <w:tcPr/>
          <w:p>
            <w:pPr>
              <w:pStyle w:val="Compact"/>
              <w:jc w:val="left"/>
            </w:pPr>
            <w:r>
              <w:t xml:space="preserve">4.2 percent</w:t>
            </w:r>
          </w:p>
        </w:tc>
      </w:tr>
      <w:tr>
        <w:tc>
          <w:tcPr/>
          <w:p>
            <w:pPr>
              <w:pStyle w:val="Compact"/>
              <w:jc w:val="left"/>
            </w:pPr>
            <w:r>
              <w:t xml:space="preserve">Council, Directorate, and governance calendar</w:t>
            </w:r>
          </w:p>
        </w:tc>
        <w:tc>
          <w:tcPr/>
          <w:p>
            <w:pPr>
              <w:pStyle w:val="Compact"/>
              <w:jc w:val="left"/>
            </w:pPr>
            <w:r>
              <w:t xml:space="preserve">3.5</w:t>
            </w:r>
          </w:p>
        </w:tc>
        <w:tc>
          <w:tcPr/>
          <w:p>
            <w:pPr>
              <w:pStyle w:val="Compact"/>
              <w:jc w:val="left"/>
            </w:pPr>
            <w:r>
              <w:t xml:space="preserve">3.7 percent</w:t>
            </w:r>
          </w:p>
        </w:tc>
      </w:tr>
      <w:tr>
        <w:tc>
          <w:tcPr/>
          <w:p>
            <w:pPr>
              <w:pStyle w:val="Compact"/>
              <w:jc w:val="left"/>
            </w:pPr>
            <w:r>
              <w:t xml:space="preserve">Reserves build (environmental and performance)</w:t>
            </w:r>
          </w:p>
        </w:tc>
        <w:tc>
          <w:tcPr/>
          <w:p>
            <w:pPr>
              <w:pStyle w:val="Compact"/>
              <w:jc w:val="left"/>
            </w:pPr>
            <w:r>
              <w:t xml:space="preserve">22.0</w:t>
            </w:r>
          </w:p>
        </w:tc>
        <w:tc>
          <w:tcPr/>
          <w:p>
            <w:pPr>
              <w:pStyle w:val="Compact"/>
              <w:jc w:val="left"/>
            </w:pPr>
            <w:r>
              <w:t xml:space="preserve">23.2 percent</w:t>
            </w:r>
          </w:p>
        </w:tc>
      </w:tr>
    </w:tbl>
    <w:bookmarkEnd w:id="416"/>
    <w:bookmarkStart w:id="417" w:name="n.2-the-cost-effectiveness-rules"/>
    <w:p>
      <w:pPr>
        <w:pStyle w:val="Heading2"/>
      </w:pPr>
      <w:r>
        <w:t xml:space="preserve">N.2 The Cost-Effectiveness Rules</w:t>
      </w:r>
    </w:p>
    <w:p>
      <w:pPr>
        <w:pStyle w:val="FirstParagraph"/>
      </w:pPr>
      <w:r>
        <w:t xml:space="preserve">N.2.1 Five rules keep the architecture inexpensive. First, dual use: every asset serves at least two functions, and the roster publishes the dual-use mapping annually. Second, regional leverage: the architecture uses existing centers, existing national assets, and existing international frameworks rather than building parallel structures. Third, competitive provision: requested services tender competitively where multiple providers exist, and the Catalog publishes the tender results. Fourth, the cap: administrative overhead across all bodies holds below twelve percent of the operating budget, audited annually. Fifth, the sunset review: every budget line above two million dollars faces a zero-based review every third year.</w:t>
      </w:r>
    </w:p>
    <w:bookmarkEnd w:id="417"/>
    <w:bookmarkStart w:id="418" w:name="n.3-the-governance-calendar"/>
    <w:p>
      <w:pPr>
        <w:pStyle w:val="Heading2"/>
      </w:pPr>
      <w:r>
        <w:t xml:space="preserve">N.3 The Governance Calendar</w:t>
      </w:r>
    </w:p>
    <w:p>
      <w:pPr>
        <w:pStyle w:val="FirstParagraph"/>
      </w:pPr>
      <w:r>
        <w:t xml:space="preserve">N.3.1 The standing calendar: Council ordinary sessions quarterly; Technical Committee monthly; Bulletin daily; stability audit annually with pilot audit at day ninety; Open Water Review Conference annually; firewall certificate annually; budget adoption in the final quarter for the following year; distribution on the fifth day monthly; hotline tests six-hourly; observer rotation quarterly; full-scale rescue exercise annually; escrow fallback drill twice yearly.</w:t>
      </w:r>
    </w:p>
    <w:bookmarkEnd w:id="418"/>
    <w:bookmarkStart w:id="419" w:name="n.4-the-comparison-benchmark"/>
    <w:p>
      <w:pPr>
        <w:pStyle w:val="Heading2"/>
      </w:pPr>
      <w:r>
        <w:t xml:space="preserve">N.4 The Comparison Benchmark</w:t>
      </w:r>
    </w:p>
    <w:p>
      <w:pPr>
        <w:pStyle w:val="FirstParagraph"/>
      </w:pPr>
      <w:r>
        <w:t xml:space="preserve">N.4.1 For context, the founding envelope compares against the economic exposure the architecture protects: the Strait’s daily energy flow carries a value exceeding one billion United States dollars, and a single day of closure costs the regional and global economy a multiple of the architecture’s entire annual budget. The architecture prices itself as insurance, not as infrastructure, and the annual report publishes this comparison to keep the cost discipline honest.</w:t>
      </w:r>
    </w:p>
    <w:bookmarkEnd w:id="419"/>
    <w:bookmarkEnd w:id="420"/>
    <w:bookmarkStart w:id="428" w:name="Xc05039c0902b395d5a319b9a839bd101dfe72b4"/>
    <w:p>
      <w:pPr>
        <w:pStyle w:val="Heading1"/>
      </w:pPr>
      <w:r>
        <w:t xml:space="preserve">ANNEX O: Participation Instruments and Observer Accession</w:t>
      </w:r>
    </w:p>
    <w:bookmarkStart w:id="421" w:name="Xc42e269eedee84a39eba10c77d20157a4ba23ff"/>
    <w:p>
      <w:pPr>
        <w:pStyle w:val="Heading2"/>
      </w:pPr>
      <w:r>
        <w:t xml:space="preserve">O.1 Participation Category I: Littoral Parties</w:t>
      </w:r>
    </w:p>
    <w:p>
      <w:pPr>
        <w:pStyle w:val="FirstParagraph"/>
      </w:pPr>
      <w:r>
        <w:t xml:space="preserve">O.1.1 Iran and Oman hold: two permanent Council seats each with full voting rights; corridor administration of their respective corridors; dual-key functions per Article 26; revenue distribution per Article 22; and the full obligations of the Charter.</w:t>
      </w:r>
    </w:p>
    <w:bookmarkEnd w:id="421"/>
    <w:bookmarkStart w:id="422" w:name="X90f7a9285ae75d30f2d3144fe49e2fc030e9a1f"/>
    <w:p>
      <w:pPr>
        <w:pStyle w:val="Heading2"/>
      </w:pPr>
      <w:r>
        <w:t xml:space="preserve">O.2 Participation Category II: Regional Participants</w:t>
      </w:r>
    </w:p>
    <w:p>
      <w:pPr>
        <w:pStyle w:val="FirstParagraph"/>
      </w:pPr>
      <w:r>
        <w:t xml:space="preserve">O.2.1 The Gulf Cooperation Council states hold: one collective GCC Council seat, one United Arab Emirates seat, and one Qatar seat; service provision rights through GCC entities; revenue distribution per Article 22; and monitoring access to the full dashboard.</w:t>
      </w:r>
    </w:p>
    <w:bookmarkEnd w:id="422"/>
    <w:bookmarkStart w:id="423" w:name="X830e614c47dc1a79cb379f8e4b6512b70d47bd6"/>
    <w:p>
      <w:pPr>
        <w:pStyle w:val="Heading2"/>
      </w:pPr>
      <w:r>
        <w:t xml:space="preserve">O.3 Participation Category III: Strategic Partners</w:t>
      </w:r>
    </w:p>
    <w:p>
      <w:pPr>
        <w:pStyle w:val="FirstParagraph"/>
      </w:pPr>
      <w:r>
        <w:t xml:space="preserve">O.3.1 Strategic Partners hold: eligibility for the five rotational Council seats allocated by energy-flow share among flag states and trading states; full Route Assurance Data Service access; observer accreditation under Section O.6; and the deconfliction obligations of Annex F for their Class S and Class M traffic.</w:t>
      </w:r>
    </w:p>
    <w:bookmarkEnd w:id="423"/>
    <w:bookmarkStart w:id="424" w:name="X8c6e920c194b986dffb76ab8d8186485aac5982"/>
    <w:p>
      <w:pPr>
        <w:pStyle w:val="Heading2"/>
      </w:pPr>
      <w:r>
        <w:t xml:space="preserve">O.4 Participation Category IV: Facilitators</w:t>
      </w:r>
    </w:p>
    <w:p>
      <w:pPr>
        <w:pStyle w:val="FirstParagraph"/>
      </w:pPr>
      <w:r>
        <w:t xml:space="preserve">O.4.1 Switzerland, Pakistan, and Qatar hold: facilitator standing in the dispute ladder of Article 38; good offices custody; and access to the restricted dashboard layer for facilitation purposes.</w:t>
      </w:r>
    </w:p>
    <w:bookmarkEnd w:id="424"/>
    <w:bookmarkStart w:id="425" w:name="X49543e8494a48b67929e70dc86404e31e479bbf"/>
    <w:p>
      <w:pPr>
        <w:pStyle w:val="Heading2"/>
      </w:pPr>
      <w:r>
        <w:t xml:space="preserve">O.5 Participation Category V: International Organizations</w:t>
      </w:r>
    </w:p>
    <w:p>
      <w:pPr>
        <w:pStyle w:val="FirstParagraph"/>
      </w:pPr>
      <w:r>
        <w:t xml:space="preserve">O.5.1 The International Maritime Organization holds: registry custody of the filed instruments; audit participation; and arbitration panel appointment under Article 38. The International Atomic Energy Agency holds: the liaison channel of Annex K and the protected movement windows. The Bank for International Settlements holds: the escrow fallback mandate of Article 21.5.</w:t>
      </w:r>
    </w:p>
    <w:bookmarkEnd w:id="425"/>
    <w:bookmarkStart w:id="426" w:name="o.6-observer-accreditation"/>
    <w:p>
      <w:pPr>
        <w:pStyle w:val="Heading2"/>
      </w:pPr>
      <w:r>
        <w:t xml:space="preserve">O.6 Observer Accreditation</w:t>
      </w:r>
    </w:p>
    <w:p>
      <w:pPr>
        <w:pStyle w:val="FirstParagraph"/>
      </w:pPr>
      <w:r>
        <w:t xml:space="preserve">O.6.1 The United States and the European Union hold standing observer accreditation: access to the fused maritime picture through the Route Assurance Data Service at Tier 1 without charge for the first two years; seats without vote at Council ordinary sessions; and the right to file observer statements into the Council record. Observer accreditation never confers any command, any key, or any interdiction function, and the architecture states this plainly so that no capital misreads the design.</w:t>
      </w:r>
    </w:p>
    <w:bookmarkEnd w:id="426"/>
    <w:bookmarkStart w:id="427" w:name="o.7-accession-procedure"/>
    <w:p>
      <w:pPr>
        <w:pStyle w:val="Heading2"/>
      </w:pPr>
      <w:r>
        <w:t xml:space="preserve">O.7 Accession Procedure</w:t>
      </w:r>
    </w:p>
    <w:p>
      <w:pPr>
        <w:pStyle w:val="FirstParagraph"/>
      </w:pPr>
      <w:r>
        <w:t xml:space="preserve">O.7.1 A state or organization accedes by instrument deposited with the Depositary, stating its participation category and accepting the Charter in full without reservation. The Council confirms the category placement within thirty days by Qualified Majority, and the accession publishes in the Bulletin.</w:t>
      </w:r>
    </w:p>
    <w:bookmarkEnd w:id="427"/>
    <w:bookmarkEnd w:id="428"/>
    <w:bookmarkStart w:id="431" w:name="Xc804a1c99ba83644a018a6532b461d0d26524e7"/>
    <w:p>
      <w:pPr>
        <w:pStyle w:val="Heading1"/>
      </w:pPr>
      <w:r>
        <w:t xml:space="preserve">ANNEX P: Glossary and Interpretation Index</w:t>
      </w:r>
    </w:p>
    <w:bookmarkStart w:id="429" w:name="p.1-glossary"/>
    <w:p>
      <w:pPr>
        <w:pStyle w:val="Heading2"/>
      </w:pPr>
      <w:r>
        <w:t xml:space="preserve">P.1 Glossary</w:t>
      </w:r>
    </w:p>
    <w:p>
      <w:pPr>
        <w:pStyle w:val="FirstParagraph"/>
      </w:pPr>
      <w:r>
        <w:t xml:space="preserve">P.1.1 The following terms carry fixed meaning throughout the Charter and its annexes.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Architecture</w:t>
            </w:r>
          </w:p>
        </w:tc>
        <w:tc>
          <w:tcPr/>
          <w:p>
            <w:pPr>
              <w:pStyle w:val="Compact"/>
              <w:jc w:val="left"/>
            </w:pPr>
            <w:r>
              <w:t xml:space="preserve">The complete set of corridors, bodies, rules, and instruments the Charter establishes</w:t>
            </w:r>
          </w:p>
        </w:tc>
      </w:tr>
      <w:tr>
        <w:tc>
          <w:tcPr/>
          <w:p>
            <w:pPr>
              <w:pStyle w:val="Compact"/>
              <w:jc w:val="left"/>
            </w:pPr>
            <w:r>
              <w:t xml:space="preserve">Banked step</w:t>
            </w:r>
          </w:p>
        </w:tc>
        <w:tc>
          <w:tcPr/>
          <w:p>
            <w:pPr>
              <w:pStyle w:val="Compact"/>
              <w:jc w:val="left"/>
            </w:pPr>
            <w:r>
              <w:t xml:space="preserve">A completed synchronization element protected from reversal under Article 34.4</w:t>
            </w:r>
          </w:p>
        </w:tc>
      </w:tr>
      <w:tr>
        <w:tc>
          <w:tcPr/>
          <w:p>
            <w:pPr>
              <w:pStyle w:val="Compact"/>
              <w:jc w:val="left"/>
            </w:pPr>
            <w:r>
              <w:t xml:space="preserve">Bulletin</w:t>
            </w:r>
          </w:p>
        </w:tc>
        <w:tc>
          <w:tcPr/>
          <w:p>
            <w:pPr>
              <w:pStyle w:val="Compact"/>
              <w:jc w:val="left"/>
            </w:pPr>
            <w:r>
              <w:t xml:space="preserve">The Open Water Bulletin, the daily public operational publication of the Center</w:t>
            </w:r>
          </w:p>
        </w:tc>
      </w:tr>
      <w:tr>
        <w:tc>
          <w:tcPr/>
          <w:p>
            <w:pPr>
              <w:pStyle w:val="Compact"/>
              <w:jc w:val="left"/>
            </w:pPr>
            <w:r>
              <w:t xml:space="preserve">Composite Picture</w:t>
            </w:r>
          </w:p>
        </w:tc>
        <w:tc>
          <w:tcPr/>
          <w:p>
            <w:pPr>
              <w:pStyle w:val="Compact"/>
              <w:jc w:val="left"/>
            </w:pPr>
            <w:r>
              <w:t xml:space="preserve">The merged technical record of an event under Article 36.5</w:t>
            </w:r>
          </w:p>
        </w:tc>
      </w:tr>
      <w:tr>
        <w:tc>
          <w:tcPr/>
          <w:p>
            <w:pPr>
              <w:pStyle w:val="Compact"/>
              <w:jc w:val="left"/>
            </w:pPr>
            <w:r>
              <w:t xml:space="preserve">Convergence Standard</w:t>
            </w:r>
          </w:p>
        </w:tc>
        <w:tc>
          <w:tcPr/>
          <w:p>
            <w:pPr>
              <w:pStyle w:val="Compact"/>
              <w:jc w:val="left"/>
            </w:pPr>
            <w:r>
              <w:t xml:space="preserve">The rule that a technical determination rests on at least two independent inputs</w:t>
            </w:r>
          </w:p>
        </w:tc>
      </w:tr>
      <w:tr>
        <w:tc>
          <w:tcPr/>
          <w:p>
            <w:pPr>
              <w:pStyle w:val="Compact"/>
              <w:jc w:val="left"/>
            </w:pPr>
            <w:r>
              <w:t xml:space="preserve">Corridor</w:t>
            </w:r>
          </w:p>
        </w:tc>
        <w:tc>
          <w:tcPr/>
          <w:p>
            <w:pPr>
              <w:pStyle w:val="Compact"/>
              <w:jc w:val="left"/>
            </w:pPr>
            <w:r>
              <w:t xml:space="preserve">One of the three defined maritime corridors of Article 6</w:t>
            </w:r>
          </w:p>
        </w:tc>
      </w:tr>
      <w:tr>
        <w:tc>
          <w:tcPr/>
          <w:p>
            <w:pPr>
              <w:pStyle w:val="Compact"/>
              <w:jc w:val="left"/>
            </w:pPr>
            <w:r>
              <w:t xml:space="preserve">Dual-Key Rule</w:t>
            </w:r>
          </w:p>
        </w:tc>
        <w:tc>
          <w:tcPr/>
          <w:p>
            <w:pPr>
              <w:pStyle w:val="Compact"/>
              <w:jc w:val="left"/>
            </w:pPr>
            <w:r>
              <w:t xml:space="preserve">The rule that designated security functions execute only with the named confirmations of Article 26</w:t>
            </w:r>
          </w:p>
        </w:tc>
      </w:tr>
      <w:tr>
        <w:tc>
          <w:tcPr/>
          <w:p>
            <w:pPr>
              <w:pStyle w:val="Compact"/>
              <w:jc w:val="left"/>
            </w:pPr>
            <w:r>
              <w:t xml:space="preserve">Even Keel</w:t>
            </w:r>
          </w:p>
        </w:tc>
        <w:tc>
          <w:tcPr/>
          <w:p>
            <w:pPr>
              <w:pStyle w:val="Compact"/>
              <w:jc w:val="left"/>
            </w:pPr>
            <w:r>
              <w:t xml:space="preserve">The Even Keel Verification Office of Article 16</w:t>
            </w:r>
          </w:p>
        </w:tc>
      </w:tr>
      <w:tr>
        <w:tc>
          <w:tcPr/>
          <w:p>
            <w:pPr>
              <w:pStyle w:val="Compact"/>
              <w:jc w:val="left"/>
            </w:pPr>
            <w:r>
              <w:t xml:space="preserve">Flow State</w:t>
            </w:r>
          </w:p>
        </w:tc>
        <w:tc>
          <w:tcPr/>
          <w:p>
            <w:pPr>
              <w:pStyle w:val="Compact"/>
              <w:jc w:val="left"/>
            </w:pPr>
            <w:r>
              <w:t xml:space="preserve">One of Free Flow, Managed Flow, Coordinated Flow, or Protected Hold</w:t>
            </w:r>
          </w:p>
        </w:tc>
      </w:tr>
      <w:tr>
        <w:tc>
          <w:tcPr/>
          <w:p>
            <w:pPr>
              <w:pStyle w:val="Compact"/>
              <w:jc w:val="left"/>
            </w:pPr>
            <w:r>
              <w:t xml:space="preserve">Human Anchor</w:t>
            </w:r>
          </w:p>
        </w:tc>
        <w:tc>
          <w:tcPr/>
          <w:p>
            <w:pPr>
              <w:pStyle w:val="Compact"/>
              <w:jc w:val="left"/>
            </w:pPr>
            <w:r>
              <w:t xml:space="preserve">The rule that every safety-critical function carries a trained human in the loop</w:t>
            </w:r>
          </w:p>
        </w:tc>
      </w:tr>
      <w:tr>
        <w:tc>
          <w:tcPr/>
          <w:p>
            <w:pPr>
              <w:pStyle w:val="Compact"/>
              <w:jc w:val="left"/>
            </w:pPr>
            <w:r>
              <w:t xml:space="preserve">Multilateral Transit Record</w:t>
            </w:r>
          </w:p>
        </w:tc>
        <w:tc>
          <w:tcPr/>
          <w:p>
            <w:pPr>
              <w:pStyle w:val="Compact"/>
              <w:jc w:val="left"/>
            </w:pPr>
            <w:r>
              <w:t xml:space="preserve">The system-issued receipt of a transit registration under Article 9</w:t>
            </w:r>
          </w:p>
        </w:tc>
      </w:tr>
      <w:tr>
        <w:tc>
          <w:tcPr/>
          <w:p>
            <w:pPr>
              <w:pStyle w:val="Compact"/>
              <w:jc w:val="left"/>
            </w:pPr>
            <w:r>
              <w:t xml:space="preserve">No-Fade</w:t>
            </w:r>
          </w:p>
        </w:tc>
        <w:tc>
          <w:tcPr/>
          <w:p>
            <w:pPr>
              <w:pStyle w:val="Compact"/>
              <w:jc w:val="left"/>
            </w:pPr>
            <w:r>
              <w:t xml:space="preserve">The continuity rule of Article 40</w:t>
            </w:r>
          </w:p>
        </w:tc>
      </w:tr>
      <w:tr>
        <w:tc>
          <w:tcPr/>
          <w:p>
            <w:pPr>
              <w:pStyle w:val="Compact"/>
              <w:jc w:val="left"/>
            </w:pPr>
            <w:r>
              <w:t xml:space="preserve">Open Water</w:t>
            </w:r>
          </w:p>
        </w:tc>
        <w:tc>
          <w:tcPr/>
          <w:p>
            <w:pPr>
              <w:pStyle w:val="Compact"/>
              <w:jc w:val="left"/>
            </w:pPr>
            <w:r>
              <w:t xml:space="preserve">The standing condition of an activated corridor under the Charter</w:t>
            </w:r>
          </w:p>
        </w:tc>
      </w:tr>
      <w:tr>
        <w:tc>
          <w:tcPr/>
          <w:p>
            <w:pPr>
              <w:pStyle w:val="Compact"/>
              <w:jc w:val="left"/>
            </w:pPr>
            <w:r>
              <w:t xml:space="preserve">Performance Reserve</w:t>
            </w:r>
          </w:p>
        </w:tc>
        <w:tc>
          <w:tcPr/>
          <w:p>
            <w:pPr>
              <w:pStyle w:val="Compact"/>
              <w:jc w:val="left"/>
            </w:pPr>
            <w:r>
              <w:t xml:space="preserve">The compliance instrument of Article 36.9</w:t>
            </w:r>
          </w:p>
        </w:tc>
      </w:tr>
      <w:tr>
        <w:tc>
          <w:tcPr/>
          <w:p>
            <w:pPr>
              <w:pStyle w:val="Compact"/>
              <w:jc w:val="left"/>
            </w:pPr>
            <w:r>
              <w:t xml:space="preserve">Protected Hold</w:t>
            </w:r>
          </w:p>
        </w:tc>
        <w:tc>
          <w:tcPr/>
          <w:p>
            <w:pPr>
              <w:pStyle w:val="Compact"/>
              <w:jc w:val="left"/>
            </w:pPr>
            <w:r>
              <w:t xml:space="preserve">The flow state suspending non-humanitarian traffic in a defined sector</w:t>
            </w:r>
          </w:p>
        </w:tc>
      </w:tr>
      <w:tr>
        <w:tc>
          <w:tcPr/>
          <w:p>
            <w:pPr>
              <w:pStyle w:val="Compact"/>
              <w:jc w:val="left"/>
            </w:pPr>
            <w:r>
              <w:t xml:space="preserve">Qualified Majority</w:t>
            </w:r>
          </w:p>
        </w:tc>
        <w:tc>
          <w:tcPr/>
          <w:p>
            <w:pPr>
              <w:pStyle w:val="Compact"/>
              <w:jc w:val="left"/>
            </w:pPr>
            <w:r>
              <w:t xml:space="preserve">The voting rule of Article 18.1</w:t>
            </w:r>
          </w:p>
        </w:tc>
      </w:tr>
      <w:tr>
        <w:tc>
          <w:tcPr/>
          <w:p>
            <w:pPr>
              <w:pStyle w:val="Compact"/>
              <w:jc w:val="left"/>
            </w:pPr>
            <w:r>
              <w:t xml:space="preserve">Quiet Water Window</w:t>
            </w:r>
          </w:p>
        </w:tc>
        <w:tc>
          <w:tcPr/>
          <w:p>
            <w:pPr>
              <w:pStyle w:val="Compact"/>
              <w:jc w:val="left"/>
            </w:pPr>
            <w:r>
              <w:t xml:space="preserve">A notified period of reduced military activity under Article 27.7</w:t>
            </w:r>
          </w:p>
        </w:tc>
      </w:tr>
      <w:tr>
        <w:tc>
          <w:tcPr/>
          <w:p>
            <w:pPr>
              <w:pStyle w:val="Compact"/>
              <w:jc w:val="left"/>
            </w:pPr>
            <w:r>
              <w:t xml:space="preserve">Safe Registry</w:t>
            </w:r>
          </w:p>
        </w:tc>
        <w:tc>
          <w:tcPr/>
          <w:p>
            <w:pPr>
              <w:pStyle w:val="Compact"/>
              <w:jc w:val="left"/>
            </w:pPr>
            <w:r>
              <w:t xml:space="preserve">The multilateral transit registration system of Article 9</w:t>
            </w:r>
          </w:p>
        </w:tc>
      </w:tr>
      <w:tr>
        <w:tc>
          <w:tcPr/>
          <w:p>
            <w:pPr>
              <w:pStyle w:val="Compact"/>
              <w:jc w:val="left"/>
            </w:pPr>
            <w:r>
              <w:t xml:space="preserve">Sector Assurance Certificate</w:t>
            </w:r>
          </w:p>
        </w:tc>
        <w:tc>
          <w:tcPr/>
          <w:p>
            <w:pPr>
              <w:pStyle w:val="Compact"/>
              <w:jc w:val="left"/>
            </w:pPr>
            <w:r>
              <w:t xml:space="preserve">The Even Keel certification of a cleared sector under Article 28.3</w:t>
            </w:r>
          </w:p>
        </w:tc>
      </w:tr>
      <w:tr>
        <w:tc>
          <w:tcPr/>
          <w:p>
            <w:pPr>
              <w:pStyle w:val="Compact"/>
              <w:jc w:val="left"/>
            </w:pPr>
            <w:r>
              <w:t xml:space="preserve">Stability Audit</w:t>
            </w:r>
          </w:p>
        </w:tc>
        <w:tc>
          <w:tcPr/>
          <w:p>
            <w:pPr>
              <w:pStyle w:val="Compact"/>
              <w:jc w:val="left"/>
            </w:pPr>
            <w:r>
              <w:t xml:space="preserve">The periodic architecture measurement of Annex L</w:t>
            </w:r>
          </w:p>
        </w:tc>
      </w:tr>
      <w:tr>
        <w:tc>
          <w:tcPr/>
          <w:p>
            <w:pPr>
              <w:pStyle w:val="Compact"/>
              <w:jc w:val="left"/>
            </w:pPr>
            <w:r>
              <w:t xml:space="preserve">Sterile Bubble</w:t>
            </w:r>
          </w:p>
        </w:tc>
        <w:tc>
          <w:tcPr/>
          <w:p>
            <w:pPr>
              <w:pStyle w:val="Compact"/>
              <w:jc w:val="left"/>
            </w:pPr>
            <w:r>
              <w:t xml:space="preserve">The five nautical mile protective zone around a Class X movement</w:t>
            </w:r>
          </w:p>
        </w:tc>
      </w:tr>
      <w:tr>
        <w:tc>
          <w:tcPr/>
          <w:p>
            <w:pPr>
              <w:pStyle w:val="Compact"/>
              <w:jc w:val="left"/>
            </w:pPr>
            <w:r>
              <w:t xml:space="preserve">Still Water Clause</w:t>
            </w:r>
          </w:p>
        </w:tc>
        <w:tc>
          <w:tcPr/>
          <w:p>
            <w:pPr>
              <w:pStyle w:val="Compact"/>
              <w:jc w:val="left"/>
            </w:pPr>
            <w:r>
              <w:t xml:space="preserve">The seventy-two hour freeze of Article 37.6</w:t>
            </w:r>
          </w:p>
        </w:tc>
      </w:tr>
      <w:tr>
        <w:tc>
          <w:tcPr/>
          <w:p>
            <w:pPr>
              <w:pStyle w:val="Compact"/>
              <w:jc w:val="left"/>
            </w:pPr>
            <w:r>
              <w:t xml:space="preserve">Two-Track Firewall</w:t>
            </w:r>
          </w:p>
        </w:tc>
        <w:tc>
          <w:tcPr/>
          <w:p>
            <w:pPr>
              <w:pStyle w:val="Compact"/>
              <w:jc w:val="left"/>
            </w:pPr>
            <w:r>
              <w:t xml:space="preserve">The separation rule of Article 31 between the maritime and nuclear tracks</w:t>
            </w:r>
          </w:p>
        </w:tc>
      </w:tr>
      <w:tr>
        <w:tc>
          <w:tcPr/>
          <w:p>
            <w:pPr>
              <w:pStyle w:val="Compact"/>
              <w:jc w:val="left"/>
            </w:pPr>
            <w:r>
              <w:t xml:space="preserve">Zero-Toll Rule</w:t>
            </w:r>
          </w:p>
        </w:tc>
        <w:tc>
          <w:tcPr/>
          <w:p>
            <w:pPr>
              <w:pStyle w:val="Compact"/>
              <w:jc w:val="left"/>
            </w:pPr>
            <w:r>
              <w:t xml:space="preserve">The rule of Article 19 that no passage charge exists</w:t>
            </w:r>
          </w:p>
        </w:tc>
      </w:tr>
    </w:tbl>
    <w:bookmarkEnd w:id="429"/>
    <w:bookmarkStart w:id="430" w:name="p.2-interpretation-index"/>
    <w:p>
      <w:pPr>
        <w:pStyle w:val="Heading2"/>
      </w:pPr>
      <w:r>
        <w:t xml:space="preserve">P.2 Interpretation Index</w:t>
      </w:r>
    </w:p>
    <w:p>
      <w:pPr>
        <w:pStyle w:val="FirstParagraph"/>
      </w:pPr>
      <w:r>
        <w:t xml:space="preserve">P.2.1 A dispute over meaning resolves by reference in this order: the defined terms of Article 5 and this annex; the object and purpose of Article 1; the Core Operating Principles of Article 4; the Red Lines Register; and the drafting convention of the front matter. An interpretation that creates a unilateral permission, a hidden toll, or a sovereignty adjudication fails the Register’s perimeter test and falls.</w:t>
      </w:r>
    </w:p>
    <w:bookmarkEnd w:id="430"/>
    <w:bookmarkEnd w:id="431"/>
    <w:bookmarkStart w:id="436" w:name="signature-and-instruments"/>
    <w:p>
      <w:pPr>
        <w:pStyle w:val="Heading1"/>
      </w:pPr>
      <w:r>
        <w:t xml:space="preserve">Signature and Instruments</w:t>
      </w:r>
    </w:p>
    <w:bookmarkStart w:id="432" w:name="signature-page-one-the-littoral-parties"/>
    <w:p>
      <w:pPr>
        <w:pStyle w:val="Heading2"/>
      </w:pPr>
      <w:r>
        <w:t xml:space="preserve">Signature Page One: The Littoral Parties</w:t>
      </w:r>
    </w:p>
    <w:p>
      <w:pPr>
        <w:pStyle w:val="FirstParagraph"/>
      </w:pPr>
      <w:r>
        <w:t xml:space="preserve">Signed at Muscat on this day, in the Persian, Arabic, and English languages, each text equally authoritative.</w:t>
      </w:r>
    </w:p>
    <w:p>
      <w:pPr>
        <w:pStyle w:val="BodyText"/>
      </w:pPr>
      <w:r>
        <w:t xml:space="preserve">For the Government of the Islamic Republic of Iran:</w:t>
      </w:r>
    </w:p>
    <w:p>
      <w:pPr>
        <w:pStyle w:val="BodyText"/>
      </w:pPr>
      <w:r>
        <w:t xml:space="preserve">Name: ______________________________</w:t>
      </w:r>
    </w:p>
    <w:p>
      <w:pPr>
        <w:pStyle w:val="BodyText"/>
      </w:pPr>
      <w:r>
        <w:t xml:space="preserve">Title: Minister of Foreign Affairs</w:t>
      </w:r>
    </w:p>
    <w:p>
      <w:pPr>
        <w:pStyle w:val="BodyText"/>
      </w:pPr>
      <w:r>
        <w:t xml:space="preserve">Signature: ______________________________ Date: ______________</w:t>
      </w:r>
    </w:p>
    <w:p>
      <w:pPr>
        <w:pStyle w:val="BodyText"/>
      </w:pPr>
      <w:r>
        <w:t xml:space="preserve">For the Government of the Sultanate of Oman:</w:t>
      </w:r>
    </w:p>
    <w:p>
      <w:pPr>
        <w:pStyle w:val="BodyText"/>
      </w:pPr>
      <w:r>
        <w:t xml:space="preserve">Name: ______________________________</w:t>
      </w:r>
    </w:p>
    <w:p>
      <w:pPr>
        <w:pStyle w:val="BodyText"/>
      </w:pPr>
      <w:r>
        <w:t xml:space="preserve">Title: Minister of Foreign Affairs</w:t>
      </w:r>
    </w:p>
    <w:p>
      <w:pPr>
        <w:pStyle w:val="BodyText"/>
      </w:pPr>
      <w:r>
        <w:t xml:space="preserve">Signature: ______________________________ Date: ______________</w:t>
      </w:r>
    </w:p>
    <w:bookmarkEnd w:id="432"/>
    <w:bookmarkStart w:id="433" w:name="X00d41bf65a548d0763ece5fea10e44e3719a969"/>
    <w:p>
      <w:pPr>
        <w:pStyle w:val="Heading2"/>
      </w:pPr>
      <w:r>
        <w:t xml:space="preserve">Signature Page Two: The Regional Participants</w:t>
      </w:r>
    </w:p>
    <w:p>
      <w:pPr>
        <w:pStyle w:val="FirstParagraph"/>
      </w:pPr>
      <w:r>
        <w:t xml:space="preserve">For the Cooperation Council for the Arab States of the Gulf, acting for its member states:</w:t>
      </w:r>
    </w:p>
    <w:p>
      <w:pPr>
        <w:pStyle w:val="BodyText"/>
      </w:pPr>
      <w:r>
        <w:t xml:space="preserve">Name: ______________________________</w:t>
      </w:r>
    </w:p>
    <w:p>
      <w:pPr>
        <w:pStyle w:val="BodyText"/>
      </w:pPr>
      <w:r>
        <w:t xml:space="preserve">Title: Secretary-General</w:t>
      </w:r>
    </w:p>
    <w:p>
      <w:pPr>
        <w:pStyle w:val="BodyText"/>
      </w:pPr>
      <w:r>
        <w:t xml:space="preserve">Signature: ______________________________ Date: ______________</w:t>
      </w:r>
    </w:p>
    <w:p>
      <w:pPr>
        <w:pStyle w:val="BodyText"/>
      </w:pPr>
      <w:r>
        <w:t xml:space="preserve">For the United Arab Emirates:</w:t>
      </w:r>
    </w:p>
    <w:p>
      <w:pPr>
        <w:pStyle w:val="BodyText"/>
      </w:pPr>
      <w:r>
        <w:t xml:space="preserve">Name: ______________________________</w:t>
      </w:r>
    </w:p>
    <w:p>
      <w:pPr>
        <w:pStyle w:val="BodyText"/>
      </w:pPr>
      <w:r>
        <w:t xml:space="preserve">Title: Minister of Foreign Affairs</w:t>
      </w:r>
    </w:p>
    <w:p>
      <w:pPr>
        <w:pStyle w:val="BodyText"/>
      </w:pPr>
      <w:r>
        <w:t xml:space="preserve">Signature: ______________________________ Date: ______________</w:t>
      </w:r>
    </w:p>
    <w:p>
      <w:pPr>
        <w:pStyle w:val="BodyText"/>
      </w:pPr>
      <w:r>
        <w:t xml:space="preserve">For the State of Qatar:</w:t>
      </w:r>
    </w:p>
    <w:p>
      <w:pPr>
        <w:pStyle w:val="BodyText"/>
      </w:pPr>
      <w:r>
        <w:t xml:space="preserve">Name: ______________________________</w:t>
      </w:r>
    </w:p>
    <w:p>
      <w:pPr>
        <w:pStyle w:val="BodyText"/>
      </w:pPr>
      <w:r>
        <w:t xml:space="preserve">Title: Minister of Foreign Affairs</w:t>
      </w:r>
    </w:p>
    <w:p>
      <w:pPr>
        <w:pStyle w:val="BodyText"/>
      </w:pPr>
      <w:r>
        <w:t xml:space="preserve">Signature: ______________________________ Date: ______________</w:t>
      </w:r>
    </w:p>
    <w:bookmarkEnd w:id="433"/>
    <w:bookmarkStart w:id="434" w:name="Xb3aa8d4067b0e8bb7b3e6064c83847526986eff"/>
    <w:p>
      <w:pPr>
        <w:pStyle w:val="Heading2"/>
      </w:pPr>
      <w:r>
        <w:t xml:space="preserve">Signature Page Three: Witnesses and Facilitators</w:t>
      </w:r>
    </w:p>
    <w:p>
      <w:pPr>
        <w:pStyle w:val="FirstParagraph"/>
      </w:pPr>
      <w:r>
        <w:t xml:space="preserve">Witnessed by the Facilitating States, whose signatures record their good offices custody and their standing in the dispute ladder, and record no obligation under the Charter’s operative provisions:</w:t>
      </w:r>
    </w:p>
    <w:p>
      <w:pPr>
        <w:pStyle w:val="BodyText"/>
      </w:pPr>
      <w:r>
        <w:t xml:space="preserve">For the Swiss Confederation: ______________________________</w:t>
      </w:r>
    </w:p>
    <w:p>
      <w:pPr>
        <w:pStyle w:val="BodyText"/>
      </w:pPr>
      <w:r>
        <w:t xml:space="preserve">For the Islamic Republic of Pakistan: ______________________________</w:t>
      </w:r>
    </w:p>
    <w:p>
      <w:pPr>
        <w:pStyle w:val="BodyText"/>
      </w:pPr>
      <w:r>
        <w:t xml:space="preserve">For the State of Qatar, in its facilitating capacity: ______________________________</w:t>
      </w:r>
    </w:p>
    <w:bookmarkEnd w:id="434"/>
    <w:bookmarkStart w:id="435" w:name="X8a5ad2ee7920c6089f3fa4aa3ffd093a8095adb"/>
    <w:p>
      <w:pPr>
        <w:pStyle w:val="Heading2"/>
      </w:pPr>
      <w:r>
        <w:t xml:space="preserve">Signature Page Four: Depositary and Implementing Acknowledgment</w:t>
      </w:r>
    </w:p>
    <w:p>
      <w:pPr>
        <w:pStyle w:val="FirstParagraph"/>
      </w:pPr>
      <w:r>
        <w:t xml:space="preserve">The Ministry of Foreign Affairs of the Sultanate of Oman accepts the Depositary functions of Article 44:</w:t>
      </w:r>
    </w:p>
    <w:p>
      <w:pPr>
        <w:pStyle w:val="BodyText"/>
      </w:pPr>
      <w:r>
        <w:t xml:space="preserve">Name: ______________________________ Signature: ______________________________</w:t>
      </w:r>
    </w:p>
    <w:p>
      <w:pPr>
        <w:pStyle w:val="BodyText"/>
      </w:pPr>
      <w:r>
        <w:t xml:space="preserve">The first Directors of the Executive Directorate acknowledge their appointment under Article 15:</w:t>
      </w:r>
    </w:p>
    <w:p>
      <w:pPr>
        <w:pStyle w:val="BodyText"/>
      </w:pPr>
      <w:r>
        <w:t xml:space="preserve">Director (Iranian nomination): ______________________________</w:t>
      </w:r>
    </w:p>
    <w:p>
      <w:pPr>
        <w:pStyle w:val="BodyText"/>
      </w:pPr>
      <w:r>
        <w:t xml:space="preserve">Director (Omani nomination): ______________________________</w:t>
      </w:r>
    </w:p>
    <w:p>
      <w:pPr>
        <w:pStyle w:val="BodyText"/>
      </w:pPr>
      <w:r>
        <w:t xml:space="preserve">The first Director of the Even Keel Verification Office acknowledges appointment under Article 16:</w:t>
      </w:r>
    </w:p>
    <w:p>
      <w:pPr>
        <w:pStyle w:val="BodyText"/>
      </w:pPr>
      <w:r>
        <w:t xml:space="preserve">Name: ______________________________ Signature: ______________________________</w:t>
      </w:r>
    </w:p>
    <w:bookmarkEnd w:id="435"/>
    <w:bookmarkEnd w:id="436"/>
    <w:bookmarkStart w:id="442" w:name="negotiators-annotations"/>
    <w:p>
      <w:pPr>
        <w:pStyle w:val="Heading1"/>
      </w:pPr>
      <w:r>
        <w:t xml:space="preserve">Negotiator’s Annotations</w:t>
      </w:r>
    </w:p>
    <w:bookmarkStart w:id="437" w:name="note-one-on-the-fee-question"/>
    <w:p>
      <w:pPr>
        <w:pStyle w:val="Heading2"/>
      </w:pPr>
      <w:r>
        <w:t xml:space="preserve">Note One: On the Fee Question</w:t>
      </w:r>
    </w:p>
    <w:p>
      <w:pPr>
        <w:pStyle w:val="FirstParagraph"/>
      </w:pPr>
      <w:r>
        <w:t xml:space="preserve">The architecture answers the fee question by dissolving its premise. A toll on passage contradicts the legal position of every major maritime power and the stated position of the United States administration. A bare prohibition, however, leaves Iran’s revenue expectation and the architecture’s funding needs unmet. The Charter therefore separates passage from payment entirely: passage flows unconditionally under the Zero-Toll Rule, while value flows through six voluntary channels into an international fund that no shipper pays as a condition of transit and no state collects at the water’s edge. Iran’s share of verified service value reaches it as distribution from the Fund, in the thirty-five to fifty percent band, on the fifth day of each month, through a payment channel engineered against sanctions interruption. The United States states truthfully that no toll exists. Iran states truthfully that the corridor’s value reaches its economy. Both statements hold simultaneously because the architecture, not either capital, carries the design.</w:t>
      </w:r>
    </w:p>
    <w:bookmarkEnd w:id="437"/>
    <w:bookmarkStart w:id="438" w:name="note-two-on-the-nuclear-question"/>
    <w:p>
      <w:pPr>
        <w:pStyle w:val="Heading2"/>
      </w:pPr>
      <w:r>
        <w:t xml:space="preserve">Note Two: On the Nuclear Question</w:t>
      </w:r>
    </w:p>
    <w:p>
      <w:pPr>
        <w:pStyle w:val="FirstParagraph"/>
      </w:pPr>
      <w:r>
        <w:t xml:space="preserve">The Charter neither settles the nuclear file nor ignores it. It builds the Two-Track Firewall so that maritime stability never waits on nuclear diplomacy and nuclear diplomacy never loses the maritime foundation beneath it, and it lays five synchronization pairs so that each track’s progress banks as the other’s protection. The downblending logistics, the Agency access corridor, and the seaward removal protocol give the nuclear track working maritime machinery from day one, and the anti-closure rule of Article 35 guarantees that a nuclear crisis never again closes the Strait. The seventy-two hour Protected Hold ceiling exists so that even the gravest nuclear event produces a measured maritime response, never a closure.</w:t>
      </w:r>
    </w:p>
    <w:bookmarkEnd w:id="438"/>
    <w:bookmarkStart w:id="439" w:name="note-three-on-security-authority"/>
    <w:p>
      <w:pPr>
        <w:pStyle w:val="Heading2"/>
      </w:pPr>
      <w:r>
        <w:t xml:space="preserve">Note Three: On Security Authority</w:t>
      </w:r>
    </w:p>
    <w:p>
      <w:pPr>
        <w:pStyle w:val="FirstParagraph"/>
      </w:pPr>
      <w:r>
        <w:t xml:space="preserve">Every previous draft foundered on the question of who commands. The Dual-Key Rule converts that question into a function allocation table: no state commands alone, no state answers to another’s command, and every sensitive function executes only with the named confirmations. The Human Anchor Method keeps accountability human at every layer, and the Anti-Cascade Rule stops a technical alert from becoming a political crisis. The architecture asks no capital to trust another capital; it asks each capital to trust a procedure it watches at all times.</w:t>
      </w:r>
    </w:p>
    <w:bookmarkEnd w:id="439"/>
    <w:bookmarkStart w:id="440" w:name="note-four-on-political-survival"/>
    <w:p>
      <w:pPr>
        <w:pStyle w:val="Heading2"/>
      </w:pPr>
      <w:r>
        <w:t xml:space="preserve">Note Four: On Political Survival</w:t>
      </w:r>
    </w:p>
    <w:p>
      <w:pPr>
        <w:pStyle w:val="FirstParagraph"/>
      </w:pPr>
      <w:r>
        <w:t xml:space="preserve">The Red Lines Register stands at the front of this Charter because the architects drafted every article against it and tested every mechanism for deniability in every capital. The Charter contains no mutual recognition clause, no security guarantee, no sovereignty adjudication, and no alliance structure. It contains machinery for moving ships safely and lawfully, funded voluntarily, verified multilaterally, and reversible at every step. A government defends its signature at home not by praising its counterpart but by pointing to what the architecture delivers: open water, verified safety, revenue without tolls, and a nuclear file advancing on a published calendar.</w:t>
      </w:r>
    </w:p>
    <w:bookmarkEnd w:id="440"/>
    <w:bookmarkStart w:id="441" w:name="note-five-on-the-first-week"/>
    <w:p>
      <w:pPr>
        <w:pStyle w:val="Heading2"/>
      </w:pPr>
      <w:r>
        <w:t xml:space="preserve">Note Five: On the First Week</w:t>
      </w:r>
    </w:p>
    <w:p>
      <w:pPr>
        <w:pStyle w:val="FirstParagraph"/>
      </w:pPr>
      <w:r>
        <w:t xml:space="preserve">The first week decides everything. The checklist of Annex M therefore front-loads visible deliverables: the Bulletin on day one, the hotline tests on day one, the first observer rotation inside ten days, the first corridor activation inside forty. Each deliverable photographs well, costs little, and banks irreversibly. Momentum is a design feature, and the architecture treats it as such.</w:t>
      </w:r>
    </w:p>
    <w:p>
      <w:pPr>
        <w:pStyle w:val="BodyText"/>
      </w:pPr>
      <w:r>
        <w:t xml:space="preserve">End of the Charter text. The annexes, instruments, and records of the Depositary continue the instrument.</w:t>
      </w:r>
    </w:p>
    <w:bookmarkEnd w:id="441"/>
    <w:bookmarkEnd w:id="442"/>
    <w:sectPr>
      <w:headerReference w:type="default" r:id="rIdHeader1"/>
      <w:footerReference w:type="default" r:id="rIdFooter1"/>
      <w:pgNumType w:start="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color w:val="808080"/>
        <w:sz w:val="18"/>
      </w:rPr>
      <w:t xml:space="preserve">Page </w:t>
    </w:r>
    <w:r>
      <w:rPr>
        <w:color w:val="808080"/>
        <w:sz w:val="18"/>
      </w:rPr>
      <w:fldChar w:fldCharType="begin"/>
    </w:r>
    <w:r>
      <w:rPr>
        <w:color w:val="808080"/>
        <w:sz w:val="18"/>
      </w:rPr>
      <w:instrText xml:space="preserve"> PAGE </w:instrText>
    </w:r>
    <w:r>
      <w:rPr>
        <w:color w:val="808080"/>
        <w:sz w:val="18"/>
      </w:rP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w:p>
    <w:pPr>
      <w:pBdr>
        <w:bottom w:val="single" w:sz="4" w:space="4" w:color="BFBFBF"/>
      </w:pBdr>
      <w:jc w:val="center"/>
    </w:pPr>
    <w:r>
      <w:rPr>
        <w:color w:val="808080"/>
        <w:spacing w:val="20"/>
        <w:sz w:val="15"/>
        <w:szCs w:val="15"/>
      </w:rPr>
      <w:t xml:space="preserve">THE GULF ENERGY CORRIDOR SECURITY CHARTER · MULTILATERAL GOVERNANCE OF THE STRAIT OF HORMUZ</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Footer1" Type="http://schemas.openxmlformats.org/officeDocument/2006/relationships/footer" Target="footer1.xml"/><Relationship Id="rIdHeader1" Type="http://schemas.openxmlformats.org/officeDocument/2006/relationships/header" Target="head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2026-08-06T09:53:20Z</dcterms:created>
  <dcterms:modified xsi:type="dcterms:W3CDTF">2026-08-06T09:53:20Z</dcterms:modified>
</cp:coreProperties>
</file>

<file path=docProps/custom.xml><?xml version="1.0" encoding="utf-8"?>
<Properties xmlns="http://schemas.openxmlformats.org/officeDocument/2006/custom-properties" xmlns:vt="http://schemas.openxmlformats.org/officeDocument/2006/docPropsVTypes"/>
</file>