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dede7db99674f6d" /></Relationships>
</file>

<file path=word/document.xml><?xml version="1.0" encoding="utf-8"?>
<w:document xmlns:r="http://schemas.openxmlformats.org/officeDocument/2006/relationships" xmlns:w="http://schemas.openxmlformats.org/wordprocessingml/2006/main">
  <w:body>
    <w:p>
      <w:pPr>
        <w:spacing w:before="1900" w:after="0" w:line="300" w:lineRule="auto"/>
        <w:jc w:val="center"/>
      </w:pPr>
      <w:r>
        <w:rPr>
          <w:rFonts w:ascii="Calibri" w:hAnsi="Calibri"/>
          <w:b/>
          <w:color w:val="9C7A2E"/>
          <w:sz w:val="22"/>
        </w:rPr>
        <w:t xml:space="preserve">GTGC-2026-v1.0  ·  NEGOTIATION DRAFT</w:t>
      </w:r>
    </w:p>
    <w:p>
      <w:pPr>
        <w:spacing w:before="500" w:after="0" w:line="300" w:lineRule="auto"/>
        <w:jc w:val="center"/>
      </w:pPr>
      <w:r>
        <w:rPr>
          <w:rFonts w:ascii="Calibri" w:hAnsi="Calibri"/>
          <w:b/>
          <w:color w:val="1D4E5F"/>
          <w:sz w:val="58"/>
        </w:rPr>
        <w:t xml:space="preserve">T H E   G U L F</w:t>
      </w:r>
    </w:p>
    <w:p>
      <w:pPr>
        <w:spacing w:before="80" w:after="0" w:line="300" w:lineRule="auto"/>
        <w:jc w:val="center"/>
      </w:pPr>
      <w:r>
        <w:rPr>
          <w:rFonts w:ascii="Calibri" w:hAnsi="Calibri"/>
          <w:b/>
          <w:color w:val="1D4E5F"/>
          <w:sz w:val="58"/>
        </w:rPr>
        <w:t xml:space="preserve">T R I A D I C   G O V E R N A N C E</w:t>
      </w:r>
    </w:p>
    <w:p>
      <w:pPr>
        <w:spacing w:before="80" w:after="0" w:line="300" w:lineRule="auto"/>
        <w:jc w:val="center"/>
      </w:pPr>
      <w:r>
        <w:rPr>
          <w:rFonts w:ascii="Calibri" w:hAnsi="Calibri"/>
          <w:b/>
          <w:color w:val="1D4E5F"/>
          <w:sz w:val="58"/>
        </w:rPr>
        <w:t xml:space="preserve">C O M P A C T</w:t>
      </w:r>
    </w:p>
    <w:p>
      <w:pPr>
        <w:spacing w:before="300" w:after="0" w:line="300" w:lineRule="auto"/>
        <w:jc w:val="center"/>
      </w:pPr>
      <w:r>
        <w:rPr>
          <w:rFonts w:ascii="Calibri" w:hAnsi="Calibri"/>
          <w:b/>
          <w:color w:val="37666F"/>
          <w:sz w:val="30"/>
        </w:rPr>
        <w:t xml:space="preserve">( G T G C )</w:t>
      </w:r>
    </w:p>
    <w:p>
      <w:pPr>
        <w:spacing w:before="400" w:after="0" w:line="300" w:lineRule="auto"/>
        <w:jc w:val="center"/>
      </w:pPr>
      <w:r>
        <w:rPr>
          <w:rFonts w:ascii="Calibri" w:hAnsi="Calibri"/>
          <w:i/>
          <w:color w:val="37666F"/>
          <w:sz w:val="24"/>
        </w:rPr>
        <w:t xml:space="preserve">A Phased Triadic Governance System for the Strait of Hormuz</w:t>
      </w:r>
    </w:p>
    <w:p>
      <w:pPr>
        <w:spacing w:before="160" w:after="0" w:line="300" w:lineRule="auto"/>
        <w:jc w:val="center"/>
      </w:pPr>
      <w:r>
        <w:rPr>
          <w:rFonts w:ascii="Calibri" w:hAnsi="Calibri"/>
          <w:i/>
          <w:color w:val="6E838A"/>
          <w:sz w:val="20"/>
        </w:rPr>
        <w:t xml:space="preserve">Three Corridors  ·  Three Circles  ·  Earned Stewardship</w:t>
      </w:r>
    </w:p>
    <w:p>
      <w:pPr>
        <w:spacing w:before="520" w:after="0" w:line="300" w:lineRule="auto"/>
        <w:jc w:val="center"/>
      </w:pPr>
      <w:r>
        <w:rPr>
          <w:rFonts w:ascii="Calibri" w:hAnsi="Calibri"/>
          <w:color w:val="20262A"/>
          <w:sz w:val="21"/>
        </w:rPr>
        <w:t xml:space="preserve">Concluded between the Islamic Republic of Iran and the Sultanate of Oman,</w:t>
      </w:r>
    </w:p>
    <w:p>
      <w:pPr>
        <w:spacing w:before="40" w:after="0" w:line="300" w:lineRule="auto"/>
        <w:jc w:val="center"/>
      </w:pPr>
      <w:r>
        <w:rPr>
          <w:rFonts w:ascii="Calibri" w:hAnsi="Calibri"/>
          <w:color w:val="20262A"/>
          <w:sz w:val="21"/>
        </w:rPr>
        <w:t xml:space="preserve">with the Stakeholder Circle of the Gulf Cooperation Council and the User Circle of major transit states,</w:t>
      </w:r>
    </w:p>
    <w:p>
      <w:pPr>
        <w:spacing w:before="40" w:after="0" w:line="300" w:lineRule="auto"/>
        <w:jc w:val="center"/>
      </w:pPr>
      <w:r>
        <w:rPr>
          <w:rFonts w:ascii="Calibri" w:hAnsi="Calibri"/>
          <w:color w:val="20262A"/>
          <w:sz w:val="21"/>
        </w:rPr>
        <w:t xml:space="preserve">in consultation with the International Maritime Organization</w:t>
      </w:r>
    </w:p>
    <w:p>
      <w:pPr>
        <w:spacing w:before="520" w:after="0" w:line="300" w:lineRule="auto"/>
        <w:jc w:val="center"/>
      </w:pPr>
      <w:r>
        <w:rPr>
          <w:rFonts w:ascii="Calibri" w:hAnsi="Calibri"/>
          <w:b/>
          <w:color w:val="1D4E5F"/>
          <w:sz w:val="23"/>
        </w:rPr>
        <w:t xml:space="preserve">Version 1.0  |  7 August 2026</w:t>
      </w:r>
    </w:p>
    <w:p>
      <w:pPr>
        <w:spacing w:before="120" w:after="0" w:line="300" w:lineRule="auto"/>
        <w:jc w:val="center"/>
      </w:pPr>
      <w:r>
        <w:rPr>
          <w:rFonts w:ascii="Calibri" w:hAnsi="Calibri"/>
          <w:color w:val="20262A"/>
          <w:sz w:val="20"/>
        </w:rPr>
        <w:t xml:space="preserve">Status: Negotiation Draft, Subject to Revision</w:t>
      </w:r>
    </w:p>
    <w:p>
      <w:pPr>
        <w:spacing w:before="40" w:after="0" w:line="300" w:lineRule="auto"/>
        <w:jc w:val="center"/>
      </w:pPr>
      <w:r>
        <w:rPr>
          <w:rFonts w:ascii="Calibri" w:hAnsi="Calibri"/>
          <w:color w:val="20262A"/>
          <w:sz w:val="20"/>
        </w:rPr>
        <w:t xml:space="preserve">Negotiation Reference: GTGC-2026-v1.0</w:t>
      </w:r>
    </w:p>
    <w:p>
      <w:pPr>
        <w:spacing w:before="400" w:after="0" w:line="300" w:lineRule="auto"/>
        <w:jc w:val="center"/>
      </w:pPr>
      <w:r>
        <w:rPr>
          <w:rFonts w:ascii="Calibri" w:hAnsi="Calibri"/>
          <w:color w:val="37666F"/>
          <w:sz w:val="19"/>
        </w:rPr>
        <w:t xml:space="preserve">Facilitation: Swiss Confederation  ·  Islamic Republic of Pakistan  ·  State of Qatar</w:t>
      </w:r>
    </w:p>
    <w:p>
      <w:pPr>
        <w:spacing w:before="40" w:after="0" w:line="300" w:lineRule="auto"/>
        <w:jc w:val="center"/>
      </w:pPr>
      <w:r>
        <w:rPr>
          <w:rFonts w:ascii="Calibri" w:hAnsi="Calibri"/>
          <w:color w:val="37666F"/>
          <w:sz w:val="19"/>
        </w:rPr>
        <w:t xml:space="preserve">Technical Interface: International Maritime Organization</w:t>
      </w:r>
    </w:p>
    <w:p>
      <w:pPr>
        <w:spacing w:before="40" w:after="0" w:line="300" w:lineRule="auto"/>
        <w:jc w:val="center"/>
      </w:pPr>
      <w:r>
        <w:rPr>
          <w:rFonts w:ascii="Calibri" w:hAnsi="Calibri"/>
          <w:color w:val="37666F"/>
          <w:sz w:val="19"/>
        </w:rPr>
        <w:t xml:space="preserve">Seat: Triadic Stewardship Center, Muscat  ·  Mirror Office, Bandar Abbas</w:t>
      </w:r>
    </w:p>
    <w:p>
      <w:pPr>
        <w:sectPr>
          <w:type w:val="nextPage"/>
          <w:pgSz w:w="11906" w:h="16838"/>
          <w:pgMar w:top="1440" w:right="1440" w:bottom="1440" w:left="1440" w:header="720" w:footer="720"/>
          <w:pgBorders>
            <w:top w:val="double" w:color="1D4E5F" w:sz="12" w:space="28"/>
            <w:left w:val="double" w:color="1D4E5F" w:sz="12" w:space="28"/>
            <w:bottom w:val="double" w:color="1D4E5F" w:sz="12" w:space="28"/>
            <w:right w:val="double" w:color="1D4E5F" w:sz="12" w:space="28"/>
          </w:pgBorders>
          <w:titlePg/>
        </w:sectPr>
      </w:pPr>
    </w:p>
    <w:p>
      <w:pPr>
        <w:keepNext/>
        <w:keepLines/>
        <w:spacing w:before="200" w:after="160"/>
      </w:pPr>
      <w:r>
        <w:rPr>
          <w:rFonts w:ascii="Calibri" w:hAnsi="Calibri"/>
          <w:b/>
          <w:color w:val="1D4E5F"/>
          <w:sz w:val="34"/>
        </w:rPr>
        <w:t xml:space="preserve">Table of Contents</w:t>
      </w:r>
    </w:p>
    <w:p>
      <w:pPr>
        <w:pStyle w:val="TOC1"/>
      </w:pPr>
      <w:r>
        <w:rPr>
          <w:noProof/>
          <w:webHidden/>
        </w:rPr>
        <w:fldChar w:fldCharType="begin" w:dirty="true"/>
      </w:r>
      <w:r>
        <w:rPr>
          <w:noProof/>
          <w:webHidden/>
        </w:rPr>
        <w:instrText xml:space="preserve"> TOC \o "1-3" \h \z \u </w:instrText>
      </w:r>
      <w:r>
        <w:rPr>
          <w:noProof/>
          <w:webHidden/>
        </w:rPr>
        <w:fldChar w:fldCharType="separate"/>
      </w:r>
      <w:hyperlink w:anchor="_Toc262100000" w:history="1">
        <w:r>
          <w:rPr>
            <w:rFonts w:ascii="Calibri" w:hAnsi="Calibri"/>
            <w:b/>
            <w:color w:val="1D4E5F"/>
            <w:sz w:val="21"/>
            <w:noProof/>
          </w:rPr>
          <w:t xml:space="preserve">Document Status and Instrument Record</w:t>
        </w:r>
        <w:r>
          <w:rPr>
            <w:noProof/>
            <w:webHidden/>
          </w:rPr>
          <w:tab/>
        </w:r>
        <w:r>
          <w:rPr>
            <w:noProof/>
            <w:webHidden/>
          </w:rPr>
          <w:fldChar w:fldCharType="begin"/>
        </w:r>
        <w:r>
          <w:rPr>
            <w:noProof/>
            <w:webHidden/>
          </w:rPr>
          <w:instrText xml:space="preserve"> PAGEREF _Toc262100000 \h </w:instrText>
        </w:r>
        <w:r>
          <w:rPr>
            <w:noProof/>
            <w:webHidden/>
          </w:rPr>
          <w:fldChar w:fldCharType="separate"/>
        </w:r>
        <w:r>
          <w:rPr>
            <w:rFonts w:ascii="Calibri" w:hAnsi="Calibri"/>
            <w:color w:val="6E838A"/>
            <w:sz w:val="20"/>
            <w:noProof/>
            <w:webHidden/>
          </w:rPr>
          <w:t xml:space="preserve">11</w:t>
        </w:r>
        <w:r>
          <w:rPr>
            <w:noProof/>
            <w:webHidden/>
          </w:rPr>
          <w:fldChar w:fldCharType="end"/>
        </w:r>
      </w:hyperlink>
    </w:p>
    <w:p>
      <w:pPr>
        <w:pStyle w:val="TOC1"/>
      </w:pPr>
      <w:hyperlink w:anchor="_Toc262100001" w:history="1">
        <w:r>
          <w:rPr>
            <w:rFonts w:ascii="Calibri" w:hAnsi="Calibri"/>
            <w:b/>
            <w:color w:val="1D4E5F"/>
            <w:sz w:val="21"/>
            <w:noProof/>
          </w:rPr>
          <w:t xml:space="preserve">Cover Note of the Facilitating States</w:t>
        </w:r>
        <w:r>
          <w:rPr>
            <w:noProof/>
            <w:webHidden/>
          </w:rPr>
          <w:tab/>
        </w:r>
        <w:r>
          <w:rPr>
            <w:noProof/>
            <w:webHidden/>
          </w:rPr>
          <w:fldChar w:fldCharType="begin"/>
        </w:r>
        <w:r>
          <w:rPr>
            <w:noProof/>
            <w:webHidden/>
          </w:rPr>
          <w:instrText xml:space="preserve"> PAGEREF _Toc262100001 \h </w:instrText>
        </w:r>
        <w:r>
          <w:rPr>
            <w:noProof/>
            <w:webHidden/>
          </w:rPr>
          <w:fldChar w:fldCharType="separate"/>
        </w:r>
        <w:r>
          <w:rPr>
            <w:rFonts w:ascii="Calibri" w:hAnsi="Calibri"/>
            <w:color w:val="6E838A"/>
            <w:sz w:val="20"/>
            <w:noProof/>
            <w:webHidden/>
          </w:rPr>
          <w:t xml:space="preserve">12</w:t>
        </w:r>
        <w:r>
          <w:rPr>
            <w:noProof/>
            <w:webHidden/>
          </w:rPr>
          <w:fldChar w:fldCharType="end"/>
        </w:r>
      </w:hyperlink>
    </w:p>
    <w:p>
      <w:pPr>
        <w:pStyle w:val="TOC1"/>
      </w:pPr>
      <w:hyperlink w:anchor="_Toc262100002" w:history="1">
        <w:r>
          <w:rPr>
            <w:rFonts w:ascii="Calibri" w:hAnsi="Calibri"/>
            <w:b/>
            <w:color w:val="1D4E5F"/>
            <w:sz w:val="21"/>
            <w:noProof/>
          </w:rPr>
          <w:t xml:space="preserve">Preface: Drafting Convention and Method</w:t>
        </w:r>
        <w:r>
          <w:rPr>
            <w:noProof/>
            <w:webHidden/>
          </w:rPr>
          <w:tab/>
        </w:r>
        <w:r>
          <w:rPr>
            <w:noProof/>
            <w:webHidden/>
          </w:rPr>
          <w:fldChar w:fldCharType="begin"/>
        </w:r>
        <w:r>
          <w:rPr>
            <w:noProof/>
            <w:webHidden/>
          </w:rPr>
          <w:instrText xml:space="preserve"> PAGEREF _Toc262100002 \h </w:instrText>
        </w:r>
        <w:r>
          <w:rPr>
            <w:noProof/>
            <w:webHidden/>
          </w:rPr>
          <w:fldChar w:fldCharType="separate"/>
        </w:r>
        <w:r>
          <w:rPr>
            <w:rFonts w:ascii="Calibri" w:hAnsi="Calibri"/>
            <w:color w:val="6E838A"/>
            <w:sz w:val="20"/>
            <w:noProof/>
            <w:webHidden/>
          </w:rPr>
          <w:t xml:space="preserve">13</w:t>
        </w:r>
        <w:r>
          <w:rPr>
            <w:noProof/>
            <w:webHidden/>
          </w:rPr>
          <w:fldChar w:fldCharType="end"/>
        </w:r>
      </w:hyperlink>
    </w:p>
    <w:p>
      <w:pPr>
        <w:pStyle w:val="TOC1"/>
      </w:pPr>
      <w:hyperlink w:anchor="_Toc262100003" w:history="1">
        <w:r>
          <w:rPr>
            <w:rFonts w:ascii="Calibri" w:hAnsi="Calibri"/>
            <w:b/>
            <w:color w:val="1D4E5F"/>
            <w:sz w:val="21"/>
            <w:noProof/>
          </w:rPr>
          <w:t xml:space="preserve">Conversion Note: From Guideline to Operative Text</w:t>
        </w:r>
        <w:r>
          <w:rPr>
            <w:noProof/>
            <w:webHidden/>
          </w:rPr>
          <w:tab/>
        </w:r>
        <w:r>
          <w:rPr>
            <w:noProof/>
            <w:webHidden/>
          </w:rPr>
          <w:fldChar w:fldCharType="begin"/>
        </w:r>
        <w:r>
          <w:rPr>
            <w:noProof/>
            <w:webHidden/>
          </w:rPr>
          <w:instrText xml:space="preserve"> PAGEREF _Toc262100003 \h </w:instrText>
        </w:r>
        <w:r>
          <w:rPr>
            <w:noProof/>
            <w:webHidden/>
          </w:rPr>
          <w:fldChar w:fldCharType="separate"/>
        </w:r>
        <w:r>
          <w:rPr>
            <w:rFonts w:ascii="Calibri" w:hAnsi="Calibri"/>
            <w:color w:val="6E838A"/>
            <w:sz w:val="20"/>
            <w:noProof/>
            <w:webHidden/>
          </w:rPr>
          <w:t xml:space="preserve">14</w:t>
        </w:r>
        <w:r>
          <w:rPr>
            <w:noProof/>
            <w:webHidden/>
          </w:rPr>
          <w:fldChar w:fldCharType="end"/>
        </w:r>
      </w:hyperlink>
    </w:p>
    <w:p>
      <w:pPr>
        <w:pStyle w:val="TOC1"/>
      </w:pPr>
      <w:hyperlink w:anchor="_Toc262100004" w:history="1">
        <w:r>
          <w:rPr>
            <w:rFonts w:ascii="Calibri" w:hAnsi="Calibri"/>
            <w:b/>
            <w:color w:val="1D4E5F"/>
            <w:sz w:val="21"/>
            <w:noProof/>
          </w:rPr>
          <w:t xml:space="preserve">Preamble: The Shared Stewardship of the Strait of Hormuz</w:t>
        </w:r>
        <w:r>
          <w:rPr>
            <w:noProof/>
            <w:webHidden/>
          </w:rPr>
          <w:tab/>
        </w:r>
        <w:r>
          <w:rPr>
            <w:noProof/>
            <w:webHidden/>
          </w:rPr>
          <w:fldChar w:fldCharType="begin"/>
        </w:r>
        <w:r>
          <w:rPr>
            <w:noProof/>
            <w:webHidden/>
          </w:rPr>
          <w:instrText xml:space="preserve"> PAGEREF _Toc262100004 \h </w:instrText>
        </w:r>
        <w:r>
          <w:rPr>
            <w:noProof/>
            <w:webHidden/>
          </w:rPr>
          <w:fldChar w:fldCharType="separate"/>
        </w:r>
        <w:r>
          <w:rPr>
            <w:rFonts w:ascii="Calibri" w:hAnsi="Calibri"/>
            <w:color w:val="6E838A"/>
            <w:sz w:val="20"/>
            <w:noProof/>
            <w:webHidden/>
          </w:rPr>
          <w:t xml:space="preserve">15</w:t>
        </w:r>
        <w:r>
          <w:rPr>
            <w:noProof/>
            <w:webHidden/>
          </w:rPr>
          <w:fldChar w:fldCharType="end"/>
        </w:r>
      </w:hyperlink>
    </w:p>
    <w:p>
      <w:pPr>
        <w:pStyle w:val="TOC1"/>
      </w:pPr>
      <w:hyperlink w:anchor="_Toc262100005" w:history="1">
        <w:r>
          <w:rPr>
            <w:rFonts w:ascii="Calibri" w:hAnsi="Calibri"/>
            <w:b/>
            <w:color w:val="1D4E5F"/>
            <w:sz w:val="21"/>
            <w:noProof/>
          </w:rPr>
          <w:t xml:space="preserve">How to Read This Document</w:t>
        </w:r>
        <w:r>
          <w:rPr>
            <w:noProof/>
            <w:webHidden/>
          </w:rPr>
          <w:tab/>
        </w:r>
        <w:r>
          <w:rPr>
            <w:noProof/>
            <w:webHidden/>
          </w:rPr>
          <w:fldChar w:fldCharType="begin"/>
        </w:r>
        <w:r>
          <w:rPr>
            <w:noProof/>
            <w:webHidden/>
          </w:rPr>
          <w:instrText xml:space="preserve"> PAGEREF _Toc262100005 \h </w:instrText>
        </w:r>
        <w:r>
          <w:rPr>
            <w:noProof/>
            <w:webHidden/>
          </w:rPr>
          <w:fldChar w:fldCharType="separate"/>
        </w:r>
        <w:r>
          <w:rPr>
            <w:rFonts w:ascii="Calibri" w:hAnsi="Calibri"/>
            <w:color w:val="6E838A"/>
            <w:sz w:val="20"/>
            <w:noProof/>
            <w:webHidden/>
          </w:rPr>
          <w:t xml:space="preserve">16</w:t>
        </w:r>
        <w:r>
          <w:rPr>
            <w:noProof/>
            <w:webHidden/>
          </w:rPr>
          <w:fldChar w:fldCharType="end"/>
        </w:r>
      </w:hyperlink>
    </w:p>
    <w:p>
      <w:pPr>
        <w:pStyle w:val="TOC1"/>
      </w:pPr>
      <w:hyperlink w:anchor="_Toc262100006" w:history="1">
        <w:r>
          <w:rPr>
            <w:rFonts w:ascii="Calibri" w:hAnsi="Calibri"/>
            <w:b/>
            <w:color w:val="1D4E5F"/>
            <w:sz w:val="21"/>
            <w:noProof/>
          </w:rPr>
          <w:t xml:space="preserve">Part I: Foundations</w:t>
        </w:r>
        <w:r>
          <w:rPr>
            <w:noProof/>
            <w:webHidden/>
          </w:rPr>
          <w:tab/>
        </w:r>
        <w:r>
          <w:rPr>
            <w:noProof/>
            <w:webHidden/>
          </w:rPr>
          <w:fldChar w:fldCharType="begin"/>
        </w:r>
        <w:r>
          <w:rPr>
            <w:noProof/>
            <w:webHidden/>
          </w:rPr>
          <w:instrText xml:space="preserve"> PAGEREF _Toc262100006 \h </w:instrText>
        </w:r>
        <w:r>
          <w:rPr>
            <w:noProof/>
            <w:webHidden/>
          </w:rPr>
          <w:fldChar w:fldCharType="separate"/>
        </w:r>
        <w:r>
          <w:rPr>
            <w:rFonts w:ascii="Calibri" w:hAnsi="Calibri"/>
            <w:color w:val="6E838A"/>
            <w:sz w:val="20"/>
            <w:noProof/>
            <w:webHidden/>
          </w:rPr>
          <w:t xml:space="preserve">17</w:t>
        </w:r>
        <w:r>
          <w:rPr>
            <w:noProof/>
            <w:webHidden/>
          </w:rPr>
          <w:fldChar w:fldCharType="end"/>
        </w:r>
      </w:hyperlink>
    </w:p>
    <w:p>
      <w:pPr>
        <w:pStyle w:val="TOC2"/>
      </w:pPr>
      <w:hyperlink w:anchor="_Toc262100007" w:history="1">
        <w:r>
          <w:rPr>
            <w:rFonts w:ascii="Calibri" w:hAnsi="Calibri"/>
            <w:color w:val="20262A"/>
            <w:sz w:val="20"/>
            <w:noProof/>
          </w:rPr>
          <w:t xml:space="preserve">Article 1: Establishment, Purpose, and Scope</w:t>
        </w:r>
        <w:r>
          <w:rPr>
            <w:noProof/>
            <w:webHidden/>
          </w:rPr>
          <w:tab/>
        </w:r>
        <w:r>
          <w:rPr>
            <w:noProof/>
            <w:webHidden/>
          </w:rPr>
          <w:fldChar w:fldCharType="begin"/>
        </w:r>
        <w:r>
          <w:rPr>
            <w:noProof/>
            <w:webHidden/>
          </w:rPr>
          <w:instrText xml:space="preserve"> PAGEREF _Toc262100007 \h </w:instrText>
        </w:r>
        <w:r>
          <w:rPr>
            <w:noProof/>
            <w:webHidden/>
          </w:rPr>
          <w:fldChar w:fldCharType="separate"/>
        </w:r>
        <w:r>
          <w:rPr>
            <w:rFonts w:ascii="Calibri" w:hAnsi="Calibri"/>
            <w:color w:val="6E838A"/>
            <w:sz w:val="20"/>
            <w:noProof/>
            <w:webHidden/>
          </w:rPr>
          <w:t xml:space="preserve">17</w:t>
        </w:r>
        <w:r>
          <w:rPr>
            <w:noProof/>
            <w:webHidden/>
          </w:rPr>
          <w:fldChar w:fldCharType="end"/>
        </w:r>
      </w:hyperlink>
    </w:p>
    <w:p>
      <w:pPr>
        <w:pStyle w:val="TOC3"/>
      </w:pPr>
      <w:hyperlink w:anchor="_Toc262100008" w:history="1">
        <w:r>
          <w:rPr>
            <w:rFonts w:ascii="Calibri" w:hAnsi="Calibri"/>
            <w:color w:val="20262A"/>
            <w:sz w:val="20"/>
            <w:noProof/>
          </w:rPr>
          <w:t xml:space="preserve">1.1 Establishment</w:t>
        </w:r>
        <w:r>
          <w:rPr>
            <w:noProof/>
            <w:webHidden/>
          </w:rPr>
          <w:tab/>
        </w:r>
        <w:r>
          <w:rPr>
            <w:noProof/>
            <w:webHidden/>
          </w:rPr>
          <w:fldChar w:fldCharType="begin"/>
        </w:r>
        <w:r>
          <w:rPr>
            <w:noProof/>
            <w:webHidden/>
          </w:rPr>
          <w:instrText xml:space="preserve"> PAGEREF _Toc262100008 \h </w:instrText>
        </w:r>
        <w:r>
          <w:rPr>
            <w:noProof/>
            <w:webHidden/>
          </w:rPr>
          <w:fldChar w:fldCharType="separate"/>
        </w:r>
        <w:r>
          <w:rPr>
            <w:rFonts w:ascii="Calibri" w:hAnsi="Calibri"/>
            <w:color w:val="6E838A"/>
            <w:sz w:val="20"/>
            <w:noProof/>
            <w:webHidden/>
          </w:rPr>
          <w:t xml:space="preserve">17</w:t>
        </w:r>
        <w:r>
          <w:rPr>
            <w:noProof/>
            <w:webHidden/>
          </w:rPr>
          <w:fldChar w:fldCharType="end"/>
        </w:r>
      </w:hyperlink>
    </w:p>
    <w:p>
      <w:pPr>
        <w:pStyle w:val="TOC3"/>
      </w:pPr>
      <w:hyperlink w:anchor="_Toc262100009" w:history="1">
        <w:r>
          <w:rPr>
            <w:rFonts w:ascii="Calibri" w:hAnsi="Calibri"/>
            <w:color w:val="20262A"/>
            <w:sz w:val="20"/>
            <w:noProof/>
          </w:rPr>
          <w:t xml:space="preserve">1.2 Purpose</w:t>
        </w:r>
        <w:r>
          <w:rPr>
            <w:noProof/>
            <w:webHidden/>
          </w:rPr>
          <w:tab/>
        </w:r>
        <w:r>
          <w:rPr>
            <w:noProof/>
            <w:webHidden/>
          </w:rPr>
          <w:fldChar w:fldCharType="begin"/>
        </w:r>
        <w:r>
          <w:rPr>
            <w:noProof/>
            <w:webHidden/>
          </w:rPr>
          <w:instrText xml:space="preserve"> PAGEREF _Toc262100009 \h </w:instrText>
        </w:r>
        <w:r>
          <w:rPr>
            <w:noProof/>
            <w:webHidden/>
          </w:rPr>
          <w:fldChar w:fldCharType="separate"/>
        </w:r>
        <w:r>
          <w:rPr>
            <w:rFonts w:ascii="Calibri" w:hAnsi="Calibri"/>
            <w:color w:val="6E838A"/>
            <w:sz w:val="20"/>
            <w:noProof/>
            <w:webHidden/>
          </w:rPr>
          <w:t xml:space="preserve">17</w:t>
        </w:r>
        <w:r>
          <w:rPr>
            <w:noProof/>
            <w:webHidden/>
          </w:rPr>
          <w:fldChar w:fldCharType="end"/>
        </w:r>
      </w:hyperlink>
    </w:p>
    <w:p>
      <w:pPr>
        <w:pStyle w:val="TOC3"/>
      </w:pPr>
      <w:hyperlink w:anchor="_Toc262100010" w:history="1">
        <w:r>
          <w:rPr>
            <w:rFonts w:ascii="Calibri" w:hAnsi="Calibri"/>
            <w:color w:val="20262A"/>
            <w:sz w:val="20"/>
            <w:noProof/>
          </w:rPr>
          <w:t xml:space="preserve">1.3 Geographic Scope</w:t>
        </w:r>
        <w:r>
          <w:rPr>
            <w:noProof/>
            <w:webHidden/>
          </w:rPr>
          <w:tab/>
        </w:r>
        <w:r>
          <w:rPr>
            <w:noProof/>
            <w:webHidden/>
          </w:rPr>
          <w:fldChar w:fldCharType="begin"/>
        </w:r>
        <w:r>
          <w:rPr>
            <w:noProof/>
            <w:webHidden/>
          </w:rPr>
          <w:instrText xml:space="preserve"> PAGEREF _Toc262100010 \h </w:instrText>
        </w:r>
        <w:r>
          <w:rPr>
            <w:noProof/>
            <w:webHidden/>
          </w:rPr>
          <w:fldChar w:fldCharType="separate"/>
        </w:r>
        <w:r>
          <w:rPr>
            <w:rFonts w:ascii="Calibri" w:hAnsi="Calibri"/>
            <w:color w:val="6E838A"/>
            <w:sz w:val="20"/>
            <w:noProof/>
            <w:webHidden/>
          </w:rPr>
          <w:t xml:space="preserve">17</w:t>
        </w:r>
        <w:r>
          <w:rPr>
            <w:noProof/>
            <w:webHidden/>
          </w:rPr>
          <w:fldChar w:fldCharType="end"/>
        </w:r>
      </w:hyperlink>
    </w:p>
    <w:p>
      <w:pPr>
        <w:pStyle w:val="TOC3"/>
      </w:pPr>
      <w:hyperlink w:anchor="_Toc262100011" w:history="1">
        <w:r>
          <w:rPr>
            <w:rFonts w:ascii="Calibri" w:hAnsi="Calibri"/>
            <w:color w:val="20262A"/>
            <w:sz w:val="20"/>
            <w:noProof/>
          </w:rPr>
          <w:t xml:space="preserve">1.4 Functional Scope</w:t>
        </w:r>
        <w:r>
          <w:rPr>
            <w:noProof/>
            <w:webHidden/>
          </w:rPr>
          <w:tab/>
        </w:r>
        <w:r>
          <w:rPr>
            <w:noProof/>
            <w:webHidden/>
          </w:rPr>
          <w:fldChar w:fldCharType="begin"/>
        </w:r>
        <w:r>
          <w:rPr>
            <w:noProof/>
            <w:webHidden/>
          </w:rPr>
          <w:instrText xml:space="preserve"> PAGEREF _Toc262100011 \h </w:instrText>
        </w:r>
        <w:r>
          <w:rPr>
            <w:noProof/>
            <w:webHidden/>
          </w:rPr>
          <w:fldChar w:fldCharType="separate"/>
        </w:r>
        <w:r>
          <w:rPr>
            <w:rFonts w:ascii="Calibri" w:hAnsi="Calibri"/>
            <w:color w:val="6E838A"/>
            <w:sz w:val="20"/>
            <w:noProof/>
            <w:webHidden/>
          </w:rPr>
          <w:t xml:space="preserve">18</w:t>
        </w:r>
        <w:r>
          <w:rPr>
            <w:noProof/>
            <w:webHidden/>
          </w:rPr>
          <w:fldChar w:fldCharType="end"/>
        </w:r>
      </w:hyperlink>
    </w:p>
    <w:p>
      <w:pPr>
        <w:pStyle w:val="TOC3"/>
      </w:pPr>
      <w:hyperlink w:anchor="_Toc262100012" w:history="1">
        <w:r>
          <w:rPr>
            <w:rFonts w:ascii="Calibri" w:hAnsi="Calibri"/>
            <w:color w:val="20262A"/>
            <w:sz w:val="20"/>
            <w:noProof/>
          </w:rPr>
          <w:t xml:space="preserve">1.5 What This Compact Does and Does Not Do</w:t>
        </w:r>
        <w:r>
          <w:rPr>
            <w:noProof/>
            <w:webHidden/>
          </w:rPr>
          <w:tab/>
        </w:r>
        <w:r>
          <w:rPr>
            <w:noProof/>
            <w:webHidden/>
          </w:rPr>
          <w:fldChar w:fldCharType="begin"/>
        </w:r>
        <w:r>
          <w:rPr>
            <w:noProof/>
            <w:webHidden/>
          </w:rPr>
          <w:instrText xml:space="preserve"> PAGEREF _Toc262100012 \h </w:instrText>
        </w:r>
        <w:r>
          <w:rPr>
            <w:noProof/>
            <w:webHidden/>
          </w:rPr>
          <w:fldChar w:fldCharType="separate"/>
        </w:r>
        <w:r>
          <w:rPr>
            <w:rFonts w:ascii="Calibri" w:hAnsi="Calibri"/>
            <w:color w:val="6E838A"/>
            <w:sz w:val="20"/>
            <w:noProof/>
            <w:webHidden/>
          </w:rPr>
          <w:t xml:space="preserve">18</w:t>
        </w:r>
        <w:r>
          <w:rPr>
            <w:noProof/>
            <w:webHidden/>
          </w:rPr>
          <w:fldChar w:fldCharType="end"/>
        </w:r>
      </w:hyperlink>
    </w:p>
    <w:p>
      <w:pPr>
        <w:pStyle w:val="TOC3"/>
      </w:pPr>
      <w:hyperlink w:anchor="_Toc262100013" w:history="1">
        <w:r>
          <w:rPr>
            <w:rFonts w:ascii="Calibri" w:hAnsi="Calibri"/>
            <w:color w:val="20262A"/>
            <w:sz w:val="20"/>
            <w:noProof/>
          </w:rPr>
          <w:t xml:space="preserve">1.6 Relationship to Existing Instruments</w:t>
        </w:r>
        <w:r>
          <w:rPr>
            <w:noProof/>
            <w:webHidden/>
          </w:rPr>
          <w:tab/>
        </w:r>
        <w:r>
          <w:rPr>
            <w:noProof/>
            <w:webHidden/>
          </w:rPr>
          <w:fldChar w:fldCharType="begin"/>
        </w:r>
        <w:r>
          <w:rPr>
            <w:noProof/>
            <w:webHidden/>
          </w:rPr>
          <w:instrText xml:space="preserve"> PAGEREF _Toc262100013 \h </w:instrText>
        </w:r>
        <w:r>
          <w:rPr>
            <w:noProof/>
            <w:webHidden/>
          </w:rPr>
          <w:fldChar w:fldCharType="separate"/>
        </w:r>
        <w:r>
          <w:rPr>
            <w:rFonts w:ascii="Calibri" w:hAnsi="Calibri"/>
            <w:color w:val="6E838A"/>
            <w:sz w:val="20"/>
            <w:noProof/>
            <w:webHidden/>
          </w:rPr>
          <w:t xml:space="preserve">18</w:t>
        </w:r>
        <w:r>
          <w:rPr>
            <w:noProof/>
            <w:webHidden/>
          </w:rPr>
          <w:fldChar w:fldCharType="end"/>
        </w:r>
      </w:hyperlink>
    </w:p>
    <w:p>
      <w:pPr>
        <w:pStyle w:val="TOC2"/>
      </w:pPr>
      <w:hyperlink w:anchor="_Toc262100014" w:history="1">
        <w:r>
          <w:rPr>
            <w:rFonts w:ascii="Calibri" w:hAnsi="Calibri"/>
            <w:color w:val="20262A"/>
            <w:sz w:val="20"/>
            <w:noProof/>
          </w:rPr>
          <w:t xml:space="preserve">Article 2: Legal Foundations</w:t>
        </w:r>
        <w:r>
          <w:rPr>
            <w:noProof/>
            <w:webHidden/>
          </w:rPr>
          <w:tab/>
        </w:r>
        <w:r>
          <w:rPr>
            <w:noProof/>
            <w:webHidden/>
          </w:rPr>
          <w:fldChar w:fldCharType="begin"/>
        </w:r>
        <w:r>
          <w:rPr>
            <w:noProof/>
            <w:webHidden/>
          </w:rPr>
          <w:instrText xml:space="preserve"> PAGEREF _Toc262100014 \h </w:instrText>
        </w:r>
        <w:r>
          <w:rPr>
            <w:noProof/>
            <w:webHidden/>
          </w:rPr>
          <w:fldChar w:fldCharType="separate"/>
        </w:r>
        <w:r>
          <w:rPr>
            <w:rFonts w:ascii="Calibri" w:hAnsi="Calibri"/>
            <w:color w:val="6E838A"/>
            <w:sz w:val="20"/>
            <w:noProof/>
            <w:webHidden/>
          </w:rPr>
          <w:t xml:space="preserve">19</w:t>
        </w:r>
        <w:r>
          <w:rPr>
            <w:noProof/>
            <w:webHidden/>
          </w:rPr>
          <w:fldChar w:fldCharType="end"/>
        </w:r>
      </w:hyperlink>
    </w:p>
    <w:p>
      <w:pPr>
        <w:pStyle w:val="TOC3"/>
      </w:pPr>
      <w:hyperlink w:anchor="_Toc262100015" w:history="1">
        <w:r>
          <w:rPr>
            <w:rFonts w:ascii="Calibri" w:hAnsi="Calibri"/>
            <w:color w:val="20262A"/>
            <w:sz w:val="20"/>
            <w:noProof/>
          </w:rPr>
          <w:t xml:space="preserve">2.1 Sovereign Equality of Participant States</w:t>
        </w:r>
        <w:r>
          <w:rPr>
            <w:noProof/>
            <w:webHidden/>
          </w:rPr>
          <w:tab/>
        </w:r>
        <w:r>
          <w:rPr>
            <w:noProof/>
            <w:webHidden/>
          </w:rPr>
          <w:fldChar w:fldCharType="begin"/>
        </w:r>
        <w:r>
          <w:rPr>
            <w:noProof/>
            <w:webHidden/>
          </w:rPr>
          <w:instrText xml:space="preserve"> PAGEREF _Toc262100015 \h </w:instrText>
        </w:r>
        <w:r>
          <w:rPr>
            <w:noProof/>
            <w:webHidden/>
          </w:rPr>
          <w:fldChar w:fldCharType="separate"/>
        </w:r>
        <w:r>
          <w:rPr>
            <w:rFonts w:ascii="Calibri" w:hAnsi="Calibri"/>
            <w:color w:val="6E838A"/>
            <w:sz w:val="20"/>
            <w:noProof/>
            <w:webHidden/>
          </w:rPr>
          <w:t xml:space="preserve">19</w:t>
        </w:r>
        <w:r>
          <w:rPr>
            <w:noProof/>
            <w:webHidden/>
          </w:rPr>
          <w:fldChar w:fldCharType="end"/>
        </w:r>
      </w:hyperlink>
    </w:p>
    <w:p>
      <w:pPr>
        <w:pStyle w:val="TOC3"/>
      </w:pPr>
      <w:hyperlink w:anchor="_Toc262100016" w:history="1">
        <w:r>
          <w:rPr>
            <w:rFonts w:ascii="Calibri" w:hAnsi="Calibri"/>
            <w:color w:val="20262A"/>
            <w:sz w:val="20"/>
            <w:noProof/>
          </w:rPr>
          <w:t xml:space="preserve">2.2 The Two Legal Anchors</w:t>
        </w:r>
        <w:r>
          <w:rPr>
            <w:noProof/>
            <w:webHidden/>
          </w:rPr>
          <w:tab/>
        </w:r>
        <w:r>
          <w:rPr>
            <w:noProof/>
            <w:webHidden/>
          </w:rPr>
          <w:fldChar w:fldCharType="begin"/>
        </w:r>
        <w:r>
          <w:rPr>
            <w:noProof/>
            <w:webHidden/>
          </w:rPr>
          <w:instrText xml:space="preserve"> PAGEREF _Toc262100016 \h </w:instrText>
        </w:r>
        <w:r>
          <w:rPr>
            <w:noProof/>
            <w:webHidden/>
          </w:rPr>
          <w:fldChar w:fldCharType="separate"/>
        </w:r>
        <w:r>
          <w:rPr>
            <w:rFonts w:ascii="Calibri" w:hAnsi="Calibri"/>
            <w:color w:val="6E838A"/>
            <w:sz w:val="20"/>
            <w:noProof/>
            <w:webHidden/>
          </w:rPr>
          <w:t xml:space="preserve">19</w:t>
        </w:r>
        <w:r>
          <w:rPr>
            <w:noProof/>
            <w:webHidden/>
          </w:rPr>
          <w:fldChar w:fldCharType="end"/>
        </w:r>
      </w:hyperlink>
    </w:p>
    <w:p>
      <w:pPr>
        <w:pStyle w:val="TOC3"/>
      </w:pPr>
      <w:hyperlink w:anchor="_Toc262100017" w:history="1">
        <w:r>
          <w:rPr>
            <w:rFonts w:ascii="Calibri" w:hAnsi="Calibri"/>
            <w:color w:val="20262A"/>
            <w:sz w:val="20"/>
            <w:noProof/>
          </w:rPr>
          <w:t xml:space="preserve">2.3 Interface with the Law of the Sea</w:t>
        </w:r>
        <w:r>
          <w:rPr>
            <w:noProof/>
            <w:webHidden/>
          </w:rPr>
          <w:tab/>
        </w:r>
        <w:r>
          <w:rPr>
            <w:noProof/>
            <w:webHidden/>
          </w:rPr>
          <w:fldChar w:fldCharType="begin"/>
        </w:r>
        <w:r>
          <w:rPr>
            <w:noProof/>
            <w:webHidden/>
          </w:rPr>
          <w:instrText xml:space="preserve"> PAGEREF _Toc262100017 \h </w:instrText>
        </w:r>
        <w:r>
          <w:rPr>
            <w:noProof/>
            <w:webHidden/>
          </w:rPr>
          <w:fldChar w:fldCharType="separate"/>
        </w:r>
        <w:r>
          <w:rPr>
            <w:rFonts w:ascii="Calibri" w:hAnsi="Calibri"/>
            <w:color w:val="6E838A"/>
            <w:sz w:val="20"/>
            <w:noProof/>
            <w:webHidden/>
          </w:rPr>
          <w:t xml:space="preserve">19</w:t>
        </w:r>
        <w:r>
          <w:rPr>
            <w:noProof/>
            <w:webHidden/>
          </w:rPr>
          <w:fldChar w:fldCharType="end"/>
        </w:r>
      </w:hyperlink>
    </w:p>
    <w:p>
      <w:pPr>
        <w:pStyle w:val="TOC3"/>
      </w:pPr>
      <w:hyperlink w:anchor="_Toc262100018" w:history="1">
        <w:r>
          <w:rPr>
            <w:rFonts w:ascii="Calibri" w:hAnsi="Calibri"/>
            <w:color w:val="20262A"/>
            <w:sz w:val="20"/>
            <w:noProof/>
          </w:rPr>
          <w:t xml:space="preserve">2.4 No Prejudice</w:t>
        </w:r>
        <w:r>
          <w:rPr>
            <w:noProof/>
            <w:webHidden/>
          </w:rPr>
          <w:tab/>
        </w:r>
        <w:r>
          <w:rPr>
            <w:noProof/>
            <w:webHidden/>
          </w:rPr>
          <w:fldChar w:fldCharType="begin"/>
        </w:r>
        <w:r>
          <w:rPr>
            <w:noProof/>
            <w:webHidden/>
          </w:rPr>
          <w:instrText xml:space="preserve"> PAGEREF _Toc262100018 \h </w:instrText>
        </w:r>
        <w:r>
          <w:rPr>
            <w:noProof/>
            <w:webHidden/>
          </w:rPr>
          <w:fldChar w:fldCharType="separate"/>
        </w:r>
        <w:r>
          <w:rPr>
            <w:rFonts w:ascii="Calibri" w:hAnsi="Calibri"/>
            <w:color w:val="6E838A"/>
            <w:sz w:val="20"/>
            <w:noProof/>
            <w:webHidden/>
          </w:rPr>
          <w:t xml:space="preserve">20</w:t>
        </w:r>
        <w:r>
          <w:rPr>
            <w:noProof/>
            <w:webHidden/>
          </w:rPr>
          <w:fldChar w:fldCharType="end"/>
        </w:r>
      </w:hyperlink>
    </w:p>
    <w:p>
      <w:pPr>
        <w:pStyle w:val="TOC2"/>
      </w:pPr>
      <w:hyperlink w:anchor="_Toc262100019" w:history="1">
        <w:r>
          <w:rPr>
            <w:rFonts w:ascii="Calibri" w:hAnsi="Calibri"/>
            <w:color w:val="20262A"/>
            <w:sz w:val="20"/>
            <w:noProof/>
          </w:rPr>
          <w:t xml:space="preserve">Article 3: Core Operating Principles</w:t>
        </w:r>
        <w:r>
          <w:rPr>
            <w:noProof/>
            <w:webHidden/>
          </w:rPr>
          <w:tab/>
        </w:r>
        <w:r>
          <w:rPr>
            <w:noProof/>
            <w:webHidden/>
          </w:rPr>
          <w:fldChar w:fldCharType="begin"/>
        </w:r>
        <w:r>
          <w:rPr>
            <w:noProof/>
            <w:webHidden/>
          </w:rPr>
          <w:instrText xml:space="preserve"> PAGEREF _Toc262100019 \h </w:instrText>
        </w:r>
        <w:r>
          <w:rPr>
            <w:noProof/>
            <w:webHidden/>
          </w:rPr>
          <w:fldChar w:fldCharType="separate"/>
        </w:r>
        <w:r>
          <w:rPr>
            <w:rFonts w:ascii="Calibri" w:hAnsi="Calibri"/>
            <w:color w:val="6E838A"/>
            <w:sz w:val="20"/>
            <w:noProof/>
            <w:webHidden/>
          </w:rPr>
          <w:t xml:space="preserve">20</w:t>
        </w:r>
        <w:r>
          <w:rPr>
            <w:noProof/>
            <w:webHidden/>
          </w:rPr>
          <w:fldChar w:fldCharType="end"/>
        </w:r>
      </w:hyperlink>
    </w:p>
    <w:p>
      <w:pPr>
        <w:pStyle w:val="TOC3"/>
      </w:pPr>
      <w:hyperlink w:anchor="_Toc262100020" w:history="1">
        <w:r>
          <w:rPr>
            <w:rFonts w:ascii="Calibri" w:hAnsi="Calibri"/>
            <w:color w:val="20262A"/>
            <w:sz w:val="20"/>
            <w:noProof/>
          </w:rPr>
          <w:t xml:space="preserve">3.1 Shared Action</w:t>
        </w:r>
        <w:r>
          <w:rPr>
            <w:noProof/>
            <w:webHidden/>
          </w:rPr>
          <w:tab/>
        </w:r>
        <w:r>
          <w:rPr>
            <w:noProof/>
            <w:webHidden/>
          </w:rPr>
          <w:fldChar w:fldCharType="begin"/>
        </w:r>
        <w:r>
          <w:rPr>
            <w:noProof/>
            <w:webHidden/>
          </w:rPr>
          <w:instrText xml:space="preserve"> PAGEREF _Toc262100020 \h </w:instrText>
        </w:r>
        <w:r>
          <w:rPr>
            <w:noProof/>
            <w:webHidden/>
          </w:rPr>
          <w:fldChar w:fldCharType="separate"/>
        </w:r>
        <w:r>
          <w:rPr>
            <w:rFonts w:ascii="Calibri" w:hAnsi="Calibri"/>
            <w:color w:val="6E838A"/>
            <w:sz w:val="20"/>
            <w:noProof/>
            <w:webHidden/>
          </w:rPr>
          <w:t xml:space="preserve">20</w:t>
        </w:r>
        <w:r>
          <w:rPr>
            <w:noProof/>
            <w:webHidden/>
          </w:rPr>
          <w:fldChar w:fldCharType="end"/>
        </w:r>
      </w:hyperlink>
    </w:p>
    <w:p>
      <w:pPr>
        <w:pStyle w:val="TOC3"/>
      </w:pPr>
      <w:hyperlink w:anchor="_Toc262100021" w:history="1">
        <w:r>
          <w:rPr>
            <w:rFonts w:ascii="Calibri" w:hAnsi="Calibri"/>
            <w:color w:val="20262A"/>
            <w:sz w:val="20"/>
            <w:noProof/>
          </w:rPr>
          <w:t xml:space="preserve">3.2 Mutual Architecture</w:t>
        </w:r>
        <w:r>
          <w:rPr>
            <w:noProof/>
            <w:webHidden/>
          </w:rPr>
          <w:tab/>
        </w:r>
        <w:r>
          <w:rPr>
            <w:noProof/>
            <w:webHidden/>
          </w:rPr>
          <w:fldChar w:fldCharType="begin"/>
        </w:r>
        <w:r>
          <w:rPr>
            <w:noProof/>
            <w:webHidden/>
          </w:rPr>
          <w:instrText xml:space="preserve"> PAGEREF _Toc262100021 \h </w:instrText>
        </w:r>
        <w:r>
          <w:rPr>
            <w:noProof/>
            <w:webHidden/>
          </w:rPr>
          <w:fldChar w:fldCharType="separate"/>
        </w:r>
        <w:r>
          <w:rPr>
            <w:rFonts w:ascii="Calibri" w:hAnsi="Calibri"/>
            <w:color w:val="6E838A"/>
            <w:sz w:val="20"/>
            <w:noProof/>
            <w:webHidden/>
          </w:rPr>
          <w:t xml:space="preserve">20</w:t>
        </w:r>
        <w:r>
          <w:rPr>
            <w:noProof/>
            <w:webHidden/>
          </w:rPr>
          <w:fldChar w:fldCharType="end"/>
        </w:r>
      </w:hyperlink>
    </w:p>
    <w:p>
      <w:pPr>
        <w:pStyle w:val="TOC3"/>
      </w:pPr>
      <w:hyperlink w:anchor="_Toc262100022" w:history="1">
        <w:r>
          <w:rPr>
            <w:rFonts w:ascii="Calibri" w:hAnsi="Calibri"/>
            <w:color w:val="20262A"/>
            <w:sz w:val="20"/>
            <w:noProof/>
          </w:rPr>
          <w:t xml:space="preserve">3.3 No-Fade Continuity</w:t>
        </w:r>
        <w:r>
          <w:rPr>
            <w:noProof/>
            <w:webHidden/>
          </w:rPr>
          <w:tab/>
        </w:r>
        <w:r>
          <w:rPr>
            <w:noProof/>
            <w:webHidden/>
          </w:rPr>
          <w:fldChar w:fldCharType="begin"/>
        </w:r>
        <w:r>
          <w:rPr>
            <w:noProof/>
            <w:webHidden/>
          </w:rPr>
          <w:instrText xml:space="preserve"> PAGEREF _Toc262100022 \h </w:instrText>
        </w:r>
        <w:r>
          <w:rPr>
            <w:noProof/>
            <w:webHidden/>
          </w:rPr>
          <w:fldChar w:fldCharType="separate"/>
        </w:r>
        <w:r>
          <w:rPr>
            <w:rFonts w:ascii="Calibri" w:hAnsi="Calibri"/>
            <w:color w:val="6E838A"/>
            <w:sz w:val="20"/>
            <w:noProof/>
            <w:webHidden/>
          </w:rPr>
          <w:t xml:space="preserve">20</w:t>
        </w:r>
        <w:r>
          <w:rPr>
            <w:noProof/>
            <w:webHidden/>
          </w:rPr>
          <w:fldChar w:fldCharType="end"/>
        </w:r>
      </w:hyperlink>
    </w:p>
    <w:p>
      <w:pPr>
        <w:pStyle w:val="TOC3"/>
      </w:pPr>
      <w:hyperlink w:anchor="_Toc262100023" w:history="1">
        <w:r>
          <w:rPr>
            <w:rFonts w:ascii="Calibri" w:hAnsi="Calibri"/>
            <w:color w:val="20262A"/>
            <w:sz w:val="20"/>
            <w:noProof/>
          </w:rPr>
          <w:t xml:space="preserve">3.4 Earned Stewardship</w:t>
        </w:r>
        <w:r>
          <w:rPr>
            <w:noProof/>
            <w:webHidden/>
          </w:rPr>
          <w:tab/>
        </w:r>
        <w:r>
          <w:rPr>
            <w:noProof/>
            <w:webHidden/>
          </w:rPr>
          <w:fldChar w:fldCharType="begin"/>
        </w:r>
        <w:r>
          <w:rPr>
            <w:noProof/>
            <w:webHidden/>
          </w:rPr>
          <w:instrText xml:space="preserve"> PAGEREF _Toc262100023 \h </w:instrText>
        </w:r>
        <w:r>
          <w:rPr>
            <w:noProof/>
            <w:webHidden/>
          </w:rPr>
          <w:fldChar w:fldCharType="separate"/>
        </w:r>
        <w:r>
          <w:rPr>
            <w:rFonts w:ascii="Calibri" w:hAnsi="Calibri"/>
            <w:color w:val="6E838A"/>
            <w:sz w:val="20"/>
            <w:noProof/>
            <w:webHidden/>
          </w:rPr>
          <w:t xml:space="preserve">20</w:t>
        </w:r>
        <w:r>
          <w:rPr>
            <w:noProof/>
            <w:webHidden/>
          </w:rPr>
          <w:fldChar w:fldCharType="end"/>
        </w:r>
      </w:hyperlink>
    </w:p>
    <w:p>
      <w:pPr>
        <w:pStyle w:val="TOC3"/>
      </w:pPr>
      <w:hyperlink w:anchor="_Toc262100024" w:history="1">
        <w:r>
          <w:rPr>
            <w:rFonts w:ascii="Calibri" w:hAnsi="Calibri"/>
            <w:color w:val="20262A"/>
            <w:sz w:val="20"/>
            <w:noProof/>
          </w:rPr>
          <w:t xml:space="preserve">3.5 Transparency Over Trust</w:t>
        </w:r>
        <w:r>
          <w:rPr>
            <w:noProof/>
            <w:webHidden/>
          </w:rPr>
          <w:tab/>
        </w:r>
        <w:r>
          <w:rPr>
            <w:noProof/>
            <w:webHidden/>
          </w:rPr>
          <w:fldChar w:fldCharType="begin"/>
        </w:r>
        <w:r>
          <w:rPr>
            <w:noProof/>
            <w:webHidden/>
          </w:rPr>
          <w:instrText xml:space="preserve"> PAGEREF _Toc262100024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3"/>
      </w:pPr>
      <w:hyperlink w:anchor="_Toc262100025" w:history="1">
        <w:r>
          <w:rPr>
            <w:rFonts w:ascii="Calibri" w:hAnsi="Calibri"/>
            <w:color w:val="20262A"/>
            <w:sz w:val="20"/>
            <w:noProof/>
          </w:rPr>
          <w:t xml:space="preserve">3.6 Cost Discipline</w:t>
        </w:r>
        <w:r>
          <w:rPr>
            <w:noProof/>
            <w:webHidden/>
          </w:rPr>
          <w:tab/>
        </w:r>
        <w:r>
          <w:rPr>
            <w:noProof/>
            <w:webHidden/>
          </w:rPr>
          <w:fldChar w:fldCharType="begin"/>
        </w:r>
        <w:r>
          <w:rPr>
            <w:noProof/>
            <w:webHidden/>
          </w:rPr>
          <w:instrText xml:space="preserve"> PAGEREF _Toc262100025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3"/>
      </w:pPr>
      <w:hyperlink w:anchor="_Toc262100026" w:history="1">
        <w:r>
          <w:rPr>
            <w:rFonts w:ascii="Calibri" w:hAnsi="Calibri"/>
            <w:color w:val="20262A"/>
            <w:sz w:val="20"/>
            <w:noProof/>
          </w:rPr>
          <w:t xml:space="preserve">3.7 Civilian Character</w:t>
        </w:r>
        <w:r>
          <w:rPr>
            <w:noProof/>
            <w:webHidden/>
          </w:rPr>
          <w:tab/>
        </w:r>
        <w:r>
          <w:rPr>
            <w:noProof/>
            <w:webHidden/>
          </w:rPr>
          <w:fldChar w:fldCharType="begin"/>
        </w:r>
        <w:r>
          <w:rPr>
            <w:noProof/>
            <w:webHidden/>
          </w:rPr>
          <w:instrText xml:space="preserve"> PAGEREF _Toc262100026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3"/>
      </w:pPr>
      <w:hyperlink w:anchor="_Toc262100027" w:history="1">
        <w:r>
          <w:rPr>
            <w:rFonts w:ascii="Calibri" w:hAnsi="Calibri"/>
            <w:color w:val="20262A"/>
            <w:sz w:val="20"/>
            <w:noProof/>
          </w:rPr>
          <w:t xml:space="preserve">3.8 Human-Anchored Verification</w:t>
        </w:r>
        <w:r>
          <w:rPr>
            <w:noProof/>
            <w:webHidden/>
          </w:rPr>
          <w:tab/>
        </w:r>
        <w:r>
          <w:rPr>
            <w:noProof/>
            <w:webHidden/>
          </w:rPr>
          <w:fldChar w:fldCharType="begin"/>
        </w:r>
        <w:r>
          <w:rPr>
            <w:noProof/>
            <w:webHidden/>
          </w:rPr>
          <w:instrText xml:space="preserve"> PAGEREF _Toc262100027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3"/>
      </w:pPr>
      <w:hyperlink w:anchor="_Toc262100028" w:history="1">
        <w:r>
          <w:rPr>
            <w:rFonts w:ascii="Calibri" w:hAnsi="Calibri"/>
            <w:color w:val="20262A"/>
            <w:sz w:val="20"/>
            <w:noProof/>
          </w:rPr>
          <w:t xml:space="preserve">3.9 Triadic Balance</w:t>
        </w:r>
        <w:r>
          <w:rPr>
            <w:noProof/>
            <w:webHidden/>
          </w:rPr>
          <w:tab/>
        </w:r>
        <w:r>
          <w:rPr>
            <w:noProof/>
            <w:webHidden/>
          </w:rPr>
          <w:fldChar w:fldCharType="begin"/>
        </w:r>
        <w:r>
          <w:rPr>
            <w:noProof/>
            <w:webHidden/>
          </w:rPr>
          <w:instrText xml:space="preserve"> PAGEREF _Toc262100028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3"/>
      </w:pPr>
      <w:hyperlink w:anchor="_Toc262100029" w:history="1">
        <w:r>
          <w:rPr>
            <w:rFonts w:ascii="Calibri" w:hAnsi="Calibri"/>
            <w:color w:val="20262A"/>
            <w:sz w:val="20"/>
            <w:noProof/>
          </w:rPr>
          <w:t xml:space="preserve">3.10 The Routine Standard</w:t>
        </w:r>
        <w:r>
          <w:rPr>
            <w:noProof/>
            <w:webHidden/>
          </w:rPr>
          <w:tab/>
        </w:r>
        <w:r>
          <w:rPr>
            <w:noProof/>
            <w:webHidden/>
          </w:rPr>
          <w:fldChar w:fldCharType="begin"/>
        </w:r>
        <w:r>
          <w:rPr>
            <w:noProof/>
            <w:webHidden/>
          </w:rPr>
          <w:instrText xml:space="preserve"> PAGEREF _Toc262100029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2"/>
      </w:pPr>
      <w:hyperlink w:anchor="_Toc262100030" w:history="1">
        <w:r>
          <w:rPr>
            <w:rFonts w:ascii="Calibri" w:hAnsi="Calibri"/>
            <w:color w:val="20262A"/>
            <w:sz w:val="20"/>
            <w:noProof/>
          </w:rPr>
          <w:t xml:space="preserve">Article 4: Definitions and Interpretation</w:t>
        </w:r>
        <w:r>
          <w:rPr>
            <w:noProof/>
            <w:webHidden/>
          </w:rPr>
          <w:tab/>
        </w:r>
        <w:r>
          <w:rPr>
            <w:noProof/>
            <w:webHidden/>
          </w:rPr>
          <w:fldChar w:fldCharType="begin"/>
        </w:r>
        <w:r>
          <w:rPr>
            <w:noProof/>
            <w:webHidden/>
          </w:rPr>
          <w:instrText xml:space="preserve"> PAGEREF _Toc262100030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3"/>
      </w:pPr>
      <w:hyperlink w:anchor="_Toc262100031" w:history="1">
        <w:r>
          <w:rPr>
            <w:rFonts w:ascii="Calibri" w:hAnsi="Calibri"/>
            <w:color w:val="20262A"/>
            <w:sz w:val="20"/>
            <w:noProof/>
          </w:rPr>
          <w:t xml:space="preserve">4.1 Definitions</w:t>
        </w:r>
        <w:r>
          <w:rPr>
            <w:noProof/>
            <w:webHidden/>
          </w:rPr>
          <w:tab/>
        </w:r>
        <w:r>
          <w:rPr>
            <w:noProof/>
            <w:webHidden/>
          </w:rPr>
          <w:fldChar w:fldCharType="begin"/>
        </w:r>
        <w:r>
          <w:rPr>
            <w:noProof/>
            <w:webHidden/>
          </w:rPr>
          <w:instrText xml:space="preserve"> PAGEREF _Toc262100031 \h </w:instrText>
        </w:r>
        <w:r>
          <w:rPr>
            <w:noProof/>
            <w:webHidden/>
          </w:rPr>
          <w:fldChar w:fldCharType="separate"/>
        </w:r>
        <w:r>
          <w:rPr>
            <w:rFonts w:ascii="Calibri" w:hAnsi="Calibri"/>
            <w:color w:val="6E838A"/>
            <w:sz w:val="20"/>
            <w:noProof/>
            <w:webHidden/>
          </w:rPr>
          <w:t xml:space="preserve">21</w:t>
        </w:r>
        <w:r>
          <w:rPr>
            <w:noProof/>
            <w:webHidden/>
          </w:rPr>
          <w:fldChar w:fldCharType="end"/>
        </w:r>
      </w:hyperlink>
    </w:p>
    <w:p>
      <w:pPr>
        <w:pStyle w:val="TOC3"/>
      </w:pPr>
      <w:hyperlink w:anchor="_Toc262100032" w:history="1">
        <w:r>
          <w:rPr>
            <w:rFonts w:ascii="Calibri" w:hAnsi="Calibri"/>
            <w:color w:val="20262A"/>
            <w:sz w:val="20"/>
            <w:noProof/>
          </w:rPr>
          <w:t xml:space="preserve">4.2 Interpretation</w:t>
        </w:r>
        <w:r>
          <w:rPr>
            <w:noProof/>
            <w:webHidden/>
          </w:rPr>
          <w:tab/>
        </w:r>
        <w:r>
          <w:rPr>
            <w:noProof/>
            <w:webHidden/>
          </w:rPr>
          <w:fldChar w:fldCharType="begin"/>
        </w:r>
        <w:r>
          <w:rPr>
            <w:noProof/>
            <w:webHidden/>
          </w:rPr>
          <w:instrText xml:space="preserve"> PAGEREF _Toc262100032 \h </w:instrText>
        </w:r>
        <w:r>
          <w:rPr>
            <w:noProof/>
            <w:webHidden/>
          </w:rPr>
          <w:fldChar w:fldCharType="separate"/>
        </w:r>
        <w:r>
          <w:rPr>
            <w:rFonts w:ascii="Calibri" w:hAnsi="Calibri"/>
            <w:color w:val="6E838A"/>
            <w:sz w:val="20"/>
            <w:noProof/>
            <w:webHidden/>
          </w:rPr>
          <w:t xml:space="preserve">24</w:t>
        </w:r>
        <w:r>
          <w:rPr>
            <w:noProof/>
            <w:webHidden/>
          </w:rPr>
          <w:fldChar w:fldCharType="end"/>
        </w:r>
      </w:hyperlink>
    </w:p>
    <w:p>
      <w:pPr>
        <w:pStyle w:val="TOC2"/>
      </w:pPr>
      <w:hyperlink w:anchor="_Toc262100033" w:history="1">
        <w:r>
          <w:rPr>
            <w:rFonts w:ascii="Calibri" w:hAnsi="Calibri"/>
            <w:color w:val="20262A"/>
            <w:sz w:val="20"/>
            <w:noProof/>
          </w:rPr>
          <w:t xml:space="preserve">Article 5: The Inviolable Principles Register</w:t>
        </w:r>
        <w:r>
          <w:rPr>
            <w:noProof/>
            <w:webHidden/>
          </w:rPr>
          <w:tab/>
        </w:r>
        <w:r>
          <w:rPr>
            <w:noProof/>
            <w:webHidden/>
          </w:rPr>
          <w:fldChar w:fldCharType="begin"/>
        </w:r>
        <w:r>
          <w:rPr>
            <w:noProof/>
            <w:webHidden/>
          </w:rPr>
          <w:instrText xml:space="preserve"> PAGEREF _Toc262100033 \h </w:instrText>
        </w:r>
        <w:r>
          <w:rPr>
            <w:noProof/>
            <w:webHidden/>
          </w:rPr>
          <w:fldChar w:fldCharType="separate"/>
        </w:r>
        <w:r>
          <w:rPr>
            <w:rFonts w:ascii="Calibri" w:hAnsi="Calibri"/>
            <w:color w:val="6E838A"/>
            <w:sz w:val="20"/>
            <w:noProof/>
            <w:webHidden/>
          </w:rPr>
          <w:t xml:space="preserve">25</w:t>
        </w:r>
        <w:r>
          <w:rPr>
            <w:noProof/>
            <w:webHidden/>
          </w:rPr>
          <w:fldChar w:fldCharType="end"/>
        </w:r>
      </w:hyperlink>
    </w:p>
    <w:p>
      <w:pPr>
        <w:pStyle w:val="TOC3"/>
      </w:pPr>
      <w:hyperlink w:anchor="_Toc262100034" w:history="1">
        <w:r>
          <w:rPr>
            <w:rFonts w:ascii="Calibri" w:hAnsi="Calibri"/>
            <w:color w:val="20262A"/>
            <w:sz w:val="20"/>
            <w:noProof/>
          </w:rPr>
          <w:t xml:space="preserve">5.1 Purpose and Method</w:t>
        </w:r>
        <w:r>
          <w:rPr>
            <w:noProof/>
            <w:webHidden/>
          </w:rPr>
          <w:tab/>
        </w:r>
        <w:r>
          <w:rPr>
            <w:noProof/>
            <w:webHidden/>
          </w:rPr>
          <w:fldChar w:fldCharType="begin"/>
        </w:r>
        <w:r>
          <w:rPr>
            <w:noProof/>
            <w:webHidden/>
          </w:rPr>
          <w:instrText xml:space="preserve"> PAGEREF _Toc262100034 \h </w:instrText>
        </w:r>
        <w:r>
          <w:rPr>
            <w:noProof/>
            <w:webHidden/>
          </w:rPr>
          <w:fldChar w:fldCharType="separate"/>
        </w:r>
        <w:r>
          <w:rPr>
            <w:rFonts w:ascii="Calibri" w:hAnsi="Calibri"/>
            <w:color w:val="6E838A"/>
            <w:sz w:val="20"/>
            <w:noProof/>
            <w:webHidden/>
          </w:rPr>
          <w:t xml:space="preserve">25</w:t>
        </w:r>
        <w:r>
          <w:rPr>
            <w:noProof/>
            <w:webHidden/>
          </w:rPr>
          <w:fldChar w:fldCharType="end"/>
        </w:r>
      </w:hyperlink>
    </w:p>
    <w:p>
      <w:pPr>
        <w:pStyle w:val="TOC3"/>
      </w:pPr>
      <w:hyperlink w:anchor="_Toc262100035" w:history="1">
        <w:r>
          <w:rPr>
            <w:rFonts w:ascii="Calibri" w:hAnsi="Calibri"/>
            <w:color w:val="20262A"/>
            <w:sz w:val="20"/>
            <w:noProof/>
          </w:rPr>
          <w:t xml:space="preserve">5.2 The Register</w:t>
        </w:r>
        <w:r>
          <w:rPr>
            <w:noProof/>
            <w:webHidden/>
          </w:rPr>
          <w:tab/>
        </w:r>
        <w:r>
          <w:rPr>
            <w:noProof/>
            <w:webHidden/>
          </w:rPr>
          <w:fldChar w:fldCharType="begin"/>
        </w:r>
        <w:r>
          <w:rPr>
            <w:noProof/>
            <w:webHidden/>
          </w:rPr>
          <w:instrText xml:space="preserve"> PAGEREF _Toc262100035 \h </w:instrText>
        </w:r>
        <w:r>
          <w:rPr>
            <w:noProof/>
            <w:webHidden/>
          </w:rPr>
          <w:fldChar w:fldCharType="separate"/>
        </w:r>
        <w:r>
          <w:rPr>
            <w:rFonts w:ascii="Calibri" w:hAnsi="Calibri"/>
            <w:color w:val="6E838A"/>
            <w:sz w:val="20"/>
            <w:noProof/>
            <w:webHidden/>
          </w:rPr>
          <w:t xml:space="preserve">25</w:t>
        </w:r>
        <w:r>
          <w:rPr>
            <w:noProof/>
            <w:webHidden/>
          </w:rPr>
          <w:fldChar w:fldCharType="end"/>
        </w:r>
      </w:hyperlink>
    </w:p>
    <w:p>
      <w:pPr>
        <w:pStyle w:val="TOC3"/>
      </w:pPr>
      <w:hyperlink w:anchor="_Toc262100036" w:history="1">
        <w:r>
          <w:rPr>
            <w:rFonts w:ascii="Calibri" w:hAnsi="Calibri"/>
            <w:color w:val="20262A"/>
            <w:sz w:val="20"/>
            <w:noProof/>
          </w:rPr>
          <w:t xml:space="preserve">5.3 The Perimeter Test</w:t>
        </w:r>
        <w:r>
          <w:rPr>
            <w:noProof/>
            <w:webHidden/>
          </w:rPr>
          <w:tab/>
        </w:r>
        <w:r>
          <w:rPr>
            <w:noProof/>
            <w:webHidden/>
          </w:rPr>
          <w:fldChar w:fldCharType="begin"/>
        </w:r>
        <w:r>
          <w:rPr>
            <w:noProof/>
            <w:webHidden/>
          </w:rPr>
          <w:instrText xml:space="preserve"> PAGEREF _Toc262100036 \h </w:instrText>
        </w:r>
        <w:r>
          <w:rPr>
            <w:noProof/>
            <w:webHidden/>
          </w:rPr>
          <w:fldChar w:fldCharType="separate"/>
        </w:r>
        <w:r>
          <w:rPr>
            <w:rFonts w:ascii="Calibri" w:hAnsi="Calibri"/>
            <w:color w:val="6E838A"/>
            <w:sz w:val="20"/>
            <w:noProof/>
            <w:webHidden/>
          </w:rPr>
          <w:t xml:space="preserve">26</w:t>
        </w:r>
        <w:r>
          <w:rPr>
            <w:noProof/>
            <w:webHidden/>
          </w:rPr>
          <w:fldChar w:fldCharType="end"/>
        </w:r>
      </w:hyperlink>
    </w:p>
    <w:p>
      <w:pPr>
        <w:pStyle w:val="TOC3"/>
      </w:pPr>
      <w:hyperlink w:anchor="_Toc262100037" w:history="1">
        <w:r>
          <w:rPr>
            <w:rFonts w:ascii="Calibri" w:hAnsi="Calibri"/>
            <w:color w:val="20262A"/>
            <w:sz w:val="20"/>
            <w:noProof/>
          </w:rPr>
          <w:t xml:space="preserve">5.4 No Trading of Inviolables</w:t>
        </w:r>
        <w:r>
          <w:rPr>
            <w:noProof/>
            <w:webHidden/>
          </w:rPr>
          <w:tab/>
        </w:r>
        <w:r>
          <w:rPr>
            <w:noProof/>
            <w:webHidden/>
          </w:rPr>
          <w:fldChar w:fldCharType="begin"/>
        </w:r>
        <w:r>
          <w:rPr>
            <w:noProof/>
            <w:webHidden/>
          </w:rPr>
          <w:instrText xml:space="preserve"> PAGEREF _Toc262100037 \h </w:instrText>
        </w:r>
        <w:r>
          <w:rPr>
            <w:noProof/>
            <w:webHidden/>
          </w:rPr>
          <w:fldChar w:fldCharType="separate"/>
        </w:r>
        <w:r>
          <w:rPr>
            <w:rFonts w:ascii="Calibri" w:hAnsi="Calibri"/>
            <w:color w:val="6E838A"/>
            <w:sz w:val="20"/>
            <w:noProof/>
            <w:webHidden/>
          </w:rPr>
          <w:t xml:space="preserve">26</w:t>
        </w:r>
        <w:r>
          <w:rPr>
            <w:noProof/>
            <w:webHidden/>
          </w:rPr>
          <w:fldChar w:fldCharType="end"/>
        </w:r>
      </w:hyperlink>
    </w:p>
    <w:p>
      <w:pPr>
        <w:pStyle w:val="TOC1"/>
      </w:pPr>
      <w:hyperlink w:anchor="_Toc262100038" w:history="1">
        <w:r>
          <w:rPr>
            <w:rFonts w:ascii="Calibri" w:hAnsi="Calibri"/>
            <w:b/>
            <w:color w:val="1D4E5F"/>
            <w:sz w:val="21"/>
            <w:noProof/>
          </w:rPr>
          <w:t xml:space="preserve">Part II: The Triadic Corridor System</w:t>
        </w:r>
        <w:r>
          <w:rPr>
            <w:noProof/>
            <w:webHidden/>
          </w:rPr>
          <w:tab/>
        </w:r>
        <w:r>
          <w:rPr>
            <w:noProof/>
            <w:webHidden/>
          </w:rPr>
          <w:fldChar w:fldCharType="begin"/>
        </w:r>
        <w:r>
          <w:rPr>
            <w:noProof/>
            <w:webHidden/>
          </w:rPr>
          <w:instrText xml:space="preserve"> PAGEREF _Toc262100038 \h </w:instrText>
        </w:r>
        <w:r>
          <w:rPr>
            <w:noProof/>
            <w:webHidden/>
          </w:rPr>
          <w:fldChar w:fldCharType="separate"/>
        </w:r>
        <w:r>
          <w:rPr>
            <w:rFonts w:ascii="Calibri" w:hAnsi="Calibri"/>
            <w:color w:val="6E838A"/>
            <w:sz w:val="20"/>
            <w:noProof/>
            <w:webHidden/>
          </w:rPr>
          <w:t xml:space="preserve">27</w:t>
        </w:r>
        <w:r>
          <w:rPr>
            <w:noProof/>
            <w:webHidden/>
          </w:rPr>
          <w:fldChar w:fldCharType="end"/>
        </w:r>
      </w:hyperlink>
    </w:p>
    <w:p>
      <w:pPr>
        <w:pStyle w:val="TOC2"/>
      </w:pPr>
      <w:hyperlink w:anchor="_Toc262100039" w:history="1">
        <w:r>
          <w:rPr>
            <w:rFonts w:ascii="Calibri" w:hAnsi="Calibri"/>
            <w:color w:val="20262A"/>
            <w:sz w:val="20"/>
            <w:noProof/>
          </w:rPr>
          <w:t xml:space="preserve">Article 6: The System at a Glance</w:t>
        </w:r>
        <w:r>
          <w:rPr>
            <w:noProof/>
            <w:webHidden/>
          </w:rPr>
          <w:tab/>
        </w:r>
        <w:r>
          <w:rPr>
            <w:noProof/>
            <w:webHidden/>
          </w:rPr>
          <w:fldChar w:fldCharType="begin"/>
        </w:r>
        <w:r>
          <w:rPr>
            <w:noProof/>
            <w:webHidden/>
          </w:rPr>
          <w:instrText xml:space="preserve"> PAGEREF _Toc262100039 \h </w:instrText>
        </w:r>
        <w:r>
          <w:rPr>
            <w:noProof/>
            <w:webHidden/>
          </w:rPr>
          <w:fldChar w:fldCharType="separate"/>
        </w:r>
        <w:r>
          <w:rPr>
            <w:rFonts w:ascii="Calibri" w:hAnsi="Calibri"/>
            <w:color w:val="6E838A"/>
            <w:sz w:val="20"/>
            <w:noProof/>
            <w:webHidden/>
          </w:rPr>
          <w:t xml:space="preserve">27</w:t>
        </w:r>
        <w:r>
          <w:rPr>
            <w:noProof/>
            <w:webHidden/>
          </w:rPr>
          <w:fldChar w:fldCharType="end"/>
        </w:r>
      </w:hyperlink>
    </w:p>
    <w:p>
      <w:pPr>
        <w:pStyle w:val="TOC3"/>
      </w:pPr>
      <w:hyperlink w:anchor="_Toc262100040" w:history="1">
        <w:r>
          <w:rPr>
            <w:rFonts w:ascii="Calibri" w:hAnsi="Calibri"/>
            <w:color w:val="20262A"/>
            <w:sz w:val="20"/>
            <w:noProof/>
          </w:rPr>
          <w:t xml:space="preserve">6.1 Design Logic</w:t>
        </w:r>
        <w:r>
          <w:rPr>
            <w:noProof/>
            <w:webHidden/>
          </w:rPr>
          <w:tab/>
        </w:r>
        <w:r>
          <w:rPr>
            <w:noProof/>
            <w:webHidden/>
          </w:rPr>
          <w:fldChar w:fldCharType="begin"/>
        </w:r>
        <w:r>
          <w:rPr>
            <w:noProof/>
            <w:webHidden/>
          </w:rPr>
          <w:instrText xml:space="preserve"> PAGEREF _Toc262100040 \h </w:instrText>
        </w:r>
        <w:r>
          <w:rPr>
            <w:noProof/>
            <w:webHidden/>
          </w:rPr>
          <w:fldChar w:fldCharType="separate"/>
        </w:r>
        <w:r>
          <w:rPr>
            <w:rFonts w:ascii="Calibri" w:hAnsi="Calibri"/>
            <w:color w:val="6E838A"/>
            <w:sz w:val="20"/>
            <w:noProof/>
            <w:webHidden/>
          </w:rPr>
          <w:t xml:space="preserve">27</w:t>
        </w:r>
        <w:r>
          <w:rPr>
            <w:noProof/>
            <w:webHidden/>
          </w:rPr>
          <w:fldChar w:fldCharType="end"/>
        </w:r>
      </w:hyperlink>
    </w:p>
    <w:p>
      <w:pPr>
        <w:pStyle w:val="TOC3"/>
      </w:pPr>
      <w:hyperlink w:anchor="_Toc262100041" w:history="1">
        <w:r>
          <w:rPr>
            <w:rFonts w:ascii="Calibri" w:hAnsi="Calibri"/>
            <w:color w:val="20262A"/>
            <w:sz w:val="20"/>
            <w:noProof/>
          </w:rPr>
          <w:t xml:space="preserve">6.2 The Three Corridors</w:t>
        </w:r>
        <w:r>
          <w:rPr>
            <w:noProof/>
            <w:webHidden/>
          </w:rPr>
          <w:tab/>
        </w:r>
        <w:r>
          <w:rPr>
            <w:noProof/>
            <w:webHidden/>
          </w:rPr>
          <w:fldChar w:fldCharType="begin"/>
        </w:r>
        <w:r>
          <w:rPr>
            <w:noProof/>
            <w:webHidden/>
          </w:rPr>
          <w:instrText xml:space="preserve"> PAGEREF _Toc262100041 \h </w:instrText>
        </w:r>
        <w:r>
          <w:rPr>
            <w:noProof/>
            <w:webHidden/>
          </w:rPr>
          <w:fldChar w:fldCharType="separate"/>
        </w:r>
        <w:r>
          <w:rPr>
            <w:rFonts w:ascii="Calibri" w:hAnsi="Calibri"/>
            <w:color w:val="6E838A"/>
            <w:sz w:val="20"/>
            <w:noProof/>
            <w:webHidden/>
          </w:rPr>
          <w:t xml:space="preserve">27</w:t>
        </w:r>
        <w:r>
          <w:rPr>
            <w:noProof/>
            <w:webHidden/>
          </w:rPr>
          <w:fldChar w:fldCharType="end"/>
        </w:r>
      </w:hyperlink>
    </w:p>
    <w:p>
      <w:pPr>
        <w:pStyle w:val="TOC3"/>
      </w:pPr>
      <w:hyperlink w:anchor="_Toc262100042" w:history="1">
        <w:r>
          <w:rPr>
            <w:rFonts w:ascii="Calibri" w:hAnsi="Calibri"/>
            <w:color w:val="20262A"/>
            <w:sz w:val="20"/>
            <w:noProof/>
          </w:rPr>
          <w:t xml:space="preserve">6.3 The Two Separation Belts</w:t>
        </w:r>
        <w:r>
          <w:rPr>
            <w:noProof/>
            <w:webHidden/>
          </w:rPr>
          <w:tab/>
        </w:r>
        <w:r>
          <w:rPr>
            <w:noProof/>
            <w:webHidden/>
          </w:rPr>
          <w:fldChar w:fldCharType="begin"/>
        </w:r>
        <w:r>
          <w:rPr>
            <w:noProof/>
            <w:webHidden/>
          </w:rPr>
          <w:instrText xml:space="preserve"> PAGEREF _Toc262100042 \h </w:instrText>
        </w:r>
        <w:r>
          <w:rPr>
            <w:noProof/>
            <w:webHidden/>
          </w:rPr>
          <w:fldChar w:fldCharType="separate"/>
        </w:r>
        <w:r>
          <w:rPr>
            <w:rFonts w:ascii="Calibri" w:hAnsi="Calibri"/>
            <w:color w:val="6E838A"/>
            <w:sz w:val="20"/>
            <w:noProof/>
            <w:webHidden/>
          </w:rPr>
          <w:t xml:space="preserve">27</w:t>
        </w:r>
        <w:r>
          <w:rPr>
            <w:noProof/>
            <w:webHidden/>
          </w:rPr>
          <w:fldChar w:fldCharType="end"/>
        </w:r>
      </w:hyperlink>
    </w:p>
    <w:p>
      <w:pPr>
        <w:pStyle w:val="TOC3"/>
      </w:pPr>
      <w:hyperlink w:anchor="_Toc262100043" w:history="1">
        <w:r>
          <w:rPr>
            <w:rFonts w:ascii="Calibri" w:hAnsi="Calibri"/>
            <w:color w:val="20262A"/>
            <w:sz w:val="20"/>
            <w:noProof/>
          </w:rPr>
          <w:t xml:space="preserve">6.4 Flow States</w:t>
        </w:r>
        <w:r>
          <w:rPr>
            <w:noProof/>
            <w:webHidden/>
          </w:rPr>
          <w:tab/>
        </w:r>
        <w:r>
          <w:rPr>
            <w:noProof/>
            <w:webHidden/>
          </w:rPr>
          <w:fldChar w:fldCharType="begin"/>
        </w:r>
        <w:r>
          <w:rPr>
            <w:noProof/>
            <w:webHidden/>
          </w:rPr>
          <w:instrText xml:space="preserve"> PAGEREF _Toc262100043 \h </w:instrText>
        </w:r>
        <w:r>
          <w:rPr>
            <w:noProof/>
            <w:webHidden/>
          </w:rPr>
          <w:fldChar w:fldCharType="separate"/>
        </w:r>
        <w:r>
          <w:rPr>
            <w:rFonts w:ascii="Calibri" w:hAnsi="Calibri"/>
            <w:color w:val="6E838A"/>
            <w:sz w:val="20"/>
            <w:noProof/>
            <w:webHidden/>
          </w:rPr>
          <w:t xml:space="preserve">28</w:t>
        </w:r>
        <w:r>
          <w:rPr>
            <w:noProof/>
            <w:webHidden/>
          </w:rPr>
          <w:fldChar w:fldCharType="end"/>
        </w:r>
      </w:hyperlink>
    </w:p>
    <w:p>
      <w:pPr>
        <w:pStyle w:val="TOC3"/>
      </w:pPr>
      <w:hyperlink w:anchor="_Toc262100044" w:history="1">
        <w:r>
          <w:rPr>
            <w:rFonts w:ascii="Calibri" w:hAnsi="Calibri"/>
            <w:color w:val="20262A"/>
            <w:sz w:val="20"/>
            <w:noProof/>
          </w:rPr>
          <w:t xml:space="preserve">6.5 The Open Water Bulletin</w:t>
        </w:r>
        <w:r>
          <w:rPr>
            <w:noProof/>
            <w:webHidden/>
          </w:rPr>
          <w:tab/>
        </w:r>
        <w:r>
          <w:rPr>
            <w:noProof/>
            <w:webHidden/>
          </w:rPr>
          <w:fldChar w:fldCharType="begin"/>
        </w:r>
        <w:r>
          <w:rPr>
            <w:noProof/>
            <w:webHidden/>
          </w:rPr>
          <w:instrText xml:space="preserve"> PAGEREF _Toc262100044 \h </w:instrText>
        </w:r>
        <w:r>
          <w:rPr>
            <w:noProof/>
            <w:webHidden/>
          </w:rPr>
          <w:fldChar w:fldCharType="separate"/>
        </w:r>
        <w:r>
          <w:rPr>
            <w:rFonts w:ascii="Calibri" w:hAnsi="Calibri"/>
            <w:color w:val="6E838A"/>
            <w:sz w:val="20"/>
            <w:noProof/>
            <w:webHidden/>
          </w:rPr>
          <w:t xml:space="preserve">28</w:t>
        </w:r>
        <w:r>
          <w:rPr>
            <w:noProof/>
            <w:webHidden/>
          </w:rPr>
          <w:fldChar w:fldCharType="end"/>
        </w:r>
      </w:hyperlink>
    </w:p>
    <w:p>
      <w:pPr>
        <w:pStyle w:val="TOC2"/>
      </w:pPr>
      <w:hyperlink w:anchor="_Toc262100045" w:history="1">
        <w:r>
          <w:rPr>
            <w:rFonts w:ascii="Calibri" w:hAnsi="Calibri"/>
            <w:color w:val="20262A"/>
            <w:sz w:val="20"/>
            <w:noProof/>
          </w:rPr>
          <w:t xml:space="preserve">Article 7: The Northern Coordination Corridor</w:t>
        </w:r>
        <w:r>
          <w:rPr>
            <w:noProof/>
            <w:webHidden/>
          </w:rPr>
          <w:tab/>
        </w:r>
        <w:r>
          <w:rPr>
            <w:noProof/>
            <w:webHidden/>
          </w:rPr>
          <w:fldChar w:fldCharType="begin"/>
        </w:r>
        <w:r>
          <w:rPr>
            <w:noProof/>
            <w:webHidden/>
          </w:rPr>
          <w:instrText xml:space="preserve"> PAGEREF _Toc262100045 \h </w:instrText>
        </w:r>
        <w:r>
          <w:rPr>
            <w:noProof/>
            <w:webHidden/>
          </w:rPr>
          <w:fldChar w:fldCharType="separate"/>
        </w:r>
        <w:r>
          <w:rPr>
            <w:rFonts w:ascii="Calibri" w:hAnsi="Calibri"/>
            <w:color w:val="6E838A"/>
            <w:sz w:val="20"/>
            <w:noProof/>
            <w:webHidden/>
          </w:rPr>
          <w:t xml:space="preserve">28</w:t>
        </w:r>
        <w:r>
          <w:rPr>
            <w:noProof/>
            <w:webHidden/>
          </w:rPr>
          <w:fldChar w:fldCharType="end"/>
        </w:r>
      </w:hyperlink>
    </w:p>
    <w:p>
      <w:pPr>
        <w:pStyle w:val="TOC3"/>
      </w:pPr>
      <w:hyperlink w:anchor="_Toc262100046" w:history="1">
        <w:r>
          <w:rPr>
            <w:rFonts w:ascii="Calibri" w:hAnsi="Calibri"/>
            <w:color w:val="20262A"/>
            <w:sz w:val="20"/>
            <w:noProof/>
          </w:rPr>
          <w:t xml:space="preserve">7.1 Position and Geometry</w:t>
        </w:r>
        <w:r>
          <w:rPr>
            <w:noProof/>
            <w:webHidden/>
          </w:rPr>
          <w:tab/>
        </w:r>
        <w:r>
          <w:rPr>
            <w:noProof/>
            <w:webHidden/>
          </w:rPr>
          <w:fldChar w:fldCharType="begin"/>
        </w:r>
        <w:r>
          <w:rPr>
            <w:noProof/>
            <w:webHidden/>
          </w:rPr>
          <w:instrText xml:space="preserve"> PAGEREF _Toc262100046 \h </w:instrText>
        </w:r>
        <w:r>
          <w:rPr>
            <w:noProof/>
            <w:webHidden/>
          </w:rPr>
          <w:fldChar w:fldCharType="separate"/>
        </w:r>
        <w:r>
          <w:rPr>
            <w:rFonts w:ascii="Calibri" w:hAnsi="Calibri"/>
            <w:color w:val="6E838A"/>
            <w:sz w:val="20"/>
            <w:noProof/>
            <w:webHidden/>
          </w:rPr>
          <w:t xml:space="preserve">28</w:t>
        </w:r>
        <w:r>
          <w:rPr>
            <w:noProof/>
            <w:webHidden/>
          </w:rPr>
          <w:fldChar w:fldCharType="end"/>
        </w:r>
      </w:hyperlink>
    </w:p>
    <w:p>
      <w:pPr>
        <w:pStyle w:val="TOC3"/>
      </w:pPr>
      <w:hyperlink w:anchor="_Toc262100047" w:history="1">
        <w:r>
          <w:rPr>
            <w:rFonts w:ascii="Calibri" w:hAnsi="Calibri"/>
            <w:color w:val="20262A"/>
            <w:sz w:val="20"/>
            <w:noProof/>
          </w:rPr>
          <w:t xml:space="preserve">7.2 The Governing Rule: Registration, Not Permission</w:t>
        </w:r>
        <w:r>
          <w:rPr>
            <w:noProof/>
            <w:webHidden/>
          </w:rPr>
          <w:tab/>
        </w:r>
        <w:r>
          <w:rPr>
            <w:noProof/>
            <w:webHidden/>
          </w:rPr>
          <w:fldChar w:fldCharType="begin"/>
        </w:r>
        <w:r>
          <w:rPr>
            <w:noProof/>
            <w:webHidden/>
          </w:rPr>
          <w:instrText xml:space="preserve"> PAGEREF _Toc262100047 \h </w:instrText>
        </w:r>
        <w:r>
          <w:rPr>
            <w:noProof/>
            <w:webHidden/>
          </w:rPr>
          <w:fldChar w:fldCharType="separate"/>
        </w:r>
        <w:r>
          <w:rPr>
            <w:rFonts w:ascii="Calibri" w:hAnsi="Calibri"/>
            <w:color w:val="6E838A"/>
            <w:sz w:val="20"/>
            <w:noProof/>
            <w:webHidden/>
          </w:rPr>
          <w:t xml:space="preserve">28</w:t>
        </w:r>
        <w:r>
          <w:rPr>
            <w:noProof/>
            <w:webHidden/>
          </w:rPr>
          <w:fldChar w:fldCharType="end"/>
        </w:r>
      </w:hyperlink>
    </w:p>
    <w:p>
      <w:pPr>
        <w:pStyle w:val="TOC3"/>
      </w:pPr>
      <w:hyperlink w:anchor="_Toc262100048" w:history="1">
        <w:r>
          <w:rPr>
            <w:rFonts w:ascii="Calibri" w:hAnsi="Calibri"/>
            <w:color w:val="20262A"/>
            <w:sz w:val="20"/>
            <w:noProof/>
          </w:rPr>
          <w:t xml:space="preserve">7.3 The Multilateral Transit Code</w:t>
        </w:r>
        <w:r>
          <w:rPr>
            <w:noProof/>
            <w:webHidden/>
          </w:rPr>
          <w:tab/>
        </w:r>
        <w:r>
          <w:rPr>
            <w:noProof/>
            <w:webHidden/>
          </w:rPr>
          <w:fldChar w:fldCharType="begin"/>
        </w:r>
        <w:r>
          <w:rPr>
            <w:noProof/>
            <w:webHidden/>
          </w:rPr>
          <w:instrText xml:space="preserve"> PAGEREF _Toc262100048 \h </w:instrText>
        </w:r>
        <w:r>
          <w:rPr>
            <w:noProof/>
            <w:webHidden/>
          </w:rPr>
          <w:fldChar w:fldCharType="separate"/>
        </w:r>
        <w:r>
          <w:rPr>
            <w:rFonts w:ascii="Calibri" w:hAnsi="Calibri"/>
            <w:color w:val="6E838A"/>
            <w:sz w:val="20"/>
            <w:noProof/>
            <w:webHidden/>
          </w:rPr>
          <w:t xml:space="preserve">28</w:t>
        </w:r>
        <w:r>
          <w:rPr>
            <w:noProof/>
            <w:webHidden/>
          </w:rPr>
          <w:fldChar w:fldCharType="end"/>
        </w:r>
      </w:hyperlink>
    </w:p>
    <w:p>
      <w:pPr>
        <w:pStyle w:val="TOC3"/>
      </w:pPr>
      <w:hyperlink w:anchor="_Toc262100049" w:history="1">
        <w:r>
          <w:rPr>
            <w:rFonts w:ascii="Calibri" w:hAnsi="Calibri"/>
            <w:color w:val="20262A"/>
            <w:sz w:val="20"/>
            <w:noProof/>
          </w:rPr>
          <w:t xml:space="preserve">7.4 Management Arrangement</w:t>
        </w:r>
        <w:r>
          <w:rPr>
            <w:noProof/>
            <w:webHidden/>
          </w:rPr>
          <w:tab/>
        </w:r>
        <w:r>
          <w:rPr>
            <w:noProof/>
            <w:webHidden/>
          </w:rPr>
          <w:fldChar w:fldCharType="begin"/>
        </w:r>
        <w:r>
          <w:rPr>
            <w:noProof/>
            <w:webHidden/>
          </w:rPr>
          <w:instrText xml:space="preserve"> PAGEREF _Toc262100049 \h </w:instrText>
        </w:r>
        <w:r>
          <w:rPr>
            <w:noProof/>
            <w:webHidden/>
          </w:rPr>
          <w:fldChar w:fldCharType="separate"/>
        </w:r>
        <w:r>
          <w:rPr>
            <w:rFonts w:ascii="Calibri" w:hAnsi="Calibri"/>
            <w:color w:val="6E838A"/>
            <w:sz w:val="20"/>
            <w:noProof/>
            <w:webHidden/>
          </w:rPr>
          <w:t xml:space="preserve">29</w:t>
        </w:r>
        <w:r>
          <w:rPr>
            <w:noProof/>
            <w:webHidden/>
          </w:rPr>
          <w:fldChar w:fldCharType="end"/>
        </w:r>
      </w:hyperlink>
    </w:p>
    <w:p>
      <w:pPr>
        <w:pStyle w:val="TOC3"/>
      </w:pPr>
      <w:hyperlink w:anchor="_Toc262100050" w:history="1">
        <w:r>
          <w:rPr>
            <w:rFonts w:ascii="Calibri" w:hAnsi="Calibri"/>
            <w:color w:val="20262A"/>
            <w:sz w:val="20"/>
            <w:noProof/>
          </w:rPr>
          <w:t xml:space="preserve">7.5 Services in the Northern Coordination Corridor</w:t>
        </w:r>
        <w:r>
          <w:rPr>
            <w:noProof/>
            <w:webHidden/>
          </w:rPr>
          <w:tab/>
        </w:r>
        <w:r>
          <w:rPr>
            <w:noProof/>
            <w:webHidden/>
          </w:rPr>
          <w:fldChar w:fldCharType="begin"/>
        </w:r>
        <w:r>
          <w:rPr>
            <w:noProof/>
            <w:webHidden/>
          </w:rPr>
          <w:instrText xml:space="preserve"> PAGEREF _Toc262100050 \h </w:instrText>
        </w:r>
        <w:r>
          <w:rPr>
            <w:noProof/>
            <w:webHidden/>
          </w:rPr>
          <w:fldChar w:fldCharType="separate"/>
        </w:r>
        <w:r>
          <w:rPr>
            <w:rFonts w:ascii="Calibri" w:hAnsi="Calibri"/>
            <w:color w:val="6E838A"/>
            <w:sz w:val="20"/>
            <w:noProof/>
            <w:webHidden/>
          </w:rPr>
          <w:t xml:space="preserve">29</w:t>
        </w:r>
        <w:r>
          <w:rPr>
            <w:noProof/>
            <w:webHidden/>
          </w:rPr>
          <w:fldChar w:fldCharType="end"/>
        </w:r>
      </w:hyperlink>
    </w:p>
    <w:p>
      <w:pPr>
        <w:pStyle w:val="TOC3"/>
      </w:pPr>
      <w:hyperlink w:anchor="_Toc262100051" w:history="1">
        <w:r>
          <w:rPr>
            <w:rFonts w:ascii="Calibri" w:hAnsi="Calibri"/>
            <w:color w:val="20262A"/>
            <w:sz w:val="20"/>
            <w:noProof/>
          </w:rPr>
          <w:t xml:space="preserve">7.6 Lane Discipline</w:t>
        </w:r>
        <w:r>
          <w:rPr>
            <w:noProof/>
            <w:webHidden/>
          </w:rPr>
          <w:tab/>
        </w:r>
        <w:r>
          <w:rPr>
            <w:noProof/>
            <w:webHidden/>
          </w:rPr>
          <w:fldChar w:fldCharType="begin"/>
        </w:r>
        <w:r>
          <w:rPr>
            <w:noProof/>
            <w:webHidden/>
          </w:rPr>
          <w:instrText xml:space="preserve"> PAGEREF _Toc262100051 \h </w:instrText>
        </w:r>
        <w:r>
          <w:rPr>
            <w:noProof/>
            <w:webHidden/>
          </w:rPr>
          <w:fldChar w:fldCharType="separate"/>
        </w:r>
        <w:r>
          <w:rPr>
            <w:rFonts w:ascii="Calibri" w:hAnsi="Calibri"/>
            <w:color w:val="6E838A"/>
            <w:sz w:val="20"/>
            <w:noProof/>
            <w:webHidden/>
          </w:rPr>
          <w:t xml:space="preserve">29</w:t>
        </w:r>
        <w:r>
          <w:rPr>
            <w:noProof/>
            <w:webHidden/>
          </w:rPr>
          <w:fldChar w:fldCharType="end"/>
        </w:r>
      </w:hyperlink>
    </w:p>
    <w:p>
      <w:pPr>
        <w:pStyle w:val="TOC2"/>
      </w:pPr>
      <w:hyperlink w:anchor="_Toc262100052" w:history="1">
        <w:r>
          <w:rPr>
            <w:rFonts w:ascii="Calibri" w:hAnsi="Calibri"/>
            <w:color w:val="20262A"/>
            <w:sz w:val="20"/>
            <w:noProof/>
          </w:rPr>
          <w:t xml:space="preserve">Article 8: The Southern Assurance Corridor</w:t>
        </w:r>
        <w:r>
          <w:rPr>
            <w:noProof/>
            <w:webHidden/>
          </w:rPr>
          <w:tab/>
        </w:r>
        <w:r>
          <w:rPr>
            <w:noProof/>
            <w:webHidden/>
          </w:rPr>
          <w:fldChar w:fldCharType="begin"/>
        </w:r>
        <w:r>
          <w:rPr>
            <w:noProof/>
            <w:webHidden/>
          </w:rPr>
          <w:instrText xml:space="preserve"> PAGEREF _Toc262100052 \h </w:instrText>
        </w:r>
        <w:r>
          <w:rPr>
            <w:noProof/>
            <w:webHidden/>
          </w:rPr>
          <w:fldChar w:fldCharType="separate"/>
        </w:r>
        <w:r>
          <w:rPr>
            <w:rFonts w:ascii="Calibri" w:hAnsi="Calibri"/>
            <w:color w:val="6E838A"/>
            <w:sz w:val="20"/>
            <w:noProof/>
            <w:webHidden/>
          </w:rPr>
          <w:t xml:space="preserve">29</w:t>
        </w:r>
        <w:r>
          <w:rPr>
            <w:noProof/>
            <w:webHidden/>
          </w:rPr>
          <w:fldChar w:fldCharType="end"/>
        </w:r>
      </w:hyperlink>
    </w:p>
    <w:p>
      <w:pPr>
        <w:pStyle w:val="TOC3"/>
      </w:pPr>
      <w:hyperlink w:anchor="_Toc262100053" w:history="1">
        <w:r>
          <w:rPr>
            <w:rFonts w:ascii="Calibri" w:hAnsi="Calibri"/>
            <w:color w:val="20262A"/>
            <w:sz w:val="20"/>
            <w:noProof/>
          </w:rPr>
          <w:t xml:space="preserve">8.1 Position and Geometry</w:t>
        </w:r>
        <w:r>
          <w:rPr>
            <w:noProof/>
            <w:webHidden/>
          </w:rPr>
          <w:tab/>
        </w:r>
        <w:r>
          <w:rPr>
            <w:noProof/>
            <w:webHidden/>
          </w:rPr>
          <w:fldChar w:fldCharType="begin"/>
        </w:r>
        <w:r>
          <w:rPr>
            <w:noProof/>
            <w:webHidden/>
          </w:rPr>
          <w:instrText xml:space="preserve"> PAGEREF _Toc262100053 \h </w:instrText>
        </w:r>
        <w:r>
          <w:rPr>
            <w:noProof/>
            <w:webHidden/>
          </w:rPr>
          <w:fldChar w:fldCharType="separate"/>
        </w:r>
        <w:r>
          <w:rPr>
            <w:rFonts w:ascii="Calibri" w:hAnsi="Calibri"/>
            <w:color w:val="6E838A"/>
            <w:sz w:val="20"/>
            <w:noProof/>
            <w:webHidden/>
          </w:rPr>
          <w:t xml:space="preserve">29</w:t>
        </w:r>
        <w:r>
          <w:rPr>
            <w:noProof/>
            <w:webHidden/>
          </w:rPr>
          <w:fldChar w:fldCharType="end"/>
        </w:r>
      </w:hyperlink>
    </w:p>
    <w:p>
      <w:pPr>
        <w:pStyle w:val="TOC3"/>
      </w:pPr>
      <w:hyperlink w:anchor="_Toc262100054" w:history="1">
        <w:r>
          <w:rPr>
            <w:rFonts w:ascii="Calibri" w:hAnsi="Calibri"/>
            <w:color w:val="20262A"/>
            <w:sz w:val="20"/>
            <w:noProof/>
          </w:rPr>
          <w:t xml:space="preserve">8.2 The Governing Rule: Unconditional Transit</w:t>
        </w:r>
        <w:r>
          <w:rPr>
            <w:noProof/>
            <w:webHidden/>
          </w:rPr>
          <w:tab/>
        </w:r>
        <w:r>
          <w:rPr>
            <w:noProof/>
            <w:webHidden/>
          </w:rPr>
          <w:fldChar w:fldCharType="begin"/>
        </w:r>
        <w:r>
          <w:rPr>
            <w:noProof/>
            <w:webHidden/>
          </w:rPr>
          <w:instrText xml:space="preserve"> PAGEREF _Toc262100054 \h </w:instrText>
        </w:r>
        <w:r>
          <w:rPr>
            <w:noProof/>
            <w:webHidden/>
          </w:rPr>
          <w:fldChar w:fldCharType="separate"/>
        </w:r>
        <w:r>
          <w:rPr>
            <w:rFonts w:ascii="Calibri" w:hAnsi="Calibri"/>
            <w:color w:val="6E838A"/>
            <w:sz w:val="20"/>
            <w:noProof/>
            <w:webHidden/>
          </w:rPr>
          <w:t xml:space="preserve">29</w:t>
        </w:r>
        <w:r>
          <w:rPr>
            <w:noProof/>
            <w:webHidden/>
          </w:rPr>
          <w:fldChar w:fldCharType="end"/>
        </w:r>
      </w:hyperlink>
    </w:p>
    <w:p>
      <w:pPr>
        <w:pStyle w:val="TOC3"/>
      </w:pPr>
      <w:hyperlink w:anchor="_Toc262100055" w:history="1">
        <w:r>
          <w:rPr>
            <w:rFonts w:ascii="Calibri" w:hAnsi="Calibri"/>
            <w:color w:val="20262A"/>
            <w:sz w:val="20"/>
            <w:noProof/>
          </w:rPr>
          <w:t xml:space="preserve">8.3 Management Arrangement</w:t>
        </w:r>
        <w:r>
          <w:rPr>
            <w:noProof/>
            <w:webHidden/>
          </w:rPr>
          <w:tab/>
        </w:r>
        <w:r>
          <w:rPr>
            <w:noProof/>
            <w:webHidden/>
          </w:rPr>
          <w:fldChar w:fldCharType="begin"/>
        </w:r>
        <w:r>
          <w:rPr>
            <w:noProof/>
            <w:webHidden/>
          </w:rPr>
          <w:instrText xml:space="preserve"> PAGEREF _Toc262100055 \h </w:instrText>
        </w:r>
        <w:r>
          <w:rPr>
            <w:noProof/>
            <w:webHidden/>
          </w:rPr>
          <w:fldChar w:fldCharType="separate"/>
        </w:r>
        <w:r>
          <w:rPr>
            <w:rFonts w:ascii="Calibri" w:hAnsi="Calibri"/>
            <w:color w:val="6E838A"/>
            <w:sz w:val="20"/>
            <w:noProof/>
            <w:webHidden/>
          </w:rPr>
          <w:t xml:space="preserve">30</w:t>
        </w:r>
        <w:r>
          <w:rPr>
            <w:noProof/>
            <w:webHidden/>
          </w:rPr>
          <w:fldChar w:fldCharType="end"/>
        </w:r>
      </w:hyperlink>
    </w:p>
    <w:p>
      <w:pPr>
        <w:pStyle w:val="TOC3"/>
      </w:pPr>
      <w:hyperlink w:anchor="_Toc262100056" w:history="1">
        <w:r>
          <w:rPr>
            <w:rFonts w:ascii="Calibri" w:hAnsi="Calibri"/>
            <w:color w:val="20262A"/>
            <w:sz w:val="20"/>
            <w:noProof/>
          </w:rPr>
          <w:t xml:space="preserve">8.4 Services in the Southern Assurance Corridor</w:t>
        </w:r>
        <w:r>
          <w:rPr>
            <w:noProof/>
            <w:webHidden/>
          </w:rPr>
          <w:tab/>
        </w:r>
        <w:r>
          <w:rPr>
            <w:noProof/>
            <w:webHidden/>
          </w:rPr>
          <w:fldChar w:fldCharType="begin"/>
        </w:r>
        <w:r>
          <w:rPr>
            <w:noProof/>
            <w:webHidden/>
          </w:rPr>
          <w:instrText xml:space="preserve"> PAGEREF _Toc262100056 \h </w:instrText>
        </w:r>
        <w:r>
          <w:rPr>
            <w:noProof/>
            <w:webHidden/>
          </w:rPr>
          <w:fldChar w:fldCharType="separate"/>
        </w:r>
        <w:r>
          <w:rPr>
            <w:rFonts w:ascii="Calibri" w:hAnsi="Calibri"/>
            <w:color w:val="6E838A"/>
            <w:sz w:val="20"/>
            <w:noProof/>
            <w:webHidden/>
          </w:rPr>
          <w:t xml:space="preserve">30</w:t>
        </w:r>
        <w:r>
          <w:rPr>
            <w:noProof/>
            <w:webHidden/>
          </w:rPr>
          <w:fldChar w:fldCharType="end"/>
        </w:r>
      </w:hyperlink>
    </w:p>
    <w:p>
      <w:pPr>
        <w:pStyle w:val="TOC3"/>
      </w:pPr>
      <w:hyperlink w:anchor="_Toc262100057" w:history="1">
        <w:r>
          <w:rPr>
            <w:rFonts w:ascii="Calibri" w:hAnsi="Calibri"/>
            <w:color w:val="20262A"/>
            <w:sz w:val="20"/>
            <w:noProof/>
          </w:rPr>
          <w:t xml:space="preserve">8.5 Lane Discipline</w:t>
        </w:r>
        <w:r>
          <w:rPr>
            <w:noProof/>
            <w:webHidden/>
          </w:rPr>
          <w:tab/>
        </w:r>
        <w:r>
          <w:rPr>
            <w:noProof/>
            <w:webHidden/>
          </w:rPr>
          <w:fldChar w:fldCharType="begin"/>
        </w:r>
        <w:r>
          <w:rPr>
            <w:noProof/>
            <w:webHidden/>
          </w:rPr>
          <w:instrText xml:space="preserve"> PAGEREF _Toc262100057 \h </w:instrText>
        </w:r>
        <w:r>
          <w:rPr>
            <w:noProof/>
            <w:webHidden/>
          </w:rPr>
          <w:fldChar w:fldCharType="separate"/>
        </w:r>
        <w:r>
          <w:rPr>
            <w:rFonts w:ascii="Calibri" w:hAnsi="Calibri"/>
            <w:color w:val="6E838A"/>
            <w:sz w:val="20"/>
            <w:noProof/>
            <w:webHidden/>
          </w:rPr>
          <w:t xml:space="preserve">30</w:t>
        </w:r>
        <w:r>
          <w:rPr>
            <w:noProof/>
            <w:webHidden/>
          </w:rPr>
          <w:fldChar w:fldCharType="end"/>
        </w:r>
      </w:hyperlink>
    </w:p>
    <w:p>
      <w:pPr>
        <w:pStyle w:val="TOC2"/>
      </w:pPr>
      <w:hyperlink w:anchor="_Toc262100058" w:history="1">
        <w:r>
          <w:rPr>
            <w:rFonts w:ascii="Calibri" w:hAnsi="Calibri"/>
            <w:color w:val="20262A"/>
            <w:sz w:val="20"/>
            <w:noProof/>
          </w:rPr>
          <w:t xml:space="preserve">Article 9: The Central Buffer Corridor</w:t>
        </w:r>
        <w:r>
          <w:rPr>
            <w:noProof/>
            <w:webHidden/>
          </w:rPr>
          <w:tab/>
        </w:r>
        <w:r>
          <w:rPr>
            <w:noProof/>
            <w:webHidden/>
          </w:rPr>
          <w:fldChar w:fldCharType="begin"/>
        </w:r>
        <w:r>
          <w:rPr>
            <w:noProof/>
            <w:webHidden/>
          </w:rPr>
          <w:instrText xml:space="preserve"> PAGEREF _Toc262100058 \h </w:instrText>
        </w:r>
        <w:r>
          <w:rPr>
            <w:noProof/>
            <w:webHidden/>
          </w:rPr>
          <w:fldChar w:fldCharType="separate"/>
        </w:r>
        <w:r>
          <w:rPr>
            <w:rFonts w:ascii="Calibri" w:hAnsi="Calibri"/>
            <w:color w:val="6E838A"/>
            <w:sz w:val="20"/>
            <w:noProof/>
            <w:webHidden/>
          </w:rPr>
          <w:t xml:space="preserve">30</w:t>
        </w:r>
        <w:r>
          <w:rPr>
            <w:noProof/>
            <w:webHidden/>
          </w:rPr>
          <w:fldChar w:fldCharType="end"/>
        </w:r>
      </w:hyperlink>
    </w:p>
    <w:p>
      <w:pPr>
        <w:pStyle w:val="TOC3"/>
      </w:pPr>
      <w:hyperlink w:anchor="_Toc262100059" w:history="1">
        <w:r>
          <w:rPr>
            <w:rFonts w:ascii="Calibri" w:hAnsi="Calibri"/>
            <w:color w:val="20262A"/>
            <w:sz w:val="20"/>
            <w:noProof/>
          </w:rPr>
          <w:t xml:space="preserve">9.1 Position and Geometry</w:t>
        </w:r>
        <w:r>
          <w:rPr>
            <w:noProof/>
            <w:webHidden/>
          </w:rPr>
          <w:tab/>
        </w:r>
        <w:r>
          <w:rPr>
            <w:noProof/>
            <w:webHidden/>
          </w:rPr>
          <w:fldChar w:fldCharType="begin"/>
        </w:r>
        <w:r>
          <w:rPr>
            <w:noProof/>
            <w:webHidden/>
          </w:rPr>
          <w:instrText xml:space="preserve"> PAGEREF _Toc262100059 \h </w:instrText>
        </w:r>
        <w:r>
          <w:rPr>
            <w:noProof/>
            <w:webHidden/>
          </w:rPr>
          <w:fldChar w:fldCharType="separate"/>
        </w:r>
        <w:r>
          <w:rPr>
            <w:rFonts w:ascii="Calibri" w:hAnsi="Calibri"/>
            <w:color w:val="6E838A"/>
            <w:sz w:val="20"/>
            <w:noProof/>
            <w:webHidden/>
          </w:rPr>
          <w:t xml:space="preserve">30</w:t>
        </w:r>
        <w:r>
          <w:rPr>
            <w:noProof/>
            <w:webHidden/>
          </w:rPr>
          <w:fldChar w:fldCharType="end"/>
        </w:r>
      </w:hyperlink>
    </w:p>
    <w:p>
      <w:pPr>
        <w:pStyle w:val="TOC3"/>
      </w:pPr>
      <w:hyperlink w:anchor="_Toc262100060" w:history="1">
        <w:r>
          <w:rPr>
            <w:rFonts w:ascii="Calibri" w:hAnsi="Calibri"/>
            <w:color w:val="20262A"/>
            <w:sz w:val="20"/>
            <w:noProof/>
          </w:rPr>
          <w:t xml:space="preserve">9.2 The Governing Rule: Notification, Not Permission</w:t>
        </w:r>
        <w:r>
          <w:rPr>
            <w:noProof/>
            <w:webHidden/>
          </w:rPr>
          <w:tab/>
        </w:r>
        <w:r>
          <w:rPr>
            <w:noProof/>
            <w:webHidden/>
          </w:rPr>
          <w:fldChar w:fldCharType="begin"/>
        </w:r>
        <w:r>
          <w:rPr>
            <w:noProof/>
            <w:webHidden/>
          </w:rPr>
          <w:instrText xml:space="preserve"> PAGEREF _Toc262100060 \h </w:instrText>
        </w:r>
        <w:r>
          <w:rPr>
            <w:noProof/>
            <w:webHidden/>
          </w:rPr>
          <w:fldChar w:fldCharType="separate"/>
        </w:r>
        <w:r>
          <w:rPr>
            <w:rFonts w:ascii="Calibri" w:hAnsi="Calibri"/>
            <w:color w:val="6E838A"/>
            <w:sz w:val="20"/>
            <w:noProof/>
            <w:webHidden/>
          </w:rPr>
          <w:t xml:space="preserve">30</w:t>
        </w:r>
        <w:r>
          <w:rPr>
            <w:noProof/>
            <w:webHidden/>
          </w:rPr>
          <w:fldChar w:fldCharType="end"/>
        </w:r>
      </w:hyperlink>
    </w:p>
    <w:p>
      <w:pPr>
        <w:pStyle w:val="TOC3"/>
      </w:pPr>
      <w:hyperlink w:anchor="_Toc262100061" w:history="1">
        <w:r>
          <w:rPr>
            <w:rFonts w:ascii="Calibri" w:hAnsi="Calibri"/>
            <w:color w:val="20262A"/>
            <w:sz w:val="20"/>
            <w:noProof/>
          </w:rPr>
          <w:t xml:space="preserve">9.3 Joint Administration and the Standing Share</w:t>
        </w:r>
        <w:r>
          <w:rPr>
            <w:noProof/>
            <w:webHidden/>
          </w:rPr>
          <w:tab/>
        </w:r>
        <w:r>
          <w:rPr>
            <w:noProof/>
            <w:webHidden/>
          </w:rPr>
          <w:fldChar w:fldCharType="begin"/>
        </w:r>
        <w:r>
          <w:rPr>
            <w:noProof/>
            <w:webHidden/>
          </w:rPr>
          <w:instrText xml:space="preserve"> PAGEREF _Toc262100061 \h </w:instrText>
        </w:r>
        <w:r>
          <w:rPr>
            <w:noProof/>
            <w:webHidden/>
          </w:rPr>
          <w:fldChar w:fldCharType="separate"/>
        </w:r>
        <w:r>
          <w:rPr>
            <w:rFonts w:ascii="Calibri" w:hAnsi="Calibri"/>
            <w:color w:val="6E838A"/>
            <w:sz w:val="20"/>
            <w:noProof/>
            <w:webHidden/>
          </w:rPr>
          <w:t xml:space="preserve">31</w:t>
        </w:r>
        <w:r>
          <w:rPr>
            <w:noProof/>
            <w:webHidden/>
          </w:rPr>
          <w:fldChar w:fldCharType="end"/>
        </w:r>
      </w:hyperlink>
    </w:p>
    <w:p>
      <w:pPr>
        <w:pStyle w:val="TOC3"/>
      </w:pPr>
      <w:hyperlink w:anchor="_Toc262100062" w:history="1">
        <w:r>
          <w:rPr>
            <w:rFonts w:ascii="Calibri" w:hAnsi="Calibri"/>
            <w:color w:val="20262A"/>
            <w:sz w:val="20"/>
            <w:noProof/>
          </w:rPr>
          <w:t xml:space="preserve">9.4 Functions of the Corridor</w:t>
        </w:r>
        <w:r>
          <w:rPr>
            <w:noProof/>
            <w:webHidden/>
          </w:rPr>
          <w:tab/>
        </w:r>
        <w:r>
          <w:rPr>
            <w:noProof/>
            <w:webHidden/>
          </w:rPr>
          <w:fldChar w:fldCharType="begin"/>
        </w:r>
        <w:r>
          <w:rPr>
            <w:noProof/>
            <w:webHidden/>
          </w:rPr>
          <w:instrText xml:space="preserve"> PAGEREF _Toc262100062 \h </w:instrText>
        </w:r>
        <w:r>
          <w:rPr>
            <w:noProof/>
            <w:webHidden/>
          </w:rPr>
          <w:fldChar w:fldCharType="separate"/>
        </w:r>
        <w:r>
          <w:rPr>
            <w:rFonts w:ascii="Calibri" w:hAnsi="Calibri"/>
            <w:color w:val="6E838A"/>
            <w:sz w:val="20"/>
            <w:noProof/>
            <w:webHidden/>
          </w:rPr>
          <w:t xml:space="preserve">31</w:t>
        </w:r>
        <w:r>
          <w:rPr>
            <w:noProof/>
            <w:webHidden/>
          </w:rPr>
          <w:fldChar w:fldCharType="end"/>
        </w:r>
      </w:hyperlink>
    </w:p>
    <w:p>
      <w:pPr>
        <w:pStyle w:val="TOC3"/>
      </w:pPr>
      <w:hyperlink w:anchor="_Toc262100063" w:history="1">
        <w:r>
          <w:rPr>
            <w:rFonts w:ascii="Calibri" w:hAnsi="Calibri"/>
            <w:color w:val="20262A"/>
            <w:sz w:val="20"/>
            <w:noProof/>
          </w:rPr>
          <w:t xml:space="preserve">9.5 Services in the Central Buffer Corridor</w:t>
        </w:r>
        <w:r>
          <w:rPr>
            <w:noProof/>
            <w:webHidden/>
          </w:rPr>
          <w:tab/>
        </w:r>
        <w:r>
          <w:rPr>
            <w:noProof/>
            <w:webHidden/>
          </w:rPr>
          <w:fldChar w:fldCharType="begin"/>
        </w:r>
        <w:r>
          <w:rPr>
            <w:noProof/>
            <w:webHidden/>
          </w:rPr>
          <w:instrText xml:space="preserve"> PAGEREF _Toc262100063 \h </w:instrText>
        </w:r>
        <w:r>
          <w:rPr>
            <w:noProof/>
            <w:webHidden/>
          </w:rPr>
          <w:fldChar w:fldCharType="separate"/>
        </w:r>
        <w:r>
          <w:rPr>
            <w:rFonts w:ascii="Calibri" w:hAnsi="Calibri"/>
            <w:color w:val="6E838A"/>
            <w:sz w:val="20"/>
            <w:noProof/>
            <w:webHidden/>
          </w:rPr>
          <w:t xml:space="preserve">31</w:t>
        </w:r>
        <w:r>
          <w:rPr>
            <w:noProof/>
            <w:webHidden/>
          </w:rPr>
          <w:fldChar w:fldCharType="end"/>
        </w:r>
      </w:hyperlink>
    </w:p>
    <w:p>
      <w:pPr>
        <w:pStyle w:val="TOC3"/>
      </w:pPr>
      <w:hyperlink w:anchor="_Toc262100064" w:history="1">
        <w:r>
          <w:rPr>
            <w:rFonts w:ascii="Calibri" w:hAnsi="Calibri"/>
            <w:color w:val="20262A"/>
            <w:sz w:val="20"/>
            <w:noProof/>
          </w:rPr>
          <w:t xml:space="preserve">9.6 Lane Discipline and the Phased Governance Review</w:t>
        </w:r>
        <w:r>
          <w:rPr>
            <w:noProof/>
            <w:webHidden/>
          </w:rPr>
          <w:tab/>
        </w:r>
        <w:r>
          <w:rPr>
            <w:noProof/>
            <w:webHidden/>
          </w:rPr>
          <w:fldChar w:fldCharType="begin"/>
        </w:r>
        <w:r>
          <w:rPr>
            <w:noProof/>
            <w:webHidden/>
          </w:rPr>
          <w:instrText xml:space="preserve"> PAGEREF _Toc262100064 \h </w:instrText>
        </w:r>
        <w:r>
          <w:rPr>
            <w:noProof/>
            <w:webHidden/>
          </w:rPr>
          <w:fldChar w:fldCharType="separate"/>
        </w:r>
        <w:r>
          <w:rPr>
            <w:rFonts w:ascii="Calibri" w:hAnsi="Calibri"/>
            <w:color w:val="6E838A"/>
            <w:sz w:val="20"/>
            <w:noProof/>
            <w:webHidden/>
          </w:rPr>
          <w:t xml:space="preserve">31</w:t>
        </w:r>
        <w:r>
          <w:rPr>
            <w:noProof/>
            <w:webHidden/>
          </w:rPr>
          <w:fldChar w:fldCharType="end"/>
        </w:r>
      </w:hyperlink>
    </w:p>
    <w:p>
      <w:pPr>
        <w:pStyle w:val="TOC2"/>
      </w:pPr>
      <w:hyperlink w:anchor="_Toc262100065" w:history="1">
        <w:r>
          <w:rPr>
            <w:rFonts w:ascii="Calibri" w:hAnsi="Calibri"/>
            <w:color w:val="20262A"/>
            <w:sz w:val="20"/>
            <w:noProof/>
          </w:rPr>
          <w:t xml:space="preserve">Article 10: The One-Third Allocation Rule and the Stewardship Shares</w:t>
        </w:r>
        <w:r>
          <w:rPr>
            <w:noProof/>
            <w:webHidden/>
          </w:rPr>
          <w:tab/>
        </w:r>
        <w:r>
          <w:rPr>
            <w:noProof/>
            <w:webHidden/>
          </w:rPr>
          <w:fldChar w:fldCharType="begin"/>
        </w:r>
        <w:r>
          <w:rPr>
            <w:noProof/>
            <w:webHidden/>
          </w:rPr>
          <w:instrText xml:space="preserve"> PAGEREF _Toc262100065 \h </w:instrText>
        </w:r>
        <w:r>
          <w:rPr>
            <w:noProof/>
            <w:webHidden/>
          </w:rPr>
          <w:fldChar w:fldCharType="separate"/>
        </w:r>
        <w:r>
          <w:rPr>
            <w:rFonts w:ascii="Calibri" w:hAnsi="Calibri"/>
            <w:color w:val="6E838A"/>
            <w:sz w:val="20"/>
            <w:noProof/>
            <w:webHidden/>
          </w:rPr>
          <w:t xml:space="preserve">31</w:t>
        </w:r>
        <w:r>
          <w:rPr>
            <w:noProof/>
            <w:webHidden/>
          </w:rPr>
          <w:fldChar w:fldCharType="end"/>
        </w:r>
      </w:hyperlink>
    </w:p>
    <w:p>
      <w:pPr>
        <w:pStyle w:val="TOC3"/>
      </w:pPr>
      <w:hyperlink w:anchor="_Toc262100066" w:history="1">
        <w:r>
          <w:rPr>
            <w:rFonts w:ascii="Calibri" w:hAnsi="Calibri"/>
            <w:color w:val="20262A"/>
            <w:sz w:val="20"/>
            <w:noProof/>
          </w:rPr>
          <w:t xml:space="preserve">10.1 The Rule</w:t>
        </w:r>
        <w:r>
          <w:rPr>
            <w:noProof/>
            <w:webHidden/>
          </w:rPr>
          <w:tab/>
        </w:r>
        <w:r>
          <w:rPr>
            <w:noProof/>
            <w:webHidden/>
          </w:rPr>
          <w:fldChar w:fldCharType="begin"/>
        </w:r>
        <w:r>
          <w:rPr>
            <w:noProof/>
            <w:webHidden/>
          </w:rPr>
          <w:instrText xml:space="preserve"> PAGEREF _Toc262100066 \h </w:instrText>
        </w:r>
        <w:r>
          <w:rPr>
            <w:noProof/>
            <w:webHidden/>
          </w:rPr>
          <w:fldChar w:fldCharType="separate"/>
        </w:r>
        <w:r>
          <w:rPr>
            <w:rFonts w:ascii="Calibri" w:hAnsi="Calibri"/>
            <w:color w:val="6E838A"/>
            <w:sz w:val="20"/>
            <w:noProof/>
            <w:webHidden/>
          </w:rPr>
          <w:t xml:space="preserve">31</w:t>
        </w:r>
        <w:r>
          <w:rPr>
            <w:noProof/>
            <w:webHidden/>
          </w:rPr>
          <w:fldChar w:fldCharType="end"/>
        </w:r>
      </w:hyperlink>
    </w:p>
    <w:p>
      <w:pPr>
        <w:pStyle w:val="TOC3"/>
      </w:pPr>
      <w:hyperlink w:anchor="_Toc262100067" w:history="1">
        <w:r>
          <w:rPr>
            <w:rFonts w:ascii="Calibri" w:hAnsi="Calibri"/>
            <w:color w:val="20262A"/>
            <w:sz w:val="20"/>
            <w:noProof/>
          </w:rPr>
          <w:t xml:space="preserve">10.2 The Three Dimensions of a Share</w:t>
        </w:r>
        <w:r>
          <w:rPr>
            <w:noProof/>
            <w:webHidden/>
          </w:rPr>
          <w:tab/>
        </w:r>
        <w:r>
          <w:rPr>
            <w:noProof/>
            <w:webHidden/>
          </w:rPr>
          <w:fldChar w:fldCharType="begin"/>
        </w:r>
        <w:r>
          <w:rPr>
            <w:noProof/>
            <w:webHidden/>
          </w:rPr>
          <w:instrText xml:space="preserve"> PAGEREF _Toc262100067 \h </w:instrText>
        </w:r>
        <w:r>
          <w:rPr>
            <w:noProof/>
            <w:webHidden/>
          </w:rPr>
          <w:fldChar w:fldCharType="separate"/>
        </w:r>
        <w:r>
          <w:rPr>
            <w:rFonts w:ascii="Calibri" w:hAnsi="Calibri"/>
            <w:color w:val="6E838A"/>
            <w:sz w:val="20"/>
            <w:noProof/>
            <w:webHidden/>
          </w:rPr>
          <w:t xml:space="preserve">32</w:t>
        </w:r>
        <w:r>
          <w:rPr>
            <w:noProof/>
            <w:webHidden/>
          </w:rPr>
          <w:fldChar w:fldCharType="end"/>
        </w:r>
      </w:hyperlink>
    </w:p>
    <w:p>
      <w:pPr>
        <w:pStyle w:val="TOC3"/>
      </w:pPr>
      <w:hyperlink w:anchor="_Toc262100068" w:history="1">
        <w:r>
          <w:rPr>
            <w:rFonts w:ascii="Calibri" w:hAnsi="Calibri"/>
            <w:color w:val="20262A"/>
            <w:sz w:val="20"/>
            <w:noProof/>
          </w:rPr>
          <w:t xml:space="preserve">10.3 The Share Schedule</w:t>
        </w:r>
        <w:r>
          <w:rPr>
            <w:noProof/>
            <w:webHidden/>
          </w:rPr>
          <w:tab/>
        </w:r>
        <w:r>
          <w:rPr>
            <w:noProof/>
            <w:webHidden/>
          </w:rPr>
          <w:fldChar w:fldCharType="begin"/>
        </w:r>
        <w:r>
          <w:rPr>
            <w:noProof/>
            <w:webHidden/>
          </w:rPr>
          <w:instrText xml:space="preserve"> PAGEREF _Toc262100068 \h </w:instrText>
        </w:r>
        <w:r>
          <w:rPr>
            <w:noProof/>
            <w:webHidden/>
          </w:rPr>
          <w:fldChar w:fldCharType="separate"/>
        </w:r>
        <w:r>
          <w:rPr>
            <w:rFonts w:ascii="Calibri" w:hAnsi="Calibri"/>
            <w:color w:val="6E838A"/>
            <w:sz w:val="20"/>
            <w:noProof/>
            <w:webHidden/>
          </w:rPr>
          <w:t xml:space="preserve">32</w:t>
        </w:r>
        <w:r>
          <w:rPr>
            <w:noProof/>
            <w:webHidden/>
          </w:rPr>
          <w:fldChar w:fldCharType="end"/>
        </w:r>
      </w:hyperlink>
    </w:p>
    <w:p>
      <w:pPr>
        <w:pStyle w:val="TOC3"/>
      </w:pPr>
      <w:hyperlink w:anchor="_Toc262100069" w:history="1">
        <w:r>
          <w:rPr>
            <w:rFonts w:ascii="Calibri" w:hAnsi="Calibri"/>
            <w:color w:val="20262A"/>
            <w:sz w:val="20"/>
            <w:noProof/>
          </w:rPr>
          <w:t xml:space="preserve">10.4 What a Share Does Not Carry</w:t>
        </w:r>
        <w:r>
          <w:rPr>
            <w:noProof/>
            <w:webHidden/>
          </w:rPr>
          <w:tab/>
        </w:r>
        <w:r>
          <w:rPr>
            <w:noProof/>
            <w:webHidden/>
          </w:rPr>
          <w:fldChar w:fldCharType="begin"/>
        </w:r>
        <w:r>
          <w:rPr>
            <w:noProof/>
            <w:webHidden/>
          </w:rPr>
          <w:instrText xml:space="preserve"> PAGEREF _Toc262100069 \h </w:instrText>
        </w:r>
        <w:r>
          <w:rPr>
            <w:noProof/>
            <w:webHidden/>
          </w:rPr>
          <w:fldChar w:fldCharType="separate"/>
        </w:r>
        <w:r>
          <w:rPr>
            <w:rFonts w:ascii="Calibri" w:hAnsi="Calibri"/>
            <w:color w:val="6E838A"/>
            <w:sz w:val="20"/>
            <w:noProof/>
            <w:webHidden/>
          </w:rPr>
          <w:t xml:space="preserve">32</w:t>
        </w:r>
        <w:r>
          <w:rPr>
            <w:noProof/>
            <w:webHidden/>
          </w:rPr>
          <w:fldChar w:fldCharType="end"/>
        </w:r>
      </w:hyperlink>
    </w:p>
    <w:p>
      <w:pPr>
        <w:pStyle w:val="TOC3"/>
      </w:pPr>
      <w:hyperlink w:anchor="_Toc262100070" w:history="1">
        <w:r>
          <w:rPr>
            <w:rFonts w:ascii="Calibri" w:hAnsi="Calibri"/>
            <w:color w:val="20262A"/>
            <w:sz w:val="20"/>
            <w:noProof/>
          </w:rPr>
          <w:t xml:space="preserve">10.5 Symmetry of Opportunity</w:t>
        </w:r>
        <w:r>
          <w:rPr>
            <w:noProof/>
            <w:webHidden/>
          </w:rPr>
          <w:tab/>
        </w:r>
        <w:r>
          <w:rPr>
            <w:noProof/>
            <w:webHidden/>
          </w:rPr>
          <w:fldChar w:fldCharType="begin"/>
        </w:r>
        <w:r>
          <w:rPr>
            <w:noProof/>
            <w:webHidden/>
          </w:rPr>
          <w:instrText xml:space="preserve"> PAGEREF _Toc262100070 \h </w:instrText>
        </w:r>
        <w:r>
          <w:rPr>
            <w:noProof/>
            <w:webHidden/>
          </w:rPr>
          <w:fldChar w:fldCharType="separate"/>
        </w:r>
        <w:r>
          <w:rPr>
            <w:rFonts w:ascii="Calibri" w:hAnsi="Calibri"/>
            <w:color w:val="6E838A"/>
            <w:sz w:val="20"/>
            <w:noProof/>
            <w:webHidden/>
          </w:rPr>
          <w:t xml:space="preserve">33</w:t>
        </w:r>
        <w:r>
          <w:rPr>
            <w:noProof/>
            <w:webHidden/>
          </w:rPr>
          <w:fldChar w:fldCharType="end"/>
        </w:r>
      </w:hyperlink>
    </w:p>
    <w:p>
      <w:pPr>
        <w:pStyle w:val="TOC2"/>
      </w:pPr>
      <w:hyperlink w:anchor="_Toc262100071" w:history="1">
        <w:r>
          <w:rPr>
            <w:rFonts w:ascii="Calibri" w:hAnsi="Calibri"/>
            <w:color w:val="20262A"/>
            <w:sz w:val="20"/>
            <w:noProof/>
          </w:rPr>
          <w:t xml:space="preserve">Article 11: Geometry, Coordinates, and Separation</w:t>
        </w:r>
        <w:r>
          <w:rPr>
            <w:noProof/>
            <w:webHidden/>
          </w:rPr>
          <w:tab/>
        </w:r>
        <w:r>
          <w:rPr>
            <w:noProof/>
            <w:webHidden/>
          </w:rPr>
          <w:fldChar w:fldCharType="begin"/>
        </w:r>
        <w:r>
          <w:rPr>
            <w:noProof/>
            <w:webHidden/>
          </w:rPr>
          <w:instrText xml:space="preserve"> PAGEREF _Toc262100071 \h </w:instrText>
        </w:r>
        <w:r>
          <w:rPr>
            <w:noProof/>
            <w:webHidden/>
          </w:rPr>
          <w:fldChar w:fldCharType="separate"/>
        </w:r>
        <w:r>
          <w:rPr>
            <w:rFonts w:ascii="Calibri" w:hAnsi="Calibri"/>
            <w:color w:val="6E838A"/>
            <w:sz w:val="20"/>
            <w:noProof/>
            <w:webHidden/>
          </w:rPr>
          <w:t xml:space="preserve">33</w:t>
        </w:r>
        <w:r>
          <w:rPr>
            <w:noProof/>
            <w:webHidden/>
          </w:rPr>
          <w:fldChar w:fldCharType="end"/>
        </w:r>
      </w:hyperlink>
    </w:p>
    <w:p>
      <w:pPr>
        <w:pStyle w:val="TOC3"/>
      </w:pPr>
      <w:hyperlink w:anchor="_Toc262100072" w:history="1">
        <w:r>
          <w:rPr>
            <w:rFonts w:ascii="Calibri" w:hAnsi="Calibri"/>
            <w:color w:val="20262A"/>
            <w:sz w:val="20"/>
            <w:noProof/>
          </w:rPr>
          <w:t xml:space="preserve">11.1 Geodetic Reference</w:t>
        </w:r>
        <w:r>
          <w:rPr>
            <w:noProof/>
            <w:webHidden/>
          </w:rPr>
          <w:tab/>
        </w:r>
        <w:r>
          <w:rPr>
            <w:noProof/>
            <w:webHidden/>
          </w:rPr>
          <w:fldChar w:fldCharType="begin"/>
        </w:r>
        <w:r>
          <w:rPr>
            <w:noProof/>
            <w:webHidden/>
          </w:rPr>
          <w:instrText xml:space="preserve"> PAGEREF _Toc262100072 \h </w:instrText>
        </w:r>
        <w:r>
          <w:rPr>
            <w:noProof/>
            <w:webHidden/>
          </w:rPr>
          <w:fldChar w:fldCharType="separate"/>
        </w:r>
        <w:r>
          <w:rPr>
            <w:rFonts w:ascii="Calibri" w:hAnsi="Calibri"/>
            <w:color w:val="6E838A"/>
            <w:sz w:val="20"/>
            <w:noProof/>
            <w:webHidden/>
          </w:rPr>
          <w:t xml:space="preserve">33</w:t>
        </w:r>
        <w:r>
          <w:rPr>
            <w:noProof/>
            <w:webHidden/>
          </w:rPr>
          <w:fldChar w:fldCharType="end"/>
        </w:r>
      </w:hyperlink>
    </w:p>
    <w:p>
      <w:pPr>
        <w:pStyle w:val="TOC3"/>
      </w:pPr>
      <w:hyperlink w:anchor="_Toc262100073" w:history="1">
        <w:r>
          <w:rPr>
            <w:rFonts w:ascii="Calibri" w:hAnsi="Calibri"/>
            <w:color w:val="20262A"/>
            <w:sz w:val="20"/>
            <w:noProof/>
          </w:rPr>
          <w:t xml:space="preserve">11.2 Publication Sequence</w:t>
        </w:r>
        <w:r>
          <w:rPr>
            <w:noProof/>
            <w:webHidden/>
          </w:rPr>
          <w:tab/>
        </w:r>
        <w:r>
          <w:rPr>
            <w:noProof/>
            <w:webHidden/>
          </w:rPr>
          <w:fldChar w:fldCharType="begin"/>
        </w:r>
        <w:r>
          <w:rPr>
            <w:noProof/>
            <w:webHidden/>
          </w:rPr>
          <w:instrText xml:space="preserve"> PAGEREF _Toc262100073 \h </w:instrText>
        </w:r>
        <w:r>
          <w:rPr>
            <w:noProof/>
            <w:webHidden/>
          </w:rPr>
          <w:fldChar w:fldCharType="separate"/>
        </w:r>
        <w:r>
          <w:rPr>
            <w:rFonts w:ascii="Calibri" w:hAnsi="Calibri"/>
            <w:color w:val="6E838A"/>
            <w:sz w:val="20"/>
            <w:noProof/>
            <w:webHidden/>
          </w:rPr>
          <w:t xml:space="preserve">33</w:t>
        </w:r>
        <w:r>
          <w:rPr>
            <w:noProof/>
            <w:webHidden/>
          </w:rPr>
          <w:fldChar w:fldCharType="end"/>
        </w:r>
      </w:hyperlink>
    </w:p>
    <w:p>
      <w:pPr>
        <w:pStyle w:val="TOC3"/>
      </w:pPr>
      <w:hyperlink w:anchor="_Toc262100074" w:history="1">
        <w:r>
          <w:rPr>
            <w:rFonts w:ascii="Calibri" w:hAnsi="Calibri"/>
            <w:color w:val="20262A"/>
            <w:sz w:val="20"/>
            <w:noProof/>
          </w:rPr>
          <w:t xml:space="preserve">11.3 The Precautionary Zones</w:t>
        </w:r>
        <w:r>
          <w:rPr>
            <w:noProof/>
            <w:webHidden/>
          </w:rPr>
          <w:tab/>
        </w:r>
        <w:r>
          <w:rPr>
            <w:noProof/>
            <w:webHidden/>
          </w:rPr>
          <w:fldChar w:fldCharType="begin"/>
        </w:r>
        <w:r>
          <w:rPr>
            <w:noProof/>
            <w:webHidden/>
          </w:rPr>
          <w:instrText xml:space="preserve"> PAGEREF _Toc262100074 \h </w:instrText>
        </w:r>
        <w:r>
          <w:rPr>
            <w:noProof/>
            <w:webHidden/>
          </w:rPr>
          <w:fldChar w:fldCharType="separate"/>
        </w:r>
        <w:r>
          <w:rPr>
            <w:rFonts w:ascii="Calibri" w:hAnsi="Calibri"/>
            <w:color w:val="6E838A"/>
            <w:sz w:val="20"/>
            <w:noProof/>
            <w:webHidden/>
          </w:rPr>
          <w:t xml:space="preserve">33</w:t>
        </w:r>
        <w:r>
          <w:rPr>
            <w:noProof/>
            <w:webHidden/>
          </w:rPr>
          <w:fldChar w:fldCharType="end"/>
        </w:r>
      </w:hyperlink>
    </w:p>
    <w:p>
      <w:pPr>
        <w:pStyle w:val="TOC3"/>
      </w:pPr>
      <w:hyperlink w:anchor="_Toc262100075" w:history="1">
        <w:r>
          <w:rPr>
            <w:rFonts w:ascii="Calibri" w:hAnsi="Calibri"/>
            <w:color w:val="20262A"/>
            <w:sz w:val="20"/>
            <w:noProof/>
          </w:rPr>
          <w:t xml:space="preserve">11.4 Holding Anchorages and Rendezvous Points</w:t>
        </w:r>
        <w:r>
          <w:rPr>
            <w:noProof/>
            <w:webHidden/>
          </w:rPr>
          <w:tab/>
        </w:r>
        <w:r>
          <w:rPr>
            <w:noProof/>
            <w:webHidden/>
          </w:rPr>
          <w:fldChar w:fldCharType="begin"/>
        </w:r>
        <w:r>
          <w:rPr>
            <w:noProof/>
            <w:webHidden/>
          </w:rPr>
          <w:instrText xml:space="preserve"> PAGEREF _Toc262100075 \h </w:instrText>
        </w:r>
        <w:r>
          <w:rPr>
            <w:noProof/>
            <w:webHidden/>
          </w:rPr>
          <w:fldChar w:fldCharType="separate"/>
        </w:r>
        <w:r>
          <w:rPr>
            <w:rFonts w:ascii="Calibri" w:hAnsi="Calibri"/>
            <w:color w:val="6E838A"/>
            <w:sz w:val="20"/>
            <w:noProof/>
            <w:webHidden/>
          </w:rPr>
          <w:t xml:space="preserve">33</w:t>
        </w:r>
        <w:r>
          <w:rPr>
            <w:noProof/>
            <w:webHidden/>
          </w:rPr>
          <w:fldChar w:fldCharType="end"/>
        </w:r>
      </w:hyperlink>
    </w:p>
    <w:p>
      <w:pPr>
        <w:pStyle w:val="TOC3"/>
      </w:pPr>
      <w:hyperlink w:anchor="_Toc262100076" w:history="1">
        <w:r>
          <w:rPr>
            <w:rFonts w:ascii="Calibri" w:hAnsi="Calibri"/>
            <w:color w:val="20262A"/>
            <w:sz w:val="20"/>
            <w:noProof/>
          </w:rPr>
          <w:t xml:space="preserve">11.5 The Inshore Local Craft Bands</w:t>
        </w:r>
        <w:r>
          <w:rPr>
            <w:noProof/>
            <w:webHidden/>
          </w:rPr>
          <w:tab/>
        </w:r>
        <w:r>
          <w:rPr>
            <w:noProof/>
            <w:webHidden/>
          </w:rPr>
          <w:fldChar w:fldCharType="begin"/>
        </w:r>
        <w:r>
          <w:rPr>
            <w:noProof/>
            <w:webHidden/>
          </w:rPr>
          <w:instrText xml:space="preserve"> PAGEREF _Toc262100076 \h </w:instrText>
        </w:r>
        <w:r>
          <w:rPr>
            <w:noProof/>
            <w:webHidden/>
          </w:rPr>
          <w:fldChar w:fldCharType="separate"/>
        </w:r>
        <w:r>
          <w:rPr>
            <w:rFonts w:ascii="Calibri" w:hAnsi="Calibri"/>
            <w:color w:val="6E838A"/>
            <w:sz w:val="20"/>
            <w:noProof/>
            <w:webHidden/>
          </w:rPr>
          <w:t xml:space="preserve">33</w:t>
        </w:r>
        <w:r>
          <w:rPr>
            <w:noProof/>
            <w:webHidden/>
          </w:rPr>
          <w:fldChar w:fldCharType="end"/>
        </w:r>
      </w:hyperlink>
    </w:p>
    <w:p>
      <w:pPr>
        <w:pStyle w:val="TOC3"/>
      </w:pPr>
      <w:hyperlink w:anchor="_Toc262100077" w:history="1">
        <w:r>
          <w:rPr>
            <w:rFonts w:ascii="Calibri" w:hAnsi="Calibri"/>
            <w:color w:val="20262A"/>
            <w:sz w:val="20"/>
            <w:noProof/>
          </w:rPr>
          <w:t xml:space="preserve">11.6 Survey and Charting</w:t>
        </w:r>
        <w:r>
          <w:rPr>
            <w:noProof/>
            <w:webHidden/>
          </w:rPr>
          <w:tab/>
        </w:r>
        <w:r>
          <w:rPr>
            <w:noProof/>
            <w:webHidden/>
          </w:rPr>
          <w:fldChar w:fldCharType="begin"/>
        </w:r>
        <w:r>
          <w:rPr>
            <w:noProof/>
            <w:webHidden/>
          </w:rPr>
          <w:instrText xml:space="preserve"> PAGEREF _Toc262100077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2"/>
      </w:pPr>
      <w:hyperlink w:anchor="_Toc262100078" w:history="1">
        <w:r>
          <w:rPr>
            <w:rFonts w:ascii="Calibri" w:hAnsi="Calibri"/>
            <w:color w:val="20262A"/>
            <w:sz w:val="20"/>
            <w:noProof/>
          </w:rPr>
          <w:t xml:space="preserve">Article 12: Vessel Classification and Differentiated Treatment</w:t>
        </w:r>
        <w:r>
          <w:rPr>
            <w:noProof/>
            <w:webHidden/>
          </w:rPr>
          <w:tab/>
        </w:r>
        <w:r>
          <w:rPr>
            <w:noProof/>
            <w:webHidden/>
          </w:rPr>
          <w:fldChar w:fldCharType="begin"/>
        </w:r>
        <w:r>
          <w:rPr>
            <w:noProof/>
            <w:webHidden/>
          </w:rPr>
          <w:instrText xml:space="preserve"> PAGEREF _Toc262100078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3"/>
      </w:pPr>
      <w:hyperlink w:anchor="_Toc262100079" w:history="1">
        <w:r>
          <w:rPr>
            <w:rFonts w:ascii="Calibri" w:hAnsi="Calibri"/>
            <w:color w:val="20262A"/>
            <w:sz w:val="20"/>
            <w:noProof/>
          </w:rPr>
          <w:t xml:space="preserve">12.1 Classification Method</w:t>
        </w:r>
        <w:r>
          <w:rPr>
            <w:noProof/>
            <w:webHidden/>
          </w:rPr>
          <w:tab/>
        </w:r>
        <w:r>
          <w:rPr>
            <w:noProof/>
            <w:webHidden/>
          </w:rPr>
          <w:fldChar w:fldCharType="begin"/>
        </w:r>
        <w:r>
          <w:rPr>
            <w:noProof/>
            <w:webHidden/>
          </w:rPr>
          <w:instrText xml:space="preserve"> PAGEREF _Toc262100079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3"/>
      </w:pPr>
      <w:hyperlink w:anchor="_Toc262100080" w:history="1">
        <w:r>
          <w:rPr>
            <w:rFonts w:ascii="Calibri" w:hAnsi="Calibri"/>
            <w:color w:val="20262A"/>
            <w:sz w:val="20"/>
            <w:noProof/>
          </w:rPr>
          <w:t xml:space="preserve">12.2 The Nine Classes</w:t>
        </w:r>
        <w:r>
          <w:rPr>
            <w:noProof/>
            <w:webHidden/>
          </w:rPr>
          <w:tab/>
        </w:r>
        <w:r>
          <w:rPr>
            <w:noProof/>
            <w:webHidden/>
          </w:rPr>
          <w:fldChar w:fldCharType="begin"/>
        </w:r>
        <w:r>
          <w:rPr>
            <w:noProof/>
            <w:webHidden/>
          </w:rPr>
          <w:instrText xml:space="preserve"> PAGEREF _Toc262100080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3"/>
      </w:pPr>
      <w:hyperlink w:anchor="_Toc262100081" w:history="1">
        <w:r>
          <w:rPr>
            <w:rFonts w:ascii="Calibri" w:hAnsi="Calibri"/>
            <w:color w:val="20262A"/>
            <w:sz w:val="20"/>
            <w:noProof/>
          </w:rPr>
          <w:t xml:space="preserve">12.3 Treatment Differentiators</w:t>
        </w:r>
        <w:r>
          <w:rPr>
            <w:noProof/>
            <w:webHidden/>
          </w:rPr>
          <w:tab/>
        </w:r>
        <w:r>
          <w:rPr>
            <w:noProof/>
            <w:webHidden/>
          </w:rPr>
          <w:fldChar w:fldCharType="begin"/>
        </w:r>
        <w:r>
          <w:rPr>
            <w:noProof/>
            <w:webHidden/>
          </w:rPr>
          <w:instrText xml:space="preserve"> PAGEREF _Toc262100081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3"/>
      </w:pPr>
      <w:hyperlink w:anchor="_Toc262100082" w:history="1">
        <w:r>
          <w:rPr>
            <w:rFonts w:ascii="Calibri" w:hAnsi="Calibri"/>
            <w:color w:val="20262A"/>
            <w:sz w:val="20"/>
            <w:noProof/>
          </w:rPr>
          <w:t xml:space="preserve">12.4 Humanitarian Priority</w:t>
        </w:r>
        <w:r>
          <w:rPr>
            <w:noProof/>
            <w:webHidden/>
          </w:rPr>
          <w:tab/>
        </w:r>
        <w:r>
          <w:rPr>
            <w:noProof/>
            <w:webHidden/>
          </w:rPr>
          <w:fldChar w:fldCharType="begin"/>
        </w:r>
        <w:r>
          <w:rPr>
            <w:noProof/>
            <w:webHidden/>
          </w:rPr>
          <w:instrText xml:space="preserve"> PAGEREF _Toc262100082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2"/>
      </w:pPr>
      <w:hyperlink w:anchor="_Toc262100083" w:history="1">
        <w:r>
          <w:rPr>
            <w:rFonts w:ascii="Calibri" w:hAnsi="Calibri"/>
            <w:color w:val="20262A"/>
            <w:sz w:val="20"/>
            <w:noProof/>
          </w:rPr>
          <w:t xml:space="preserve">Article 13: Safe Passage Guarantees and the Non-Interdiction Protocol</w:t>
        </w:r>
        <w:r>
          <w:rPr>
            <w:noProof/>
            <w:webHidden/>
          </w:rPr>
          <w:tab/>
        </w:r>
        <w:r>
          <w:rPr>
            <w:noProof/>
            <w:webHidden/>
          </w:rPr>
          <w:fldChar w:fldCharType="begin"/>
        </w:r>
        <w:r>
          <w:rPr>
            <w:noProof/>
            <w:webHidden/>
          </w:rPr>
          <w:instrText xml:space="preserve"> PAGEREF _Toc262100083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3"/>
      </w:pPr>
      <w:hyperlink w:anchor="_Toc262100084" w:history="1">
        <w:r>
          <w:rPr>
            <w:rFonts w:ascii="Calibri" w:hAnsi="Calibri"/>
            <w:color w:val="20262A"/>
            <w:sz w:val="20"/>
            <w:noProof/>
          </w:rPr>
          <w:t xml:space="preserve">13.1 The Guarantee</w:t>
        </w:r>
        <w:r>
          <w:rPr>
            <w:noProof/>
            <w:webHidden/>
          </w:rPr>
          <w:tab/>
        </w:r>
        <w:r>
          <w:rPr>
            <w:noProof/>
            <w:webHidden/>
          </w:rPr>
          <w:fldChar w:fldCharType="begin"/>
        </w:r>
        <w:r>
          <w:rPr>
            <w:noProof/>
            <w:webHidden/>
          </w:rPr>
          <w:instrText xml:space="preserve"> PAGEREF _Toc262100084 \h </w:instrText>
        </w:r>
        <w:r>
          <w:rPr>
            <w:noProof/>
            <w:webHidden/>
          </w:rPr>
          <w:fldChar w:fldCharType="separate"/>
        </w:r>
        <w:r>
          <w:rPr>
            <w:rFonts w:ascii="Calibri" w:hAnsi="Calibri"/>
            <w:color w:val="6E838A"/>
            <w:sz w:val="20"/>
            <w:noProof/>
            <w:webHidden/>
          </w:rPr>
          <w:t xml:space="preserve">34</w:t>
        </w:r>
        <w:r>
          <w:rPr>
            <w:noProof/>
            <w:webHidden/>
          </w:rPr>
          <w:fldChar w:fldCharType="end"/>
        </w:r>
      </w:hyperlink>
    </w:p>
    <w:p>
      <w:pPr>
        <w:pStyle w:val="TOC3"/>
      </w:pPr>
      <w:hyperlink w:anchor="_Toc262100085" w:history="1">
        <w:r>
          <w:rPr>
            <w:rFonts w:ascii="Calibri" w:hAnsi="Calibri"/>
            <w:color w:val="20262A"/>
            <w:sz w:val="20"/>
            <w:noProof/>
          </w:rPr>
          <w:t xml:space="preserve">13.2 The Non-Interdiction Protocol</w:t>
        </w:r>
        <w:r>
          <w:rPr>
            <w:noProof/>
            <w:webHidden/>
          </w:rPr>
          <w:tab/>
        </w:r>
        <w:r>
          <w:rPr>
            <w:noProof/>
            <w:webHidden/>
          </w:rPr>
          <w:fldChar w:fldCharType="begin"/>
        </w:r>
        <w:r>
          <w:rPr>
            <w:noProof/>
            <w:webHidden/>
          </w:rPr>
          <w:instrText xml:space="preserve"> PAGEREF _Toc262100085 \h </w:instrText>
        </w:r>
        <w:r>
          <w:rPr>
            <w:noProof/>
            <w:webHidden/>
          </w:rPr>
          <w:fldChar w:fldCharType="separate"/>
        </w:r>
        <w:r>
          <w:rPr>
            <w:rFonts w:ascii="Calibri" w:hAnsi="Calibri"/>
            <w:color w:val="6E838A"/>
            <w:sz w:val="20"/>
            <w:noProof/>
            <w:webHidden/>
          </w:rPr>
          <w:t xml:space="preserve">35</w:t>
        </w:r>
        <w:r>
          <w:rPr>
            <w:noProof/>
            <w:webHidden/>
          </w:rPr>
          <w:fldChar w:fldCharType="end"/>
        </w:r>
      </w:hyperlink>
    </w:p>
    <w:p>
      <w:pPr>
        <w:pStyle w:val="TOC3"/>
      </w:pPr>
      <w:hyperlink w:anchor="_Toc262100086" w:history="1">
        <w:r>
          <w:rPr>
            <w:rFonts w:ascii="Calibri" w:hAnsi="Calibri"/>
            <w:color w:val="20262A"/>
            <w:sz w:val="20"/>
            <w:noProof/>
          </w:rPr>
          <w:t xml:space="preserve">13.3 Excluded Measures</w:t>
        </w:r>
        <w:r>
          <w:rPr>
            <w:noProof/>
            <w:webHidden/>
          </w:rPr>
          <w:tab/>
        </w:r>
        <w:r>
          <w:rPr>
            <w:noProof/>
            <w:webHidden/>
          </w:rPr>
          <w:fldChar w:fldCharType="begin"/>
        </w:r>
        <w:r>
          <w:rPr>
            <w:noProof/>
            <w:webHidden/>
          </w:rPr>
          <w:instrText xml:space="preserve"> PAGEREF _Toc262100086 \h </w:instrText>
        </w:r>
        <w:r>
          <w:rPr>
            <w:noProof/>
            <w:webHidden/>
          </w:rPr>
          <w:fldChar w:fldCharType="separate"/>
        </w:r>
        <w:r>
          <w:rPr>
            <w:rFonts w:ascii="Calibri" w:hAnsi="Calibri"/>
            <w:color w:val="6E838A"/>
            <w:sz w:val="20"/>
            <w:noProof/>
            <w:webHidden/>
          </w:rPr>
          <w:t xml:space="preserve">35</w:t>
        </w:r>
        <w:r>
          <w:rPr>
            <w:noProof/>
            <w:webHidden/>
          </w:rPr>
          <w:fldChar w:fldCharType="end"/>
        </w:r>
      </w:hyperlink>
    </w:p>
    <w:p>
      <w:pPr>
        <w:pStyle w:val="TOC3"/>
      </w:pPr>
      <w:hyperlink w:anchor="_Toc262100087" w:history="1">
        <w:r>
          <w:rPr>
            <w:rFonts w:ascii="Calibri" w:hAnsi="Calibri"/>
            <w:color w:val="20262A"/>
            <w:sz w:val="20"/>
            <w:noProof/>
          </w:rPr>
          <w:t xml:space="preserve">13.4 The Protected Hold Exception</w:t>
        </w:r>
        <w:r>
          <w:rPr>
            <w:noProof/>
            <w:webHidden/>
          </w:rPr>
          <w:tab/>
        </w:r>
        <w:r>
          <w:rPr>
            <w:noProof/>
            <w:webHidden/>
          </w:rPr>
          <w:fldChar w:fldCharType="begin"/>
        </w:r>
        <w:r>
          <w:rPr>
            <w:noProof/>
            <w:webHidden/>
          </w:rPr>
          <w:instrText xml:space="preserve"> PAGEREF _Toc262100087 \h </w:instrText>
        </w:r>
        <w:r>
          <w:rPr>
            <w:noProof/>
            <w:webHidden/>
          </w:rPr>
          <w:fldChar w:fldCharType="separate"/>
        </w:r>
        <w:r>
          <w:rPr>
            <w:rFonts w:ascii="Calibri" w:hAnsi="Calibri"/>
            <w:color w:val="6E838A"/>
            <w:sz w:val="20"/>
            <w:noProof/>
            <w:webHidden/>
          </w:rPr>
          <w:t xml:space="preserve">35</w:t>
        </w:r>
        <w:r>
          <w:rPr>
            <w:noProof/>
            <w:webHidden/>
          </w:rPr>
          <w:fldChar w:fldCharType="end"/>
        </w:r>
      </w:hyperlink>
    </w:p>
    <w:p>
      <w:pPr>
        <w:pStyle w:val="TOC3"/>
      </w:pPr>
      <w:hyperlink w:anchor="_Toc262100088" w:history="1">
        <w:r>
          <w:rPr>
            <w:rFonts w:ascii="Calibri" w:hAnsi="Calibri"/>
            <w:color w:val="20262A"/>
            <w:sz w:val="20"/>
            <w:noProof/>
          </w:rPr>
          <w:t xml:space="preserve">13.5 Recourse</w:t>
        </w:r>
        <w:r>
          <w:rPr>
            <w:noProof/>
            <w:webHidden/>
          </w:rPr>
          <w:tab/>
        </w:r>
        <w:r>
          <w:rPr>
            <w:noProof/>
            <w:webHidden/>
          </w:rPr>
          <w:fldChar w:fldCharType="begin"/>
        </w:r>
        <w:r>
          <w:rPr>
            <w:noProof/>
            <w:webHidden/>
          </w:rPr>
          <w:instrText xml:space="preserve"> PAGEREF _Toc262100088 \h </w:instrText>
        </w:r>
        <w:r>
          <w:rPr>
            <w:noProof/>
            <w:webHidden/>
          </w:rPr>
          <w:fldChar w:fldCharType="separate"/>
        </w:r>
        <w:r>
          <w:rPr>
            <w:rFonts w:ascii="Calibri" w:hAnsi="Calibri"/>
            <w:color w:val="6E838A"/>
            <w:sz w:val="20"/>
            <w:noProof/>
            <w:webHidden/>
          </w:rPr>
          <w:t xml:space="preserve">35</w:t>
        </w:r>
        <w:r>
          <w:rPr>
            <w:noProof/>
            <w:webHidden/>
          </w:rPr>
          <w:fldChar w:fldCharType="end"/>
        </w:r>
      </w:hyperlink>
    </w:p>
    <w:p>
      <w:pPr>
        <w:pStyle w:val="TOC3"/>
      </w:pPr>
      <w:hyperlink w:anchor="_Toc262100089" w:history="1">
        <w:r>
          <w:rPr>
            <w:rFonts w:ascii="Calibri" w:hAnsi="Calibri"/>
            <w:color w:val="20262A"/>
            <w:sz w:val="20"/>
            <w:noProof/>
          </w:rPr>
          <w:t xml:space="preserve">13.6 Mine Clearance and Hazard Removal</w:t>
        </w:r>
        <w:r>
          <w:rPr>
            <w:noProof/>
            <w:webHidden/>
          </w:rPr>
          <w:tab/>
        </w:r>
        <w:r>
          <w:rPr>
            <w:noProof/>
            <w:webHidden/>
          </w:rPr>
          <w:fldChar w:fldCharType="begin"/>
        </w:r>
        <w:r>
          <w:rPr>
            <w:noProof/>
            <w:webHidden/>
          </w:rPr>
          <w:instrText xml:space="preserve"> PAGEREF _Toc262100089 \h </w:instrText>
        </w:r>
        <w:r>
          <w:rPr>
            <w:noProof/>
            <w:webHidden/>
          </w:rPr>
          <w:fldChar w:fldCharType="separate"/>
        </w:r>
        <w:r>
          <w:rPr>
            <w:rFonts w:ascii="Calibri" w:hAnsi="Calibri"/>
            <w:color w:val="6E838A"/>
            <w:sz w:val="20"/>
            <w:noProof/>
            <w:webHidden/>
          </w:rPr>
          <w:t xml:space="preserve">35</w:t>
        </w:r>
        <w:r>
          <w:rPr>
            <w:noProof/>
            <w:webHidden/>
          </w:rPr>
          <w:fldChar w:fldCharType="end"/>
        </w:r>
      </w:hyperlink>
    </w:p>
    <w:p>
      <w:pPr>
        <w:pStyle w:val="TOC2"/>
      </w:pPr>
      <w:hyperlink w:anchor="_Toc262100090" w:history="1">
        <w:r>
          <w:rPr>
            <w:rFonts w:ascii="Calibri" w:hAnsi="Calibri"/>
            <w:color w:val="20262A"/>
            <w:sz w:val="20"/>
            <w:noProof/>
          </w:rPr>
          <w:t xml:space="preserve">Article 14: Speed, Spacing, and Traffic Management</w:t>
        </w:r>
        <w:r>
          <w:rPr>
            <w:noProof/>
            <w:webHidden/>
          </w:rPr>
          <w:tab/>
        </w:r>
        <w:r>
          <w:rPr>
            <w:noProof/>
            <w:webHidden/>
          </w:rPr>
          <w:fldChar w:fldCharType="begin"/>
        </w:r>
        <w:r>
          <w:rPr>
            <w:noProof/>
            <w:webHidden/>
          </w:rPr>
          <w:instrText xml:space="preserve"> PAGEREF _Toc262100090 \h </w:instrText>
        </w:r>
        <w:r>
          <w:rPr>
            <w:noProof/>
            <w:webHidden/>
          </w:rPr>
          <w:fldChar w:fldCharType="separate"/>
        </w:r>
        <w:r>
          <w:rPr>
            <w:rFonts w:ascii="Calibri" w:hAnsi="Calibri"/>
            <w:color w:val="6E838A"/>
            <w:sz w:val="20"/>
            <w:noProof/>
            <w:webHidden/>
          </w:rPr>
          <w:t xml:space="preserve">35</w:t>
        </w:r>
        <w:r>
          <w:rPr>
            <w:noProof/>
            <w:webHidden/>
          </w:rPr>
          <w:fldChar w:fldCharType="end"/>
        </w:r>
      </w:hyperlink>
    </w:p>
    <w:p>
      <w:pPr>
        <w:pStyle w:val="TOC3"/>
      </w:pPr>
      <w:hyperlink w:anchor="_Toc262100091" w:history="1">
        <w:r>
          <w:rPr>
            <w:rFonts w:ascii="Calibri" w:hAnsi="Calibri"/>
            <w:color w:val="20262A"/>
            <w:sz w:val="20"/>
            <w:noProof/>
          </w:rPr>
          <w:t xml:space="preserve">14.1 Speed Bands</w:t>
        </w:r>
        <w:r>
          <w:rPr>
            <w:noProof/>
            <w:webHidden/>
          </w:rPr>
          <w:tab/>
        </w:r>
        <w:r>
          <w:rPr>
            <w:noProof/>
            <w:webHidden/>
          </w:rPr>
          <w:fldChar w:fldCharType="begin"/>
        </w:r>
        <w:r>
          <w:rPr>
            <w:noProof/>
            <w:webHidden/>
          </w:rPr>
          <w:instrText xml:space="preserve"> PAGEREF _Toc262100091 \h </w:instrText>
        </w:r>
        <w:r>
          <w:rPr>
            <w:noProof/>
            <w:webHidden/>
          </w:rPr>
          <w:fldChar w:fldCharType="separate"/>
        </w:r>
        <w:r>
          <w:rPr>
            <w:rFonts w:ascii="Calibri" w:hAnsi="Calibri"/>
            <w:color w:val="6E838A"/>
            <w:sz w:val="20"/>
            <w:noProof/>
            <w:webHidden/>
          </w:rPr>
          <w:t xml:space="preserve">35</w:t>
        </w:r>
        <w:r>
          <w:rPr>
            <w:noProof/>
            <w:webHidden/>
          </w:rPr>
          <w:fldChar w:fldCharType="end"/>
        </w:r>
      </w:hyperlink>
    </w:p>
    <w:p>
      <w:pPr>
        <w:pStyle w:val="TOC3"/>
      </w:pPr>
      <w:hyperlink w:anchor="_Toc262100092" w:history="1">
        <w:r>
          <w:rPr>
            <w:rFonts w:ascii="Calibri" w:hAnsi="Calibri"/>
            <w:color w:val="20262A"/>
            <w:sz w:val="20"/>
            <w:noProof/>
          </w:rPr>
          <w:t xml:space="preserve">14.2 Spacing and Convoy Windows</w:t>
        </w:r>
        <w:r>
          <w:rPr>
            <w:noProof/>
            <w:webHidden/>
          </w:rPr>
          <w:tab/>
        </w:r>
        <w:r>
          <w:rPr>
            <w:noProof/>
            <w:webHidden/>
          </w:rPr>
          <w:fldChar w:fldCharType="begin"/>
        </w:r>
        <w:r>
          <w:rPr>
            <w:noProof/>
            <w:webHidden/>
          </w:rPr>
          <w:instrText xml:space="preserve"> PAGEREF _Toc262100092 \h </w:instrText>
        </w:r>
        <w:r>
          <w:rPr>
            <w:noProof/>
            <w:webHidden/>
          </w:rPr>
          <w:fldChar w:fldCharType="separate"/>
        </w:r>
        <w:r>
          <w:rPr>
            <w:rFonts w:ascii="Calibri" w:hAnsi="Calibri"/>
            <w:color w:val="6E838A"/>
            <w:sz w:val="20"/>
            <w:noProof/>
            <w:webHidden/>
          </w:rPr>
          <w:t xml:space="preserve">36</w:t>
        </w:r>
        <w:r>
          <w:rPr>
            <w:noProof/>
            <w:webHidden/>
          </w:rPr>
          <w:fldChar w:fldCharType="end"/>
        </w:r>
      </w:hyperlink>
    </w:p>
    <w:p>
      <w:pPr>
        <w:pStyle w:val="TOC3"/>
      </w:pPr>
      <w:hyperlink w:anchor="_Toc262100093" w:history="1">
        <w:r>
          <w:rPr>
            <w:rFonts w:ascii="Calibri" w:hAnsi="Calibri"/>
            <w:color w:val="20262A"/>
            <w:sz w:val="20"/>
            <w:noProof/>
          </w:rPr>
          <w:t xml:space="preserve">14.3 Reporting Points</w:t>
        </w:r>
        <w:r>
          <w:rPr>
            <w:noProof/>
            <w:webHidden/>
          </w:rPr>
          <w:tab/>
        </w:r>
        <w:r>
          <w:rPr>
            <w:noProof/>
            <w:webHidden/>
          </w:rPr>
          <w:fldChar w:fldCharType="begin"/>
        </w:r>
        <w:r>
          <w:rPr>
            <w:noProof/>
            <w:webHidden/>
          </w:rPr>
          <w:instrText xml:space="preserve"> PAGEREF _Toc262100093 \h </w:instrText>
        </w:r>
        <w:r>
          <w:rPr>
            <w:noProof/>
            <w:webHidden/>
          </w:rPr>
          <w:fldChar w:fldCharType="separate"/>
        </w:r>
        <w:r>
          <w:rPr>
            <w:rFonts w:ascii="Calibri" w:hAnsi="Calibri"/>
            <w:color w:val="6E838A"/>
            <w:sz w:val="20"/>
            <w:noProof/>
            <w:webHidden/>
          </w:rPr>
          <w:t xml:space="preserve">36</w:t>
        </w:r>
        <w:r>
          <w:rPr>
            <w:noProof/>
            <w:webHidden/>
          </w:rPr>
          <w:fldChar w:fldCharType="end"/>
        </w:r>
      </w:hyperlink>
    </w:p>
    <w:p>
      <w:pPr>
        <w:pStyle w:val="TOC3"/>
      </w:pPr>
      <w:hyperlink w:anchor="_Toc262100094" w:history="1">
        <w:r>
          <w:rPr>
            <w:rFonts w:ascii="Calibri" w:hAnsi="Calibri"/>
            <w:color w:val="20262A"/>
            <w:sz w:val="20"/>
            <w:noProof/>
          </w:rPr>
          <w:t xml:space="preserve">14.4 Crossing and Meeting Rules</w:t>
        </w:r>
        <w:r>
          <w:rPr>
            <w:noProof/>
            <w:webHidden/>
          </w:rPr>
          <w:tab/>
        </w:r>
        <w:r>
          <w:rPr>
            <w:noProof/>
            <w:webHidden/>
          </w:rPr>
          <w:fldChar w:fldCharType="begin"/>
        </w:r>
        <w:r>
          <w:rPr>
            <w:noProof/>
            <w:webHidden/>
          </w:rPr>
          <w:instrText xml:space="preserve"> PAGEREF _Toc262100094 \h </w:instrText>
        </w:r>
        <w:r>
          <w:rPr>
            <w:noProof/>
            <w:webHidden/>
          </w:rPr>
          <w:fldChar w:fldCharType="separate"/>
        </w:r>
        <w:r>
          <w:rPr>
            <w:rFonts w:ascii="Calibri" w:hAnsi="Calibri"/>
            <w:color w:val="6E838A"/>
            <w:sz w:val="20"/>
            <w:noProof/>
            <w:webHidden/>
          </w:rPr>
          <w:t xml:space="preserve">36</w:t>
        </w:r>
        <w:r>
          <w:rPr>
            <w:noProof/>
            <w:webHidden/>
          </w:rPr>
          <w:fldChar w:fldCharType="end"/>
        </w:r>
      </w:hyperlink>
    </w:p>
    <w:p>
      <w:pPr>
        <w:pStyle w:val="TOC3"/>
      </w:pPr>
      <w:hyperlink w:anchor="_Toc262100095" w:history="1">
        <w:r>
          <w:rPr>
            <w:rFonts w:ascii="Calibri" w:hAnsi="Calibri"/>
            <w:color w:val="20262A"/>
            <w:sz w:val="20"/>
            <w:noProof/>
          </w:rPr>
          <w:t xml:space="preserve">14.5 Night and Low-Visibility Rules</w:t>
        </w:r>
        <w:r>
          <w:rPr>
            <w:noProof/>
            <w:webHidden/>
          </w:rPr>
          <w:tab/>
        </w:r>
        <w:r>
          <w:rPr>
            <w:noProof/>
            <w:webHidden/>
          </w:rPr>
          <w:fldChar w:fldCharType="begin"/>
        </w:r>
        <w:r>
          <w:rPr>
            <w:noProof/>
            <w:webHidden/>
          </w:rPr>
          <w:instrText xml:space="preserve"> PAGEREF _Toc262100095 \h </w:instrText>
        </w:r>
        <w:r>
          <w:rPr>
            <w:noProof/>
            <w:webHidden/>
          </w:rPr>
          <w:fldChar w:fldCharType="separate"/>
        </w:r>
        <w:r>
          <w:rPr>
            <w:rFonts w:ascii="Calibri" w:hAnsi="Calibri"/>
            <w:color w:val="6E838A"/>
            <w:sz w:val="20"/>
            <w:noProof/>
            <w:webHidden/>
          </w:rPr>
          <w:t xml:space="preserve">36</w:t>
        </w:r>
        <w:r>
          <w:rPr>
            <w:noProof/>
            <w:webHidden/>
          </w:rPr>
          <w:fldChar w:fldCharType="end"/>
        </w:r>
      </w:hyperlink>
    </w:p>
    <w:p>
      <w:pPr>
        <w:pStyle w:val="TOC3"/>
      </w:pPr>
      <w:hyperlink w:anchor="_Toc262100096" w:history="1">
        <w:r>
          <w:rPr>
            <w:rFonts w:ascii="Calibri" w:hAnsi="Calibri"/>
            <w:color w:val="20262A"/>
            <w:sz w:val="20"/>
            <w:noProof/>
          </w:rPr>
          <w:t xml:space="preserve">14.6 The Working Channels and the Voice Discipline</w:t>
        </w:r>
        <w:r>
          <w:rPr>
            <w:noProof/>
            <w:webHidden/>
          </w:rPr>
          <w:tab/>
        </w:r>
        <w:r>
          <w:rPr>
            <w:noProof/>
            <w:webHidden/>
          </w:rPr>
          <w:fldChar w:fldCharType="begin"/>
        </w:r>
        <w:r>
          <w:rPr>
            <w:noProof/>
            <w:webHidden/>
          </w:rPr>
          <w:instrText xml:space="preserve"> PAGEREF _Toc262100096 \h </w:instrText>
        </w:r>
        <w:r>
          <w:rPr>
            <w:noProof/>
            <w:webHidden/>
          </w:rPr>
          <w:fldChar w:fldCharType="separate"/>
        </w:r>
        <w:r>
          <w:rPr>
            <w:rFonts w:ascii="Calibri" w:hAnsi="Calibri"/>
            <w:color w:val="6E838A"/>
            <w:sz w:val="20"/>
            <w:noProof/>
            <w:webHidden/>
          </w:rPr>
          <w:t xml:space="preserve">36</w:t>
        </w:r>
        <w:r>
          <w:rPr>
            <w:noProof/>
            <w:webHidden/>
          </w:rPr>
          <w:fldChar w:fldCharType="end"/>
        </w:r>
      </w:hyperlink>
    </w:p>
    <w:p>
      <w:pPr>
        <w:pStyle w:val="TOC1"/>
      </w:pPr>
      <w:hyperlink w:anchor="_Toc262100097" w:history="1">
        <w:r>
          <w:rPr>
            <w:rFonts w:ascii="Calibri" w:hAnsi="Calibri"/>
            <w:b/>
            <w:color w:val="1D4E5F"/>
            <w:sz w:val="21"/>
            <w:noProof/>
          </w:rPr>
          <w:t xml:space="preserve">Part III: The Good Conduct Accrual Architecture</w:t>
        </w:r>
        <w:r>
          <w:rPr>
            <w:noProof/>
            <w:webHidden/>
          </w:rPr>
          <w:tab/>
        </w:r>
        <w:r>
          <w:rPr>
            <w:noProof/>
            <w:webHidden/>
          </w:rPr>
          <w:fldChar w:fldCharType="begin"/>
        </w:r>
        <w:r>
          <w:rPr>
            <w:noProof/>
            <w:webHidden/>
          </w:rPr>
          <w:instrText xml:space="preserve"> PAGEREF _Toc262100097 \h </w:instrText>
        </w:r>
        <w:r>
          <w:rPr>
            <w:noProof/>
            <w:webHidden/>
          </w:rPr>
          <w:fldChar w:fldCharType="separate"/>
        </w:r>
        <w:r>
          <w:rPr>
            <w:rFonts w:ascii="Calibri" w:hAnsi="Calibri"/>
            <w:color w:val="6E838A"/>
            <w:sz w:val="20"/>
            <w:noProof/>
            <w:webHidden/>
          </w:rPr>
          <w:t xml:space="preserve">37</w:t>
        </w:r>
        <w:r>
          <w:rPr>
            <w:noProof/>
            <w:webHidden/>
          </w:rPr>
          <w:fldChar w:fldCharType="end"/>
        </w:r>
      </w:hyperlink>
    </w:p>
    <w:p>
      <w:pPr>
        <w:pStyle w:val="TOC2"/>
      </w:pPr>
      <w:hyperlink w:anchor="_Toc262100098" w:history="1">
        <w:r>
          <w:rPr>
            <w:rFonts w:ascii="Calibri" w:hAnsi="Calibri"/>
            <w:color w:val="20262A"/>
            <w:sz w:val="20"/>
            <w:noProof/>
          </w:rPr>
          <w:t xml:space="preserve">Article 15: Design Logic of Earned Stewardship</w:t>
        </w:r>
        <w:r>
          <w:rPr>
            <w:noProof/>
            <w:webHidden/>
          </w:rPr>
          <w:tab/>
        </w:r>
        <w:r>
          <w:rPr>
            <w:noProof/>
            <w:webHidden/>
          </w:rPr>
          <w:fldChar w:fldCharType="begin"/>
        </w:r>
        <w:r>
          <w:rPr>
            <w:noProof/>
            <w:webHidden/>
          </w:rPr>
          <w:instrText xml:space="preserve"> PAGEREF _Toc262100098 \h </w:instrText>
        </w:r>
        <w:r>
          <w:rPr>
            <w:noProof/>
            <w:webHidden/>
          </w:rPr>
          <w:fldChar w:fldCharType="separate"/>
        </w:r>
        <w:r>
          <w:rPr>
            <w:rFonts w:ascii="Calibri" w:hAnsi="Calibri"/>
            <w:color w:val="6E838A"/>
            <w:sz w:val="20"/>
            <w:noProof/>
            <w:webHidden/>
          </w:rPr>
          <w:t xml:space="preserve">37</w:t>
        </w:r>
        <w:r>
          <w:rPr>
            <w:noProof/>
            <w:webHidden/>
          </w:rPr>
          <w:fldChar w:fldCharType="end"/>
        </w:r>
      </w:hyperlink>
    </w:p>
    <w:p>
      <w:pPr>
        <w:pStyle w:val="TOC3"/>
      </w:pPr>
      <w:hyperlink w:anchor="_Toc262100099" w:history="1">
        <w:r>
          <w:rPr>
            <w:rFonts w:ascii="Calibri" w:hAnsi="Calibri"/>
            <w:color w:val="20262A"/>
            <w:sz w:val="20"/>
            <w:noProof/>
          </w:rPr>
          <w:t xml:space="preserve">15.1 Why Accrual Beats Fixed Allocation</w:t>
        </w:r>
        <w:r>
          <w:rPr>
            <w:noProof/>
            <w:webHidden/>
          </w:rPr>
          <w:tab/>
        </w:r>
        <w:r>
          <w:rPr>
            <w:noProof/>
            <w:webHidden/>
          </w:rPr>
          <w:fldChar w:fldCharType="begin"/>
        </w:r>
        <w:r>
          <w:rPr>
            <w:noProof/>
            <w:webHidden/>
          </w:rPr>
          <w:instrText xml:space="preserve"> PAGEREF _Toc262100099 \h </w:instrText>
        </w:r>
        <w:r>
          <w:rPr>
            <w:noProof/>
            <w:webHidden/>
          </w:rPr>
          <w:fldChar w:fldCharType="separate"/>
        </w:r>
        <w:r>
          <w:rPr>
            <w:rFonts w:ascii="Calibri" w:hAnsi="Calibri"/>
            <w:color w:val="6E838A"/>
            <w:sz w:val="20"/>
            <w:noProof/>
            <w:webHidden/>
          </w:rPr>
          <w:t xml:space="preserve">37</w:t>
        </w:r>
        <w:r>
          <w:rPr>
            <w:noProof/>
            <w:webHidden/>
          </w:rPr>
          <w:fldChar w:fldCharType="end"/>
        </w:r>
      </w:hyperlink>
    </w:p>
    <w:p>
      <w:pPr>
        <w:pStyle w:val="TOC3"/>
      </w:pPr>
      <w:hyperlink w:anchor="_Toc262100100" w:history="1">
        <w:r>
          <w:rPr>
            <w:rFonts w:ascii="Calibri" w:hAnsi="Calibri"/>
            <w:color w:val="20262A"/>
            <w:sz w:val="20"/>
            <w:noProof/>
          </w:rPr>
          <w:t xml:space="preserve">15.2 The Dignity Frame</w:t>
        </w:r>
        <w:r>
          <w:rPr>
            <w:noProof/>
            <w:webHidden/>
          </w:rPr>
          <w:tab/>
        </w:r>
        <w:r>
          <w:rPr>
            <w:noProof/>
            <w:webHidden/>
          </w:rPr>
          <w:fldChar w:fldCharType="begin"/>
        </w:r>
        <w:r>
          <w:rPr>
            <w:noProof/>
            <w:webHidden/>
          </w:rPr>
          <w:instrText xml:space="preserve"> PAGEREF _Toc262100100 \h </w:instrText>
        </w:r>
        <w:r>
          <w:rPr>
            <w:noProof/>
            <w:webHidden/>
          </w:rPr>
          <w:fldChar w:fldCharType="separate"/>
        </w:r>
        <w:r>
          <w:rPr>
            <w:rFonts w:ascii="Calibri" w:hAnsi="Calibri"/>
            <w:color w:val="6E838A"/>
            <w:sz w:val="20"/>
            <w:noProof/>
            <w:webHidden/>
          </w:rPr>
          <w:t xml:space="preserve">37</w:t>
        </w:r>
        <w:r>
          <w:rPr>
            <w:noProof/>
            <w:webHidden/>
          </w:rPr>
          <w:fldChar w:fldCharType="end"/>
        </w:r>
      </w:hyperlink>
    </w:p>
    <w:p>
      <w:pPr>
        <w:pStyle w:val="TOC3"/>
      </w:pPr>
      <w:hyperlink w:anchor="_Toc262100101" w:history="1">
        <w:r>
          <w:rPr>
            <w:rFonts w:ascii="Calibri" w:hAnsi="Calibri"/>
            <w:color w:val="20262A"/>
            <w:sz w:val="20"/>
            <w:noProof/>
          </w:rPr>
          <w:t xml:space="preserve">15.3 The Evidence Discipline</w:t>
        </w:r>
        <w:r>
          <w:rPr>
            <w:noProof/>
            <w:webHidden/>
          </w:rPr>
          <w:tab/>
        </w:r>
        <w:r>
          <w:rPr>
            <w:noProof/>
            <w:webHidden/>
          </w:rPr>
          <w:fldChar w:fldCharType="begin"/>
        </w:r>
        <w:r>
          <w:rPr>
            <w:noProof/>
            <w:webHidden/>
          </w:rPr>
          <w:instrText xml:space="preserve"> PAGEREF _Toc262100101 \h </w:instrText>
        </w:r>
        <w:r>
          <w:rPr>
            <w:noProof/>
            <w:webHidden/>
          </w:rPr>
          <w:fldChar w:fldCharType="separate"/>
        </w:r>
        <w:r>
          <w:rPr>
            <w:rFonts w:ascii="Calibri" w:hAnsi="Calibri"/>
            <w:color w:val="6E838A"/>
            <w:sz w:val="20"/>
            <w:noProof/>
            <w:webHidden/>
          </w:rPr>
          <w:t xml:space="preserve">37</w:t>
        </w:r>
        <w:r>
          <w:rPr>
            <w:noProof/>
            <w:webHidden/>
          </w:rPr>
          <w:fldChar w:fldCharType="end"/>
        </w:r>
      </w:hyperlink>
    </w:p>
    <w:p>
      <w:pPr>
        <w:pStyle w:val="TOC2"/>
      </w:pPr>
      <w:hyperlink w:anchor="_Toc262100102" w:history="1">
        <w:r>
          <w:rPr>
            <w:rFonts w:ascii="Calibri" w:hAnsi="Calibri"/>
            <w:color w:val="20262A"/>
            <w:sz w:val="20"/>
            <w:noProof/>
          </w:rPr>
          <w:t xml:space="preserve">Article 16: The Stewardship Performance Index</w:t>
        </w:r>
        <w:r>
          <w:rPr>
            <w:noProof/>
            <w:webHidden/>
          </w:rPr>
          <w:tab/>
        </w:r>
        <w:r>
          <w:rPr>
            <w:noProof/>
            <w:webHidden/>
          </w:rPr>
          <w:fldChar w:fldCharType="begin"/>
        </w:r>
        <w:r>
          <w:rPr>
            <w:noProof/>
            <w:webHidden/>
          </w:rPr>
          <w:instrText xml:space="preserve"> PAGEREF _Toc262100102 \h </w:instrText>
        </w:r>
        <w:r>
          <w:rPr>
            <w:noProof/>
            <w:webHidden/>
          </w:rPr>
          <w:fldChar w:fldCharType="separate"/>
        </w:r>
        <w:r>
          <w:rPr>
            <w:rFonts w:ascii="Calibri" w:hAnsi="Calibri"/>
            <w:color w:val="6E838A"/>
            <w:sz w:val="20"/>
            <w:noProof/>
            <w:webHidden/>
          </w:rPr>
          <w:t xml:space="preserve">37</w:t>
        </w:r>
        <w:r>
          <w:rPr>
            <w:noProof/>
            <w:webHidden/>
          </w:rPr>
          <w:fldChar w:fldCharType="end"/>
        </w:r>
      </w:hyperlink>
    </w:p>
    <w:p>
      <w:pPr>
        <w:pStyle w:val="TOC3"/>
      </w:pPr>
      <w:hyperlink w:anchor="_Toc262100103" w:history="1">
        <w:r>
          <w:rPr>
            <w:rFonts w:ascii="Calibri" w:hAnsi="Calibri"/>
            <w:color w:val="20262A"/>
            <w:sz w:val="20"/>
            <w:noProof/>
          </w:rPr>
          <w:t xml:space="preserve">16.1 The Instrument</w:t>
        </w:r>
        <w:r>
          <w:rPr>
            <w:noProof/>
            <w:webHidden/>
          </w:rPr>
          <w:tab/>
        </w:r>
        <w:r>
          <w:rPr>
            <w:noProof/>
            <w:webHidden/>
          </w:rPr>
          <w:fldChar w:fldCharType="begin"/>
        </w:r>
        <w:r>
          <w:rPr>
            <w:noProof/>
            <w:webHidden/>
          </w:rPr>
          <w:instrText xml:space="preserve"> PAGEREF _Toc262100103 \h </w:instrText>
        </w:r>
        <w:r>
          <w:rPr>
            <w:noProof/>
            <w:webHidden/>
          </w:rPr>
          <w:fldChar w:fldCharType="separate"/>
        </w:r>
        <w:r>
          <w:rPr>
            <w:rFonts w:ascii="Calibri" w:hAnsi="Calibri"/>
            <w:color w:val="6E838A"/>
            <w:sz w:val="20"/>
            <w:noProof/>
            <w:webHidden/>
          </w:rPr>
          <w:t xml:space="preserve">37</w:t>
        </w:r>
        <w:r>
          <w:rPr>
            <w:noProof/>
            <w:webHidden/>
          </w:rPr>
          <w:fldChar w:fldCharType="end"/>
        </w:r>
      </w:hyperlink>
    </w:p>
    <w:p>
      <w:pPr>
        <w:pStyle w:val="TOC3"/>
      </w:pPr>
      <w:hyperlink w:anchor="_Toc262100104" w:history="1">
        <w:r>
          <w:rPr>
            <w:rFonts w:ascii="Calibri" w:hAnsi="Calibri"/>
            <w:color w:val="20262A"/>
            <w:sz w:val="20"/>
            <w:noProof/>
          </w:rPr>
          <w:t xml:space="preserve">16.2 The Six Domains</w:t>
        </w:r>
        <w:r>
          <w:rPr>
            <w:noProof/>
            <w:webHidden/>
          </w:rPr>
          <w:tab/>
        </w:r>
        <w:r>
          <w:rPr>
            <w:noProof/>
            <w:webHidden/>
          </w:rPr>
          <w:fldChar w:fldCharType="begin"/>
        </w:r>
        <w:r>
          <w:rPr>
            <w:noProof/>
            <w:webHidden/>
          </w:rPr>
          <w:instrText xml:space="preserve"> PAGEREF _Toc262100104 \h </w:instrText>
        </w:r>
        <w:r>
          <w:rPr>
            <w:noProof/>
            <w:webHidden/>
          </w:rPr>
          <w:fldChar w:fldCharType="separate"/>
        </w:r>
        <w:r>
          <w:rPr>
            <w:rFonts w:ascii="Calibri" w:hAnsi="Calibri"/>
            <w:color w:val="6E838A"/>
            <w:sz w:val="20"/>
            <w:noProof/>
            <w:webHidden/>
          </w:rPr>
          <w:t xml:space="preserve">38</w:t>
        </w:r>
        <w:r>
          <w:rPr>
            <w:noProof/>
            <w:webHidden/>
          </w:rPr>
          <w:fldChar w:fldCharType="end"/>
        </w:r>
      </w:hyperlink>
    </w:p>
    <w:p>
      <w:pPr>
        <w:pStyle w:val="TOC3"/>
      </w:pPr>
      <w:hyperlink w:anchor="_Toc262100105" w:history="1">
        <w:r>
          <w:rPr>
            <w:rFonts w:ascii="Calibri" w:hAnsi="Calibri"/>
            <w:color w:val="20262A"/>
            <w:sz w:val="20"/>
            <w:noProof/>
          </w:rPr>
          <w:t xml:space="preserve">16.3 Scoring Rules</w:t>
        </w:r>
        <w:r>
          <w:rPr>
            <w:noProof/>
            <w:webHidden/>
          </w:rPr>
          <w:tab/>
        </w:r>
        <w:r>
          <w:rPr>
            <w:noProof/>
            <w:webHidden/>
          </w:rPr>
          <w:fldChar w:fldCharType="begin"/>
        </w:r>
        <w:r>
          <w:rPr>
            <w:noProof/>
            <w:webHidden/>
          </w:rPr>
          <w:instrText xml:space="preserve"> PAGEREF _Toc262100105 \h </w:instrText>
        </w:r>
        <w:r>
          <w:rPr>
            <w:noProof/>
            <w:webHidden/>
          </w:rPr>
          <w:fldChar w:fldCharType="separate"/>
        </w:r>
        <w:r>
          <w:rPr>
            <w:rFonts w:ascii="Calibri" w:hAnsi="Calibri"/>
            <w:color w:val="6E838A"/>
            <w:sz w:val="20"/>
            <w:noProof/>
            <w:webHidden/>
          </w:rPr>
          <w:t xml:space="preserve">38</w:t>
        </w:r>
        <w:r>
          <w:rPr>
            <w:noProof/>
            <w:webHidden/>
          </w:rPr>
          <w:fldChar w:fldCharType="end"/>
        </w:r>
      </w:hyperlink>
    </w:p>
    <w:p>
      <w:pPr>
        <w:pStyle w:val="TOC3"/>
      </w:pPr>
      <w:hyperlink w:anchor="_Toc262100106" w:history="1">
        <w:r>
          <w:rPr>
            <w:rFonts w:ascii="Calibri" w:hAnsi="Calibri"/>
            <w:color w:val="20262A"/>
            <w:sz w:val="20"/>
            <w:noProof/>
          </w:rPr>
          <w:t xml:space="preserve">16.4 The Two Scores</w:t>
        </w:r>
        <w:r>
          <w:rPr>
            <w:noProof/>
            <w:webHidden/>
          </w:rPr>
          <w:tab/>
        </w:r>
        <w:r>
          <w:rPr>
            <w:noProof/>
            <w:webHidden/>
          </w:rPr>
          <w:fldChar w:fldCharType="begin"/>
        </w:r>
        <w:r>
          <w:rPr>
            <w:noProof/>
            <w:webHidden/>
          </w:rPr>
          <w:instrText xml:space="preserve"> PAGEREF _Toc262100106 \h </w:instrText>
        </w:r>
        <w:r>
          <w:rPr>
            <w:noProof/>
            <w:webHidden/>
          </w:rPr>
          <w:fldChar w:fldCharType="separate"/>
        </w:r>
        <w:r>
          <w:rPr>
            <w:rFonts w:ascii="Calibri" w:hAnsi="Calibri"/>
            <w:color w:val="6E838A"/>
            <w:sz w:val="20"/>
            <w:noProof/>
            <w:webHidden/>
          </w:rPr>
          <w:t xml:space="preserve">38</w:t>
        </w:r>
        <w:r>
          <w:rPr>
            <w:noProof/>
            <w:webHidden/>
          </w:rPr>
          <w:fldChar w:fldCharType="end"/>
        </w:r>
      </w:hyperlink>
    </w:p>
    <w:p>
      <w:pPr>
        <w:pStyle w:val="TOC2"/>
      </w:pPr>
      <w:hyperlink w:anchor="_Toc262100107" w:history="1">
        <w:r>
          <w:rPr>
            <w:rFonts w:ascii="Calibri" w:hAnsi="Calibri"/>
            <w:color w:val="20262A"/>
            <w:sz w:val="20"/>
            <w:noProof/>
          </w:rPr>
          <w:t xml:space="preserve">Article 17: The Accrual Ladder</w:t>
        </w:r>
        <w:r>
          <w:rPr>
            <w:noProof/>
            <w:webHidden/>
          </w:rPr>
          <w:tab/>
        </w:r>
        <w:r>
          <w:rPr>
            <w:noProof/>
            <w:webHidden/>
          </w:rPr>
          <w:fldChar w:fldCharType="begin"/>
        </w:r>
        <w:r>
          <w:rPr>
            <w:noProof/>
            <w:webHidden/>
          </w:rPr>
          <w:instrText xml:space="preserve"> PAGEREF _Toc262100107 \h </w:instrText>
        </w:r>
        <w:r>
          <w:rPr>
            <w:noProof/>
            <w:webHidden/>
          </w:rPr>
          <w:fldChar w:fldCharType="separate"/>
        </w:r>
        <w:r>
          <w:rPr>
            <w:rFonts w:ascii="Calibri" w:hAnsi="Calibri"/>
            <w:color w:val="6E838A"/>
            <w:sz w:val="20"/>
            <w:noProof/>
            <w:webHidden/>
          </w:rPr>
          <w:t xml:space="preserve">39</w:t>
        </w:r>
        <w:r>
          <w:rPr>
            <w:noProof/>
            <w:webHidden/>
          </w:rPr>
          <w:fldChar w:fldCharType="end"/>
        </w:r>
      </w:hyperlink>
    </w:p>
    <w:p>
      <w:pPr>
        <w:pStyle w:val="TOC3"/>
      </w:pPr>
      <w:hyperlink w:anchor="_Toc262100108" w:history="1">
        <w:r>
          <w:rPr>
            <w:rFonts w:ascii="Calibri" w:hAnsi="Calibri"/>
            <w:color w:val="20262A"/>
            <w:sz w:val="20"/>
            <w:noProof/>
          </w:rPr>
          <w:t xml:space="preserve">17.1 The Five Gates</w:t>
        </w:r>
        <w:r>
          <w:rPr>
            <w:noProof/>
            <w:webHidden/>
          </w:rPr>
          <w:tab/>
        </w:r>
        <w:r>
          <w:rPr>
            <w:noProof/>
            <w:webHidden/>
          </w:rPr>
          <w:fldChar w:fldCharType="begin"/>
        </w:r>
        <w:r>
          <w:rPr>
            <w:noProof/>
            <w:webHidden/>
          </w:rPr>
          <w:instrText xml:space="preserve"> PAGEREF _Toc262100108 \h </w:instrText>
        </w:r>
        <w:r>
          <w:rPr>
            <w:noProof/>
            <w:webHidden/>
          </w:rPr>
          <w:fldChar w:fldCharType="separate"/>
        </w:r>
        <w:r>
          <w:rPr>
            <w:rFonts w:ascii="Calibri" w:hAnsi="Calibri"/>
            <w:color w:val="6E838A"/>
            <w:sz w:val="20"/>
            <w:noProof/>
            <w:webHidden/>
          </w:rPr>
          <w:t xml:space="preserve">39</w:t>
        </w:r>
        <w:r>
          <w:rPr>
            <w:noProof/>
            <w:webHidden/>
          </w:rPr>
          <w:fldChar w:fldCharType="end"/>
        </w:r>
      </w:hyperlink>
    </w:p>
    <w:p>
      <w:pPr>
        <w:pStyle w:val="TOC3"/>
      </w:pPr>
      <w:hyperlink w:anchor="_Toc262100109" w:history="1">
        <w:r>
          <w:rPr>
            <w:rFonts w:ascii="Calibri" w:hAnsi="Calibri"/>
            <w:color w:val="20262A"/>
            <w:sz w:val="20"/>
            <w:noProof/>
          </w:rPr>
          <w:t xml:space="preserve">17.2 Gate Criteria</w:t>
        </w:r>
        <w:r>
          <w:rPr>
            <w:noProof/>
            <w:webHidden/>
          </w:rPr>
          <w:tab/>
        </w:r>
        <w:r>
          <w:rPr>
            <w:noProof/>
            <w:webHidden/>
          </w:rPr>
          <w:fldChar w:fldCharType="begin"/>
        </w:r>
        <w:r>
          <w:rPr>
            <w:noProof/>
            <w:webHidden/>
          </w:rPr>
          <w:instrText xml:space="preserve"> PAGEREF _Toc262100109 \h </w:instrText>
        </w:r>
        <w:r>
          <w:rPr>
            <w:noProof/>
            <w:webHidden/>
          </w:rPr>
          <w:fldChar w:fldCharType="separate"/>
        </w:r>
        <w:r>
          <w:rPr>
            <w:rFonts w:ascii="Calibri" w:hAnsi="Calibri"/>
            <w:color w:val="6E838A"/>
            <w:sz w:val="20"/>
            <w:noProof/>
            <w:webHidden/>
          </w:rPr>
          <w:t xml:space="preserve">39</w:t>
        </w:r>
        <w:r>
          <w:rPr>
            <w:noProof/>
            <w:webHidden/>
          </w:rPr>
          <w:fldChar w:fldCharType="end"/>
        </w:r>
      </w:hyperlink>
    </w:p>
    <w:p>
      <w:pPr>
        <w:pStyle w:val="TOC3"/>
      </w:pPr>
      <w:hyperlink w:anchor="_Toc262100110" w:history="1">
        <w:r>
          <w:rPr>
            <w:rFonts w:ascii="Calibri" w:hAnsi="Calibri"/>
            <w:color w:val="20262A"/>
            <w:sz w:val="20"/>
            <w:noProof/>
          </w:rPr>
          <w:t xml:space="preserve">17.3 The Accrual Act</w:t>
        </w:r>
        <w:r>
          <w:rPr>
            <w:noProof/>
            <w:webHidden/>
          </w:rPr>
          <w:tab/>
        </w:r>
        <w:r>
          <w:rPr>
            <w:noProof/>
            <w:webHidden/>
          </w:rPr>
          <w:fldChar w:fldCharType="begin"/>
        </w:r>
        <w:r>
          <w:rPr>
            <w:noProof/>
            <w:webHidden/>
          </w:rPr>
          <w:instrText xml:space="preserve"> PAGEREF _Toc262100110 \h </w:instrText>
        </w:r>
        <w:r>
          <w:rPr>
            <w:noProof/>
            <w:webHidden/>
          </w:rPr>
          <w:fldChar w:fldCharType="separate"/>
        </w:r>
        <w:r>
          <w:rPr>
            <w:rFonts w:ascii="Calibri" w:hAnsi="Calibri"/>
            <w:color w:val="6E838A"/>
            <w:sz w:val="20"/>
            <w:noProof/>
            <w:webHidden/>
          </w:rPr>
          <w:t xml:space="preserve">39</w:t>
        </w:r>
        <w:r>
          <w:rPr>
            <w:noProof/>
            <w:webHidden/>
          </w:rPr>
          <w:fldChar w:fldCharType="end"/>
        </w:r>
      </w:hyperlink>
    </w:p>
    <w:p>
      <w:pPr>
        <w:pStyle w:val="TOC3"/>
      </w:pPr>
      <w:hyperlink w:anchor="_Toc262100111" w:history="1">
        <w:r>
          <w:rPr>
            <w:rFonts w:ascii="Calibri" w:hAnsi="Calibri"/>
            <w:color w:val="20262A"/>
            <w:sz w:val="20"/>
            <w:noProof/>
          </w:rPr>
          <w:t xml:space="preserve">17.4 No Acceleration, No Bargaining</w:t>
        </w:r>
        <w:r>
          <w:rPr>
            <w:noProof/>
            <w:webHidden/>
          </w:rPr>
          <w:tab/>
        </w:r>
        <w:r>
          <w:rPr>
            <w:noProof/>
            <w:webHidden/>
          </w:rPr>
          <w:fldChar w:fldCharType="begin"/>
        </w:r>
        <w:r>
          <w:rPr>
            <w:noProof/>
            <w:webHidden/>
          </w:rPr>
          <w:instrText xml:space="preserve"> PAGEREF _Toc262100111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2"/>
      </w:pPr>
      <w:hyperlink w:anchor="_Toc262100112" w:history="1">
        <w:r>
          <w:rPr>
            <w:rFonts w:ascii="Calibri" w:hAnsi="Calibri"/>
            <w:color w:val="20262A"/>
            <w:sz w:val="20"/>
            <w:noProof/>
          </w:rPr>
          <w:t xml:space="preserve">Article 18: Step-Back and Earn-Back</w:t>
        </w:r>
        <w:r>
          <w:rPr>
            <w:noProof/>
            <w:webHidden/>
          </w:rPr>
          <w:tab/>
        </w:r>
        <w:r>
          <w:rPr>
            <w:noProof/>
            <w:webHidden/>
          </w:rPr>
          <w:fldChar w:fldCharType="begin"/>
        </w:r>
        <w:r>
          <w:rPr>
            <w:noProof/>
            <w:webHidden/>
          </w:rPr>
          <w:instrText xml:space="preserve"> PAGEREF _Toc262100112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3"/>
      </w:pPr>
      <w:hyperlink w:anchor="_Toc262100113" w:history="1">
        <w:r>
          <w:rPr>
            <w:rFonts w:ascii="Calibri" w:hAnsi="Calibri"/>
            <w:color w:val="20262A"/>
            <w:sz w:val="20"/>
            <w:noProof/>
          </w:rPr>
          <w:t xml:space="preserve">18.1 The Step-Back Rule</w:t>
        </w:r>
        <w:r>
          <w:rPr>
            <w:noProof/>
            <w:webHidden/>
          </w:rPr>
          <w:tab/>
        </w:r>
        <w:r>
          <w:rPr>
            <w:noProof/>
            <w:webHidden/>
          </w:rPr>
          <w:fldChar w:fldCharType="begin"/>
        </w:r>
        <w:r>
          <w:rPr>
            <w:noProof/>
            <w:webHidden/>
          </w:rPr>
          <w:instrText xml:space="preserve"> PAGEREF _Toc262100113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3"/>
      </w:pPr>
      <w:hyperlink w:anchor="_Toc262100114" w:history="1">
        <w:r>
          <w:rPr>
            <w:rFonts w:ascii="Calibri" w:hAnsi="Calibri"/>
            <w:color w:val="20262A"/>
            <w:sz w:val="20"/>
            <w:noProof/>
          </w:rPr>
          <w:t xml:space="preserve">18.2 The Pause Rule</w:t>
        </w:r>
        <w:r>
          <w:rPr>
            <w:noProof/>
            <w:webHidden/>
          </w:rPr>
          <w:tab/>
        </w:r>
        <w:r>
          <w:rPr>
            <w:noProof/>
            <w:webHidden/>
          </w:rPr>
          <w:fldChar w:fldCharType="begin"/>
        </w:r>
        <w:r>
          <w:rPr>
            <w:noProof/>
            <w:webHidden/>
          </w:rPr>
          <w:instrText xml:space="preserve"> PAGEREF _Toc262100114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3"/>
      </w:pPr>
      <w:hyperlink w:anchor="_Toc262100115" w:history="1">
        <w:r>
          <w:rPr>
            <w:rFonts w:ascii="Calibri" w:hAnsi="Calibri"/>
            <w:color w:val="20262A"/>
            <w:sz w:val="20"/>
            <w:noProof/>
          </w:rPr>
          <w:t xml:space="preserve">18.3 Earn-Back</w:t>
        </w:r>
        <w:r>
          <w:rPr>
            <w:noProof/>
            <w:webHidden/>
          </w:rPr>
          <w:tab/>
        </w:r>
        <w:r>
          <w:rPr>
            <w:noProof/>
            <w:webHidden/>
          </w:rPr>
          <w:fldChar w:fldCharType="begin"/>
        </w:r>
        <w:r>
          <w:rPr>
            <w:noProof/>
            <w:webHidden/>
          </w:rPr>
          <w:instrText xml:space="preserve"> PAGEREF _Toc262100115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3"/>
      </w:pPr>
      <w:hyperlink w:anchor="_Toc262100116" w:history="1">
        <w:r>
          <w:rPr>
            <w:rFonts w:ascii="Calibri" w:hAnsi="Calibri"/>
            <w:color w:val="20262A"/>
            <w:sz w:val="20"/>
            <w:noProof/>
          </w:rPr>
          <w:t xml:space="preserve">18.4 No Double Jeopardy</w:t>
        </w:r>
        <w:r>
          <w:rPr>
            <w:noProof/>
            <w:webHidden/>
          </w:rPr>
          <w:tab/>
        </w:r>
        <w:r>
          <w:rPr>
            <w:noProof/>
            <w:webHidden/>
          </w:rPr>
          <w:fldChar w:fldCharType="begin"/>
        </w:r>
        <w:r>
          <w:rPr>
            <w:noProof/>
            <w:webHidden/>
          </w:rPr>
          <w:instrText xml:space="preserve"> PAGEREF _Toc262100116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2"/>
      </w:pPr>
      <w:hyperlink w:anchor="_Toc262100117" w:history="1">
        <w:r>
          <w:rPr>
            <w:rFonts w:ascii="Calibri" w:hAnsi="Calibri"/>
            <w:color w:val="20262A"/>
            <w:sz w:val="20"/>
            <w:noProof/>
          </w:rPr>
          <w:t xml:space="preserve">Article 19: Banking, the Ceiling, and the Stewardship Dividend</w:t>
        </w:r>
        <w:r>
          <w:rPr>
            <w:noProof/>
            <w:webHidden/>
          </w:rPr>
          <w:tab/>
        </w:r>
        <w:r>
          <w:rPr>
            <w:noProof/>
            <w:webHidden/>
          </w:rPr>
          <w:fldChar w:fldCharType="begin"/>
        </w:r>
        <w:r>
          <w:rPr>
            <w:noProof/>
            <w:webHidden/>
          </w:rPr>
          <w:instrText xml:space="preserve"> PAGEREF _Toc262100117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3"/>
      </w:pPr>
      <w:hyperlink w:anchor="_Toc262100118" w:history="1">
        <w:r>
          <w:rPr>
            <w:rFonts w:ascii="Calibri" w:hAnsi="Calibri"/>
            <w:color w:val="20262A"/>
            <w:sz w:val="20"/>
            <w:noProof/>
          </w:rPr>
          <w:t xml:space="preserve">19.1 Banking</w:t>
        </w:r>
        <w:r>
          <w:rPr>
            <w:noProof/>
            <w:webHidden/>
          </w:rPr>
          <w:tab/>
        </w:r>
        <w:r>
          <w:rPr>
            <w:noProof/>
            <w:webHidden/>
          </w:rPr>
          <w:fldChar w:fldCharType="begin"/>
        </w:r>
        <w:r>
          <w:rPr>
            <w:noProof/>
            <w:webHidden/>
          </w:rPr>
          <w:instrText xml:space="preserve"> PAGEREF _Toc262100118 \h </w:instrText>
        </w:r>
        <w:r>
          <w:rPr>
            <w:noProof/>
            <w:webHidden/>
          </w:rPr>
          <w:fldChar w:fldCharType="separate"/>
        </w:r>
        <w:r>
          <w:rPr>
            <w:rFonts w:ascii="Calibri" w:hAnsi="Calibri"/>
            <w:color w:val="6E838A"/>
            <w:sz w:val="20"/>
            <w:noProof/>
            <w:webHidden/>
          </w:rPr>
          <w:t xml:space="preserve">40</w:t>
        </w:r>
        <w:r>
          <w:rPr>
            <w:noProof/>
            <w:webHidden/>
          </w:rPr>
          <w:fldChar w:fldCharType="end"/>
        </w:r>
      </w:hyperlink>
    </w:p>
    <w:p>
      <w:pPr>
        <w:pStyle w:val="TOC3"/>
      </w:pPr>
      <w:hyperlink w:anchor="_Toc262100119" w:history="1">
        <w:r>
          <w:rPr>
            <w:rFonts w:ascii="Calibri" w:hAnsi="Calibri"/>
            <w:color w:val="20262A"/>
            <w:sz w:val="20"/>
            <w:noProof/>
          </w:rPr>
          <w:t xml:space="preserve">19.2 The Ceiling</w:t>
        </w:r>
        <w:r>
          <w:rPr>
            <w:noProof/>
            <w:webHidden/>
          </w:rPr>
          <w:tab/>
        </w:r>
        <w:r>
          <w:rPr>
            <w:noProof/>
            <w:webHidden/>
          </w:rPr>
          <w:fldChar w:fldCharType="begin"/>
        </w:r>
        <w:r>
          <w:rPr>
            <w:noProof/>
            <w:webHidden/>
          </w:rPr>
          <w:instrText xml:space="preserve"> PAGEREF _Toc262100119 \h </w:instrText>
        </w:r>
        <w:r>
          <w:rPr>
            <w:noProof/>
            <w:webHidden/>
          </w:rPr>
          <w:fldChar w:fldCharType="separate"/>
        </w:r>
        <w:r>
          <w:rPr>
            <w:rFonts w:ascii="Calibri" w:hAnsi="Calibri"/>
            <w:color w:val="6E838A"/>
            <w:sz w:val="20"/>
            <w:noProof/>
            <w:webHidden/>
          </w:rPr>
          <w:t xml:space="preserve">41</w:t>
        </w:r>
        <w:r>
          <w:rPr>
            <w:noProof/>
            <w:webHidden/>
          </w:rPr>
          <w:fldChar w:fldCharType="end"/>
        </w:r>
      </w:hyperlink>
    </w:p>
    <w:p>
      <w:pPr>
        <w:pStyle w:val="TOC3"/>
      </w:pPr>
      <w:hyperlink w:anchor="_Toc262100120" w:history="1">
        <w:r>
          <w:rPr>
            <w:rFonts w:ascii="Calibri" w:hAnsi="Calibri"/>
            <w:color w:val="20262A"/>
            <w:sz w:val="20"/>
            <w:noProof/>
          </w:rPr>
          <w:t xml:space="preserve">19.3 Over-Performance and the Stewardship Dividend</w:t>
        </w:r>
        <w:r>
          <w:rPr>
            <w:noProof/>
            <w:webHidden/>
          </w:rPr>
          <w:tab/>
        </w:r>
        <w:r>
          <w:rPr>
            <w:noProof/>
            <w:webHidden/>
          </w:rPr>
          <w:fldChar w:fldCharType="begin"/>
        </w:r>
        <w:r>
          <w:rPr>
            <w:noProof/>
            <w:webHidden/>
          </w:rPr>
          <w:instrText xml:space="preserve"> PAGEREF _Toc262100120 \h </w:instrText>
        </w:r>
        <w:r>
          <w:rPr>
            <w:noProof/>
            <w:webHidden/>
          </w:rPr>
          <w:fldChar w:fldCharType="separate"/>
        </w:r>
        <w:r>
          <w:rPr>
            <w:rFonts w:ascii="Calibri" w:hAnsi="Calibri"/>
            <w:color w:val="6E838A"/>
            <w:sz w:val="20"/>
            <w:noProof/>
            <w:webHidden/>
          </w:rPr>
          <w:t xml:space="preserve">41</w:t>
        </w:r>
        <w:r>
          <w:rPr>
            <w:noProof/>
            <w:webHidden/>
          </w:rPr>
          <w:fldChar w:fldCharType="end"/>
        </w:r>
      </w:hyperlink>
    </w:p>
    <w:p>
      <w:pPr>
        <w:pStyle w:val="TOC3"/>
      </w:pPr>
      <w:hyperlink w:anchor="_Toc262100121" w:history="1">
        <w:r>
          <w:rPr>
            <w:rFonts w:ascii="Calibri" w:hAnsi="Calibri"/>
            <w:color w:val="20262A"/>
            <w:sz w:val="20"/>
            <w:noProof/>
          </w:rPr>
          <w:t xml:space="preserve">19.4 No-Fade</w:t>
        </w:r>
        <w:r>
          <w:rPr>
            <w:noProof/>
            <w:webHidden/>
          </w:rPr>
          <w:tab/>
        </w:r>
        <w:r>
          <w:rPr>
            <w:noProof/>
            <w:webHidden/>
          </w:rPr>
          <w:fldChar w:fldCharType="begin"/>
        </w:r>
        <w:r>
          <w:rPr>
            <w:noProof/>
            <w:webHidden/>
          </w:rPr>
          <w:instrText xml:space="preserve"> PAGEREF _Toc262100121 \h </w:instrText>
        </w:r>
        <w:r>
          <w:rPr>
            <w:noProof/>
            <w:webHidden/>
          </w:rPr>
          <w:fldChar w:fldCharType="separate"/>
        </w:r>
        <w:r>
          <w:rPr>
            <w:rFonts w:ascii="Calibri" w:hAnsi="Calibri"/>
            <w:color w:val="6E838A"/>
            <w:sz w:val="20"/>
            <w:noProof/>
            <w:webHidden/>
          </w:rPr>
          <w:t xml:space="preserve">41</w:t>
        </w:r>
        <w:r>
          <w:rPr>
            <w:noProof/>
            <w:webHidden/>
          </w:rPr>
          <w:fldChar w:fldCharType="end"/>
        </w:r>
      </w:hyperlink>
    </w:p>
    <w:p>
      <w:pPr>
        <w:pStyle w:val="TOC1"/>
      </w:pPr>
      <w:hyperlink w:anchor="_Toc262100122" w:history="1">
        <w:r>
          <w:rPr>
            <w:rFonts w:ascii="Calibri" w:hAnsi="Calibri"/>
            <w:b/>
            <w:color w:val="1D4E5F"/>
            <w:sz w:val="21"/>
            <w:noProof/>
          </w:rPr>
          <w:t xml:space="preserve">Part IV: Institutional Architecture</w:t>
        </w:r>
        <w:r>
          <w:rPr>
            <w:noProof/>
            <w:webHidden/>
          </w:rPr>
          <w:tab/>
        </w:r>
        <w:r>
          <w:rPr>
            <w:noProof/>
            <w:webHidden/>
          </w:rPr>
          <w:fldChar w:fldCharType="begin"/>
        </w:r>
        <w:r>
          <w:rPr>
            <w:noProof/>
            <w:webHidden/>
          </w:rPr>
          <w:instrText xml:space="preserve"> PAGEREF _Toc262100122 \h </w:instrText>
        </w:r>
        <w:r>
          <w:rPr>
            <w:noProof/>
            <w:webHidden/>
          </w:rPr>
          <w:fldChar w:fldCharType="separate"/>
        </w:r>
        <w:r>
          <w:rPr>
            <w:rFonts w:ascii="Calibri" w:hAnsi="Calibri"/>
            <w:color w:val="6E838A"/>
            <w:sz w:val="20"/>
            <w:noProof/>
            <w:webHidden/>
          </w:rPr>
          <w:t xml:space="preserve">42</w:t>
        </w:r>
        <w:r>
          <w:rPr>
            <w:noProof/>
            <w:webHidden/>
          </w:rPr>
          <w:fldChar w:fldCharType="end"/>
        </w:r>
      </w:hyperlink>
    </w:p>
    <w:p>
      <w:pPr>
        <w:pStyle w:val="TOC2"/>
      </w:pPr>
      <w:hyperlink w:anchor="_Toc262100123" w:history="1">
        <w:r>
          <w:rPr>
            <w:rFonts w:ascii="Calibri" w:hAnsi="Calibri"/>
            <w:color w:val="20262A"/>
            <w:sz w:val="20"/>
            <w:noProof/>
          </w:rPr>
          <w:t xml:space="preserve">Article 20: The Triadic Council</w:t>
        </w:r>
        <w:r>
          <w:rPr>
            <w:noProof/>
            <w:webHidden/>
          </w:rPr>
          <w:tab/>
        </w:r>
        <w:r>
          <w:rPr>
            <w:noProof/>
            <w:webHidden/>
          </w:rPr>
          <w:fldChar w:fldCharType="begin"/>
        </w:r>
        <w:r>
          <w:rPr>
            <w:noProof/>
            <w:webHidden/>
          </w:rPr>
          <w:instrText xml:space="preserve"> PAGEREF _Toc262100123 \h </w:instrText>
        </w:r>
        <w:r>
          <w:rPr>
            <w:noProof/>
            <w:webHidden/>
          </w:rPr>
          <w:fldChar w:fldCharType="separate"/>
        </w:r>
        <w:r>
          <w:rPr>
            <w:rFonts w:ascii="Calibri" w:hAnsi="Calibri"/>
            <w:color w:val="6E838A"/>
            <w:sz w:val="20"/>
            <w:noProof/>
            <w:webHidden/>
          </w:rPr>
          <w:t xml:space="preserve">42</w:t>
        </w:r>
        <w:r>
          <w:rPr>
            <w:noProof/>
            <w:webHidden/>
          </w:rPr>
          <w:fldChar w:fldCharType="end"/>
        </w:r>
      </w:hyperlink>
    </w:p>
    <w:p>
      <w:pPr>
        <w:pStyle w:val="TOC3"/>
      </w:pPr>
      <w:hyperlink w:anchor="_Toc262100124" w:history="1">
        <w:r>
          <w:rPr>
            <w:rFonts w:ascii="Calibri" w:hAnsi="Calibri"/>
            <w:color w:val="20262A"/>
            <w:sz w:val="20"/>
            <w:noProof/>
          </w:rPr>
          <w:t xml:space="preserve">20.1 Composition</w:t>
        </w:r>
        <w:r>
          <w:rPr>
            <w:noProof/>
            <w:webHidden/>
          </w:rPr>
          <w:tab/>
        </w:r>
        <w:r>
          <w:rPr>
            <w:noProof/>
            <w:webHidden/>
          </w:rPr>
          <w:fldChar w:fldCharType="begin"/>
        </w:r>
        <w:r>
          <w:rPr>
            <w:noProof/>
            <w:webHidden/>
          </w:rPr>
          <w:instrText xml:space="preserve"> PAGEREF _Toc262100124 \h </w:instrText>
        </w:r>
        <w:r>
          <w:rPr>
            <w:noProof/>
            <w:webHidden/>
          </w:rPr>
          <w:fldChar w:fldCharType="separate"/>
        </w:r>
        <w:r>
          <w:rPr>
            <w:rFonts w:ascii="Calibri" w:hAnsi="Calibri"/>
            <w:color w:val="6E838A"/>
            <w:sz w:val="20"/>
            <w:noProof/>
            <w:webHidden/>
          </w:rPr>
          <w:t xml:space="preserve">42</w:t>
        </w:r>
        <w:r>
          <w:rPr>
            <w:noProof/>
            <w:webHidden/>
          </w:rPr>
          <w:fldChar w:fldCharType="end"/>
        </w:r>
      </w:hyperlink>
    </w:p>
    <w:p>
      <w:pPr>
        <w:pStyle w:val="TOC3"/>
      </w:pPr>
      <w:hyperlink w:anchor="_Toc262100125" w:history="1">
        <w:r>
          <w:rPr>
            <w:rFonts w:ascii="Calibri" w:hAnsi="Calibri"/>
            <w:color w:val="20262A"/>
            <w:sz w:val="20"/>
            <w:noProof/>
          </w:rPr>
          <w:t xml:space="preserve">20.2 The Qualified Majority Rule</w:t>
        </w:r>
        <w:r>
          <w:rPr>
            <w:noProof/>
            <w:webHidden/>
          </w:rPr>
          <w:tab/>
        </w:r>
        <w:r>
          <w:rPr>
            <w:noProof/>
            <w:webHidden/>
          </w:rPr>
          <w:fldChar w:fldCharType="begin"/>
        </w:r>
        <w:r>
          <w:rPr>
            <w:noProof/>
            <w:webHidden/>
          </w:rPr>
          <w:instrText xml:space="preserve"> PAGEREF _Toc262100125 \h </w:instrText>
        </w:r>
        <w:r>
          <w:rPr>
            <w:noProof/>
            <w:webHidden/>
          </w:rPr>
          <w:fldChar w:fldCharType="separate"/>
        </w:r>
        <w:r>
          <w:rPr>
            <w:rFonts w:ascii="Calibri" w:hAnsi="Calibri"/>
            <w:color w:val="6E838A"/>
            <w:sz w:val="20"/>
            <w:noProof/>
            <w:webHidden/>
          </w:rPr>
          <w:t xml:space="preserve">42</w:t>
        </w:r>
        <w:r>
          <w:rPr>
            <w:noProof/>
            <w:webHidden/>
          </w:rPr>
          <w:fldChar w:fldCharType="end"/>
        </w:r>
      </w:hyperlink>
    </w:p>
    <w:p>
      <w:pPr>
        <w:pStyle w:val="TOC3"/>
      </w:pPr>
      <w:hyperlink w:anchor="_Toc262100126" w:history="1">
        <w:r>
          <w:rPr>
            <w:rFonts w:ascii="Calibri" w:hAnsi="Calibri"/>
            <w:color w:val="20262A"/>
            <w:sz w:val="20"/>
            <w:noProof/>
          </w:rPr>
          <w:t xml:space="preserve">20.3 Functions</w:t>
        </w:r>
        <w:r>
          <w:rPr>
            <w:noProof/>
            <w:webHidden/>
          </w:rPr>
          <w:tab/>
        </w:r>
        <w:r>
          <w:rPr>
            <w:noProof/>
            <w:webHidden/>
          </w:rPr>
          <w:fldChar w:fldCharType="begin"/>
        </w:r>
        <w:r>
          <w:rPr>
            <w:noProof/>
            <w:webHidden/>
          </w:rPr>
          <w:instrText xml:space="preserve"> PAGEREF _Toc262100126 \h </w:instrText>
        </w:r>
        <w:r>
          <w:rPr>
            <w:noProof/>
            <w:webHidden/>
          </w:rPr>
          <w:fldChar w:fldCharType="separate"/>
        </w:r>
        <w:r>
          <w:rPr>
            <w:rFonts w:ascii="Calibri" w:hAnsi="Calibri"/>
            <w:color w:val="6E838A"/>
            <w:sz w:val="20"/>
            <w:noProof/>
            <w:webHidden/>
          </w:rPr>
          <w:t xml:space="preserve">42</w:t>
        </w:r>
        <w:r>
          <w:rPr>
            <w:noProof/>
            <w:webHidden/>
          </w:rPr>
          <w:fldChar w:fldCharType="end"/>
        </w:r>
      </w:hyperlink>
    </w:p>
    <w:p>
      <w:pPr>
        <w:pStyle w:val="TOC3"/>
      </w:pPr>
      <w:hyperlink w:anchor="_Toc262100127" w:history="1">
        <w:r>
          <w:rPr>
            <w:rFonts w:ascii="Calibri" w:hAnsi="Calibri"/>
            <w:color w:val="20262A"/>
            <w:sz w:val="20"/>
            <w:noProof/>
          </w:rPr>
          <w:t xml:space="preserve">20.4 Meetings and Cadence</w:t>
        </w:r>
        <w:r>
          <w:rPr>
            <w:noProof/>
            <w:webHidden/>
          </w:rPr>
          <w:tab/>
        </w:r>
        <w:r>
          <w:rPr>
            <w:noProof/>
            <w:webHidden/>
          </w:rPr>
          <w:fldChar w:fldCharType="begin"/>
        </w:r>
        <w:r>
          <w:rPr>
            <w:noProof/>
            <w:webHidden/>
          </w:rPr>
          <w:instrText xml:space="preserve"> PAGEREF _Toc262100127 \h </w:instrText>
        </w:r>
        <w:r>
          <w:rPr>
            <w:noProof/>
            <w:webHidden/>
          </w:rPr>
          <w:fldChar w:fldCharType="separate"/>
        </w:r>
        <w:r>
          <w:rPr>
            <w:rFonts w:ascii="Calibri" w:hAnsi="Calibri"/>
            <w:color w:val="6E838A"/>
            <w:sz w:val="20"/>
            <w:noProof/>
            <w:webHidden/>
          </w:rPr>
          <w:t xml:space="preserve">42</w:t>
        </w:r>
        <w:r>
          <w:rPr>
            <w:noProof/>
            <w:webHidden/>
          </w:rPr>
          <w:fldChar w:fldCharType="end"/>
        </w:r>
      </w:hyperlink>
    </w:p>
    <w:p>
      <w:pPr>
        <w:pStyle w:val="TOC3"/>
      </w:pPr>
      <w:hyperlink w:anchor="_Toc262100128" w:history="1">
        <w:r>
          <w:rPr>
            <w:rFonts w:ascii="Calibri" w:hAnsi="Calibri"/>
            <w:color w:val="20262A"/>
            <w:sz w:val="20"/>
            <w:noProof/>
          </w:rPr>
          <w:t xml:space="preserve">20.5 The Rotating Chair</w:t>
        </w:r>
        <w:r>
          <w:rPr>
            <w:noProof/>
            <w:webHidden/>
          </w:rPr>
          <w:tab/>
        </w:r>
        <w:r>
          <w:rPr>
            <w:noProof/>
            <w:webHidden/>
          </w:rPr>
          <w:fldChar w:fldCharType="begin"/>
        </w:r>
        <w:r>
          <w:rPr>
            <w:noProof/>
            <w:webHidden/>
          </w:rPr>
          <w:instrText xml:space="preserve"> PAGEREF _Toc262100128 \h </w:instrText>
        </w:r>
        <w:r>
          <w:rPr>
            <w:noProof/>
            <w:webHidden/>
          </w:rPr>
          <w:fldChar w:fldCharType="separate"/>
        </w:r>
        <w:r>
          <w:rPr>
            <w:rFonts w:ascii="Calibri" w:hAnsi="Calibri"/>
            <w:color w:val="6E838A"/>
            <w:sz w:val="20"/>
            <w:noProof/>
            <w:webHidden/>
          </w:rPr>
          <w:t xml:space="preserve">42</w:t>
        </w:r>
        <w:r>
          <w:rPr>
            <w:noProof/>
            <w:webHidden/>
          </w:rPr>
          <w:fldChar w:fldCharType="end"/>
        </w:r>
      </w:hyperlink>
    </w:p>
    <w:p>
      <w:pPr>
        <w:pStyle w:val="TOC2"/>
      </w:pPr>
      <w:hyperlink w:anchor="_Toc262100129" w:history="1">
        <w:r>
          <w:rPr>
            <w:rFonts w:ascii="Calibri" w:hAnsi="Calibri"/>
            <w:color w:val="20262A"/>
            <w:sz w:val="20"/>
            <w:noProof/>
          </w:rPr>
          <w:t xml:space="preserve">Article 21: The Triadic Stewardship Center</w:t>
        </w:r>
        <w:r>
          <w:rPr>
            <w:noProof/>
            <w:webHidden/>
          </w:rPr>
          <w:tab/>
        </w:r>
        <w:r>
          <w:rPr>
            <w:noProof/>
            <w:webHidden/>
          </w:rPr>
          <w:fldChar w:fldCharType="begin"/>
        </w:r>
        <w:r>
          <w:rPr>
            <w:noProof/>
            <w:webHidden/>
          </w:rPr>
          <w:instrText xml:space="preserve"> PAGEREF _Toc262100129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3"/>
      </w:pPr>
      <w:hyperlink w:anchor="_Toc262100130" w:history="1">
        <w:r>
          <w:rPr>
            <w:rFonts w:ascii="Calibri" w:hAnsi="Calibri"/>
            <w:color w:val="20262A"/>
            <w:sz w:val="20"/>
            <w:noProof/>
          </w:rPr>
          <w:t xml:space="preserve">21.1 Seat and Mirror Office</w:t>
        </w:r>
        <w:r>
          <w:rPr>
            <w:noProof/>
            <w:webHidden/>
          </w:rPr>
          <w:tab/>
        </w:r>
        <w:r>
          <w:rPr>
            <w:noProof/>
            <w:webHidden/>
          </w:rPr>
          <w:fldChar w:fldCharType="begin"/>
        </w:r>
        <w:r>
          <w:rPr>
            <w:noProof/>
            <w:webHidden/>
          </w:rPr>
          <w:instrText xml:space="preserve"> PAGEREF _Toc262100130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3"/>
      </w:pPr>
      <w:hyperlink w:anchor="_Toc262100131" w:history="1">
        <w:r>
          <w:rPr>
            <w:rFonts w:ascii="Calibri" w:hAnsi="Calibri"/>
            <w:color w:val="20262A"/>
            <w:sz w:val="20"/>
            <w:noProof/>
          </w:rPr>
          <w:t xml:space="preserve">21.2 Internationally Representative Staffing</w:t>
        </w:r>
        <w:r>
          <w:rPr>
            <w:noProof/>
            <w:webHidden/>
          </w:rPr>
          <w:tab/>
        </w:r>
        <w:r>
          <w:rPr>
            <w:noProof/>
            <w:webHidden/>
          </w:rPr>
          <w:fldChar w:fldCharType="begin"/>
        </w:r>
        <w:r>
          <w:rPr>
            <w:noProof/>
            <w:webHidden/>
          </w:rPr>
          <w:instrText xml:space="preserve"> PAGEREF _Toc262100131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3"/>
      </w:pPr>
      <w:hyperlink w:anchor="_Toc262100132" w:history="1">
        <w:r>
          <w:rPr>
            <w:rFonts w:ascii="Calibri" w:hAnsi="Calibri"/>
            <w:color w:val="20262A"/>
            <w:sz w:val="20"/>
            <w:noProof/>
          </w:rPr>
          <w:t xml:space="preserve">21.3 The Watch Floor</w:t>
        </w:r>
        <w:r>
          <w:rPr>
            <w:noProof/>
            <w:webHidden/>
          </w:rPr>
          <w:tab/>
        </w:r>
        <w:r>
          <w:rPr>
            <w:noProof/>
            <w:webHidden/>
          </w:rPr>
          <w:fldChar w:fldCharType="begin"/>
        </w:r>
        <w:r>
          <w:rPr>
            <w:noProof/>
            <w:webHidden/>
          </w:rPr>
          <w:instrText xml:space="preserve"> PAGEREF _Toc262100132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3"/>
      </w:pPr>
      <w:hyperlink w:anchor="_Toc262100133" w:history="1">
        <w:r>
          <w:rPr>
            <w:rFonts w:ascii="Calibri" w:hAnsi="Calibri"/>
            <w:color w:val="20262A"/>
            <w:sz w:val="20"/>
            <w:noProof/>
          </w:rPr>
          <w:t xml:space="preserve">21.4 Functions</w:t>
        </w:r>
        <w:r>
          <w:rPr>
            <w:noProof/>
            <w:webHidden/>
          </w:rPr>
          <w:tab/>
        </w:r>
        <w:r>
          <w:rPr>
            <w:noProof/>
            <w:webHidden/>
          </w:rPr>
          <w:fldChar w:fldCharType="begin"/>
        </w:r>
        <w:r>
          <w:rPr>
            <w:noProof/>
            <w:webHidden/>
          </w:rPr>
          <w:instrText xml:space="preserve"> PAGEREF _Toc262100133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3"/>
      </w:pPr>
      <w:hyperlink w:anchor="_Toc262100134" w:history="1">
        <w:r>
          <w:rPr>
            <w:rFonts w:ascii="Calibri" w:hAnsi="Calibri"/>
            <w:color w:val="20262A"/>
            <w:sz w:val="20"/>
            <w:noProof/>
          </w:rPr>
          <w:t xml:space="preserve">21.5 The Civilian Character Clause</w:t>
        </w:r>
        <w:r>
          <w:rPr>
            <w:noProof/>
            <w:webHidden/>
          </w:rPr>
          <w:tab/>
        </w:r>
        <w:r>
          <w:rPr>
            <w:noProof/>
            <w:webHidden/>
          </w:rPr>
          <w:fldChar w:fldCharType="begin"/>
        </w:r>
        <w:r>
          <w:rPr>
            <w:noProof/>
            <w:webHidden/>
          </w:rPr>
          <w:instrText xml:space="preserve"> PAGEREF _Toc262100134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2"/>
      </w:pPr>
      <w:hyperlink w:anchor="_Toc262100135" w:history="1">
        <w:r>
          <w:rPr>
            <w:rFonts w:ascii="Calibri" w:hAnsi="Calibri"/>
            <w:color w:val="20262A"/>
            <w:sz w:val="20"/>
            <w:noProof/>
          </w:rPr>
          <w:t xml:space="preserve">Article 22: The Buffer Corridor Management Board</w:t>
        </w:r>
        <w:r>
          <w:rPr>
            <w:noProof/>
            <w:webHidden/>
          </w:rPr>
          <w:tab/>
        </w:r>
        <w:r>
          <w:rPr>
            <w:noProof/>
            <w:webHidden/>
          </w:rPr>
          <w:fldChar w:fldCharType="begin"/>
        </w:r>
        <w:r>
          <w:rPr>
            <w:noProof/>
            <w:webHidden/>
          </w:rPr>
          <w:instrText xml:space="preserve"> PAGEREF _Toc262100135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3"/>
      </w:pPr>
      <w:hyperlink w:anchor="_Toc262100136" w:history="1">
        <w:r>
          <w:rPr>
            <w:rFonts w:ascii="Calibri" w:hAnsi="Calibri"/>
            <w:color w:val="20262A"/>
            <w:sz w:val="20"/>
            <w:noProof/>
          </w:rPr>
          <w:t xml:space="preserve">22.1 Composition and Voting Weight</w:t>
        </w:r>
        <w:r>
          <w:rPr>
            <w:noProof/>
            <w:webHidden/>
          </w:rPr>
          <w:tab/>
        </w:r>
        <w:r>
          <w:rPr>
            <w:noProof/>
            <w:webHidden/>
          </w:rPr>
          <w:fldChar w:fldCharType="begin"/>
        </w:r>
        <w:r>
          <w:rPr>
            <w:noProof/>
            <w:webHidden/>
          </w:rPr>
          <w:instrText xml:space="preserve"> PAGEREF _Toc262100136 \h </w:instrText>
        </w:r>
        <w:r>
          <w:rPr>
            <w:noProof/>
            <w:webHidden/>
          </w:rPr>
          <w:fldChar w:fldCharType="separate"/>
        </w:r>
        <w:r>
          <w:rPr>
            <w:rFonts w:ascii="Calibri" w:hAnsi="Calibri"/>
            <w:color w:val="6E838A"/>
            <w:sz w:val="20"/>
            <w:noProof/>
            <w:webHidden/>
          </w:rPr>
          <w:t xml:space="preserve">43</w:t>
        </w:r>
        <w:r>
          <w:rPr>
            <w:noProof/>
            <w:webHidden/>
          </w:rPr>
          <w:fldChar w:fldCharType="end"/>
        </w:r>
      </w:hyperlink>
    </w:p>
    <w:p>
      <w:pPr>
        <w:pStyle w:val="TOC3"/>
      </w:pPr>
      <w:hyperlink w:anchor="_Toc262100137" w:history="1">
        <w:r>
          <w:rPr>
            <w:rFonts w:ascii="Calibri" w:hAnsi="Calibri"/>
            <w:color w:val="20262A"/>
            <w:sz w:val="20"/>
            <w:noProof/>
          </w:rPr>
          <w:t xml:space="preserve">22.2 The Two-Thirds Rule</w:t>
        </w:r>
        <w:r>
          <w:rPr>
            <w:noProof/>
            <w:webHidden/>
          </w:rPr>
          <w:tab/>
        </w:r>
        <w:r>
          <w:rPr>
            <w:noProof/>
            <w:webHidden/>
          </w:rPr>
          <w:fldChar w:fldCharType="begin"/>
        </w:r>
        <w:r>
          <w:rPr>
            <w:noProof/>
            <w:webHidden/>
          </w:rPr>
          <w:instrText xml:space="preserve"> PAGEREF _Toc262100137 \h </w:instrText>
        </w:r>
        <w:r>
          <w:rPr>
            <w:noProof/>
            <w:webHidden/>
          </w:rPr>
          <w:fldChar w:fldCharType="separate"/>
        </w:r>
        <w:r>
          <w:rPr>
            <w:rFonts w:ascii="Calibri" w:hAnsi="Calibri"/>
            <w:color w:val="6E838A"/>
            <w:sz w:val="20"/>
            <w:noProof/>
            <w:webHidden/>
          </w:rPr>
          <w:t xml:space="preserve">44</w:t>
        </w:r>
        <w:r>
          <w:rPr>
            <w:noProof/>
            <w:webHidden/>
          </w:rPr>
          <w:fldChar w:fldCharType="end"/>
        </w:r>
      </w:hyperlink>
    </w:p>
    <w:p>
      <w:pPr>
        <w:pStyle w:val="TOC3"/>
      </w:pPr>
      <w:hyperlink w:anchor="_Toc262100138" w:history="1">
        <w:r>
          <w:rPr>
            <w:rFonts w:ascii="Calibri" w:hAnsi="Calibri"/>
            <w:color w:val="20262A"/>
            <w:sz w:val="20"/>
            <w:noProof/>
          </w:rPr>
          <w:t xml:space="preserve">22.3 Functions</w:t>
        </w:r>
        <w:r>
          <w:rPr>
            <w:noProof/>
            <w:webHidden/>
          </w:rPr>
          <w:tab/>
        </w:r>
        <w:r>
          <w:rPr>
            <w:noProof/>
            <w:webHidden/>
          </w:rPr>
          <w:fldChar w:fldCharType="begin"/>
        </w:r>
        <w:r>
          <w:rPr>
            <w:noProof/>
            <w:webHidden/>
          </w:rPr>
          <w:instrText xml:space="preserve"> PAGEREF _Toc262100138 \h </w:instrText>
        </w:r>
        <w:r>
          <w:rPr>
            <w:noProof/>
            <w:webHidden/>
          </w:rPr>
          <w:fldChar w:fldCharType="separate"/>
        </w:r>
        <w:r>
          <w:rPr>
            <w:rFonts w:ascii="Calibri" w:hAnsi="Calibri"/>
            <w:color w:val="6E838A"/>
            <w:sz w:val="20"/>
            <w:noProof/>
            <w:webHidden/>
          </w:rPr>
          <w:t xml:space="preserve">44</w:t>
        </w:r>
        <w:r>
          <w:rPr>
            <w:noProof/>
            <w:webHidden/>
          </w:rPr>
          <w:fldChar w:fldCharType="end"/>
        </w:r>
      </w:hyperlink>
    </w:p>
    <w:p>
      <w:pPr>
        <w:pStyle w:val="TOC3"/>
      </w:pPr>
      <w:hyperlink w:anchor="_Toc262100139" w:history="1">
        <w:r>
          <w:rPr>
            <w:rFonts w:ascii="Calibri" w:hAnsi="Calibri"/>
            <w:color w:val="20262A"/>
            <w:sz w:val="20"/>
            <w:noProof/>
          </w:rPr>
          <w:t xml:space="preserve">22.4 Asset Contribution</w:t>
        </w:r>
        <w:r>
          <w:rPr>
            <w:noProof/>
            <w:webHidden/>
          </w:rPr>
          <w:tab/>
        </w:r>
        <w:r>
          <w:rPr>
            <w:noProof/>
            <w:webHidden/>
          </w:rPr>
          <w:fldChar w:fldCharType="begin"/>
        </w:r>
        <w:r>
          <w:rPr>
            <w:noProof/>
            <w:webHidden/>
          </w:rPr>
          <w:instrText xml:space="preserve"> PAGEREF _Toc262100139 \h </w:instrText>
        </w:r>
        <w:r>
          <w:rPr>
            <w:noProof/>
            <w:webHidden/>
          </w:rPr>
          <w:fldChar w:fldCharType="separate"/>
        </w:r>
        <w:r>
          <w:rPr>
            <w:rFonts w:ascii="Calibri" w:hAnsi="Calibri"/>
            <w:color w:val="6E838A"/>
            <w:sz w:val="20"/>
            <w:noProof/>
            <w:webHidden/>
          </w:rPr>
          <w:t xml:space="preserve">44</w:t>
        </w:r>
        <w:r>
          <w:rPr>
            <w:noProof/>
            <w:webHidden/>
          </w:rPr>
          <w:fldChar w:fldCharType="end"/>
        </w:r>
      </w:hyperlink>
    </w:p>
    <w:p>
      <w:pPr>
        <w:pStyle w:val="TOC2"/>
      </w:pPr>
      <w:hyperlink w:anchor="_Toc262100140" w:history="1">
        <w:r>
          <w:rPr>
            <w:rFonts w:ascii="Calibri" w:hAnsi="Calibri"/>
            <w:color w:val="20262A"/>
            <w:sz w:val="20"/>
            <w:noProof/>
          </w:rPr>
          <w:t xml:space="preserve">Article 23: The Meridian Verification Office</w:t>
        </w:r>
        <w:r>
          <w:rPr>
            <w:noProof/>
            <w:webHidden/>
          </w:rPr>
          <w:tab/>
        </w:r>
        <w:r>
          <w:rPr>
            <w:noProof/>
            <w:webHidden/>
          </w:rPr>
          <w:fldChar w:fldCharType="begin"/>
        </w:r>
        <w:r>
          <w:rPr>
            <w:noProof/>
            <w:webHidden/>
          </w:rPr>
          <w:instrText xml:space="preserve"> PAGEREF _Toc262100140 \h </w:instrText>
        </w:r>
        <w:r>
          <w:rPr>
            <w:noProof/>
            <w:webHidden/>
          </w:rPr>
          <w:fldChar w:fldCharType="separate"/>
        </w:r>
        <w:r>
          <w:rPr>
            <w:rFonts w:ascii="Calibri" w:hAnsi="Calibri"/>
            <w:color w:val="6E838A"/>
            <w:sz w:val="20"/>
            <w:noProof/>
            <w:webHidden/>
          </w:rPr>
          <w:t xml:space="preserve">44</w:t>
        </w:r>
        <w:r>
          <w:rPr>
            <w:noProof/>
            <w:webHidden/>
          </w:rPr>
          <w:fldChar w:fldCharType="end"/>
        </w:r>
      </w:hyperlink>
    </w:p>
    <w:p>
      <w:pPr>
        <w:pStyle w:val="TOC3"/>
      </w:pPr>
      <w:hyperlink w:anchor="_Toc262100141" w:history="1">
        <w:r>
          <w:rPr>
            <w:rFonts w:ascii="Calibri" w:hAnsi="Calibri"/>
            <w:color w:val="20262A"/>
            <w:sz w:val="20"/>
            <w:noProof/>
          </w:rPr>
          <w:t xml:space="preserve">23.1 Mandate</w:t>
        </w:r>
        <w:r>
          <w:rPr>
            <w:noProof/>
            <w:webHidden/>
          </w:rPr>
          <w:tab/>
        </w:r>
        <w:r>
          <w:rPr>
            <w:noProof/>
            <w:webHidden/>
          </w:rPr>
          <w:fldChar w:fldCharType="begin"/>
        </w:r>
        <w:r>
          <w:rPr>
            <w:noProof/>
            <w:webHidden/>
          </w:rPr>
          <w:instrText xml:space="preserve"> PAGEREF _Toc262100141 \h </w:instrText>
        </w:r>
        <w:r>
          <w:rPr>
            <w:noProof/>
            <w:webHidden/>
          </w:rPr>
          <w:fldChar w:fldCharType="separate"/>
        </w:r>
        <w:r>
          <w:rPr>
            <w:rFonts w:ascii="Calibri" w:hAnsi="Calibri"/>
            <w:color w:val="6E838A"/>
            <w:sz w:val="20"/>
            <w:noProof/>
            <w:webHidden/>
          </w:rPr>
          <w:t xml:space="preserve">44</w:t>
        </w:r>
        <w:r>
          <w:rPr>
            <w:noProof/>
            <w:webHidden/>
          </w:rPr>
          <w:fldChar w:fldCharType="end"/>
        </w:r>
      </w:hyperlink>
    </w:p>
    <w:p>
      <w:pPr>
        <w:pStyle w:val="TOC3"/>
      </w:pPr>
      <w:hyperlink w:anchor="_Toc262100142" w:history="1">
        <w:r>
          <w:rPr>
            <w:rFonts w:ascii="Calibri" w:hAnsi="Calibri"/>
            <w:color w:val="20262A"/>
            <w:sz w:val="20"/>
            <w:noProof/>
          </w:rPr>
          <w:t xml:space="preserve">23.2 Composition</w:t>
        </w:r>
        <w:r>
          <w:rPr>
            <w:noProof/>
            <w:webHidden/>
          </w:rPr>
          <w:tab/>
        </w:r>
        <w:r>
          <w:rPr>
            <w:noProof/>
            <w:webHidden/>
          </w:rPr>
          <w:fldChar w:fldCharType="begin"/>
        </w:r>
        <w:r>
          <w:rPr>
            <w:noProof/>
            <w:webHidden/>
          </w:rPr>
          <w:instrText xml:space="preserve"> PAGEREF _Toc262100142 \h </w:instrText>
        </w:r>
        <w:r>
          <w:rPr>
            <w:noProof/>
            <w:webHidden/>
          </w:rPr>
          <w:fldChar w:fldCharType="separate"/>
        </w:r>
        <w:r>
          <w:rPr>
            <w:rFonts w:ascii="Calibri" w:hAnsi="Calibri"/>
            <w:color w:val="6E838A"/>
            <w:sz w:val="20"/>
            <w:noProof/>
            <w:webHidden/>
          </w:rPr>
          <w:t xml:space="preserve">44</w:t>
        </w:r>
        <w:r>
          <w:rPr>
            <w:noProof/>
            <w:webHidden/>
          </w:rPr>
          <w:fldChar w:fldCharType="end"/>
        </w:r>
      </w:hyperlink>
    </w:p>
    <w:p>
      <w:pPr>
        <w:pStyle w:val="TOC3"/>
      </w:pPr>
      <w:hyperlink w:anchor="_Toc262100143" w:history="1">
        <w:r>
          <w:rPr>
            <w:rFonts w:ascii="Calibri" w:hAnsi="Calibri"/>
            <w:color w:val="20262A"/>
            <w:sz w:val="20"/>
            <w:noProof/>
          </w:rPr>
          <w:t xml:space="preserve">23.3 Embarked Observers</w:t>
        </w:r>
        <w:r>
          <w:rPr>
            <w:noProof/>
            <w:webHidden/>
          </w:rPr>
          <w:tab/>
        </w:r>
        <w:r>
          <w:rPr>
            <w:noProof/>
            <w:webHidden/>
          </w:rPr>
          <w:fldChar w:fldCharType="begin"/>
        </w:r>
        <w:r>
          <w:rPr>
            <w:noProof/>
            <w:webHidden/>
          </w:rPr>
          <w:instrText xml:space="preserve"> PAGEREF _Toc262100143 \h </w:instrText>
        </w:r>
        <w:r>
          <w:rPr>
            <w:noProof/>
            <w:webHidden/>
          </w:rPr>
          <w:fldChar w:fldCharType="separate"/>
        </w:r>
        <w:r>
          <w:rPr>
            <w:rFonts w:ascii="Calibri" w:hAnsi="Calibri"/>
            <w:color w:val="6E838A"/>
            <w:sz w:val="20"/>
            <w:noProof/>
            <w:webHidden/>
          </w:rPr>
          <w:t xml:space="preserve">44</w:t>
        </w:r>
        <w:r>
          <w:rPr>
            <w:noProof/>
            <w:webHidden/>
          </w:rPr>
          <w:fldChar w:fldCharType="end"/>
        </w:r>
      </w:hyperlink>
    </w:p>
    <w:p>
      <w:pPr>
        <w:pStyle w:val="TOC3"/>
      </w:pPr>
      <w:hyperlink w:anchor="_Toc262100144" w:history="1">
        <w:r>
          <w:rPr>
            <w:rFonts w:ascii="Calibri" w:hAnsi="Calibri"/>
            <w:color w:val="20262A"/>
            <w:sz w:val="20"/>
            <w:noProof/>
          </w:rPr>
          <w:t xml:space="preserve">23.4 Reporting</w:t>
        </w:r>
        <w:r>
          <w:rPr>
            <w:noProof/>
            <w:webHidden/>
          </w:rPr>
          <w:tab/>
        </w:r>
        <w:r>
          <w:rPr>
            <w:noProof/>
            <w:webHidden/>
          </w:rPr>
          <w:fldChar w:fldCharType="begin"/>
        </w:r>
        <w:r>
          <w:rPr>
            <w:noProof/>
            <w:webHidden/>
          </w:rPr>
          <w:instrText xml:space="preserve"> PAGEREF _Toc262100144 \h </w:instrText>
        </w:r>
        <w:r>
          <w:rPr>
            <w:noProof/>
            <w:webHidden/>
          </w:rPr>
          <w:fldChar w:fldCharType="separate"/>
        </w:r>
        <w:r>
          <w:rPr>
            <w:rFonts w:ascii="Calibri" w:hAnsi="Calibri"/>
            <w:color w:val="6E838A"/>
            <w:sz w:val="20"/>
            <w:noProof/>
            <w:webHidden/>
          </w:rPr>
          <w:t xml:space="preserve">45</w:t>
        </w:r>
        <w:r>
          <w:rPr>
            <w:noProof/>
            <w:webHidden/>
          </w:rPr>
          <w:fldChar w:fldCharType="end"/>
        </w:r>
      </w:hyperlink>
    </w:p>
    <w:p>
      <w:pPr>
        <w:pStyle w:val="TOC3"/>
      </w:pPr>
      <w:hyperlink w:anchor="_Toc262100145" w:history="1">
        <w:r>
          <w:rPr>
            <w:rFonts w:ascii="Calibri" w:hAnsi="Calibri"/>
            <w:color w:val="20262A"/>
            <w:sz w:val="20"/>
            <w:noProof/>
          </w:rPr>
          <w:t xml:space="preserve">23.5 Independence Safeguards</w:t>
        </w:r>
        <w:r>
          <w:rPr>
            <w:noProof/>
            <w:webHidden/>
          </w:rPr>
          <w:tab/>
        </w:r>
        <w:r>
          <w:rPr>
            <w:noProof/>
            <w:webHidden/>
          </w:rPr>
          <w:fldChar w:fldCharType="begin"/>
        </w:r>
        <w:r>
          <w:rPr>
            <w:noProof/>
            <w:webHidden/>
          </w:rPr>
          <w:instrText xml:space="preserve"> PAGEREF _Toc262100145 \h </w:instrText>
        </w:r>
        <w:r>
          <w:rPr>
            <w:noProof/>
            <w:webHidden/>
          </w:rPr>
          <w:fldChar w:fldCharType="separate"/>
        </w:r>
        <w:r>
          <w:rPr>
            <w:rFonts w:ascii="Calibri" w:hAnsi="Calibri"/>
            <w:color w:val="6E838A"/>
            <w:sz w:val="20"/>
            <w:noProof/>
            <w:webHidden/>
          </w:rPr>
          <w:t xml:space="preserve">45</w:t>
        </w:r>
        <w:r>
          <w:rPr>
            <w:noProof/>
            <w:webHidden/>
          </w:rPr>
          <w:fldChar w:fldCharType="end"/>
        </w:r>
      </w:hyperlink>
    </w:p>
    <w:p>
      <w:pPr>
        <w:pStyle w:val="TOC2"/>
      </w:pPr>
      <w:hyperlink w:anchor="_Toc262100146" w:history="1">
        <w:r>
          <w:rPr>
            <w:rFonts w:ascii="Calibri" w:hAnsi="Calibri"/>
            <w:color w:val="20262A"/>
            <w:sz w:val="20"/>
            <w:noProof/>
          </w:rPr>
          <w:t xml:space="preserve">Article 24: Decision Rules, the Twin Key Rule, and the Role Registry</w:t>
        </w:r>
        <w:r>
          <w:rPr>
            <w:noProof/>
            <w:webHidden/>
          </w:rPr>
          <w:tab/>
        </w:r>
        <w:r>
          <w:rPr>
            <w:noProof/>
            <w:webHidden/>
          </w:rPr>
          <w:fldChar w:fldCharType="begin"/>
        </w:r>
        <w:r>
          <w:rPr>
            <w:noProof/>
            <w:webHidden/>
          </w:rPr>
          <w:instrText xml:space="preserve"> PAGEREF _Toc262100146 \h </w:instrText>
        </w:r>
        <w:r>
          <w:rPr>
            <w:noProof/>
            <w:webHidden/>
          </w:rPr>
          <w:fldChar w:fldCharType="separate"/>
        </w:r>
        <w:r>
          <w:rPr>
            <w:rFonts w:ascii="Calibri" w:hAnsi="Calibri"/>
            <w:color w:val="6E838A"/>
            <w:sz w:val="20"/>
            <w:noProof/>
            <w:webHidden/>
          </w:rPr>
          <w:t xml:space="preserve">45</w:t>
        </w:r>
        <w:r>
          <w:rPr>
            <w:noProof/>
            <w:webHidden/>
          </w:rPr>
          <w:fldChar w:fldCharType="end"/>
        </w:r>
      </w:hyperlink>
    </w:p>
    <w:p>
      <w:pPr>
        <w:pStyle w:val="TOC3"/>
      </w:pPr>
      <w:hyperlink w:anchor="_Toc262100147" w:history="1">
        <w:r>
          <w:rPr>
            <w:rFonts w:ascii="Calibri" w:hAnsi="Calibri"/>
            <w:color w:val="20262A"/>
            <w:sz w:val="20"/>
            <w:noProof/>
          </w:rPr>
          <w:t xml:space="preserve">24.1 The Twin Key Rule</w:t>
        </w:r>
        <w:r>
          <w:rPr>
            <w:noProof/>
            <w:webHidden/>
          </w:rPr>
          <w:tab/>
        </w:r>
        <w:r>
          <w:rPr>
            <w:noProof/>
            <w:webHidden/>
          </w:rPr>
          <w:fldChar w:fldCharType="begin"/>
        </w:r>
        <w:r>
          <w:rPr>
            <w:noProof/>
            <w:webHidden/>
          </w:rPr>
          <w:instrText xml:space="preserve"> PAGEREF _Toc262100147 \h </w:instrText>
        </w:r>
        <w:r>
          <w:rPr>
            <w:noProof/>
            <w:webHidden/>
          </w:rPr>
          <w:fldChar w:fldCharType="separate"/>
        </w:r>
        <w:r>
          <w:rPr>
            <w:rFonts w:ascii="Calibri" w:hAnsi="Calibri"/>
            <w:color w:val="6E838A"/>
            <w:sz w:val="20"/>
            <w:noProof/>
            <w:webHidden/>
          </w:rPr>
          <w:t xml:space="preserve">45</w:t>
        </w:r>
        <w:r>
          <w:rPr>
            <w:noProof/>
            <w:webHidden/>
          </w:rPr>
          <w:fldChar w:fldCharType="end"/>
        </w:r>
      </w:hyperlink>
    </w:p>
    <w:p>
      <w:pPr>
        <w:pStyle w:val="TOC3"/>
      </w:pPr>
      <w:hyperlink w:anchor="_Toc262100148" w:history="1">
        <w:r>
          <w:rPr>
            <w:rFonts w:ascii="Calibri" w:hAnsi="Calibri"/>
            <w:color w:val="20262A"/>
            <w:sz w:val="20"/>
            <w:noProof/>
          </w:rPr>
          <w:t xml:space="preserve">24.2 The Consequential Actions Register</w:t>
        </w:r>
        <w:r>
          <w:rPr>
            <w:noProof/>
            <w:webHidden/>
          </w:rPr>
          <w:tab/>
        </w:r>
        <w:r>
          <w:rPr>
            <w:noProof/>
            <w:webHidden/>
          </w:rPr>
          <w:fldChar w:fldCharType="begin"/>
        </w:r>
        <w:r>
          <w:rPr>
            <w:noProof/>
            <w:webHidden/>
          </w:rPr>
          <w:instrText xml:space="preserve"> PAGEREF _Toc262100148 \h </w:instrText>
        </w:r>
        <w:r>
          <w:rPr>
            <w:noProof/>
            <w:webHidden/>
          </w:rPr>
          <w:fldChar w:fldCharType="separate"/>
        </w:r>
        <w:r>
          <w:rPr>
            <w:rFonts w:ascii="Calibri" w:hAnsi="Calibri"/>
            <w:color w:val="6E838A"/>
            <w:sz w:val="20"/>
            <w:noProof/>
            <w:webHidden/>
          </w:rPr>
          <w:t xml:space="preserve">45</w:t>
        </w:r>
        <w:r>
          <w:rPr>
            <w:noProof/>
            <w:webHidden/>
          </w:rPr>
          <w:fldChar w:fldCharType="end"/>
        </w:r>
      </w:hyperlink>
    </w:p>
    <w:p>
      <w:pPr>
        <w:pStyle w:val="TOC3"/>
      </w:pPr>
      <w:hyperlink w:anchor="_Toc262100149" w:history="1">
        <w:r>
          <w:rPr>
            <w:rFonts w:ascii="Calibri" w:hAnsi="Calibri"/>
            <w:color w:val="20262A"/>
            <w:sz w:val="20"/>
            <w:noProof/>
          </w:rPr>
          <w:t xml:space="preserve">24.3 The Anti-Cascade Firewall</w:t>
        </w:r>
        <w:r>
          <w:rPr>
            <w:noProof/>
            <w:webHidden/>
          </w:rPr>
          <w:tab/>
        </w:r>
        <w:r>
          <w:rPr>
            <w:noProof/>
            <w:webHidden/>
          </w:rPr>
          <w:fldChar w:fldCharType="begin"/>
        </w:r>
        <w:r>
          <w:rPr>
            <w:noProof/>
            <w:webHidden/>
          </w:rPr>
          <w:instrText xml:space="preserve"> PAGEREF _Toc262100149 \h </w:instrText>
        </w:r>
        <w:r>
          <w:rPr>
            <w:noProof/>
            <w:webHidden/>
          </w:rPr>
          <w:fldChar w:fldCharType="separate"/>
        </w:r>
        <w:r>
          <w:rPr>
            <w:rFonts w:ascii="Calibri" w:hAnsi="Calibri"/>
            <w:color w:val="6E838A"/>
            <w:sz w:val="20"/>
            <w:noProof/>
            <w:webHidden/>
          </w:rPr>
          <w:t xml:space="preserve">46</w:t>
        </w:r>
        <w:r>
          <w:rPr>
            <w:noProof/>
            <w:webHidden/>
          </w:rPr>
          <w:fldChar w:fldCharType="end"/>
        </w:r>
      </w:hyperlink>
    </w:p>
    <w:p>
      <w:pPr>
        <w:pStyle w:val="TOC3"/>
      </w:pPr>
      <w:hyperlink w:anchor="_Toc262100150" w:history="1">
        <w:r>
          <w:rPr>
            <w:rFonts w:ascii="Calibri" w:hAnsi="Calibri"/>
            <w:color w:val="20262A"/>
            <w:sz w:val="20"/>
            <w:noProof/>
          </w:rPr>
          <w:t xml:space="preserve">24.4 The Dignified Deactivation Protocol</w:t>
        </w:r>
        <w:r>
          <w:rPr>
            <w:noProof/>
            <w:webHidden/>
          </w:rPr>
          <w:tab/>
        </w:r>
        <w:r>
          <w:rPr>
            <w:noProof/>
            <w:webHidden/>
          </w:rPr>
          <w:fldChar w:fldCharType="begin"/>
        </w:r>
        <w:r>
          <w:rPr>
            <w:noProof/>
            <w:webHidden/>
          </w:rPr>
          <w:instrText xml:space="preserve"> PAGEREF _Toc262100150 \h </w:instrText>
        </w:r>
        <w:r>
          <w:rPr>
            <w:noProof/>
            <w:webHidden/>
          </w:rPr>
          <w:fldChar w:fldCharType="separate"/>
        </w:r>
        <w:r>
          <w:rPr>
            <w:rFonts w:ascii="Calibri" w:hAnsi="Calibri"/>
            <w:color w:val="6E838A"/>
            <w:sz w:val="20"/>
            <w:noProof/>
            <w:webHidden/>
          </w:rPr>
          <w:t xml:space="preserve">46</w:t>
        </w:r>
        <w:r>
          <w:rPr>
            <w:noProof/>
            <w:webHidden/>
          </w:rPr>
          <w:fldChar w:fldCharType="end"/>
        </w:r>
      </w:hyperlink>
    </w:p>
    <w:p>
      <w:pPr>
        <w:pStyle w:val="TOC3"/>
      </w:pPr>
      <w:hyperlink w:anchor="_Toc262100151" w:history="1">
        <w:r>
          <w:rPr>
            <w:rFonts w:ascii="Calibri" w:hAnsi="Calibri"/>
            <w:color w:val="20262A"/>
            <w:sz w:val="20"/>
            <w:noProof/>
          </w:rPr>
          <w:t xml:space="preserve">24.5 Observers and the International Maritime Organization Interface</w:t>
        </w:r>
        <w:r>
          <w:rPr>
            <w:noProof/>
            <w:webHidden/>
          </w:rPr>
          <w:tab/>
        </w:r>
        <w:r>
          <w:rPr>
            <w:noProof/>
            <w:webHidden/>
          </w:rPr>
          <w:fldChar w:fldCharType="begin"/>
        </w:r>
        <w:r>
          <w:rPr>
            <w:noProof/>
            <w:webHidden/>
          </w:rPr>
          <w:instrText xml:space="preserve"> PAGEREF _Toc262100151 \h </w:instrText>
        </w:r>
        <w:r>
          <w:rPr>
            <w:noProof/>
            <w:webHidden/>
          </w:rPr>
          <w:fldChar w:fldCharType="separate"/>
        </w:r>
        <w:r>
          <w:rPr>
            <w:rFonts w:ascii="Calibri" w:hAnsi="Calibri"/>
            <w:color w:val="6E838A"/>
            <w:sz w:val="20"/>
            <w:noProof/>
            <w:webHidden/>
          </w:rPr>
          <w:t xml:space="preserve">46</w:t>
        </w:r>
        <w:r>
          <w:rPr>
            <w:noProof/>
            <w:webHidden/>
          </w:rPr>
          <w:fldChar w:fldCharType="end"/>
        </w:r>
      </w:hyperlink>
    </w:p>
    <w:p>
      <w:pPr>
        <w:pStyle w:val="TOC3"/>
      </w:pPr>
      <w:hyperlink w:anchor="_Toc262100152" w:history="1">
        <w:r>
          <w:rPr>
            <w:rFonts w:ascii="Calibri" w:hAnsi="Calibri"/>
            <w:color w:val="20262A"/>
            <w:sz w:val="20"/>
            <w:noProof/>
          </w:rPr>
          <w:t xml:space="preserve">24.6 The Role Registry</w:t>
        </w:r>
        <w:r>
          <w:rPr>
            <w:noProof/>
            <w:webHidden/>
          </w:rPr>
          <w:tab/>
        </w:r>
        <w:r>
          <w:rPr>
            <w:noProof/>
            <w:webHidden/>
          </w:rPr>
          <w:fldChar w:fldCharType="begin"/>
        </w:r>
        <w:r>
          <w:rPr>
            <w:noProof/>
            <w:webHidden/>
          </w:rPr>
          <w:instrText xml:space="preserve"> PAGEREF _Toc262100152 \h </w:instrText>
        </w:r>
        <w:r>
          <w:rPr>
            <w:noProof/>
            <w:webHidden/>
          </w:rPr>
          <w:fldChar w:fldCharType="separate"/>
        </w:r>
        <w:r>
          <w:rPr>
            <w:rFonts w:ascii="Calibri" w:hAnsi="Calibri"/>
            <w:color w:val="6E838A"/>
            <w:sz w:val="20"/>
            <w:noProof/>
            <w:webHidden/>
          </w:rPr>
          <w:t xml:space="preserve">46</w:t>
        </w:r>
        <w:r>
          <w:rPr>
            <w:noProof/>
            <w:webHidden/>
          </w:rPr>
          <w:fldChar w:fldCharType="end"/>
        </w:r>
      </w:hyperlink>
    </w:p>
    <w:p>
      <w:pPr>
        <w:pStyle w:val="TOC1"/>
      </w:pPr>
      <w:hyperlink w:anchor="_Toc262100153" w:history="1">
        <w:r>
          <w:rPr>
            <w:rFonts w:ascii="Calibri" w:hAnsi="Calibri"/>
            <w:b/>
            <w:color w:val="1D4E5F"/>
            <w:sz w:val="21"/>
            <w:noProof/>
          </w:rPr>
          <w:t xml:space="preserve">Part V: Financial Architecture: The Settlement of the Fee Question</w:t>
        </w:r>
        <w:r>
          <w:rPr>
            <w:noProof/>
            <w:webHidden/>
          </w:rPr>
          <w:tab/>
        </w:r>
        <w:r>
          <w:rPr>
            <w:noProof/>
            <w:webHidden/>
          </w:rPr>
          <w:fldChar w:fldCharType="begin"/>
        </w:r>
        <w:r>
          <w:rPr>
            <w:noProof/>
            <w:webHidden/>
          </w:rPr>
          <w:instrText xml:space="preserve"> PAGEREF _Toc262100153 \h </w:instrText>
        </w:r>
        <w:r>
          <w:rPr>
            <w:noProof/>
            <w:webHidden/>
          </w:rPr>
          <w:fldChar w:fldCharType="separate"/>
        </w:r>
        <w:r>
          <w:rPr>
            <w:rFonts w:ascii="Calibri" w:hAnsi="Calibri"/>
            <w:color w:val="6E838A"/>
            <w:sz w:val="20"/>
            <w:noProof/>
            <w:webHidden/>
          </w:rPr>
          <w:t xml:space="preserve">47</w:t>
        </w:r>
        <w:r>
          <w:rPr>
            <w:noProof/>
            <w:webHidden/>
          </w:rPr>
          <w:fldChar w:fldCharType="end"/>
        </w:r>
      </w:hyperlink>
    </w:p>
    <w:p>
      <w:pPr>
        <w:pStyle w:val="TOC2"/>
      </w:pPr>
      <w:hyperlink w:anchor="_Toc262100154" w:history="1">
        <w:r>
          <w:rPr>
            <w:rFonts w:ascii="Calibri" w:hAnsi="Calibri"/>
            <w:color w:val="20262A"/>
            <w:sz w:val="20"/>
            <w:noProof/>
          </w:rPr>
          <w:t xml:space="preserve">Article 25: The Settlement at a Glance</w:t>
        </w:r>
        <w:r>
          <w:rPr>
            <w:noProof/>
            <w:webHidden/>
          </w:rPr>
          <w:tab/>
        </w:r>
        <w:r>
          <w:rPr>
            <w:noProof/>
            <w:webHidden/>
          </w:rPr>
          <w:fldChar w:fldCharType="begin"/>
        </w:r>
        <w:r>
          <w:rPr>
            <w:noProof/>
            <w:webHidden/>
          </w:rPr>
          <w:instrText xml:space="preserve"> PAGEREF _Toc262100154 \h </w:instrText>
        </w:r>
        <w:r>
          <w:rPr>
            <w:noProof/>
            <w:webHidden/>
          </w:rPr>
          <w:fldChar w:fldCharType="separate"/>
        </w:r>
        <w:r>
          <w:rPr>
            <w:rFonts w:ascii="Calibri" w:hAnsi="Calibri"/>
            <w:color w:val="6E838A"/>
            <w:sz w:val="20"/>
            <w:noProof/>
            <w:webHidden/>
          </w:rPr>
          <w:t xml:space="preserve">47</w:t>
        </w:r>
        <w:r>
          <w:rPr>
            <w:noProof/>
            <w:webHidden/>
          </w:rPr>
          <w:fldChar w:fldCharType="end"/>
        </w:r>
      </w:hyperlink>
    </w:p>
    <w:p>
      <w:pPr>
        <w:pStyle w:val="TOC3"/>
      </w:pPr>
      <w:hyperlink w:anchor="_Toc262100155" w:history="1">
        <w:r>
          <w:rPr>
            <w:rFonts w:ascii="Calibri" w:hAnsi="Calibri"/>
            <w:color w:val="20262A"/>
            <w:sz w:val="20"/>
            <w:noProof/>
          </w:rPr>
          <w:t xml:space="preserve">25.1 Design Logic</w:t>
        </w:r>
        <w:r>
          <w:rPr>
            <w:noProof/>
            <w:webHidden/>
          </w:rPr>
          <w:tab/>
        </w:r>
        <w:r>
          <w:rPr>
            <w:noProof/>
            <w:webHidden/>
          </w:rPr>
          <w:fldChar w:fldCharType="begin"/>
        </w:r>
        <w:r>
          <w:rPr>
            <w:noProof/>
            <w:webHidden/>
          </w:rPr>
          <w:instrText xml:space="preserve"> PAGEREF _Toc262100155 \h </w:instrText>
        </w:r>
        <w:r>
          <w:rPr>
            <w:noProof/>
            <w:webHidden/>
          </w:rPr>
          <w:fldChar w:fldCharType="separate"/>
        </w:r>
        <w:r>
          <w:rPr>
            <w:rFonts w:ascii="Calibri" w:hAnsi="Calibri"/>
            <w:color w:val="6E838A"/>
            <w:sz w:val="20"/>
            <w:noProof/>
            <w:webHidden/>
          </w:rPr>
          <w:t xml:space="preserve">47</w:t>
        </w:r>
        <w:r>
          <w:rPr>
            <w:noProof/>
            <w:webHidden/>
          </w:rPr>
          <w:fldChar w:fldCharType="end"/>
        </w:r>
      </w:hyperlink>
    </w:p>
    <w:p>
      <w:pPr>
        <w:pStyle w:val="TOC3"/>
      </w:pPr>
      <w:hyperlink w:anchor="_Toc262100156" w:history="1">
        <w:r>
          <w:rPr>
            <w:rFonts w:ascii="Calibri" w:hAnsi="Calibri"/>
            <w:color w:val="20262A"/>
            <w:sz w:val="20"/>
            <w:noProof/>
          </w:rPr>
          <w:t xml:space="preserve">25.2 The Settlement Pair</w:t>
        </w:r>
        <w:r>
          <w:rPr>
            <w:noProof/>
            <w:webHidden/>
          </w:rPr>
          <w:tab/>
        </w:r>
        <w:r>
          <w:rPr>
            <w:noProof/>
            <w:webHidden/>
          </w:rPr>
          <w:fldChar w:fldCharType="begin"/>
        </w:r>
        <w:r>
          <w:rPr>
            <w:noProof/>
            <w:webHidden/>
          </w:rPr>
          <w:instrText xml:space="preserve"> PAGEREF _Toc262100156 \h </w:instrText>
        </w:r>
        <w:r>
          <w:rPr>
            <w:noProof/>
            <w:webHidden/>
          </w:rPr>
          <w:fldChar w:fldCharType="separate"/>
        </w:r>
        <w:r>
          <w:rPr>
            <w:rFonts w:ascii="Calibri" w:hAnsi="Calibri"/>
            <w:color w:val="6E838A"/>
            <w:sz w:val="20"/>
            <w:noProof/>
            <w:webHidden/>
          </w:rPr>
          <w:t xml:space="preserve">47</w:t>
        </w:r>
        <w:r>
          <w:rPr>
            <w:noProof/>
            <w:webHidden/>
          </w:rPr>
          <w:fldChar w:fldCharType="end"/>
        </w:r>
      </w:hyperlink>
    </w:p>
    <w:p>
      <w:pPr>
        <w:pStyle w:val="TOC3"/>
      </w:pPr>
      <w:hyperlink w:anchor="_Toc262100157" w:history="1">
        <w:r>
          <w:rPr>
            <w:rFonts w:ascii="Calibri" w:hAnsi="Calibri"/>
            <w:color w:val="20262A"/>
            <w:sz w:val="20"/>
            <w:noProof/>
          </w:rPr>
          <w:t xml:space="preserve">25.3 The Four Streams</w:t>
        </w:r>
        <w:r>
          <w:rPr>
            <w:noProof/>
            <w:webHidden/>
          </w:rPr>
          <w:tab/>
        </w:r>
        <w:r>
          <w:rPr>
            <w:noProof/>
            <w:webHidden/>
          </w:rPr>
          <w:fldChar w:fldCharType="begin"/>
        </w:r>
        <w:r>
          <w:rPr>
            <w:noProof/>
            <w:webHidden/>
          </w:rPr>
          <w:instrText xml:space="preserve"> PAGEREF _Toc262100157 \h </w:instrText>
        </w:r>
        <w:r>
          <w:rPr>
            <w:noProof/>
            <w:webHidden/>
          </w:rPr>
          <w:fldChar w:fldCharType="separate"/>
        </w:r>
        <w:r>
          <w:rPr>
            <w:rFonts w:ascii="Calibri" w:hAnsi="Calibri"/>
            <w:color w:val="6E838A"/>
            <w:sz w:val="20"/>
            <w:noProof/>
            <w:webHidden/>
          </w:rPr>
          <w:t xml:space="preserve">47</w:t>
        </w:r>
        <w:r>
          <w:rPr>
            <w:noProof/>
            <w:webHidden/>
          </w:rPr>
          <w:fldChar w:fldCharType="end"/>
        </w:r>
      </w:hyperlink>
    </w:p>
    <w:p>
      <w:pPr>
        <w:pStyle w:val="TOC2"/>
      </w:pPr>
      <w:hyperlink w:anchor="_Toc262100158" w:history="1">
        <w:r>
          <w:rPr>
            <w:rFonts w:ascii="Calibri" w:hAnsi="Calibri"/>
            <w:color w:val="20262A"/>
            <w:sz w:val="20"/>
            <w:noProof/>
          </w:rPr>
          <w:t xml:space="preserve">Article 26: The Zero-Toll Rule and the Service Boundary</w:t>
        </w:r>
        <w:r>
          <w:rPr>
            <w:noProof/>
            <w:webHidden/>
          </w:rPr>
          <w:tab/>
        </w:r>
        <w:r>
          <w:rPr>
            <w:noProof/>
            <w:webHidden/>
          </w:rPr>
          <w:fldChar w:fldCharType="begin"/>
        </w:r>
        <w:r>
          <w:rPr>
            <w:noProof/>
            <w:webHidden/>
          </w:rPr>
          <w:instrText xml:space="preserve"> PAGEREF _Toc262100158 \h </w:instrText>
        </w:r>
        <w:r>
          <w:rPr>
            <w:noProof/>
            <w:webHidden/>
          </w:rPr>
          <w:fldChar w:fldCharType="separate"/>
        </w:r>
        <w:r>
          <w:rPr>
            <w:rFonts w:ascii="Calibri" w:hAnsi="Calibri"/>
            <w:color w:val="6E838A"/>
            <w:sz w:val="20"/>
            <w:noProof/>
            <w:webHidden/>
          </w:rPr>
          <w:t xml:space="preserve">48</w:t>
        </w:r>
        <w:r>
          <w:rPr>
            <w:noProof/>
            <w:webHidden/>
          </w:rPr>
          <w:fldChar w:fldCharType="end"/>
        </w:r>
      </w:hyperlink>
    </w:p>
    <w:p>
      <w:pPr>
        <w:pStyle w:val="TOC3"/>
      </w:pPr>
      <w:hyperlink w:anchor="_Toc262100159" w:history="1">
        <w:r>
          <w:rPr>
            <w:rFonts w:ascii="Calibri" w:hAnsi="Calibri"/>
            <w:color w:val="20262A"/>
            <w:sz w:val="20"/>
            <w:noProof/>
          </w:rPr>
          <w:t xml:space="preserve">26.1 The Rule</w:t>
        </w:r>
        <w:r>
          <w:rPr>
            <w:noProof/>
            <w:webHidden/>
          </w:rPr>
          <w:tab/>
        </w:r>
        <w:r>
          <w:rPr>
            <w:noProof/>
            <w:webHidden/>
          </w:rPr>
          <w:fldChar w:fldCharType="begin"/>
        </w:r>
        <w:r>
          <w:rPr>
            <w:noProof/>
            <w:webHidden/>
          </w:rPr>
          <w:instrText xml:space="preserve"> PAGEREF _Toc262100159 \h </w:instrText>
        </w:r>
        <w:r>
          <w:rPr>
            <w:noProof/>
            <w:webHidden/>
          </w:rPr>
          <w:fldChar w:fldCharType="separate"/>
        </w:r>
        <w:r>
          <w:rPr>
            <w:rFonts w:ascii="Calibri" w:hAnsi="Calibri"/>
            <w:color w:val="6E838A"/>
            <w:sz w:val="20"/>
            <w:noProof/>
            <w:webHidden/>
          </w:rPr>
          <w:t xml:space="preserve">48</w:t>
        </w:r>
        <w:r>
          <w:rPr>
            <w:noProof/>
            <w:webHidden/>
          </w:rPr>
          <w:fldChar w:fldCharType="end"/>
        </w:r>
      </w:hyperlink>
    </w:p>
    <w:p>
      <w:pPr>
        <w:pStyle w:val="TOC3"/>
      </w:pPr>
      <w:hyperlink w:anchor="_Toc262100160" w:history="1">
        <w:r>
          <w:rPr>
            <w:rFonts w:ascii="Calibri" w:hAnsi="Calibri"/>
            <w:color w:val="20262A"/>
            <w:sz w:val="20"/>
            <w:noProof/>
          </w:rPr>
          <w:t xml:space="preserve">26.2 The Service Boundary</w:t>
        </w:r>
        <w:r>
          <w:rPr>
            <w:noProof/>
            <w:webHidden/>
          </w:rPr>
          <w:tab/>
        </w:r>
        <w:r>
          <w:rPr>
            <w:noProof/>
            <w:webHidden/>
          </w:rPr>
          <w:fldChar w:fldCharType="begin"/>
        </w:r>
        <w:r>
          <w:rPr>
            <w:noProof/>
            <w:webHidden/>
          </w:rPr>
          <w:instrText xml:space="preserve"> PAGEREF _Toc262100160 \h </w:instrText>
        </w:r>
        <w:r>
          <w:rPr>
            <w:noProof/>
            <w:webHidden/>
          </w:rPr>
          <w:fldChar w:fldCharType="separate"/>
        </w:r>
        <w:r>
          <w:rPr>
            <w:rFonts w:ascii="Calibri" w:hAnsi="Calibri"/>
            <w:color w:val="6E838A"/>
            <w:sz w:val="20"/>
            <w:noProof/>
            <w:webHidden/>
          </w:rPr>
          <w:t xml:space="preserve">48</w:t>
        </w:r>
        <w:r>
          <w:rPr>
            <w:noProof/>
            <w:webHidden/>
          </w:rPr>
          <w:fldChar w:fldCharType="end"/>
        </w:r>
      </w:hyperlink>
    </w:p>
    <w:p>
      <w:pPr>
        <w:pStyle w:val="TOC3"/>
      </w:pPr>
      <w:hyperlink w:anchor="_Toc262100161" w:history="1">
        <w:r>
          <w:rPr>
            <w:rFonts w:ascii="Calibri" w:hAnsi="Calibri"/>
            <w:color w:val="20262A"/>
            <w:sz w:val="20"/>
            <w:noProof/>
          </w:rPr>
          <w:t xml:space="preserve">26.3 The Prohibited Instruments List</w:t>
        </w:r>
        <w:r>
          <w:rPr>
            <w:noProof/>
            <w:webHidden/>
          </w:rPr>
          <w:tab/>
        </w:r>
        <w:r>
          <w:rPr>
            <w:noProof/>
            <w:webHidden/>
          </w:rPr>
          <w:fldChar w:fldCharType="begin"/>
        </w:r>
        <w:r>
          <w:rPr>
            <w:noProof/>
            <w:webHidden/>
          </w:rPr>
          <w:instrText xml:space="preserve"> PAGEREF _Toc262100161 \h </w:instrText>
        </w:r>
        <w:r>
          <w:rPr>
            <w:noProof/>
            <w:webHidden/>
          </w:rPr>
          <w:fldChar w:fldCharType="separate"/>
        </w:r>
        <w:r>
          <w:rPr>
            <w:rFonts w:ascii="Calibri" w:hAnsi="Calibri"/>
            <w:color w:val="6E838A"/>
            <w:sz w:val="20"/>
            <w:noProof/>
            <w:webHidden/>
          </w:rPr>
          <w:t xml:space="preserve">48</w:t>
        </w:r>
        <w:r>
          <w:rPr>
            <w:noProof/>
            <w:webHidden/>
          </w:rPr>
          <w:fldChar w:fldCharType="end"/>
        </w:r>
      </w:hyperlink>
    </w:p>
    <w:p>
      <w:pPr>
        <w:pStyle w:val="TOC2"/>
      </w:pPr>
      <w:hyperlink w:anchor="_Toc262100162" w:history="1">
        <w:r>
          <w:rPr>
            <w:rFonts w:ascii="Calibri" w:hAnsi="Calibri"/>
            <w:color w:val="20262A"/>
            <w:sz w:val="20"/>
            <w:noProof/>
          </w:rPr>
          <w:t xml:space="preserve">Article 27: The Hormuz Neutral Escrow Fund</w:t>
        </w:r>
        <w:r>
          <w:rPr>
            <w:noProof/>
            <w:webHidden/>
          </w:rPr>
          <w:tab/>
        </w:r>
        <w:r>
          <w:rPr>
            <w:noProof/>
            <w:webHidden/>
          </w:rPr>
          <w:fldChar w:fldCharType="begin"/>
        </w:r>
        <w:r>
          <w:rPr>
            <w:noProof/>
            <w:webHidden/>
          </w:rPr>
          <w:instrText xml:space="preserve"> PAGEREF _Toc262100162 \h </w:instrText>
        </w:r>
        <w:r>
          <w:rPr>
            <w:noProof/>
            <w:webHidden/>
          </w:rPr>
          <w:fldChar w:fldCharType="separate"/>
        </w:r>
        <w:r>
          <w:rPr>
            <w:rFonts w:ascii="Calibri" w:hAnsi="Calibri"/>
            <w:color w:val="6E838A"/>
            <w:sz w:val="20"/>
            <w:noProof/>
            <w:webHidden/>
          </w:rPr>
          <w:t xml:space="preserve">48</w:t>
        </w:r>
        <w:r>
          <w:rPr>
            <w:noProof/>
            <w:webHidden/>
          </w:rPr>
          <w:fldChar w:fldCharType="end"/>
        </w:r>
      </w:hyperlink>
    </w:p>
    <w:p>
      <w:pPr>
        <w:pStyle w:val="TOC3"/>
      </w:pPr>
      <w:hyperlink w:anchor="_Toc262100163" w:history="1">
        <w:r>
          <w:rPr>
            <w:rFonts w:ascii="Calibri" w:hAnsi="Calibri"/>
            <w:color w:val="20262A"/>
            <w:sz w:val="20"/>
            <w:noProof/>
          </w:rPr>
          <w:t xml:space="preserve">27.1 Establishment and Legal Personality</w:t>
        </w:r>
        <w:r>
          <w:rPr>
            <w:noProof/>
            <w:webHidden/>
          </w:rPr>
          <w:tab/>
        </w:r>
        <w:r>
          <w:rPr>
            <w:noProof/>
            <w:webHidden/>
          </w:rPr>
          <w:fldChar w:fldCharType="begin"/>
        </w:r>
        <w:r>
          <w:rPr>
            <w:noProof/>
            <w:webHidden/>
          </w:rPr>
          <w:instrText xml:space="preserve"> PAGEREF _Toc262100163 \h </w:instrText>
        </w:r>
        <w:r>
          <w:rPr>
            <w:noProof/>
            <w:webHidden/>
          </w:rPr>
          <w:fldChar w:fldCharType="separate"/>
        </w:r>
        <w:r>
          <w:rPr>
            <w:rFonts w:ascii="Calibri" w:hAnsi="Calibri"/>
            <w:color w:val="6E838A"/>
            <w:sz w:val="20"/>
            <w:noProof/>
            <w:webHidden/>
          </w:rPr>
          <w:t xml:space="preserve">48</w:t>
        </w:r>
        <w:r>
          <w:rPr>
            <w:noProof/>
            <w:webHidden/>
          </w:rPr>
          <w:fldChar w:fldCharType="end"/>
        </w:r>
      </w:hyperlink>
    </w:p>
    <w:p>
      <w:pPr>
        <w:pStyle w:val="TOC3"/>
      </w:pPr>
      <w:hyperlink w:anchor="_Toc262100164" w:history="1">
        <w:r>
          <w:rPr>
            <w:rFonts w:ascii="Calibri" w:hAnsi="Calibri"/>
            <w:color w:val="20262A"/>
            <w:sz w:val="20"/>
            <w:noProof/>
          </w:rPr>
          <w:t xml:space="preserve">27.2 The Fiduciary Administrator</w:t>
        </w:r>
        <w:r>
          <w:rPr>
            <w:noProof/>
            <w:webHidden/>
          </w:rPr>
          <w:tab/>
        </w:r>
        <w:r>
          <w:rPr>
            <w:noProof/>
            <w:webHidden/>
          </w:rPr>
          <w:fldChar w:fldCharType="begin"/>
        </w:r>
        <w:r>
          <w:rPr>
            <w:noProof/>
            <w:webHidden/>
          </w:rPr>
          <w:instrText xml:space="preserve"> PAGEREF _Toc262100164 \h </w:instrText>
        </w:r>
        <w:r>
          <w:rPr>
            <w:noProof/>
            <w:webHidden/>
          </w:rPr>
          <w:fldChar w:fldCharType="separate"/>
        </w:r>
        <w:r>
          <w:rPr>
            <w:rFonts w:ascii="Calibri" w:hAnsi="Calibri"/>
            <w:color w:val="6E838A"/>
            <w:sz w:val="20"/>
            <w:noProof/>
            <w:webHidden/>
          </w:rPr>
          <w:t xml:space="preserve">48</w:t>
        </w:r>
        <w:r>
          <w:rPr>
            <w:noProof/>
            <w:webHidden/>
          </w:rPr>
          <w:fldChar w:fldCharType="end"/>
        </w:r>
      </w:hyperlink>
    </w:p>
    <w:p>
      <w:pPr>
        <w:pStyle w:val="TOC3"/>
      </w:pPr>
      <w:hyperlink w:anchor="_Toc262100165" w:history="1">
        <w:r>
          <w:rPr>
            <w:rFonts w:ascii="Calibri" w:hAnsi="Calibri"/>
            <w:color w:val="20262A"/>
            <w:sz w:val="20"/>
            <w:noProof/>
          </w:rPr>
          <w:t xml:space="preserve">27.3 The Fund Board</w:t>
        </w:r>
        <w:r>
          <w:rPr>
            <w:noProof/>
            <w:webHidden/>
          </w:rPr>
          <w:tab/>
        </w:r>
        <w:r>
          <w:rPr>
            <w:noProof/>
            <w:webHidden/>
          </w:rPr>
          <w:fldChar w:fldCharType="begin"/>
        </w:r>
        <w:r>
          <w:rPr>
            <w:noProof/>
            <w:webHidden/>
          </w:rPr>
          <w:instrText xml:space="preserve"> PAGEREF _Toc262100165 \h </w:instrText>
        </w:r>
        <w:r>
          <w:rPr>
            <w:noProof/>
            <w:webHidden/>
          </w:rPr>
          <w:fldChar w:fldCharType="separate"/>
        </w:r>
        <w:r>
          <w:rPr>
            <w:rFonts w:ascii="Calibri" w:hAnsi="Calibri"/>
            <w:color w:val="6E838A"/>
            <w:sz w:val="20"/>
            <w:noProof/>
            <w:webHidden/>
          </w:rPr>
          <w:t xml:space="preserve">49</w:t>
        </w:r>
        <w:r>
          <w:rPr>
            <w:noProof/>
            <w:webHidden/>
          </w:rPr>
          <w:fldChar w:fldCharType="end"/>
        </w:r>
      </w:hyperlink>
    </w:p>
    <w:p>
      <w:pPr>
        <w:pStyle w:val="TOC3"/>
      </w:pPr>
      <w:hyperlink w:anchor="_Toc262100166" w:history="1">
        <w:r>
          <w:rPr>
            <w:rFonts w:ascii="Calibri" w:hAnsi="Calibri"/>
            <w:color w:val="20262A"/>
            <w:sz w:val="20"/>
            <w:noProof/>
          </w:rPr>
          <w:t xml:space="preserve">27.4 The Account Structure</w:t>
        </w:r>
        <w:r>
          <w:rPr>
            <w:noProof/>
            <w:webHidden/>
          </w:rPr>
          <w:tab/>
        </w:r>
        <w:r>
          <w:rPr>
            <w:noProof/>
            <w:webHidden/>
          </w:rPr>
          <w:fldChar w:fldCharType="begin"/>
        </w:r>
        <w:r>
          <w:rPr>
            <w:noProof/>
            <w:webHidden/>
          </w:rPr>
          <w:instrText xml:space="preserve"> PAGEREF _Toc262100166 \h </w:instrText>
        </w:r>
        <w:r>
          <w:rPr>
            <w:noProof/>
            <w:webHidden/>
          </w:rPr>
          <w:fldChar w:fldCharType="separate"/>
        </w:r>
        <w:r>
          <w:rPr>
            <w:rFonts w:ascii="Calibri" w:hAnsi="Calibri"/>
            <w:color w:val="6E838A"/>
            <w:sz w:val="20"/>
            <w:noProof/>
            <w:webHidden/>
          </w:rPr>
          <w:t xml:space="preserve">49</w:t>
        </w:r>
        <w:r>
          <w:rPr>
            <w:noProof/>
            <w:webHidden/>
          </w:rPr>
          <w:fldChar w:fldCharType="end"/>
        </w:r>
      </w:hyperlink>
    </w:p>
    <w:p>
      <w:pPr>
        <w:pStyle w:val="TOC3"/>
      </w:pPr>
      <w:hyperlink w:anchor="_Toc262100167" w:history="1">
        <w:r>
          <w:rPr>
            <w:rFonts w:ascii="Calibri" w:hAnsi="Calibri"/>
            <w:color w:val="20262A"/>
            <w:sz w:val="20"/>
            <w:noProof/>
          </w:rPr>
          <w:t xml:space="preserve">27.5 Collection Mechanics</w:t>
        </w:r>
        <w:r>
          <w:rPr>
            <w:noProof/>
            <w:webHidden/>
          </w:rPr>
          <w:tab/>
        </w:r>
        <w:r>
          <w:rPr>
            <w:noProof/>
            <w:webHidden/>
          </w:rPr>
          <w:fldChar w:fldCharType="begin"/>
        </w:r>
        <w:r>
          <w:rPr>
            <w:noProof/>
            <w:webHidden/>
          </w:rPr>
          <w:instrText xml:space="preserve"> PAGEREF _Toc262100167 \h </w:instrText>
        </w:r>
        <w:r>
          <w:rPr>
            <w:noProof/>
            <w:webHidden/>
          </w:rPr>
          <w:fldChar w:fldCharType="separate"/>
        </w:r>
        <w:r>
          <w:rPr>
            <w:rFonts w:ascii="Calibri" w:hAnsi="Calibri"/>
            <w:color w:val="6E838A"/>
            <w:sz w:val="20"/>
            <w:noProof/>
            <w:webHidden/>
          </w:rPr>
          <w:t xml:space="preserve">49</w:t>
        </w:r>
        <w:r>
          <w:rPr>
            <w:noProof/>
            <w:webHidden/>
          </w:rPr>
          <w:fldChar w:fldCharType="end"/>
        </w:r>
      </w:hyperlink>
    </w:p>
    <w:p>
      <w:pPr>
        <w:pStyle w:val="TOC3"/>
      </w:pPr>
      <w:hyperlink w:anchor="_Toc262100168" w:history="1">
        <w:r>
          <w:rPr>
            <w:rFonts w:ascii="Calibri" w:hAnsi="Calibri"/>
            <w:color w:val="20262A"/>
            <w:sz w:val="20"/>
            <w:noProof/>
          </w:rPr>
          <w:t xml:space="preserve">27.6 The Distribution Calendar</w:t>
        </w:r>
        <w:r>
          <w:rPr>
            <w:noProof/>
            <w:webHidden/>
          </w:rPr>
          <w:tab/>
        </w:r>
        <w:r>
          <w:rPr>
            <w:noProof/>
            <w:webHidden/>
          </w:rPr>
          <w:fldChar w:fldCharType="begin"/>
        </w:r>
        <w:r>
          <w:rPr>
            <w:noProof/>
            <w:webHidden/>
          </w:rPr>
          <w:instrText xml:space="preserve"> PAGEREF _Toc262100168 \h </w:instrText>
        </w:r>
        <w:r>
          <w:rPr>
            <w:noProof/>
            <w:webHidden/>
          </w:rPr>
          <w:fldChar w:fldCharType="separate"/>
        </w:r>
        <w:r>
          <w:rPr>
            <w:rFonts w:ascii="Calibri" w:hAnsi="Calibri"/>
            <w:color w:val="6E838A"/>
            <w:sz w:val="20"/>
            <w:noProof/>
            <w:webHidden/>
          </w:rPr>
          <w:t xml:space="preserve">49</w:t>
        </w:r>
        <w:r>
          <w:rPr>
            <w:noProof/>
            <w:webHidden/>
          </w:rPr>
          <w:fldChar w:fldCharType="end"/>
        </w:r>
      </w:hyperlink>
    </w:p>
    <w:p>
      <w:pPr>
        <w:pStyle w:val="TOC3"/>
      </w:pPr>
      <w:hyperlink w:anchor="_Toc262100169" w:history="1">
        <w:r>
          <w:rPr>
            <w:rFonts w:ascii="Calibri" w:hAnsi="Calibri"/>
            <w:color w:val="20262A"/>
            <w:sz w:val="20"/>
            <w:noProof/>
          </w:rPr>
          <w:t xml:space="preserve">27.7 The Sanctions-Compliance Firewall</w:t>
        </w:r>
        <w:r>
          <w:rPr>
            <w:noProof/>
            <w:webHidden/>
          </w:rPr>
          <w:tab/>
        </w:r>
        <w:r>
          <w:rPr>
            <w:noProof/>
            <w:webHidden/>
          </w:rPr>
          <w:fldChar w:fldCharType="begin"/>
        </w:r>
        <w:r>
          <w:rPr>
            <w:noProof/>
            <w:webHidden/>
          </w:rPr>
          <w:instrText xml:space="preserve"> PAGEREF _Toc262100169 \h </w:instrText>
        </w:r>
        <w:r>
          <w:rPr>
            <w:noProof/>
            <w:webHidden/>
          </w:rPr>
          <w:fldChar w:fldCharType="separate"/>
        </w:r>
        <w:r>
          <w:rPr>
            <w:rFonts w:ascii="Calibri" w:hAnsi="Calibri"/>
            <w:color w:val="6E838A"/>
            <w:sz w:val="20"/>
            <w:noProof/>
            <w:webHidden/>
          </w:rPr>
          <w:t xml:space="preserve">49</w:t>
        </w:r>
        <w:r>
          <w:rPr>
            <w:noProof/>
            <w:webHidden/>
          </w:rPr>
          <w:fldChar w:fldCharType="end"/>
        </w:r>
      </w:hyperlink>
    </w:p>
    <w:p>
      <w:pPr>
        <w:pStyle w:val="TOC2"/>
      </w:pPr>
      <w:hyperlink w:anchor="_Toc262100170" w:history="1">
        <w:r>
          <w:rPr>
            <w:rFonts w:ascii="Calibri" w:hAnsi="Calibri"/>
            <w:color w:val="20262A"/>
            <w:sz w:val="20"/>
            <w:noProof/>
          </w:rPr>
          <w:t xml:space="preserve">Article 28: The Route Assurance Data Service</w:t>
        </w:r>
        <w:r>
          <w:rPr>
            <w:noProof/>
            <w:webHidden/>
          </w:rPr>
          <w:tab/>
        </w:r>
        <w:r>
          <w:rPr>
            <w:noProof/>
            <w:webHidden/>
          </w:rPr>
          <w:fldChar w:fldCharType="begin"/>
        </w:r>
        <w:r>
          <w:rPr>
            <w:noProof/>
            <w:webHidden/>
          </w:rPr>
          <w:instrText xml:space="preserve"> PAGEREF _Toc262100170 \h </w:instrText>
        </w:r>
        <w:r>
          <w:rPr>
            <w:noProof/>
            <w:webHidden/>
          </w:rPr>
          <w:fldChar w:fldCharType="separate"/>
        </w:r>
        <w:r>
          <w:rPr>
            <w:rFonts w:ascii="Calibri" w:hAnsi="Calibri"/>
            <w:color w:val="6E838A"/>
            <w:sz w:val="20"/>
            <w:noProof/>
            <w:webHidden/>
          </w:rPr>
          <w:t xml:space="preserve">50</w:t>
        </w:r>
        <w:r>
          <w:rPr>
            <w:noProof/>
            <w:webHidden/>
          </w:rPr>
          <w:fldChar w:fldCharType="end"/>
        </w:r>
      </w:hyperlink>
    </w:p>
    <w:p>
      <w:pPr>
        <w:pStyle w:val="TOC3"/>
      </w:pPr>
      <w:hyperlink w:anchor="_Toc262100171" w:history="1">
        <w:r>
          <w:rPr>
            <w:rFonts w:ascii="Calibri" w:hAnsi="Calibri"/>
            <w:color w:val="20262A"/>
            <w:sz w:val="20"/>
            <w:noProof/>
          </w:rPr>
          <w:t xml:space="preserve">28.1 The Product</w:t>
        </w:r>
        <w:r>
          <w:rPr>
            <w:noProof/>
            <w:webHidden/>
          </w:rPr>
          <w:tab/>
        </w:r>
        <w:r>
          <w:rPr>
            <w:noProof/>
            <w:webHidden/>
          </w:rPr>
          <w:fldChar w:fldCharType="begin"/>
        </w:r>
        <w:r>
          <w:rPr>
            <w:noProof/>
            <w:webHidden/>
          </w:rPr>
          <w:instrText xml:space="preserve"> PAGEREF _Toc262100171 \h </w:instrText>
        </w:r>
        <w:r>
          <w:rPr>
            <w:noProof/>
            <w:webHidden/>
          </w:rPr>
          <w:fldChar w:fldCharType="separate"/>
        </w:r>
        <w:r>
          <w:rPr>
            <w:rFonts w:ascii="Calibri" w:hAnsi="Calibri"/>
            <w:color w:val="6E838A"/>
            <w:sz w:val="20"/>
            <w:noProof/>
            <w:webHidden/>
          </w:rPr>
          <w:t xml:space="preserve">50</w:t>
        </w:r>
        <w:r>
          <w:rPr>
            <w:noProof/>
            <w:webHidden/>
          </w:rPr>
          <w:fldChar w:fldCharType="end"/>
        </w:r>
      </w:hyperlink>
    </w:p>
    <w:p>
      <w:pPr>
        <w:pStyle w:val="TOC3"/>
      </w:pPr>
      <w:hyperlink w:anchor="_Toc262100172" w:history="1">
        <w:r>
          <w:rPr>
            <w:rFonts w:ascii="Calibri" w:hAnsi="Calibri"/>
            <w:color w:val="20262A"/>
            <w:sz w:val="20"/>
            <w:noProof/>
          </w:rPr>
          <w:t xml:space="preserve">28.2 Pricing</w:t>
        </w:r>
        <w:r>
          <w:rPr>
            <w:noProof/>
            <w:webHidden/>
          </w:rPr>
          <w:tab/>
        </w:r>
        <w:r>
          <w:rPr>
            <w:noProof/>
            <w:webHidden/>
          </w:rPr>
          <w:fldChar w:fldCharType="begin"/>
        </w:r>
        <w:r>
          <w:rPr>
            <w:noProof/>
            <w:webHidden/>
          </w:rPr>
          <w:instrText xml:space="preserve"> PAGEREF _Toc262100172 \h </w:instrText>
        </w:r>
        <w:r>
          <w:rPr>
            <w:noProof/>
            <w:webHidden/>
          </w:rPr>
          <w:fldChar w:fldCharType="separate"/>
        </w:r>
        <w:r>
          <w:rPr>
            <w:rFonts w:ascii="Calibri" w:hAnsi="Calibri"/>
            <w:color w:val="6E838A"/>
            <w:sz w:val="20"/>
            <w:noProof/>
            <w:webHidden/>
          </w:rPr>
          <w:t xml:space="preserve">50</w:t>
        </w:r>
        <w:r>
          <w:rPr>
            <w:noProof/>
            <w:webHidden/>
          </w:rPr>
          <w:fldChar w:fldCharType="end"/>
        </w:r>
      </w:hyperlink>
    </w:p>
    <w:p>
      <w:pPr>
        <w:pStyle w:val="TOC3"/>
      </w:pPr>
      <w:hyperlink w:anchor="_Toc262100173" w:history="1">
        <w:r>
          <w:rPr>
            <w:rFonts w:ascii="Calibri" w:hAnsi="Calibri"/>
            <w:color w:val="20262A"/>
            <w:sz w:val="20"/>
            <w:noProof/>
          </w:rPr>
          <w:t xml:space="preserve">28.3 The Premium Dividend</w:t>
        </w:r>
        <w:r>
          <w:rPr>
            <w:noProof/>
            <w:webHidden/>
          </w:rPr>
          <w:tab/>
        </w:r>
        <w:r>
          <w:rPr>
            <w:noProof/>
            <w:webHidden/>
          </w:rPr>
          <w:fldChar w:fldCharType="begin"/>
        </w:r>
        <w:r>
          <w:rPr>
            <w:noProof/>
            <w:webHidden/>
          </w:rPr>
          <w:instrText xml:space="preserve"> PAGEREF _Toc262100173 \h </w:instrText>
        </w:r>
        <w:r>
          <w:rPr>
            <w:noProof/>
            <w:webHidden/>
          </w:rPr>
          <w:fldChar w:fldCharType="separate"/>
        </w:r>
        <w:r>
          <w:rPr>
            <w:rFonts w:ascii="Calibri" w:hAnsi="Calibri"/>
            <w:color w:val="6E838A"/>
            <w:sz w:val="20"/>
            <w:noProof/>
            <w:webHidden/>
          </w:rPr>
          <w:t xml:space="preserve">50</w:t>
        </w:r>
        <w:r>
          <w:rPr>
            <w:noProof/>
            <w:webHidden/>
          </w:rPr>
          <w:fldChar w:fldCharType="end"/>
        </w:r>
      </w:hyperlink>
    </w:p>
    <w:p>
      <w:pPr>
        <w:pStyle w:val="TOC3"/>
      </w:pPr>
      <w:hyperlink w:anchor="_Toc262100174" w:history="1">
        <w:r>
          <w:rPr>
            <w:rFonts w:ascii="Calibri" w:hAnsi="Calibri"/>
            <w:color w:val="20262A"/>
            <w:sz w:val="20"/>
            <w:noProof/>
          </w:rPr>
          <w:t xml:space="preserve">28.4 Voluntary by Design</w:t>
        </w:r>
        <w:r>
          <w:rPr>
            <w:noProof/>
            <w:webHidden/>
          </w:rPr>
          <w:tab/>
        </w:r>
        <w:r>
          <w:rPr>
            <w:noProof/>
            <w:webHidden/>
          </w:rPr>
          <w:fldChar w:fldCharType="begin"/>
        </w:r>
        <w:r>
          <w:rPr>
            <w:noProof/>
            <w:webHidden/>
          </w:rPr>
          <w:instrText xml:space="preserve"> PAGEREF _Toc262100174 \h </w:instrText>
        </w:r>
        <w:r>
          <w:rPr>
            <w:noProof/>
            <w:webHidden/>
          </w:rPr>
          <w:fldChar w:fldCharType="separate"/>
        </w:r>
        <w:r>
          <w:rPr>
            <w:rFonts w:ascii="Calibri" w:hAnsi="Calibri"/>
            <w:color w:val="6E838A"/>
            <w:sz w:val="20"/>
            <w:noProof/>
            <w:webHidden/>
          </w:rPr>
          <w:t xml:space="preserve">50</w:t>
        </w:r>
        <w:r>
          <w:rPr>
            <w:noProof/>
            <w:webHidden/>
          </w:rPr>
          <w:fldChar w:fldCharType="end"/>
        </w:r>
      </w:hyperlink>
    </w:p>
    <w:p>
      <w:pPr>
        <w:pStyle w:val="TOC2"/>
      </w:pPr>
      <w:hyperlink w:anchor="_Toc262100175" w:history="1">
        <w:r>
          <w:rPr>
            <w:rFonts w:ascii="Calibri" w:hAnsi="Calibri"/>
            <w:color w:val="20262A"/>
            <w:sz w:val="20"/>
            <w:noProof/>
          </w:rPr>
          <w:t xml:space="preserve">Article 29: Revenue Apportionment by Share</w:t>
        </w:r>
        <w:r>
          <w:rPr>
            <w:noProof/>
            <w:webHidden/>
          </w:rPr>
          <w:tab/>
        </w:r>
        <w:r>
          <w:rPr>
            <w:noProof/>
            <w:webHidden/>
          </w:rPr>
          <w:fldChar w:fldCharType="begin"/>
        </w:r>
        <w:r>
          <w:rPr>
            <w:noProof/>
            <w:webHidden/>
          </w:rPr>
          <w:instrText xml:space="preserve"> PAGEREF _Toc262100175 \h </w:instrText>
        </w:r>
        <w:r>
          <w:rPr>
            <w:noProof/>
            <w:webHidden/>
          </w:rPr>
          <w:fldChar w:fldCharType="separate"/>
        </w:r>
        <w:r>
          <w:rPr>
            <w:rFonts w:ascii="Calibri" w:hAnsi="Calibri"/>
            <w:color w:val="6E838A"/>
            <w:sz w:val="20"/>
            <w:noProof/>
            <w:webHidden/>
          </w:rPr>
          <w:t xml:space="preserve">50</w:t>
        </w:r>
        <w:r>
          <w:rPr>
            <w:noProof/>
            <w:webHidden/>
          </w:rPr>
          <w:fldChar w:fldCharType="end"/>
        </w:r>
      </w:hyperlink>
    </w:p>
    <w:p>
      <w:pPr>
        <w:pStyle w:val="TOC3"/>
      </w:pPr>
      <w:hyperlink w:anchor="_Toc262100176" w:history="1">
        <w:r>
          <w:rPr>
            <w:rFonts w:ascii="Calibri" w:hAnsi="Calibri"/>
            <w:color w:val="20262A"/>
            <w:sz w:val="20"/>
            <w:noProof/>
          </w:rPr>
          <w:t xml:space="preserve">29.1 The Top-Slice</w:t>
        </w:r>
        <w:r>
          <w:rPr>
            <w:noProof/>
            <w:webHidden/>
          </w:rPr>
          <w:tab/>
        </w:r>
        <w:r>
          <w:rPr>
            <w:noProof/>
            <w:webHidden/>
          </w:rPr>
          <w:fldChar w:fldCharType="begin"/>
        </w:r>
        <w:r>
          <w:rPr>
            <w:noProof/>
            <w:webHidden/>
          </w:rPr>
          <w:instrText xml:space="preserve"> PAGEREF _Toc262100176 \h </w:instrText>
        </w:r>
        <w:r>
          <w:rPr>
            <w:noProof/>
            <w:webHidden/>
          </w:rPr>
          <w:fldChar w:fldCharType="separate"/>
        </w:r>
        <w:r>
          <w:rPr>
            <w:rFonts w:ascii="Calibri" w:hAnsi="Calibri"/>
            <w:color w:val="6E838A"/>
            <w:sz w:val="20"/>
            <w:noProof/>
            <w:webHidden/>
          </w:rPr>
          <w:t xml:space="preserve">50</w:t>
        </w:r>
        <w:r>
          <w:rPr>
            <w:noProof/>
            <w:webHidden/>
          </w:rPr>
          <w:fldChar w:fldCharType="end"/>
        </w:r>
      </w:hyperlink>
    </w:p>
    <w:p>
      <w:pPr>
        <w:pStyle w:val="TOC3"/>
      </w:pPr>
      <w:hyperlink w:anchor="_Toc262100177" w:history="1">
        <w:r>
          <w:rPr>
            <w:rFonts w:ascii="Calibri" w:hAnsi="Calibri"/>
            <w:color w:val="20262A"/>
            <w:sz w:val="20"/>
            <w:noProof/>
          </w:rPr>
          <w:t xml:space="preserve">29.2 The Corridor Rule</w:t>
        </w:r>
        <w:r>
          <w:rPr>
            <w:noProof/>
            <w:webHidden/>
          </w:rPr>
          <w:tab/>
        </w:r>
        <w:r>
          <w:rPr>
            <w:noProof/>
            <w:webHidden/>
          </w:rPr>
          <w:fldChar w:fldCharType="begin"/>
        </w:r>
        <w:r>
          <w:rPr>
            <w:noProof/>
            <w:webHidden/>
          </w:rPr>
          <w:instrText xml:space="preserve"> PAGEREF _Toc262100177 \h </w:instrText>
        </w:r>
        <w:r>
          <w:rPr>
            <w:noProof/>
            <w:webHidden/>
          </w:rPr>
          <w:fldChar w:fldCharType="separate"/>
        </w:r>
        <w:r>
          <w:rPr>
            <w:rFonts w:ascii="Calibri" w:hAnsi="Calibri"/>
            <w:color w:val="6E838A"/>
            <w:sz w:val="20"/>
            <w:noProof/>
            <w:webHidden/>
          </w:rPr>
          <w:t xml:space="preserve">51</w:t>
        </w:r>
        <w:r>
          <w:rPr>
            <w:noProof/>
            <w:webHidden/>
          </w:rPr>
          <w:fldChar w:fldCharType="end"/>
        </w:r>
      </w:hyperlink>
    </w:p>
    <w:p>
      <w:pPr>
        <w:pStyle w:val="TOC3"/>
      </w:pPr>
      <w:hyperlink w:anchor="_Toc262100178" w:history="1">
        <w:r>
          <w:rPr>
            <w:rFonts w:ascii="Calibri" w:hAnsi="Calibri"/>
            <w:color w:val="20262A"/>
            <w:sz w:val="20"/>
            <w:noProof/>
          </w:rPr>
          <w:t xml:space="preserve">29.3 The System-Wide Rule</w:t>
        </w:r>
        <w:r>
          <w:rPr>
            <w:noProof/>
            <w:webHidden/>
          </w:rPr>
          <w:tab/>
        </w:r>
        <w:r>
          <w:rPr>
            <w:noProof/>
            <w:webHidden/>
          </w:rPr>
          <w:fldChar w:fldCharType="begin"/>
        </w:r>
        <w:r>
          <w:rPr>
            <w:noProof/>
            <w:webHidden/>
          </w:rPr>
          <w:instrText xml:space="preserve"> PAGEREF _Toc262100178 \h </w:instrText>
        </w:r>
        <w:r>
          <w:rPr>
            <w:noProof/>
            <w:webHidden/>
          </w:rPr>
          <w:fldChar w:fldCharType="separate"/>
        </w:r>
        <w:r>
          <w:rPr>
            <w:rFonts w:ascii="Calibri" w:hAnsi="Calibri"/>
            <w:color w:val="6E838A"/>
            <w:sz w:val="20"/>
            <w:noProof/>
            <w:webHidden/>
          </w:rPr>
          <w:t xml:space="preserve">51</w:t>
        </w:r>
        <w:r>
          <w:rPr>
            <w:noProof/>
            <w:webHidden/>
          </w:rPr>
          <w:fldChar w:fldCharType="end"/>
        </w:r>
      </w:hyperlink>
    </w:p>
    <w:p>
      <w:pPr>
        <w:pStyle w:val="TOC3"/>
      </w:pPr>
      <w:hyperlink w:anchor="_Toc262100179" w:history="1">
        <w:r>
          <w:rPr>
            <w:rFonts w:ascii="Calibri" w:hAnsi="Calibri"/>
            <w:color w:val="20262A"/>
            <w:sz w:val="20"/>
            <w:noProof/>
          </w:rPr>
          <w:t xml:space="preserve">29.4 Worked Example</w:t>
        </w:r>
        <w:r>
          <w:rPr>
            <w:noProof/>
            <w:webHidden/>
          </w:rPr>
          <w:tab/>
        </w:r>
        <w:r>
          <w:rPr>
            <w:noProof/>
            <w:webHidden/>
          </w:rPr>
          <w:fldChar w:fldCharType="begin"/>
        </w:r>
        <w:r>
          <w:rPr>
            <w:noProof/>
            <w:webHidden/>
          </w:rPr>
          <w:instrText xml:space="preserve"> PAGEREF _Toc262100179 \h </w:instrText>
        </w:r>
        <w:r>
          <w:rPr>
            <w:noProof/>
            <w:webHidden/>
          </w:rPr>
          <w:fldChar w:fldCharType="separate"/>
        </w:r>
        <w:r>
          <w:rPr>
            <w:rFonts w:ascii="Calibri" w:hAnsi="Calibri"/>
            <w:color w:val="6E838A"/>
            <w:sz w:val="20"/>
            <w:noProof/>
            <w:webHidden/>
          </w:rPr>
          <w:t xml:space="preserve">51</w:t>
        </w:r>
        <w:r>
          <w:rPr>
            <w:noProof/>
            <w:webHidden/>
          </w:rPr>
          <w:fldChar w:fldCharType="end"/>
        </w:r>
      </w:hyperlink>
    </w:p>
    <w:p>
      <w:pPr>
        <w:pStyle w:val="TOC2"/>
      </w:pPr>
      <w:hyperlink w:anchor="_Toc262100180" w:history="1">
        <w:r>
          <w:rPr>
            <w:rFonts w:ascii="Calibri" w:hAnsi="Calibri"/>
            <w:color w:val="20262A"/>
            <w:sz w:val="20"/>
            <w:noProof/>
          </w:rPr>
          <w:t xml:space="preserve">Article 30: Budget, Audit, and Transparency</w:t>
        </w:r>
        <w:r>
          <w:rPr>
            <w:noProof/>
            <w:webHidden/>
          </w:rPr>
          <w:tab/>
        </w:r>
        <w:r>
          <w:rPr>
            <w:noProof/>
            <w:webHidden/>
          </w:rPr>
          <w:fldChar w:fldCharType="begin"/>
        </w:r>
        <w:r>
          <w:rPr>
            <w:noProof/>
            <w:webHidden/>
          </w:rPr>
          <w:instrText xml:space="preserve"> PAGEREF _Toc262100180 \h </w:instrText>
        </w:r>
        <w:r>
          <w:rPr>
            <w:noProof/>
            <w:webHidden/>
          </w:rPr>
          <w:fldChar w:fldCharType="separate"/>
        </w:r>
        <w:r>
          <w:rPr>
            <w:rFonts w:ascii="Calibri" w:hAnsi="Calibri"/>
            <w:color w:val="6E838A"/>
            <w:sz w:val="20"/>
            <w:noProof/>
            <w:webHidden/>
          </w:rPr>
          <w:t xml:space="preserve">51</w:t>
        </w:r>
        <w:r>
          <w:rPr>
            <w:noProof/>
            <w:webHidden/>
          </w:rPr>
          <w:fldChar w:fldCharType="end"/>
        </w:r>
      </w:hyperlink>
    </w:p>
    <w:p>
      <w:pPr>
        <w:pStyle w:val="TOC3"/>
      </w:pPr>
      <w:hyperlink w:anchor="_Toc262100181" w:history="1">
        <w:r>
          <w:rPr>
            <w:rFonts w:ascii="Calibri" w:hAnsi="Calibri"/>
            <w:color w:val="20262A"/>
            <w:sz w:val="20"/>
            <w:noProof/>
          </w:rPr>
          <w:t xml:space="preserve">30.1 The Annual Envelope</w:t>
        </w:r>
        <w:r>
          <w:rPr>
            <w:noProof/>
            <w:webHidden/>
          </w:rPr>
          <w:tab/>
        </w:r>
        <w:r>
          <w:rPr>
            <w:noProof/>
            <w:webHidden/>
          </w:rPr>
          <w:fldChar w:fldCharType="begin"/>
        </w:r>
        <w:r>
          <w:rPr>
            <w:noProof/>
            <w:webHidden/>
          </w:rPr>
          <w:instrText xml:space="preserve"> PAGEREF _Toc262100181 \h </w:instrText>
        </w:r>
        <w:r>
          <w:rPr>
            <w:noProof/>
            <w:webHidden/>
          </w:rPr>
          <w:fldChar w:fldCharType="separate"/>
        </w:r>
        <w:r>
          <w:rPr>
            <w:rFonts w:ascii="Calibri" w:hAnsi="Calibri"/>
            <w:color w:val="6E838A"/>
            <w:sz w:val="20"/>
            <w:noProof/>
            <w:webHidden/>
          </w:rPr>
          <w:t xml:space="preserve">51</w:t>
        </w:r>
        <w:r>
          <w:rPr>
            <w:noProof/>
            <w:webHidden/>
          </w:rPr>
          <w:fldChar w:fldCharType="end"/>
        </w:r>
      </w:hyperlink>
    </w:p>
    <w:p>
      <w:pPr>
        <w:pStyle w:val="TOC3"/>
      </w:pPr>
      <w:hyperlink w:anchor="_Toc262100182" w:history="1">
        <w:r>
          <w:rPr>
            <w:rFonts w:ascii="Calibri" w:hAnsi="Calibri"/>
            <w:color w:val="20262A"/>
            <w:sz w:val="20"/>
            <w:noProof/>
          </w:rPr>
          <w:t xml:space="preserve">30.2 Cost Discipline Rules</w:t>
        </w:r>
        <w:r>
          <w:rPr>
            <w:noProof/>
            <w:webHidden/>
          </w:rPr>
          <w:tab/>
        </w:r>
        <w:r>
          <w:rPr>
            <w:noProof/>
            <w:webHidden/>
          </w:rPr>
          <w:fldChar w:fldCharType="begin"/>
        </w:r>
        <w:r>
          <w:rPr>
            <w:noProof/>
            <w:webHidden/>
          </w:rPr>
          <w:instrText xml:space="preserve"> PAGEREF _Toc262100182 \h </w:instrText>
        </w:r>
        <w:r>
          <w:rPr>
            <w:noProof/>
            <w:webHidden/>
          </w:rPr>
          <w:fldChar w:fldCharType="separate"/>
        </w:r>
        <w:r>
          <w:rPr>
            <w:rFonts w:ascii="Calibri" w:hAnsi="Calibri"/>
            <w:color w:val="6E838A"/>
            <w:sz w:val="20"/>
            <w:noProof/>
            <w:webHidden/>
          </w:rPr>
          <w:t xml:space="preserve">51</w:t>
        </w:r>
        <w:r>
          <w:rPr>
            <w:noProof/>
            <w:webHidden/>
          </w:rPr>
          <w:fldChar w:fldCharType="end"/>
        </w:r>
      </w:hyperlink>
    </w:p>
    <w:p>
      <w:pPr>
        <w:pStyle w:val="TOC3"/>
      </w:pPr>
      <w:hyperlink w:anchor="_Toc262100183" w:history="1">
        <w:r>
          <w:rPr>
            <w:rFonts w:ascii="Calibri" w:hAnsi="Calibri"/>
            <w:color w:val="20262A"/>
            <w:sz w:val="20"/>
            <w:noProof/>
          </w:rPr>
          <w:t xml:space="preserve">30.3 The Audit Chain</w:t>
        </w:r>
        <w:r>
          <w:rPr>
            <w:noProof/>
            <w:webHidden/>
          </w:rPr>
          <w:tab/>
        </w:r>
        <w:r>
          <w:rPr>
            <w:noProof/>
            <w:webHidden/>
          </w:rPr>
          <w:fldChar w:fldCharType="begin"/>
        </w:r>
        <w:r>
          <w:rPr>
            <w:noProof/>
            <w:webHidden/>
          </w:rPr>
          <w:instrText xml:space="preserve"> PAGEREF _Toc262100183 \h </w:instrText>
        </w:r>
        <w:r>
          <w:rPr>
            <w:noProof/>
            <w:webHidden/>
          </w:rPr>
          <w:fldChar w:fldCharType="separate"/>
        </w:r>
        <w:r>
          <w:rPr>
            <w:rFonts w:ascii="Calibri" w:hAnsi="Calibri"/>
            <w:color w:val="6E838A"/>
            <w:sz w:val="20"/>
            <w:noProof/>
            <w:webHidden/>
          </w:rPr>
          <w:t xml:space="preserve">52</w:t>
        </w:r>
        <w:r>
          <w:rPr>
            <w:noProof/>
            <w:webHidden/>
          </w:rPr>
          <w:fldChar w:fldCharType="end"/>
        </w:r>
      </w:hyperlink>
    </w:p>
    <w:p>
      <w:pPr>
        <w:pStyle w:val="TOC3"/>
      </w:pPr>
      <w:hyperlink w:anchor="_Toc262100184" w:history="1">
        <w:r>
          <w:rPr>
            <w:rFonts w:ascii="Calibri" w:hAnsi="Calibri"/>
            <w:color w:val="20262A"/>
            <w:sz w:val="20"/>
            <w:noProof/>
          </w:rPr>
          <w:t xml:space="preserve">30.4 The Port Processing Add-On</w:t>
        </w:r>
        <w:r>
          <w:rPr>
            <w:noProof/>
            <w:webHidden/>
          </w:rPr>
          <w:tab/>
        </w:r>
        <w:r>
          <w:rPr>
            <w:noProof/>
            <w:webHidden/>
          </w:rPr>
          <w:fldChar w:fldCharType="begin"/>
        </w:r>
        <w:r>
          <w:rPr>
            <w:noProof/>
            <w:webHidden/>
          </w:rPr>
          <w:instrText xml:space="preserve"> PAGEREF _Toc262100184 \h </w:instrText>
        </w:r>
        <w:r>
          <w:rPr>
            <w:noProof/>
            <w:webHidden/>
          </w:rPr>
          <w:fldChar w:fldCharType="separate"/>
        </w:r>
        <w:r>
          <w:rPr>
            <w:rFonts w:ascii="Calibri" w:hAnsi="Calibri"/>
            <w:color w:val="6E838A"/>
            <w:sz w:val="20"/>
            <w:noProof/>
            <w:webHidden/>
          </w:rPr>
          <w:t xml:space="preserve">52</w:t>
        </w:r>
        <w:r>
          <w:rPr>
            <w:noProof/>
            <w:webHidden/>
          </w:rPr>
          <w:fldChar w:fldCharType="end"/>
        </w:r>
      </w:hyperlink>
    </w:p>
    <w:p>
      <w:pPr>
        <w:pStyle w:val="TOC3"/>
      </w:pPr>
      <w:hyperlink w:anchor="_Toc262100185" w:history="1">
        <w:r>
          <w:rPr>
            <w:rFonts w:ascii="Calibri" w:hAnsi="Calibri"/>
            <w:color w:val="20262A"/>
            <w:sz w:val="20"/>
            <w:noProof/>
          </w:rPr>
          <w:t xml:space="preserve">30.5 The Global Compliance Firewall</w:t>
        </w:r>
        <w:r>
          <w:rPr>
            <w:noProof/>
            <w:webHidden/>
          </w:rPr>
          <w:tab/>
        </w:r>
        <w:r>
          <w:rPr>
            <w:noProof/>
            <w:webHidden/>
          </w:rPr>
          <w:fldChar w:fldCharType="begin"/>
        </w:r>
        <w:r>
          <w:rPr>
            <w:noProof/>
            <w:webHidden/>
          </w:rPr>
          <w:instrText xml:space="preserve"> PAGEREF _Toc262100185 \h </w:instrText>
        </w:r>
        <w:r>
          <w:rPr>
            <w:noProof/>
            <w:webHidden/>
          </w:rPr>
          <w:fldChar w:fldCharType="separate"/>
        </w:r>
        <w:r>
          <w:rPr>
            <w:rFonts w:ascii="Calibri" w:hAnsi="Calibri"/>
            <w:color w:val="6E838A"/>
            <w:sz w:val="20"/>
            <w:noProof/>
            <w:webHidden/>
          </w:rPr>
          <w:t xml:space="preserve">52</w:t>
        </w:r>
        <w:r>
          <w:rPr>
            <w:noProof/>
            <w:webHidden/>
          </w:rPr>
          <w:fldChar w:fldCharType="end"/>
        </w:r>
      </w:hyperlink>
    </w:p>
    <w:p>
      <w:pPr>
        <w:pStyle w:val="TOC3"/>
      </w:pPr>
      <w:hyperlink w:anchor="_Toc262100186" w:history="1">
        <w:r>
          <w:rPr>
            <w:rFonts w:ascii="Calibri" w:hAnsi="Calibri"/>
            <w:color w:val="20262A"/>
            <w:sz w:val="20"/>
            <w:noProof/>
          </w:rPr>
          <w:t xml:space="preserve">30.6 Transparency</w:t>
        </w:r>
        <w:r>
          <w:rPr>
            <w:noProof/>
            <w:webHidden/>
          </w:rPr>
          <w:tab/>
        </w:r>
        <w:r>
          <w:rPr>
            <w:noProof/>
            <w:webHidden/>
          </w:rPr>
          <w:fldChar w:fldCharType="begin"/>
        </w:r>
        <w:r>
          <w:rPr>
            <w:noProof/>
            <w:webHidden/>
          </w:rPr>
          <w:instrText xml:space="preserve"> PAGEREF _Toc262100186 \h </w:instrText>
        </w:r>
        <w:r>
          <w:rPr>
            <w:noProof/>
            <w:webHidden/>
          </w:rPr>
          <w:fldChar w:fldCharType="separate"/>
        </w:r>
        <w:r>
          <w:rPr>
            <w:rFonts w:ascii="Calibri" w:hAnsi="Calibri"/>
            <w:color w:val="6E838A"/>
            <w:sz w:val="20"/>
            <w:noProof/>
            <w:webHidden/>
          </w:rPr>
          <w:t xml:space="preserve">52</w:t>
        </w:r>
        <w:r>
          <w:rPr>
            <w:noProof/>
            <w:webHidden/>
          </w:rPr>
          <w:fldChar w:fldCharType="end"/>
        </w:r>
      </w:hyperlink>
    </w:p>
    <w:p>
      <w:pPr>
        <w:pStyle w:val="TOC1"/>
      </w:pPr>
      <w:hyperlink w:anchor="_Toc262100187" w:history="1">
        <w:r>
          <w:rPr>
            <w:rFonts w:ascii="Calibri" w:hAnsi="Calibri"/>
            <w:b/>
            <w:color w:val="1D4E5F"/>
            <w:sz w:val="21"/>
            <w:noProof/>
          </w:rPr>
          <w:t xml:space="preserve">Part VI: Safety, Security, and Environmental Protection</w:t>
        </w:r>
        <w:r>
          <w:rPr>
            <w:noProof/>
            <w:webHidden/>
          </w:rPr>
          <w:tab/>
        </w:r>
        <w:r>
          <w:rPr>
            <w:noProof/>
            <w:webHidden/>
          </w:rPr>
          <w:fldChar w:fldCharType="begin"/>
        </w:r>
        <w:r>
          <w:rPr>
            <w:noProof/>
            <w:webHidden/>
          </w:rPr>
          <w:instrText xml:space="preserve"> PAGEREF _Toc262100187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2"/>
      </w:pPr>
      <w:hyperlink w:anchor="_Toc262100188" w:history="1">
        <w:r>
          <w:rPr>
            <w:rFonts w:ascii="Calibri" w:hAnsi="Calibri"/>
            <w:color w:val="20262A"/>
            <w:sz w:val="20"/>
            <w:noProof/>
          </w:rPr>
          <w:t xml:space="preserve">Article 31: Verification Philosophy: The Human Anchor Method</w:t>
        </w:r>
        <w:r>
          <w:rPr>
            <w:noProof/>
            <w:webHidden/>
          </w:rPr>
          <w:tab/>
        </w:r>
        <w:r>
          <w:rPr>
            <w:noProof/>
            <w:webHidden/>
          </w:rPr>
          <w:fldChar w:fldCharType="begin"/>
        </w:r>
        <w:r>
          <w:rPr>
            <w:noProof/>
            <w:webHidden/>
          </w:rPr>
          <w:instrText xml:space="preserve"> PAGEREF _Toc262100188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3"/>
      </w:pPr>
      <w:hyperlink w:anchor="_Toc262100189" w:history="1">
        <w:r>
          <w:rPr>
            <w:rFonts w:ascii="Calibri" w:hAnsi="Calibri"/>
            <w:color w:val="20262A"/>
            <w:sz w:val="20"/>
            <w:noProof/>
          </w:rPr>
          <w:t xml:space="preserve">31.1 Layered Inputs</w:t>
        </w:r>
        <w:r>
          <w:rPr>
            <w:noProof/>
            <w:webHidden/>
          </w:rPr>
          <w:tab/>
        </w:r>
        <w:r>
          <w:rPr>
            <w:noProof/>
            <w:webHidden/>
          </w:rPr>
          <w:fldChar w:fldCharType="begin"/>
        </w:r>
        <w:r>
          <w:rPr>
            <w:noProof/>
            <w:webHidden/>
          </w:rPr>
          <w:instrText xml:space="preserve"> PAGEREF _Toc262100189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3"/>
      </w:pPr>
      <w:hyperlink w:anchor="_Toc262100190" w:history="1">
        <w:r>
          <w:rPr>
            <w:rFonts w:ascii="Calibri" w:hAnsi="Calibri"/>
            <w:color w:val="20262A"/>
            <w:sz w:val="20"/>
            <w:noProof/>
          </w:rPr>
          <w:t xml:space="preserve">31.2 The Convergence Standard</w:t>
        </w:r>
        <w:r>
          <w:rPr>
            <w:noProof/>
            <w:webHidden/>
          </w:rPr>
          <w:tab/>
        </w:r>
        <w:r>
          <w:rPr>
            <w:noProof/>
            <w:webHidden/>
          </w:rPr>
          <w:fldChar w:fldCharType="begin"/>
        </w:r>
        <w:r>
          <w:rPr>
            <w:noProof/>
            <w:webHidden/>
          </w:rPr>
          <w:instrText xml:space="preserve"> PAGEREF _Toc262100190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3"/>
      </w:pPr>
      <w:hyperlink w:anchor="_Toc262100191" w:history="1">
        <w:r>
          <w:rPr>
            <w:rFonts w:ascii="Calibri" w:hAnsi="Calibri"/>
            <w:color w:val="20262A"/>
            <w:sz w:val="20"/>
            <w:noProof/>
          </w:rPr>
          <w:t xml:space="preserve">31.3 Human-in-the-Loop</w:t>
        </w:r>
        <w:r>
          <w:rPr>
            <w:noProof/>
            <w:webHidden/>
          </w:rPr>
          <w:tab/>
        </w:r>
        <w:r>
          <w:rPr>
            <w:noProof/>
            <w:webHidden/>
          </w:rPr>
          <w:fldChar w:fldCharType="begin"/>
        </w:r>
        <w:r>
          <w:rPr>
            <w:noProof/>
            <w:webHidden/>
          </w:rPr>
          <w:instrText xml:space="preserve"> PAGEREF _Toc262100191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3"/>
      </w:pPr>
      <w:hyperlink w:anchor="_Toc262100192" w:history="1">
        <w:r>
          <w:rPr>
            <w:rFonts w:ascii="Calibri" w:hAnsi="Calibri"/>
            <w:color w:val="20262A"/>
            <w:sz w:val="20"/>
            <w:noProof/>
          </w:rPr>
          <w:t xml:space="preserve">31.4 Data Sovereignty</w:t>
        </w:r>
        <w:r>
          <w:rPr>
            <w:noProof/>
            <w:webHidden/>
          </w:rPr>
          <w:tab/>
        </w:r>
        <w:r>
          <w:rPr>
            <w:noProof/>
            <w:webHidden/>
          </w:rPr>
          <w:fldChar w:fldCharType="begin"/>
        </w:r>
        <w:r>
          <w:rPr>
            <w:noProof/>
            <w:webHidden/>
          </w:rPr>
          <w:instrText xml:space="preserve"> PAGEREF _Toc262100192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2"/>
      </w:pPr>
      <w:hyperlink w:anchor="_Toc262100193" w:history="1">
        <w:r>
          <w:rPr>
            <w:rFonts w:ascii="Calibri" w:hAnsi="Calibri"/>
            <w:color w:val="20262A"/>
            <w:sz w:val="20"/>
            <w:noProof/>
          </w:rPr>
          <w:t xml:space="preserve">Article 32: Maritime Security and Deconfliction</w:t>
        </w:r>
        <w:r>
          <w:rPr>
            <w:noProof/>
            <w:webHidden/>
          </w:rPr>
          <w:tab/>
        </w:r>
        <w:r>
          <w:rPr>
            <w:noProof/>
            <w:webHidden/>
          </w:rPr>
          <w:fldChar w:fldCharType="begin"/>
        </w:r>
        <w:r>
          <w:rPr>
            <w:noProof/>
            <w:webHidden/>
          </w:rPr>
          <w:instrText xml:space="preserve"> PAGEREF _Toc262100193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3"/>
      </w:pPr>
      <w:hyperlink w:anchor="_Toc262100194" w:history="1">
        <w:r>
          <w:rPr>
            <w:rFonts w:ascii="Calibri" w:hAnsi="Calibri"/>
            <w:color w:val="20262A"/>
            <w:sz w:val="20"/>
            <w:noProof/>
          </w:rPr>
          <w:t xml:space="preserve">32.1 The Quiet Water Windows</w:t>
        </w:r>
        <w:r>
          <w:rPr>
            <w:noProof/>
            <w:webHidden/>
          </w:rPr>
          <w:tab/>
        </w:r>
        <w:r>
          <w:rPr>
            <w:noProof/>
            <w:webHidden/>
          </w:rPr>
          <w:fldChar w:fldCharType="begin"/>
        </w:r>
        <w:r>
          <w:rPr>
            <w:noProof/>
            <w:webHidden/>
          </w:rPr>
          <w:instrText xml:space="preserve"> PAGEREF _Toc262100194 \h </w:instrText>
        </w:r>
        <w:r>
          <w:rPr>
            <w:noProof/>
            <w:webHidden/>
          </w:rPr>
          <w:fldChar w:fldCharType="separate"/>
        </w:r>
        <w:r>
          <w:rPr>
            <w:rFonts w:ascii="Calibri" w:hAnsi="Calibri"/>
            <w:color w:val="6E838A"/>
            <w:sz w:val="20"/>
            <w:noProof/>
            <w:webHidden/>
          </w:rPr>
          <w:t xml:space="preserve">53</w:t>
        </w:r>
        <w:r>
          <w:rPr>
            <w:noProof/>
            <w:webHidden/>
          </w:rPr>
          <w:fldChar w:fldCharType="end"/>
        </w:r>
      </w:hyperlink>
    </w:p>
    <w:p>
      <w:pPr>
        <w:pStyle w:val="TOC3"/>
      </w:pPr>
      <w:hyperlink w:anchor="_Toc262100195" w:history="1">
        <w:r>
          <w:rPr>
            <w:rFonts w:ascii="Calibri" w:hAnsi="Calibri"/>
            <w:color w:val="20262A"/>
            <w:sz w:val="20"/>
            <w:noProof/>
          </w:rPr>
          <w:t xml:space="preserve">32.2 Exercise Notification</w:t>
        </w:r>
        <w:r>
          <w:rPr>
            <w:noProof/>
            <w:webHidden/>
          </w:rPr>
          <w:tab/>
        </w:r>
        <w:r>
          <w:rPr>
            <w:noProof/>
            <w:webHidden/>
          </w:rPr>
          <w:fldChar w:fldCharType="begin"/>
        </w:r>
        <w:r>
          <w:rPr>
            <w:noProof/>
            <w:webHidden/>
          </w:rPr>
          <w:instrText xml:space="preserve"> PAGEREF _Toc262100195 \h </w:instrText>
        </w:r>
        <w:r>
          <w:rPr>
            <w:noProof/>
            <w:webHidden/>
          </w:rPr>
          <w:fldChar w:fldCharType="separate"/>
        </w:r>
        <w:r>
          <w:rPr>
            <w:rFonts w:ascii="Calibri" w:hAnsi="Calibri"/>
            <w:color w:val="6E838A"/>
            <w:sz w:val="20"/>
            <w:noProof/>
            <w:webHidden/>
          </w:rPr>
          <w:t xml:space="preserve">54</w:t>
        </w:r>
        <w:r>
          <w:rPr>
            <w:noProof/>
            <w:webHidden/>
          </w:rPr>
          <w:fldChar w:fldCharType="end"/>
        </w:r>
      </w:hyperlink>
    </w:p>
    <w:p>
      <w:pPr>
        <w:pStyle w:val="TOC3"/>
      </w:pPr>
      <w:hyperlink w:anchor="_Toc262100196" w:history="1">
        <w:r>
          <w:rPr>
            <w:rFonts w:ascii="Calibri" w:hAnsi="Calibri"/>
            <w:color w:val="20262A"/>
            <w:sz w:val="20"/>
            <w:noProof/>
          </w:rPr>
          <w:t xml:space="preserve">32.3 The Incident Hotline</w:t>
        </w:r>
        <w:r>
          <w:rPr>
            <w:noProof/>
            <w:webHidden/>
          </w:rPr>
          <w:tab/>
        </w:r>
        <w:r>
          <w:rPr>
            <w:noProof/>
            <w:webHidden/>
          </w:rPr>
          <w:fldChar w:fldCharType="begin"/>
        </w:r>
        <w:r>
          <w:rPr>
            <w:noProof/>
            <w:webHidden/>
          </w:rPr>
          <w:instrText xml:space="preserve"> PAGEREF _Toc262100196 \h </w:instrText>
        </w:r>
        <w:r>
          <w:rPr>
            <w:noProof/>
            <w:webHidden/>
          </w:rPr>
          <w:fldChar w:fldCharType="separate"/>
        </w:r>
        <w:r>
          <w:rPr>
            <w:rFonts w:ascii="Calibri" w:hAnsi="Calibri"/>
            <w:color w:val="6E838A"/>
            <w:sz w:val="20"/>
            <w:noProof/>
            <w:webHidden/>
          </w:rPr>
          <w:t xml:space="preserve">54</w:t>
        </w:r>
        <w:r>
          <w:rPr>
            <w:noProof/>
            <w:webHidden/>
          </w:rPr>
          <w:fldChar w:fldCharType="end"/>
        </w:r>
      </w:hyperlink>
    </w:p>
    <w:p>
      <w:pPr>
        <w:pStyle w:val="TOC3"/>
      </w:pPr>
      <w:hyperlink w:anchor="_Toc262100197" w:history="1">
        <w:r>
          <w:rPr>
            <w:rFonts w:ascii="Calibri" w:hAnsi="Calibri"/>
            <w:color w:val="20262A"/>
            <w:sz w:val="20"/>
            <w:noProof/>
          </w:rPr>
          <w:t xml:space="preserve">32.4 The Mishap Protocol</w:t>
        </w:r>
        <w:r>
          <w:rPr>
            <w:noProof/>
            <w:webHidden/>
          </w:rPr>
          <w:tab/>
        </w:r>
        <w:r>
          <w:rPr>
            <w:noProof/>
            <w:webHidden/>
          </w:rPr>
          <w:fldChar w:fldCharType="begin"/>
        </w:r>
        <w:r>
          <w:rPr>
            <w:noProof/>
            <w:webHidden/>
          </w:rPr>
          <w:instrText xml:space="preserve"> PAGEREF _Toc262100197 \h </w:instrText>
        </w:r>
        <w:r>
          <w:rPr>
            <w:noProof/>
            <w:webHidden/>
          </w:rPr>
          <w:fldChar w:fldCharType="separate"/>
        </w:r>
        <w:r>
          <w:rPr>
            <w:rFonts w:ascii="Calibri" w:hAnsi="Calibri"/>
            <w:color w:val="6E838A"/>
            <w:sz w:val="20"/>
            <w:noProof/>
            <w:webHidden/>
          </w:rPr>
          <w:t xml:space="preserve">54</w:t>
        </w:r>
        <w:r>
          <w:rPr>
            <w:noProof/>
            <w:webHidden/>
          </w:rPr>
          <w:fldChar w:fldCharType="end"/>
        </w:r>
      </w:hyperlink>
    </w:p>
    <w:p>
      <w:pPr>
        <w:pStyle w:val="TOC3"/>
      </w:pPr>
      <w:hyperlink w:anchor="_Toc262100198" w:history="1">
        <w:r>
          <w:rPr>
            <w:rFonts w:ascii="Calibri" w:hAnsi="Calibri"/>
            <w:color w:val="20262A"/>
            <w:sz w:val="20"/>
            <w:noProof/>
          </w:rPr>
          <w:t xml:space="preserve">32.5 The Rogue Actor and False-Flag Pathway</w:t>
        </w:r>
        <w:r>
          <w:rPr>
            <w:noProof/>
            <w:webHidden/>
          </w:rPr>
          <w:tab/>
        </w:r>
        <w:r>
          <w:rPr>
            <w:noProof/>
            <w:webHidden/>
          </w:rPr>
          <w:fldChar w:fldCharType="begin"/>
        </w:r>
        <w:r>
          <w:rPr>
            <w:noProof/>
            <w:webHidden/>
          </w:rPr>
          <w:instrText xml:space="preserve"> PAGEREF _Toc262100198 \h </w:instrText>
        </w:r>
        <w:r>
          <w:rPr>
            <w:noProof/>
            <w:webHidden/>
          </w:rPr>
          <w:fldChar w:fldCharType="separate"/>
        </w:r>
        <w:r>
          <w:rPr>
            <w:rFonts w:ascii="Calibri" w:hAnsi="Calibri"/>
            <w:color w:val="6E838A"/>
            <w:sz w:val="20"/>
            <w:noProof/>
            <w:webHidden/>
          </w:rPr>
          <w:t xml:space="preserve">54</w:t>
        </w:r>
        <w:r>
          <w:rPr>
            <w:noProof/>
            <w:webHidden/>
          </w:rPr>
          <w:fldChar w:fldCharType="end"/>
        </w:r>
      </w:hyperlink>
    </w:p>
    <w:p>
      <w:pPr>
        <w:pStyle w:val="TOC2"/>
      </w:pPr>
      <w:hyperlink w:anchor="_Toc262100199" w:history="1">
        <w:r>
          <w:rPr>
            <w:rFonts w:ascii="Calibri" w:hAnsi="Calibri"/>
            <w:color w:val="20262A"/>
            <w:sz w:val="20"/>
            <w:noProof/>
          </w:rPr>
          <w:t xml:space="preserve">Article 33: Mine-Risk Response</w:t>
        </w:r>
        <w:r>
          <w:rPr>
            <w:noProof/>
            <w:webHidden/>
          </w:rPr>
          <w:tab/>
        </w:r>
        <w:r>
          <w:rPr>
            <w:noProof/>
            <w:webHidden/>
          </w:rPr>
          <w:fldChar w:fldCharType="begin"/>
        </w:r>
        <w:r>
          <w:rPr>
            <w:noProof/>
            <w:webHidden/>
          </w:rPr>
          <w:instrText xml:space="preserve"> PAGEREF _Toc262100199 \h </w:instrText>
        </w:r>
        <w:r>
          <w:rPr>
            <w:noProof/>
            <w:webHidden/>
          </w:rPr>
          <w:fldChar w:fldCharType="separate"/>
        </w:r>
        <w:r>
          <w:rPr>
            <w:rFonts w:ascii="Calibri" w:hAnsi="Calibri"/>
            <w:color w:val="6E838A"/>
            <w:sz w:val="20"/>
            <w:noProof/>
            <w:webHidden/>
          </w:rPr>
          <w:t xml:space="preserve">54</w:t>
        </w:r>
        <w:r>
          <w:rPr>
            <w:noProof/>
            <w:webHidden/>
          </w:rPr>
          <w:fldChar w:fldCharType="end"/>
        </w:r>
      </w:hyperlink>
    </w:p>
    <w:p>
      <w:pPr>
        <w:pStyle w:val="TOC3"/>
      </w:pPr>
      <w:hyperlink w:anchor="_Toc262100200" w:history="1">
        <w:r>
          <w:rPr>
            <w:rFonts w:ascii="Calibri" w:hAnsi="Calibri"/>
            <w:color w:val="20262A"/>
            <w:sz w:val="20"/>
            <w:noProof/>
          </w:rPr>
          <w:t xml:space="preserve">33.1 The Mine Risk Standing Cell</w:t>
        </w:r>
        <w:r>
          <w:rPr>
            <w:noProof/>
            <w:webHidden/>
          </w:rPr>
          <w:tab/>
        </w:r>
        <w:r>
          <w:rPr>
            <w:noProof/>
            <w:webHidden/>
          </w:rPr>
          <w:fldChar w:fldCharType="begin"/>
        </w:r>
        <w:r>
          <w:rPr>
            <w:noProof/>
            <w:webHidden/>
          </w:rPr>
          <w:instrText xml:space="preserve"> PAGEREF _Toc262100200 \h </w:instrText>
        </w:r>
        <w:r>
          <w:rPr>
            <w:noProof/>
            <w:webHidden/>
          </w:rPr>
          <w:fldChar w:fldCharType="separate"/>
        </w:r>
        <w:r>
          <w:rPr>
            <w:rFonts w:ascii="Calibri" w:hAnsi="Calibri"/>
            <w:color w:val="6E838A"/>
            <w:sz w:val="20"/>
            <w:noProof/>
            <w:webHidden/>
          </w:rPr>
          <w:t xml:space="preserve">54</w:t>
        </w:r>
        <w:r>
          <w:rPr>
            <w:noProof/>
            <w:webHidden/>
          </w:rPr>
          <w:fldChar w:fldCharType="end"/>
        </w:r>
      </w:hyperlink>
    </w:p>
    <w:p>
      <w:pPr>
        <w:pStyle w:val="TOC3"/>
      </w:pPr>
      <w:hyperlink w:anchor="_Toc262100201" w:history="1">
        <w:r>
          <w:rPr>
            <w:rFonts w:ascii="Calibri" w:hAnsi="Calibri"/>
            <w:color w:val="20262A"/>
            <w:sz w:val="20"/>
            <w:noProof/>
          </w:rPr>
          <w:t xml:space="preserve">33.2 The Lost-Ordnance Protocol</w:t>
        </w:r>
        <w:r>
          <w:rPr>
            <w:noProof/>
            <w:webHidden/>
          </w:rPr>
          <w:tab/>
        </w:r>
        <w:r>
          <w:rPr>
            <w:noProof/>
            <w:webHidden/>
          </w:rPr>
          <w:fldChar w:fldCharType="begin"/>
        </w:r>
        <w:r>
          <w:rPr>
            <w:noProof/>
            <w:webHidden/>
          </w:rPr>
          <w:instrText xml:space="preserve"> PAGEREF _Toc262100201 \h </w:instrText>
        </w:r>
        <w:r>
          <w:rPr>
            <w:noProof/>
            <w:webHidden/>
          </w:rPr>
          <w:fldChar w:fldCharType="separate"/>
        </w:r>
        <w:r>
          <w:rPr>
            <w:rFonts w:ascii="Calibri" w:hAnsi="Calibri"/>
            <w:color w:val="6E838A"/>
            <w:sz w:val="20"/>
            <w:noProof/>
            <w:webHidden/>
          </w:rPr>
          <w:t xml:space="preserve">55</w:t>
        </w:r>
        <w:r>
          <w:rPr>
            <w:noProof/>
            <w:webHidden/>
          </w:rPr>
          <w:fldChar w:fldCharType="end"/>
        </w:r>
      </w:hyperlink>
    </w:p>
    <w:p>
      <w:pPr>
        <w:pStyle w:val="TOC3"/>
      </w:pPr>
      <w:hyperlink w:anchor="_Toc262100202" w:history="1">
        <w:r>
          <w:rPr>
            <w:rFonts w:ascii="Calibri" w:hAnsi="Calibri"/>
            <w:color w:val="20262A"/>
            <w:sz w:val="20"/>
            <w:noProof/>
          </w:rPr>
          <w:t xml:space="preserve">33.3 Survey, Clearance, and Certification</w:t>
        </w:r>
        <w:r>
          <w:rPr>
            <w:noProof/>
            <w:webHidden/>
          </w:rPr>
          <w:tab/>
        </w:r>
        <w:r>
          <w:rPr>
            <w:noProof/>
            <w:webHidden/>
          </w:rPr>
          <w:fldChar w:fldCharType="begin"/>
        </w:r>
        <w:r>
          <w:rPr>
            <w:noProof/>
            <w:webHidden/>
          </w:rPr>
          <w:instrText xml:space="preserve"> PAGEREF _Toc262100202 \h </w:instrText>
        </w:r>
        <w:r>
          <w:rPr>
            <w:noProof/>
            <w:webHidden/>
          </w:rPr>
          <w:fldChar w:fldCharType="separate"/>
        </w:r>
        <w:r>
          <w:rPr>
            <w:rFonts w:ascii="Calibri" w:hAnsi="Calibri"/>
            <w:color w:val="6E838A"/>
            <w:sz w:val="20"/>
            <w:noProof/>
            <w:webHidden/>
          </w:rPr>
          <w:t xml:space="preserve">55</w:t>
        </w:r>
        <w:r>
          <w:rPr>
            <w:noProof/>
            <w:webHidden/>
          </w:rPr>
          <w:fldChar w:fldCharType="end"/>
        </w:r>
      </w:hyperlink>
    </w:p>
    <w:p>
      <w:pPr>
        <w:pStyle w:val="TOC3"/>
      </w:pPr>
      <w:hyperlink w:anchor="_Toc262100203" w:history="1">
        <w:r>
          <w:rPr>
            <w:rFonts w:ascii="Calibri" w:hAnsi="Calibri"/>
            <w:color w:val="20262A"/>
            <w:sz w:val="20"/>
            <w:noProof/>
          </w:rPr>
          <w:t xml:space="preserve">33.4 The Mine-Risk Overlay</w:t>
        </w:r>
        <w:r>
          <w:rPr>
            <w:noProof/>
            <w:webHidden/>
          </w:rPr>
          <w:tab/>
        </w:r>
        <w:r>
          <w:rPr>
            <w:noProof/>
            <w:webHidden/>
          </w:rPr>
          <w:fldChar w:fldCharType="begin"/>
        </w:r>
        <w:r>
          <w:rPr>
            <w:noProof/>
            <w:webHidden/>
          </w:rPr>
          <w:instrText xml:space="preserve"> PAGEREF _Toc262100203 \h </w:instrText>
        </w:r>
        <w:r>
          <w:rPr>
            <w:noProof/>
            <w:webHidden/>
          </w:rPr>
          <w:fldChar w:fldCharType="separate"/>
        </w:r>
        <w:r>
          <w:rPr>
            <w:rFonts w:ascii="Calibri" w:hAnsi="Calibri"/>
            <w:color w:val="6E838A"/>
            <w:sz w:val="20"/>
            <w:noProof/>
            <w:webHidden/>
          </w:rPr>
          <w:t xml:space="preserve">55</w:t>
        </w:r>
        <w:r>
          <w:rPr>
            <w:noProof/>
            <w:webHidden/>
          </w:rPr>
          <w:fldChar w:fldCharType="end"/>
        </w:r>
      </w:hyperlink>
    </w:p>
    <w:p>
      <w:pPr>
        <w:pStyle w:val="TOC2"/>
      </w:pPr>
      <w:hyperlink w:anchor="_Toc262100204" w:history="1">
        <w:r>
          <w:rPr>
            <w:rFonts w:ascii="Calibri" w:hAnsi="Calibri"/>
            <w:color w:val="20262A"/>
            <w:sz w:val="20"/>
            <w:noProof/>
          </w:rPr>
          <w:t xml:space="preserve">Article 34: Search and Rescue</w:t>
        </w:r>
        <w:r>
          <w:rPr>
            <w:noProof/>
            <w:webHidden/>
          </w:rPr>
          <w:tab/>
        </w:r>
        <w:r>
          <w:rPr>
            <w:noProof/>
            <w:webHidden/>
          </w:rPr>
          <w:fldChar w:fldCharType="begin"/>
        </w:r>
        <w:r>
          <w:rPr>
            <w:noProof/>
            <w:webHidden/>
          </w:rPr>
          <w:instrText xml:space="preserve"> PAGEREF _Toc262100204 \h </w:instrText>
        </w:r>
        <w:r>
          <w:rPr>
            <w:noProof/>
            <w:webHidden/>
          </w:rPr>
          <w:fldChar w:fldCharType="separate"/>
        </w:r>
        <w:r>
          <w:rPr>
            <w:rFonts w:ascii="Calibri" w:hAnsi="Calibri"/>
            <w:color w:val="6E838A"/>
            <w:sz w:val="20"/>
            <w:noProof/>
            <w:webHidden/>
          </w:rPr>
          <w:t xml:space="preserve">55</w:t>
        </w:r>
        <w:r>
          <w:rPr>
            <w:noProof/>
            <w:webHidden/>
          </w:rPr>
          <w:fldChar w:fldCharType="end"/>
        </w:r>
      </w:hyperlink>
    </w:p>
    <w:p>
      <w:pPr>
        <w:pStyle w:val="TOC3"/>
      </w:pPr>
      <w:hyperlink w:anchor="_Toc262100205" w:history="1">
        <w:r>
          <w:rPr>
            <w:rFonts w:ascii="Calibri" w:hAnsi="Calibri"/>
            <w:color w:val="20262A"/>
            <w:sz w:val="20"/>
            <w:noProof/>
          </w:rPr>
          <w:t xml:space="preserve">34.1 The Shared Grid</w:t>
        </w:r>
        <w:r>
          <w:rPr>
            <w:noProof/>
            <w:webHidden/>
          </w:rPr>
          <w:tab/>
        </w:r>
        <w:r>
          <w:rPr>
            <w:noProof/>
            <w:webHidden/>
          </w:rPr>
          <w:fldChar w:fldCharType="begin"/>
        </w:r>
        <w:r>
          <w:rPr>
            <w:noProof/>
            <w:webHidden/>
          </w:rPr>
          <w:instrText xml:space="preserve"> PAGEREF _Toc262100205 \h </w:instrText>
        </w:r>
        <w:r>
          <w:rPr>
            <w:noProof/>
            <w:webHidden/>
          </w:rPr>
          <w:fldChar w:fldCharType="separate"/>
        </w:r>
        <w:r>
          <w:rPr>
            <w:rFonts w:ascii="Calibri" w:hAnsi="Calibri"/>
            <w:color w:val="6E838A"/>
            <w:sz w:val="20"/>
            <w:noProof/>
            <w:webHidden/>
          </w:rPr>
          <w:t xml:space="preserve">55</w:t>
        </w:r>
        <w:r>
          <w:rPr>
            <w:noProof/>
            <w:webHidden/>
          </w:rPr>
          <w:fldChar w:fldCharType="end"/>
        </w:r>
      </w:hyperlink>
    </w:p>
    <w:p>
      <w:pPr>
        <w:pStyle w:val="TOC3"/>
      </w:pPr>
      <w:hyperlink w:anchor="_Toc262100206" w:history="1">
        <w:r>
          <w:rPr>
            <w:rFonts w:ascii="Calibri" w:hAnsi="Calibri"/>
            <w:color w:val="20262A"/>
            <w:sz w:val="20"/>
            <w:noProof/>
          </w:rPr>
          <w:t xml:space="preserve">34.2 The SAR Rota</w:t>
        </w:r>
        <w:r>
          <w:rPr>
            <w:noProof/>
            <w:webHidden/>
          </w:rPr>
          <w:tab/>
        </w:r>
        <w:r>
          <w:rPr>
            <w:noProof/>
            <w:webHidden/>
          </w:rPr>
          <w:fldChar w:fldCharType="begin"/>
        </w:r>
        <w:r>
          <w:rPr>
            <w:noProof/>
            <w:webHidden/>
          </w:rPr>
          <w:instrText xml:space="preserve"> PAGEREF _Toc262100206 \h </w:instrText>
        </w:r>
        <w:r>
          <w:rPr>
            <w:noProof/>
            <w:webHidden/>
          </w:rPr>
          <w:fldChar w:fldCharType="separate"/>
        </w:r>
        <w:r>
          <w:rPr>
            <w:rFonts w:ascii="Calibri" w:hAnsi="Calibri"/>
            <w:color w:val="6E838A"/>
            <w:sz w:val="20"/>
            <w:noProof/>
            <w:webHidden/>
          </w:rPr>
          <w:t xml:space="preserve">55</w:t>
        </w:r>
        <w:r>
          <w:rPr>
            <w:noProof/>
            <w:webHidden/>
          </w:rPr>
          <w:fldChar w:fldCharType="end"/>
        </w:r>
      </w:hyperlink>
    </w:p>
    <w:p>
      <w:pPr>
        <w:pStyle w:val="TOC3"/>
      </w:pPr>
      <w:hyperlink w:anchor="_Toc262100207" w:history="1">
        <w:r>
          <w:rPr>
            <w:rFonts w:ascii="Calibri" w:hAnsi="Calibri"/>
            <w:color w:val="20262A"/>
            <w:sz w:val="20"/>
            <w:noProof/>
          </w:rPr>
          <w:t xml:space="preserve">34.3 Humanitarian Priority</w:t>
        </w:r>
        <w:r>
          <w:rPr>
            <w:noProof/>
            <w:webHidden/>
          </w:rPr>
          <w:tab/>
        </w:r>
        <w:r>
          <w:rPr>
            <w:noProof/>
            <w:webHidden/>
          </w:rPr>
          <w:fldChar w:fldCharType="begin"/>
        </w:r>
        <w:r>
          <w:rPr>
            <w:noProof/>
            <w:webHidden/>
          </w:rPr>
          <w:instrText xml:space="preserve"> PAGEREF _Toc262100207 \h </w:instrText>
        </w:r>
        <w:r>
          <w:rPr>
            <w:noProof/>
            <w:webHidden/>
          </w:rPr>
          <w:fldChar w:fldCharType="separate"/>
        </w:r>
        <w:r>
          <w:rPr>
            <w:rFonts w:ascii="Calibri" w:hAnsi="Calibri"/>
            <w:color w:val="6E838A"/>
            <w:sz w:val="20"/>
            <w:noProof/>
            <w:webHidden/>
          </w:rPr>
          <w:t xml:space="preserve">55</w:t>
        </w:r>
        <w:r>
          <w:rPr>
            <w:noProof/>
            <w:webHidden/>
          </w:rPr>
          <w:fldChar w:fldCharType="end"/>
        </w:r>
      </w:hyperlink>
    </w:p>
    <w:p>
      <w:pPr>
        <w:pStyle w:val="TOC2"/>
      </w:pPr>
      <w:hyperlink w:anchor="_Toc262100208" w:history="1">
        <w:r>
          <w:rPr>
            <w:rFonts w:ascii="Calibri" w:hAnsi="Calibri"/>
            <w:color w:val="20262A"/>
            <w:sz w:val="20"/>
            <w:noProof/>
          </w:rPr>
          <w:t xml:space="preserve">Article 35: Environmental Protection</w:t>
        </w:r>
        <w:r>
          <w:rPr>
            <w:noProof/>
            <w:webHidden/>
          </w:rPr>
          <w:tab/>
        </w:r>
        <w:r>
          <w:rPr>
            <w:noProof/>
            <w:webHidden/>
          </w:rPr>
          <w:fldChar w:fldCharType="begin"/>
        </w:r>
        <w:r>
          <w:rPr>
            <w:noProof/>
            <w:webHidden/>
          </w:rPr>
          <w:instrText xml:space="preserve"> PAGEREF _Toc262100208 \h </w:instrText>
        </w:r>
        <w:r>
          <w:rPr>
            <w:noProof/>
            <w:webHidden/>
          </w:rPr>
          <w:fldChar w:fldCharType="separate"/>
        </w:r>
        <w:r>
          <w:rPr>
            <w:rFonts w:ascii="Calibri" w:hAnsi="Calibri"/>
            <w:color w:val="6E838A"/>
            <w:sz w:val="20"/>
            <w:noProof/>
            <w:webHidden/>
          </w:rPr>
          <w:t xml:space="preserve">56</w:t>
        </w:r>
        <w:r>
          <w:rPr>
            <w:noProof/>
            <w:webHidden/>
          </w:rPr>
          <w:fldChar w:fldCharType="end"/>
        </w:r>
      </w:hyperlink>
    </w:p>
    <w:p>
      <w:pPr>
        <w:pStyle w:val="TOC3"/>
      </w:pPr>
      <w:hyperlink w:anchor="_Toc262100209" w:history="1">
        <w:r>
          <w:rPr>
            <w:rFonts w:ascii="Calibri" w:hAnsi="Calibri"/>
            <w:color w:val="20262A"/>
            <w:sz w:val="20"/>
            <w:noProof/>
          </w:rPr>
          <w:t xml:space="preserve">35.1 The Pollution Response Readiness Service</w:t>
        </w:r>
        <w:r>
          <w:rPr>
            <w:noProof/>
            <w:webHidden/>
          </w:rPr>
          <w:tab/>
        </w:r>
        <w:r>
          <w:rPr>
            <w:noProof/>
            <w:webHidden/>
          </w:rPr>
          <w:fldChar w:fldCharType="begin"/>
        </w:r>
        <w:r>
          <w:rPr>
            <w:noProof/>
            <w:webHidden/>
          </w:rPr>
          <w:instrText xml:space="preserve"> PAGEREF _Toc262100209 \h </w:instrText>
        </w:r>
        <w:r>
          <w:rPr>
            <w:noProof/>
            <w:webHidden/>
          </w:rPr>
          <w:fldChar w:fldCharType="separate"/>
        </w:r>
        <w:r>
          <w:rPr>
            <w:rFonts w:ascii="Calibri" w:hAnsi="Calibri"/>
            <w:color w:val="6E838A"/>
            <w:sz w:val="20"/>
            <w:noProof/>
            <w:webHidden/>
          </w:rPr>
          <w:t xml:space="preserve">56</w:t>
        </w:r>
        <w:r>
          <w:rPr>
            <w:noProof/>
            <w:webHidden/>
          </w:rPr>
          <w:fldChar w:fldCharType="end"/>
        </w:r>
      </w:hyperlink>
    </w:p>
    <w:p>
      <w:pPr>
        <w:pStyle w:val="TOC3"/>
      </w:pPr>
      <w:hyperlink w:anchor="_Toc262100210" w:history="1">
        <w:r>
          <w:rPr>
            <w:rFonts w:ascii="Calibri" w:hAnsi="Calibri"/>
            <w:color w:val="20262A"/>
            <w:sz w:val="20"/>
            <w:noProof/>
          </w:rPr>
          <w:t xml:space="preserve">35.2 The Environmental Liability Coverage Rule</w:t>
        </w:r>
        <w:r>
          <w:rPr>
            <w:noProof/>
            <w:webHidden/>
          </w:rPr>
          <w:tab/>
        </w:r>
        <w:r>
          <w:rPr>
            <w:noProof/>
            <w:webHidden/>
          </w:rPr>
          <w:fldChar w:fldCharType="begin"/>
        </w:r>
        <w:r>
          <w:rPr>
            <w:noProof/>
            <w:webHidden/>
          </w:rPr>
          <w:instrText xml:space="preserve"> PAGEREF _Toc262100210 \h </w:instrText>
        </w:r>
        <w:r>
          <w:rPr>
            <w:noProof/>
            <w:webHidden/>
          </w:rPr>
          <w:fldChar w:fldCharType="separate"/>
        </w:r>
        <w:r>
          <w:rPr>
            <w:rFonts w:ascii="Calibri" w:hAnsi="Calibri"/>
            <w:color w:val="6E838A"/>
            <w:sz w:val="20"/>
            <w:noProof/>
            <w:webHidden/>
          </w:rPr>
          <w:t xml:space="preserve">56</w:t>
        </w:r>
        <w:r>
          <w:rPr>
            <w:noProof/>
            <w:webHidden/>
          </w:rPr>
          <w:fldChar w:fldCharType="end"/>
        </w:r>
      </w:hyperlink>
    </w:p>
    <w:p>
      <w:pPr>
        <w:pStyle w:val="TOC3"/>
      </w:pPr>
      <w:hyperlink w:anchor="_Toc262100211" w:history="1">
        <w:r>
          <w:rPr>
            <w:rFonts w:ascii="Calibri" w:hAnsi="Calibri"/>
            <w:color w:val="20262A"/>
            <w:sz w:val="20"/>
            <w:noProof/>
          </w:rPr>
          <w:t xml:space="preserve">35.3 Sensitive Areas</w:t>
        </w:r>
        <w:r>
          <w:rPr>
            <w:noProof/>
            <w:webHidden/>
          </w:rPr>
          <w:tab/>
        </w:r>
        <w:r>
          <w:rPr>
            <w:noProof/>
            <w:webHidden/>
          </w:rPr>
          <w:fldChar w:fldCharType="begin"/>
        </w:r>
        <w:r>
          <w:rPr>
            <w:noProof/>
            <w:webHidden/>
          </w:rPr>
          <w:instrText xml:space="preserve"> PAGEREF _Toc262100211 \h </w:instrText>
        </w:r>
        <w:r>
          <w:rPr>
            <w:noProof/>
            <w:webHidden/>
          </w:rPr>
          <w:fldChar w:fldCharType="separate"/>
        </w:r>
        <w:r>
          <w:rPr>
            <w:rFonts w:ascii="Calibri" w:hAnsi="Calibri"/>
            <w:color w:val="6E838A"/>
            <w:sz w:val="20"/>
            <w:noProof/>
            <w:webHidden/>
          </w:rPr>
          <w:t xml:space="preserve">56</w:t>
        </w:r>
        <w:r>
          <w:rPr>
            <w:noProof/>
            <w:webHidden/>
          </w:rPr>
          <w:fldChar w:fldCharType="end"/>
        </w:r>
      </w:hyperlink>
    </w:p>
    <w:p>
      <w:pPr>
        <w:pStyle w:val="TOC3"/>
      </w:pPr>
      <w:hyperlink w:anchor="_Toc262100212" w:history="1">
        <w:r>
          <w:rPr>
            <w:rFonts w:ascii="Calibri" w:hAnsi="Calibri"/>
            <w:color w:val="20262A"/>
            <w:sz w:val="20"/>
            <w:noProof/>
          </w:rPr>
          <w:t xml:space="preserve">35.4 The Green Discount</w:t>
        </w:r>
        <w:r>
          <w:rPr>
            <w:noProof/>
            <w:webHidden/>
          </w:rPr>
          <w:tab/>
        </w:r>
        <w:r>
          <w:rPr>
            <w:noProof/>
            <w:webHidden/>
          </w:rPr>
          <w:fldChar w:fldCharType="begin"/>
        </w:r>
        <w:r>
          <w:rPr>
            <w:noProof/>
            <w:webHidden/>
          </w:rPr>
          <w:instrText xml:space="preserve"> PAGEREF _Toc262100212 \h </w:instrText>
        </w:r>
        <w:r>
          <w:rPr>
            <w:noProof/>
            <w:webHidden/>
          </w:rPr>
          <w:fldChar w:fldCharType="separate"/>
        </w:r>
        <w:r>
          <w:rPr>
            <w:rFonts w:ascii="Calibri" w:hAnsi="Calibri"/>
            <w:color w:val="6E838A"/>
            <w:sz w:val="20"/>
            <w:noProof/>
            <w:webHidden/>
          </w:rPr>
          <w:t xml:space="preserve">56</w:t>
        </w:r>
        <w:r>
          <w:rPr>
            <w:noProof/>
            <w:webHidden/>
          </w:rPr>
          <w:fldChar w:fldCharType="end"/>
        </w:r>
      </w:hyperlink>
    </w:p>
    <w:p>
      <w:pPr>
        <w:pStyle w:val="TOC2"/>
      </w:pPr>
      <w:hyperlink w:anchor="_Toc262100213" w:history="1">
        <w:r>
          <w:rPr>
            <w:rFonts w:ascii="Calibri" w:hAnsi="Calibri"/>
            <w:color w:val="20262A"/>
            <w:sz w:val="20"/>
            <w:noProof/>
          </w:rPr>
          <w:t xml:space="preserve">Article 36: Incident Classification and Reporting</w:t>
        </w:r>
        <w:r>
          <w:rPr>
            <w:noProof/>
            <w:webHidden/>
          </w:rPr>
          <w:tab/>
        </w:r>
        <w:r>
          <w:rPr>
            <w:noProof/>
            <w:webHidden/>
          </w:rPr>
          <w:fldChar w:fldCharType="begin"/>
        </w:r>
        <w:r>
          <w:rPr>
            <w:noProof/>
            <w:webHidden/>
          </w:rPr>
          <w:instrText xml:space="preserve"> PAGEREF _Toc262100213 \h </w:instrText>
        </w:r>
        <w:r>
          <w:rPr>
            <w:noProof/>
            <w:webHidden/>
          </w:rPr>
          <w:fldChar w:fldCharType="separate"/>
        </w:r>
        <w:r>
          <w:rPr>
            <w:rFonts w:ascii="Calibri" w:hAnsi="Calibri"/>
            <w:color w:val="6E838A"/>
            <w:sz w:val="20"/>
            <w:noProof/>
            <w:webHidden/>
          </w:rPr>
          <w:t xml:space="preserve">56</w:t>
        </w:r>
        <w:r>
          <w:rPr>
            <w:noProof/>
            <w:webHidden/>
          </w:rPr>
          <w:fldChar w:fldCharType="end"/>
        </w:r>
      </w:hyperlink>
    </w:p>
    <w:p>
      <w:pPr>
        <w:pStyle w:val="TOC3"/>
      </w:pPr>
      <w:hyperlink w:anchor="_Toc262100214" w:history="1">
        <w:r>
          <w:rPr>
            <w:rFonts w:ascii="Calibri" w:hAnsi="Calibri"/>
            <w:color w:val="20262A"/>
            <w:sz w:val="20"/>
            <w:noProof/>
          </w:rPr>
          <w:t xml:space="preserve">36.1 The Classification Ladder</w:t>
        </w:r>
        <w:r>
          <w:rPr>
            <w:noProof/>
            <w:webHidden/>
          </w:rPr>
          <w:tab/>
        </w:r>
        <w:r>
          <w:rPr>
            <w:noProof/>
            <w:webHidden/>
          </w:rPr>
          <w:fldChar w:fldCharType="begin"/>
        </w:r>
        <w:r>
          <w:rPr>
            <w:noProof/>
            <w:webHidden/>
          </w:rPr>
          <w:instrText xml:space="preserve"> PAGEREF _Toc262100214 \h </w:instrText>
        </w:r>
        <w:r>
          <w:rPr>
            <w:noProof/>
            <w:webHidden/>
          </w:rPr>
          <w:fldChar w:fldCharType="separate"/>
        </w:r>
        <w:r>
          <w:rPr>
            <w:rFonts w:ascii="Calibri" w:hAnsi="Calibri"/>
            <w:color w:val="6E838A"/>
            <w:sz w:val="20"/>
            <w:noProof/>
            <w:webHidden/>
          </w:rPr>
          <w:t xml:space="preserve">56</w:t>
        </w:r>
        <w:r>
          <w:rPr>
            <w:noProof/>
            <w:webHidden/>
          </w:rPr>
          <w:fldChar w:fldCharType="end"/>
        </w:r>
      </w:hyperlink>
    </w:p>
    <w:p>
      <w:pPr>
        <w:pStyle w:val="TOC3"/>
      </w:pPr>
      <w:hyperlink w:anchor="_Toc262100215" w:history="1">
        <w:r>
          <w:rPr>
            <w:rFonts w:ascii="Calibri" w:hAnsi="Calibri"/>
            <w:color w:val="20262A"/>
            <w:sz w:val="20"/>
            <w:noProof/>
          </w:rPr>
          <w:t xml:space="preserve">36.2 Reporting Obligations and Timelines</w:t>
        </w:r>
        <w:r>
          <w:rPr>
            <w:noProof/>
            <w:webHidden/>
          </w:rPr>
          <w:tab/>
        </w:r>
        <w:r>
          <w:rPr>
            <w:noProof/>
            <w:webHidden/>
          </w:rPr>
          <w:fldChar w:fldCharType="begin"/>
        </w:r>
        <w:r>
          <w:rPr>
            <w:noProof/>
            <w:webHidden/>
          </w:rPr>
          <w:instrText xml:space="preserve"> PAGEREF _Toc262100215 \h </w:instrText>
        </w:r>
        <w:r>
          <w:rPr>
            <w:noProof/>
            <w:webHidden/>
          </w:rPr>
          <w:fldChar w:fldCharType="separate"/>
        </w:r>
        <w:r>
          <w:rPr>
            <w:rFonts w:ascii="Calibri" w:hAnsi="Calibri"/>
            <w:color w:val="6E838A"/>
            <w:sz w:val="20"/>
            <w:noProof/>
            <w:webHidden/>
          </w:rPr>
          <w:t xml:space="preserve">57</w:t>
        </w:r>
        <w:r>
          <w:rPr>
            <w:noProof/>
            <w:webHidden/>
          </w:rPr>
          <w:fldChar w:fldCharType="end"/>
        </w:r>
      </w:hyperlink>
    </w:p>
    <w:p>
      <w:pPr>
        <w:pStyle w:val="TOC3"/>
      </w:pPr>
      <w:hyperlink w:anchor="_Toc262100216" w:history="1">
        <w:r>
          <w:rPr>
            <w:rFonts w:ascii="Calibri" w:hAnsi="Calibri"/>
            <w:color w:val="20262A"/>
            <w:sz w:val="20"/>
            <w:noProof/>
          </w:rPr>
          <w:t xml:space="preserve">36.3 The Statistics Feed</w:t>
        </w:r>
        <w:r>
          <w:rPr>
            <w:noProof/>
            <w:webHidden/>
          </w:rPr>
          <w:tab/>
        </w:r>
        <w:r>
          <w:rPr>
            <w:noProof/>
            <w:webHidden/>
          </w:rPr>
          <w:fldChar w:fldCharType="begin"/>
        </w:r>
        <w:r>
          <w:rPr>
            <w:noProof/>
            <w:webHidden/>
          </w:rPr>
          <w:instrText xml:space="preserve"> PAGEREF _Toc262100216 \h </w:instrText>
        </w:r>
        <w:r>
          <w:rPr>
            <w:noProof/>
            <w:webHidden/>
          </w:rPr>
          <w:fldChar w:fldCharType="separate"/>
        </w:r>
        <w:r>
          <w:rPr>
            <w:rFonts w:ascii="Calibri" w:hAnsi="Calibri"/>
            <w:color w:val="6E838A"/>
            <w:sz w:val="20"/>
            <w:noProof/>
            <w:webHidden/>
          </w:rPr>
          <w:t xml:space="preserve">57</w:t>
        </w:r>
        <w:r>
          <w:rPr>
            <w:noProof/>
            <w:webHidden/>
          </w:rPr>
          <w:fldChar w:fldCharType="end"/>
        </w:r>
      </w:hyperlink>
    </w:p>
    <w:p>
      <w:pPr>
        <w:pStyle w:val="TOC3"/>
      </w:pPr>
      <w:hyperlink w:anchor="_Toc262100217" w:history="1">
        <w:r>
          <w:rPr>
            <w:rFonts w:ascii="Calibri" w:hAnsi="Calibri"/>
            <w:color w:val="20262A"/>
            <w:sz w:val="20"/>
            <w:noProof/>
          </w:rPr>
          <w:t xml:space="preserve">36.4 The Incident Archive and the Lessons Cycle</w:t>
        </w:r>
        <w:r>
          <w:rPr>
            <w:noProof/>
            <w:webHidden/>
          </w:rPr>
          <w:tab/>
        </w:r>
        <w:r>
          <w:rPr>
            <w:noProof/>
            <w:webHidden/>
          </w:rPr>
          <w:fldChar w:fldCharType="begin"/>
        </w:r>
        <w:r>
          <w:rPr>
            <w:noProof/>
            <w:webHidden/>
          </w:rPr>
          <w:instrText xml:space="preserve"> PAGEREF _Toc262100217 \h </w:instrText>
        </w:r>
        <w:r>
          <w:rPr>
            <w:noProof/>
            <w:webHidden/>
          </w:rPr>
          <w:fldChar w:fldCharType="separate"/>
        </w:r>
        <w:r>
          <w:rPr>
            <w:rFonts w:ascii="Calibri" w:hAnsi="Calibri"/>
            <w:color w:val="6E838A"/>
            <w:sz w:val="20"/>
            <w:noProof/>
            <w:webHidden/>
          </w:rPr>
          <w:t xml:space="preserve">57</w:t>
        </w:r>
        <w:r>
          <w:rPr>
            <w:noProof/>
            <w:webHidden/>
          </w:rPr>
          <w:fldChar w:fldCharType="end"/>
        </w:r>
      </w:hyperlink>
    </w:p>
    <w:p>
      <w:pPr>
        <w:pStyle w:val="TOC1"/>
      </w:pPr>
      <w:hyperlink w:anchor="_Toc262100218" w:history="1">
        <w:r>
          <w:rPr>
            <w:rFonts w:ascii="Calibri" w:hAnsi="Calibri"/>
            <w:b/>
            <w:color w:val="1D4E5F"/>
            <w:sz w:val="21"/>
            <w:noProof/>
          </w:rPr>
          <w:t xml:space="preserve">Part VII: The Nuclear Firewall</w:t>
        </w:r>
        <w:r>
          <w:rPr>
            <w:noProof/>
            <w:webHidden/>
          </w:rPr>
          <w:tab/>
        </w:r>
        <w:r>
          <w:rPr>
            <w:noProof/>
            <w:webHidden/>
          </w:rPr>
          <w:fldChar w:fldCharType="begin"/>
        </w:r>
        <w:r>
          <w:rPr>
            <w:noProof/>
            <w:webHidden/>
          </w:rPr>
          <w:instrText xml:space="preserve"> PAGEREF _Toc262100218 \h </w:instrText>
        </w:r>
        <w:r>
          <w:rPr>
            <w:noProof/>
            <w:webHidden/>
          </w:rPr>
          <w:fldChar w:fldCharType="separate"/>
        </w:r>
        <w:r>
          <w:rPr>
            <w:rFonts w:ascii="Calibri" w:hAnsi="Calibri"/>
            <w:color w:val="6E838A"/>
            <w:sz w:val="20"/>
            <w:noProof/>
            <w:webHidden/>
          </w:rPr>
          <w:t xml:space="preserve">58</w:t>
        </w:r>
        <w:r>
          <w:rPr>
            <w:noProof/>
            <w:webHidden/>
          </w:rPr>
          <w:fldChar w:fldCharType="end"/>
        </w:r>
      </w:hyperlink>
    </w:p>
    <w:p>
      <w:pPr>
        <w:pStyle w:val="TOC2"/>
      </w:pPr>
      <w:hyperlink w:anchor="_Toc262100219" w:history="1">
        <w:r>
          <w:rPr>
            <w:rFonts w:ascii="Calibri" w:hAnsi="Calibri"/>
            <w:color w:val="20262A"/>
            <w:sz w:val="20"/>
            <w:noProof/>
          </w:rPr>
          <w:t xml:space="preserve">Article 37: The Firewall Clause</w:t>
        </w:r>
        <w:r>
          <w:rPr>
            <w:noProof/>
            <w:webHidden/>
          </w:rPr>
          <w:tab/>
        </w:r>
        <w:r>
          <w:rPr>
            <w:noProof/>
            <w:webHidden/>
          </w:rPr>
          <w:fldChar w:fldCharType="begin"/>
        </w:r>
        <w:r>
          <w:rPr>
            <w:noProof/>
            <w:webHidden/>
          </w:rPr>
          <w:instrText xml:space="preserve"> PAGEREF _Toc262100219 \h </w:instrText>
        </w:r>
        <w:r>
          <w:rPr>
            <w:noProof/>
            <w:webHidden/>
          </w:rPr>
          <w:fldChar w:fldCharType="separate"/>
        </w:r>
        <w:r>
          <w:rPr>
            <w:rFonts w:ascii="Calibri" w:hAnsi="Calibri"/>
            <w:color w:val="6E838A"/>
            <w:sz w:val="20"/>
            <w:noProof/>
            <w:webHidden/>
          </w:rPr>
          <w:t xml:space="preserve">58</w:t>
        </w:r>
        <w:r>
          <w:rPr>
            <w:noProof/>
            <w:webHidden/>
          </w:rPr>
          <w:fldChar w:fldCharType="end"/>
        </w:r>
      </w:hyperlink>
    </w:p>
    <w:p>
      <w:pPr>
        <w:pStyle w:val="TOC3"/>
      </w:pPr>
      <w:hyperlink w:anchor="_Toc262100220" w:history="1">
        <w:r>
          <w:rPr>
            <w:rFonts w:ascii="Calibri" w:hAnsi="Calibri"/>
            <w:color w:val="20262A"/>
            <w:sz w:val="20"/>
            <w:noProof/>
          </w:rPr>
          <w:t xml:space="preserve">37.1 Scope Exclusion</w:t>
        </w:r>
        <w:r>
          <w:rPr>
            <w:noProof/>
            <w:webHidden/>
          </w:rPr>
          <w:tab/>
        </w:r>
        <w:r>
          <w:rPr>
            <w:noProof/>
            <w:webHidden/>
          </w:rPr>
          <w:fldChar w:fldCharType="begin"/>
        </w:r>
        <w:r>
          <w:rPr>
            <w:noProof/>
            <w:webHidden/>
          </w:rPr>
          <w:instrText xml:space="preserve"> PAGEREF _Toc262100220 \h </w:instrText>
        </w:r>
        <w:r>
          <w:rPr>
            <w:noProof/>
            <w:webHidden/>
          </w:rPr>
          <w:fldChar w:fldCharType="separate"/>
        </w:r>
        <w:r>
          <w:rPr>
            <w:rFonts w:ascii="Calibri" w:hAnsi="Calibri"/>
            <w:color w:val="6E838A"/>
            <w:sz w:val="20"/>
            <w:noProof/>
            <w:webHidden/>
          </w:rPr>
          <w:t xml:space="preserve">58</w:t>
        </w:r>
        <w:r>
          <w:rPr>
            <w:noProof/>
            <w:webHidden/>
          </w:rPr>
          <w:fldChar w:fldCharType="end"/>
        </w:r>
      </w:hyperlink>
    </w:p>
    <w:p>
      <w:pPr>
        <w:pStyle w:val="TOC3"/>
      </w:pPr>
      <w:hyperlink w:anchor="_Toc262100221" w:history="1">
        <w:r>
          <w:rPr>
            <w:rFonts w:ascii="Calibri" w:hAnsi="Calibri"/>
            <w:color w:val="20262A"/>
            <w:sz w:val="20"/>
            <w:noProof/>
          </w:rPr>
          <w:t xml:space="preserve">37.2 Anti-Linkage, Both Directions</w:t>
        </w:r>
        <w:r>
          <w:rPr>
            <w:noProof/>
            <w:webHidden/>
          </w:rPr>
          <w:tab/>
        </w:r>
        <w:r>
          <w:rPr>
            <w:noProof/>
            <w:webHidden/>
          </w:rPr>
          <w:fldChar w:fldCharType="begin"/>
        </w:r>
        <w:r>
          <w:rPr>
            <w:noProof/>
            <w:webHidden/>
          </w:rPr>
          <w:instrText xml:space="preserve"> PAGEREF _Toc262100221 \h </w:instrText>
        </w:r>
        <w:r>
          <w:rPr>
            <w:noProof/>
            <w:webHidden/>
          </w:rPr>
          <w:fldChar w:fldCharType="separate"/>
        </w:r>
        <w:r>
          <w:rPr>
            <w:rFonts w:ascii="Calibri" w:hAnsi="Calibri"/>
            <w:color w:val="6E838A"/>
            <w:sz w:val="20"/>
            <w:noProof/>
            <w:webHidden/>
          </w:rPr>
          <w:t xml:space="preserve">58</w:t>
        </w:r>
        <w:r>
          <w:rPr>
            <w:noProof/>
            <w:webHidden/>
          </w:rPr>
          <w:fldChar w:fldCharType="end"/>
        </w:r>
      </w:hyperlink>
    </w:p>
    <w:p>
      <w:pPr>
        <w:pStyle w:val="TOC3"/>
      </w:pPr>
      <w:hyperlink w:anchor="_Toc262100222" w:history="1">
        <w:r>
          <w:rPr>
            <w:rFonts w:ascii="Calibri" w:hAnsi="Calibri"/>
            <w:color w:val="20262A"/>
            <w:sz w:val="20"/>
            <w:noProof/>
          </w:rPr>
          <w:t xml:space="preserve">37.3 Data Segregation</w:t>
        </w:r>
        <w:r>
          <w:rPr>
            <w:noProof/>
            <w:webHidden/>
          </w:rPr>
          <w:tab/>
        </w:r>
        <w:r>
          <w:rPr>
            <w:noProof/>
            <w:webHidden/>
          </w:rPr>
          <w:fldChar w:fldCharType="begin"/>
        </w:r>
        <w:r>
          <w:rPr>
            <w:noProof/>
            <w:webHidden/>
          </w:rPr>
          <w:instrText xml:space="preserve"> PAGEREF _Toc262100222 \h </w:instrText>
        </w:r>
        <w:r>
          <w:rPr>
            <w:noProof/>
            <w:webHidden/>
          </w:rPr>
          <w:fldChar w:fldCharType="separate"/>
        </w:r>
        <w:r>
          <w:rPr>
            <w:rFonts w:ascii="Calibri" w:hAnsi="Calibri"/>
            <w:color w:val="6E838A"/>
            <w:sz w:val="20"/>
            <w:noProof/>
            <w:webHidden/>
          </w:rPr>
          <w:t xml:space="preserve">58</w:t>
        </w:r>
        <w:r>
          <w:rPr>
            <w:noProof/>
            <w:webHidden/>
          </w:rPr>
          <w:fldChar w:fldCharType="end"/>
        </w:r>
      </w:hyperlink>
    </w:p>
    <w:p>
      <w:pPr>
        <w:pStyle w:val="TOC3"/>
      </w:pPr>
      <w:hyperlink w:anchor="_Toc262100223" w:history="1">
        <w:r>
          <w:rPr>
            <w:rFonts w:ascii="Calibri" w:hAnsi="Calibri"/>
            <w:color w:val="20262A"/>
            <w:sz w:val="20"/>
            <w:noProof/>
          </w:rPr>
          <w:t xml:space="preserve">37.4 No Nuclear Verification Role</w:t>
        </w:r>
        <w:r>
          <w:rPr>
            <w:noProof/>
            <w:webHidden/>
          </w:rPr>
          <w:tab/>
        </w:r>
        <w:r>
          <w:rPr>
            <w:noProof/>
            <w:webHidden/>
          </w:rPr>
          <w:fldChar w:fldCharType="begin"/>
        </w:r>
        <w:r>
          <w:rPr>
            <w:noProof/>
            <w:webHidden/>
          </w:rPr>
          <w:instrText xml:space="preserve"> PAGEREF _Toc262100223 \h </w:instrText>
        </w:r>
        <w:r>
          <w:rPr>
            <w:noProof/>
            <w:webHidden/>
          </w:rPr>
          <w:fldChar w:fldCharType="separate"/>
        </w:r>
        <w:r>
          <w:rPr>
            <w:rFonts w:ascii="Calibri" w:hAnsi="Calibri"/>
            <w:color w:val="6E838A"/>
            <w:sz w:val="20"/>
            <w:noProof/>
            <w:webHidden/>
          </w:rPr>
          <w:t xml:space="preserve">58</w:t>
        </w:r>
        <w:r>
          <w:rPr>
            <w:noProof/>
            <w:webHidden/>
          </w:rPr>
          <w:fldChar w:fldCharType="end"/>
        </w:r>
      </w:hyperlink>
    </w:p>
    <w:p>
      <w:pPr>
        <w:pStyle w:val="TOC3"/>
      </w:pPr>
      <w:hyperlink w:anchor="_Toc262100224" w:history="1">
        <w:r>
          <w:rPr>
            <w:rFonts w:ascii="Calibri" w:hAnsi="Calibri"/>
            <w:color w:val="20262A"/>
            <w:sz w:val="20"/>
            <w:noProof/>
          </w:rPr>
          <w:t xml:space="preserve">37.5 Non-Suspension</w:t>
        </w:r>
        <w:r>
          <w:rPr>
            <w:noProof/>
            <w:webHidden/>
          </w:rPr>
          <w:tab/>
        </w:r>
        <w:r>
          <w:rPr>
            <w:noProof/>
            <w:webHidden/>
          </w:rPr>
          <w:fldChar w:fldCharType="begin"/>
        </w:r>
        <w:r>
          <w:rPr>
            <w:noProof/>
            <w:webHidden/>
          </w:rPr>
          <w:instrText xml:space="preserve"> PAGEREF _Toc262100224 \h </w:instrText>
        </w:r>
        <w:r>
          <w:rPr>
            <w:noProof/>
            <w:webHidden/>
          </w:rPr>
          <w:fldChar w:fldCharType="separate"/>
        </w:r>
        <w:r>
          <w:rPr>
            <w:rFonts w:ascii="Calibri" w:hAnsi="Calibri"/>
            <w:color w:val="6E838A"/>
            <w:sz w:val="20"/>
            <w:noProof/>
            <w:webHidden/>
          </w:rPr>
          <w:t xml:space="preserve">59</w:t>
        </w:r>
        <w:r>
          <w:rPr>
            <w:noProof/>
            <w:webHidden/>
          </w:rPr>
          <w:fldChar w:fldCharType="end"/>
        </w:r>
      </w:hyperlink>
    </w:p>
    <w:p>
      <w:pPr>
        <w:pStyle w:val="TOC3"/>
      </w:pPr>
      <w:hyperlink w:anchor="_Toc262100225" w:history="1">
        <w:r>
          <w:rPr>
            <w:rFonts w:ascii="Calibri" w:hAnsi="Calibri"/>
            <w:color w:val="20262A"/>
            <w:sz w:val="20"/>
            <w:noProof/>
          </w:rPr>
          <w:t xml:space="preserve">37.6 Firewall Breach Procedure</w:t>
        </w:r>
        <w:r>
          <w:rPr>
            <w:noProof/>
            <w:webHidden/>
          </w:rPr>
          <w:tab/>
        </w:r>
        <w:r>
          <w:rPr>
            <w:noProof/>
            <w:webHidden/>
          </w:rPr>
          <w:fldChar w:fldCharType="begin"/>
        </w:r>
        <w:r>
          <w:rPr>
            <w:noProof/>
            <w:webHidden/>
          </w:rPr>
          <w:instrText xml:space="preserve"> PAGEREF _Toc262100225 \h </w:instrText>
        </w:r>
        <w:r>
          <w:rPr>
            <w:noProof/>
            <w:webHidden/>
          </w:rPr>
          <w:fldChar w:fldCharType="separate"/>
        </w:r>
        <w:r>
          <w:rPr>
            <w:rFonts w:ascii="Calibri" w:hAnsi="Calibri"/>
            <w:color w:val="6E838A"/>
            <w:sz w:val="20"/>
            <w:noProof/>
            <w:webHidden/>
          </w:rPr>
          <w:t xml:space="preserve">59</w:t>
        </w:r>
        <w:r>
          <w:rPr>
            <w:noProof/>
            <w:webHidden/>
          </w:rPr>
          <w:fldChar w:fldCharType="end"/>
        </w:r>
      </w:hyperlink>
    </w:p>
    <w:p>
      <w:pPr>
        <w:pStyle w:val="TOC3"/>
      </w:pPr>
      <w:hyperlink w:anchor="_Toc262100226" w:history="1">
        <w:r>
          <w:rPr>
            <w:rFonts w:ascii="Calibri" w:hAnsi="Calibri"/>
            <w:color w:val="20262A"/>
            <w:sz w:val="20"/>
            <w:noProof/>
          </w:rPr>
          <w:t xml:space="preserve">37.7 Relationship to the Separate Track</w:t>
        </w:r>
        <w:r>
          <w:rPr>
            <w:noProof/>
            <w:webHidden/>
          </w:rPr>
          <w:tab/>
        </w:r>
        <w:r>
          <w:rPr>
            <w:noProof/>
            <w:webHidden/>
          </w:rPr>
          <w:fldChar w:fldCharType="begin"/>
        </w:r>
        <w:r>
          <w:rPr>
            <w:noProof/>
            <w:webHidden/>
          </w:rPr>
          <w:instrText xml:space="preserve"> PAGEREF _Toc262100226 \h </w:instrText>
        </w:r>
        <w:r>
          <w:rPr>
            <w:noProof/>
            <w:webHidden/>
          </w:rPr>
          <w:fldChar w:fldCharType="separate"/>
        </w:r>
        <w:r>
          <w:rPr>
            <w:rFonts w:ascii="Calibri" w:hAnsi="Calibri"/>
            <w:color w:val="6E838A"/>
            <w:sz w:val="20"/>
            <w:noProof/>
            <w:webHidden/>
          </w:rPr>
          <w:t xml:space="preserve">59</w:t>
        </w:r>
        <w:r>
          <w:rPr>
            <w:noProof/>
            <w:webHidden/>
          </w:rPr>
          <w:fldChar w:fldCharType="end"/>
        </w:r>
      </w:hyperlink>
    </w:p>
    <w:p>
      <w:pPr>
        <w:pStyle w:val="TOC1"/>
      </w:pPr>
      <w:hyperlink w:anchor="_Toc262100227" w:history="1">
        <w:r>
          <w:rPr>
            <w:rFonts w:ascii="Calibri" w:hAnsi="Calibri"/>
            <w:b/>
            <w:color w:val="1D4E5F"/>
            <w:sz w:val="21"/>
            <w:noProof/>
          </w:rPr>
          <w:t xml:space="preserve">Part VIII: Compliance and Dispute Resolution</w:t>
        </w:r>
        <w:r>
          <w:rPr>
            <w:noProof/>
            <w:webHidden/>
          </w:rPr>
          <w:tab/>
        </w:r>
        <w:r>
          <w:rPr>
            <w:noProof/>
            <w:webHidden/>
          </w:rPr>
          <w:fldChar w:fldCharType="begin"/>
        </w:r>
        <w:r>
          <w:rPr>
            <w:noProof/>
            <w:webHidden/>
          </w:rPr>
          <w:instrText xml:space="preserve"> PAGEREF _Toc262100227 \h </w:instrText>
        </w:r>
        <w:r>
          <w:rPr>
            <w:noProof/>
            <w:webHidden/>
          </w:rPr>
          <w:fldChar w:fldCharType="separate"/>
        </w:r>
        <w:r>
          <w:rPr>
            <w:rFonts w:ascii="Calibri" w:hAnsi="Calibri"/>
            <w:color w:val="6E838A"/>
            <w:sz w:val="20"/>
            <w:noProof/>
            <w:webHidden/>
          </w:rPr>
          <w:t xml:space="preserve">60</w:t>
        </w:r>
        <w:r>
          <w:rPr>
            <w:noProof/>
            <w:webHidden/>
          </w:rPr>
          <w:fldChar w:fldCharType="end"/>
        </w:r>
      </w:hyperlink>
    </w:p>
    <w:p>
      <w:pPr>
        <w:pStyle w:val="TOC2"/>
      </w:pPr>
      <w:hyperlink w:anchor="_Toc262100228" w:history="1">
        <w:r>
          <w:rPr>
            <w:rFonts w:ascii="Calibri" w:hAnsi="Calibri"/>
            <w:color w:val="20262A"/>
            <w:sz w:val="20"/>
            <w:noProof/>
          </w:rPr>
          <w:t xml:space="preserve">Article 38: The Compliance Engine</w:t>
        </w:r>
        <w:r>
          <w:rPr>
            <w:noProof/>
            <w:webHidden/>
          </w:rPr>
          <w:tab/>
        </w:r>
        <w:r>
          <w:rPr>
            <w:noProof/>
            <w:webHidden/>
          </w:rPr>
          <w:fldChar w:fldCharType="begin"/>
        </w:r>
        <w:r>
          <w:rPr>
            <w:noProof/>
            <w:webHidden/>
          </w:rPr>
          <w:instrText xml:space="preserve"> PAGEREF _Toc262100228 \h </w:instrText>
        </w:r>
        <w:r>
          <w:rPr>
            <w:noProof/>
            <w:webHidden/>
          </w:rPr>
          <w:fldChar w:fldCharType="separate"/>
        </w:r>
        <w:r>
          <w:rPr>
            <w:rFonts w:ascii="Calibri" w:hAnsi="Calibri"/>
            <w:color w:val="6E838A"/>
            <w:sz w:val="20"/>
            <w:noProof/>
            <w:webHidden/>
          </w:rPr>
          <w:t xml:space="preserve">60</w:t>
        </w:r>
        <w:r>
          <w:rPr>
            <w:noProof/>
            <w:webHidden/>
          </w:rPr>
          <w:fldChar w:fldCharType="end"/>
        </w:r>
      </w:hyperlink>
    </w:p>
    <w:p>
      <w:pPr>
        <w:pStyle w:val="TOC3"/>
      </w:pPr>
      <w:hyperlink w:anchor="_Toc262100229" w:history="1">
        <w:r>
          <w:rPr>
            <w:rFonts w:ascii="Calibri" w:hAnsi="Calibri"/>
            <w:color w:val="20262A"/>
            <w:sz w:val="20"/>
            <w:noProof/>
          </w:rPr>
          <w:t xml:space="preserve">38.1 The Four-Category Classification</w:t>
        </w:r>
        <w:r>
          <w:rPr>
            <w:noProof/>
            <w:webHidden/>
          </w:rPr>
          <w:tab/>
        </w:r>
        <w:r>
          <w:rPr>
            <w:noProof/>
            <w:webHidden/>
          </w:rPr>
          <w:fldChar w:fldCharType="begin"/>
        </w:r>
        <w:r>
          <w:rPr>
            <w:noProof/>
            <w:webHidden/>
          </w:rPr>
          <w:instrText xml:space="preserve"> PAGEREF _Toc262100229 \h </w:instrText>
        </w:r>
        <w:r>
          <w:rPr>
            <w:noProof/>
            <w:webHidden/>
          </w:rPr>
          <w:fldChar w:fldCharType="separate"/>
        </w:r>
        <w:r>
          <w:rPr>
            <w:rFonts w:ascii="Calibri" w:hAnsi="Calibri"/>
            <w:color w:val="6E838A"/>
            <w:sz w:val="20"/>
            <w:noProof/>
            <w:webHidden/>
          </w:rPr>
          <w:t xml:space="preserve">60</w:t>
        </w:r>
        <w:r>
          <w:rPr>
            <w:noProof/>
            <w:webHidden/>
          </w:rPr>
          <w:fldChar w:fldCharType="end"/>
        </w:r>
      </w:hyperlink>
    </w:p>
    <w:p>
      <w:pPr>
        <w:pStyle w:val="TOC3"/>
      </w:pPr>
      <w:hyperlink w:anchor="_Toc262100230" w:history="1">
        <w:r>
          <w:rPr>
            <w:rFonts w:ascii="Calibri" w:hAnsi="Calibri"/>
            <w:color w:val="20262A"/>
            <w:sz w:val="20"/>
            <w:noProof/>
          </w:rPr>
          <w:t xml:space="preserve">38.2 The Graduated Response Ladder</w:t>
        </w:r>
        <w:r>
          <w:rPr>
            <w:noProof/>
            <w:webHidden/>
          </w:rPr>
          <w:tab/>
        </w:r>
        <w:r>
          <w:rPr>
            <w:noProof/>
            <w:webHidden/>
          </w:rPr>
          <w:fldChar w:fldCharType="begin"/>
        </w:r>
        <w:r>
          <w:rPr>
            <w:noProof/>
            <w:webHidden/>
          </w:rPr>
          <w:instrText xml:space="preserve"> PAGEREF _Toc262100230 \h </w:instrText>
        </w:r>
        <w:r>
          <w:rPr>
            <w:noProof/>
            <w:webHidden/>
          </w:rPr>
          <w:fldChar w:fldCharType="separate"/>
        </w:r>
        <w:r>
          <w:rPr>
            <w:rFonts w:ascii="Calibri" w:hAnsi="Calibri"/>
            <w:color w:val="6E838A"/>
            <w:sz w:val="20"/>
            <w:noProof/>
            <w:webHidden/>
          </w:rPr>
          <w:t xml:space="preserve">60</w:t>
        </w:r>
        <w:r>
          <w:rPr>
            <w:noProof/>
            <w:webHidden/>
          </w:rPr>
          <w:fldChar w:fldCharType="end"/>
        </w:r>
      </w:hyperlink>
    </w:p>
    <w:p>
      <w:pPr>
        <w:pStyle w:val="TOC3"/>
      </w:pPr>
      <w:hyperlink w:anchor="_Toc262100231" w:history="1">
        <w:r>
          <w:rPr>
            <w:rFonts w:ascii="Calibri" w:hAnsi="Calibri"/>
            <w:color w:val="20262A"/>
            <w:sz w:val="20"/>
            <w:noProof/>
          </w:rPr>
          <w:t xml:space="preserve">38.3 The Performance Reserve</w:t>
        </w:r>
        <w:r>
          <w:rPr>
            <w:noProof/>
            <w:webHidden/>
          </w:rPr>
          <w:tab/>
        </w:r>
        <w:r>
          <w:rPr>
            <w:noProof/>
            <w:webHidden/>
          </w:rPr>
          <w:fldChar w:fldCharType="begin"/>
        </w:r>
        <w:r>
          <w:rPr>
            <w:noProof/>
            <w:webHidden/>
          </w:rPr>
          <w:instrText xml:space="preserve"> PAGEREF _Toc262100231 \h </w:instrText>
        </w:r>
        <w:r>
          <w:rPr>
            <w:noProof/>
            <w:webHidden/>
          </w:rPr>
          <w:fldChar w:fldCharType="separate"/>
        </w:r>
        <w:r>
          <w:rPr>
            <w:rFonts w:ascii="Calibri" w:hAnsi="Calibri"/>
            <w:color w:val="6E838A"/>
            <w:sz w:val="20"/>
            <w:noProof/>
            <w:webHidden/>
          </w:rPr>
          <w:t xml:space="preserve">60</w:t>
        </w:r>
        <w:r>
          <w:rPr>
            <w:noProof/>
            <w:webHidden/>
          </w:rPr>
          <w:fldChar w:fldCharType="end"/>
        </w:r>
      </w:hyperlink>
    </w:p>
    <w:p>
      <w:pPr>
        <w:pStyle w:val="TOC3"/>
      </w:pPr>
      <w:hyperlink w:anchor="_Toc262100232" w:history="1">
        <w:r>
          <w:rPr>
            <w:rFonts w:ascii="Calibri" w:hAnsi="Calibri"/>
            <w:color w:val="20262A"/>
            <w:sz w:val="20"/>
            <w:noProof/>
          </w:rPr>
          <w:t xml:space="preserve">38.4 The Humanitarian Firewall</w:t>
        </w:r>
        <w:r>
          <w:rPr>
            <w:noProof/>
            <w:webHidden/>
          </w:rPr>
          <w:tab/>
        </w:r>
        <w:r>
          <w:rPr>
            <w:noProof/>
            <w:webHidden/>
          </w:rPr>
          <w:fldChar w:fldCharType="begin"/>
        </w:r>
        <w:r>
          <w:rPr>
            <w:noProof/>
            <w:webHidden/>
          </w:rPr>
          <w:instrText xml:space="preserve"> PAGEREF _Toc262100232 \h </w:instrText>
        </w:r>
        <w:r>
          <w:rPr>
            <w:noProof/>
            <w:webHidden/>
          </w:rPr>
          <w:fldChar w:fldCharType="separate"/>
        </w:r>
        <w:r>
          <w:rPr>
            <w:rFonts w:ascii="Calibri" w:hAnsi="Calibri"/>
            <w:color w:val="6E838A"/>
            <w:sz w:val="20"/>
            <w:noProof/>
            <w:webHidden/>
          </w:rPr>
          <w:t xml:space="preserve">60</w:t>
        </w:r>
        <w:r>
          <w:rPr>
            <w:noProof/>
            <w:webHidden/>
          </w:rPr>
          <w:fldChar w:fldCharType="end"/>
        </w:r>
      </w:hyperlink>
    </w:p>
    <w:p>
      <w:pPr>
        <w:pStyle w:val="TOC3"/>
      </w:pPr>
      <w:hyperlink w:anchor="_Toc262100233" w:history="1">
        <w:r>
          <w:rPr>
            <w:rFonts w:ascii="Calibri" w:hAnsi="Calibri"/>
            <w:color w:val="20262A"/>
            <w:sz w:val="20"/>
            <w:noProof/>
          </w:rPr>
          <w:t xml:space="preserve">38.5 No Automatic Snapback</w:t>
        </w:r>
        <w:r>
          <w:rPr>
            <w:noProof/>
            <w:webHidden/>
          </w:rPr>
          <w:tab/>
        </w:r>
        <w:r>
          <w:rPr>
            <w:noProof/>
            <w:webHidden/>
          </w:rPr>
          <w:fldChar w:fldCharType="begin"/>
        </w:r>
        <w:r>
          <w:rPr>
            <w:noProof/>
            <w:webHidden/>
          </w:rPr>
          <w:instrText xml:space="preserve"> PAGEREF _Toc262100233 \h </w:instrText>
        </w:r>
        <w:r>
          <w:rPr>
            <w:noProof/>
            <w:webHidden/>
          </w:rPr>
          <w:fldChar w:fldCharType="separate"/>
        </w:r>
        <w:r>
          <w:rPr>
            <w:rFonts w:ascii="Calibri" w:hAnsi="Calibri"/>
            <w:color w:val="6E838A"/>
            <w:sz w:val="20"/>
            <w:noProof/>
            <w:webHidden/>
          </w:rPr>
          <w:t xml:space="preserve">60</w:t>
        </w:r>
        <w:r>
          <w:rPr>
            <w:noProof/>
            <w:webHidden/>
          </w:rPr>
          <w:fldChar w:fldCharType="end"/>
        </w:r>
      </w:hyperlink>
    </w:p>
    <w:p>
      <w:pPr>
        <w:pStyle w:val="TOC3"/>
      </w:pPr>
      <w:hyperlink w:anchor="_Toc262100234" w:history="1">
        <w:r>
          <w:rPr>
            <w:rFonts w:ascii="Calibri" w:hAnsi="Calibri"/>
            <w:color w:val="20262A"/>
            <w:sz w:val="20"/>
            <w:noProof/>
          </w:rPr>
          <w:t xml:space="preserve">38.6 The Good Faith Reset</w:t>
        </w:r>
        <w:r>
          <w:rPr>
            <w:noProof/>
            <w:webHidden/>
          </w:rPr>
          <w:tab/>
        </w:r>
        <w:r>
          <w:rPr>
            <w:noProof/>
            <w:webHidden/>
          </w:rPr>
          <w:fldChar w:fldCharType="begin"/>
        </w:r>
        <w:r>
          <w:rPr>
            <w:noProof/>
            <w:webHidden/>
          </w:rPr>
          <w:instrText xml:space="preserve"> PAGEREF _Toc262100234 \h </w:instrText>
        </w:r>
        <w:r>
          <w:rPr>
            <w:noProof/>
            <w:webHidden/>
          </w:rPr>
          <w:fldChar w:fldCharType="separate"/>
        </w:r>
        <w:r>
          <w:rPr>
            <w:rFonts w:ascii="Calibri" w:hAnsi="Calibri"/>
            <w:color w:val="6E838A"/>
            <w:sz w:val="20"/>
            <w:noProof/>
            <w:webHidden/>
          </w:rPr>
          <w:t xml:space="preserve">61</w:t>
        </w:r>
        <w:r>
          <w:rPr>
            <w:noProof/>
            <w:webHidden/>
          </w:rPr>
          <w:fldChar w:fldCharType="end"/>
        </w:r>
      </w:hyperlink>
    </w:p>
    <w:p>
      <w:pPr>
        <w:pStyle w:val="TOC3"/>
      </w:pPr>
      <w:hyperlink w:anchor="_Toc262100235" w:history="1">
        <w:r>
          <w:rPr>
            <w:rFonts w:ascii="Calibri" w:hAnsi="Calibri"/>
            <w:color w:val="20262A"/>
            <w:sz w:val="20"/>
            <w:noProof/>
          </w:rPr>
          <w:t xml:space="preserve">38.7 The Still Water Clause</w:t>
        </w:r>
        <w:r>
          <w:rPr>
            <w:noProof/>
            <w:webHidden/>
          </w:rPr>
          <w:tab/>
        </w:r>
        <w:r>
          <w:rPr>
            <w:noProof/>
            <w:webHidden/>
          </w:rPr>
          <w:fldChar w:fldCharType="begin"/>
        </w:r>
        <w:r>
          <w:rPr>
            <w:noProof/>
            <w:webHidden/>
          </w:rPr>
          <w:instrText xml:space="preserve"> PAGEREF _Toc262100235 \h </w:instrText>
        </w:r>
        <w:r>
          <w:rPr>
            <w:noProof/>
            <w:webHidden/>
          </w:rPr>
          <w:fldChar w:fldCharType="separate"/>
        </w:r>
        <w:r>
          <w:rPr>
            <w:rFonts w:ascii="Calibri" w:hAnsi="Calibri"/>
            <w:color w:val="6E838A"/>
            <w:sz w:val="20"/>
            <w:noProof/>
            <w:webHidden/>
          </w:rPr>
          <w:t xml:space="preserve">61</w:t>
        </w:r>
        <w:r>
          <w:rPr>
            <w:noProof/>
            <w:webHidden/>
          </w:rPr>
          <w:fldChar w:fldCharType="end"/>
        </w:r>
      </w:hyperlink>
    </w:p>
    <w:p>
      <w:pPr>
        <w:pStyle w:val="TOC2"/>
      </w:pPr>
      <w:hyperlink w:anchor="_Toc262100236" w:history="1">
        <w:r>
          <w:rPr>
            <w:rFonts w:ascii="Calibri" w:hAnsi="Calibri"/>
            <w:color w:val="20262A"/>
            <w:sz w:val="20"/>
            <w:noProof/>
          </w:rPr>
          <w:t xml:space="preserve">Article 39: Dispute Resolution</w:t>
        </w:r>
        <w:r>
          <w:rPr>
            <w:noProof/>
            <w:webHidden/>
          </w:rPr>
          <w:tab/>
        </w:r>
        <w:r>
          <w:rPr>
            <w:noProof/>
            <w:webHidden/>
          </w:rPr>
          <w:fldChar w:fldCharType="begin"/>
        </w:r>
        <w:r>
          <w:rPr>
            <w:noProof/>
            <w:webHidden/>
          </w:rPr>
          <w:instrText xml:space="preserve"> PAGEREF _Toc262100236 \h </w:instrText>
        </w:r>
        <w:r>
          <w:rPr>
            <w:noProof/>
            <w:webHidden/>
          </w:rPr>
          <w:fldChar w:fldCharType="separate"/>
        </w:r>
        <w:r>
          <w:rPr>
            <w:rFonts w:ascii="Calibri" w:hAnsi="Calibri"/>
            <w:color w:val="6E838A"/>
            <w:sz w:val="20"/>
            <w:noProof/>
            <w:webHidden/>
          </w:rPr>
          <w:t xml:space="preserve">61</w:t>
        </w:r>
        <w:r>
          <w:rPr>
            <w:noProof/>
            <w:webHidden/>
          </w:rPr>
          <w:fldChar w:fldCharType="end"/>
        </w:r>
      </w:hyperlink>
    </w:p>
    <w:p>
      <w:pPr>
        <w:pStyle w:val="TOC3"/>
      </w:pPr>
      <w:hyperlink w:anchor="_Toc262100237" w:history="1">
        <w:r>
          <w:rPr>
            <w:rFonts w:ascii="Calibri" w:hAnsi="Calibri"/>
            <w:color w:val="20262A"/>
            <w:sz w:val="20"/>
            <w:noProof/>
          </w:rPr>
          <w:t xml:space="preserve">39.1 The Ladder</w:t>
        </w:r>
        <w:r>
          <w:rPr>
            <w:noProof/>
            <w:webHidden/>
          </w:rPr>
          <w:tab/>
        </w:r>
        <w:r>
          <w:rPr>
            <w:noProof/>
            <w:webHidden/>
          </w:rPr>
          <w:fldChar w:fldCharType="begin"/>
        </w:r>
        <w:r>
          <w:rPr>
            <w:noProof/>
            <w:webHidden/>
          </w:rPr>
          <w:instrText xml:space="preserve"> PAGEREF _Toc262100237 \h </w:instrText>
        </w:r>
        <w:r>
          <w:rPr>
            <w:noProof/>
            <w:webHidden/>
          </w:rPr>
          <w:fldChar w:fldCharType="separate"/>
        </w:r>
        <w:r>
          <w:rPr>
            <w:rFonts w:ascii="Calibri" w:hAnsi="Calibri"/>
            <w:color w:val="6E838A"/>
            <w:sz w:val="20"/>
            <w:noProof/>
            <w:webHidden/>
          </w:rPr>
          <w:t xml:space="preserve">61</w:t>
        </w:r>
        <w:r>
          <w:rPr>
            <w:noProof/>
            <w:webHidden/>
          </w:rPr>
          <w:fldChar w:fldCharType="end"/>
        </w:r>
      </w:hyperlink>
    </w:p>
    <w:p>
      <w:pPr>
        <w:pStyle w:val="TOC3"/>
      </w:pPr>
      <w:hyperlink w:anchor="_Toc262100238" w:history="1">
        <w:r>
          <w:rPr>
            <w:rFonts w:ascii="Calibri" w:hAnsi="Calibri"/>
            <w:color w:val="20262A"/>
            <w:sz w:val="20"/>
            <w:noProof/>
          </w:rPr>
          <w:t xml:space="preserve">39.2 The Technical Arbitration Panel</w:t>
        </w:r>
        <w:r>
          <w:rPr>
            <w:noProof/>
            <w:webHidden/>
          </w:rPr>
          <w:tab/>
        </w:r>
        <w:r>
          <w:rPr>
            <w:noProof/>
            <w:webHidden/>
          </w:rPr>
          <w:fldChar w:fldCharType="begin"/>
        </w:r>
        <w:r>
          <w:rPr>
            <w:noProof/>
            <w:webHidden/>
          </w:rPr>
          <w:instrText xml:space="preserve"> PAGEREF _Toc262100238 \h </w:instrText>
        </w:r>
        <w:r>
          <w:rPr>
            <w:noProof/>
            <w:webHidden/>
          </w:rPr>
          <w:fldChar w:fldCharType="separate"/>
        </w:r>
        <w:r>
          <w:rPr>
            <w:rFonts w:ascii="Calibri" w:hAnsi="Calibri"/>
            <w:color w:val="6E838A"/>
            <w:sz w:val="20"/>
            <w:noProof/>
            <w:webHidden/>
          </w:rPr>
          <w:t xml:space="preserve">61</w:t>
        </w:r>
        <w:r>
          <w:rPr>
            <w:noProof/>
            <w:webHidden/>
          </w:rPr>
          <w:fldChar w:fldCharType="end"/>
        </w:r>
      </w:hyperlink>
    </w:p>
    <w:p>
      <w:pPr>
        <w:pStyle w:val="TOC3"/>
      </w:pPr>
      <w:hyperlink w:anchor="_Toc262100239" w:history="1">
        <w:r>
          <w:rPr>
            <w:rFonts w:ascii="Calibri" w:hAnsi="Calibri"/>
            <w:color w:val="20262A"/>
            <w:sz w:val="20"/>
            <w:noProof/>
          </w:rPr>
          <w:t xml:space="preserve">39.3 Time Limits and Interim Operation</w:t>
        </w:r>
        <w:r>
          <w:rPr>
            <w:noProof/>
            <w:webHidden/>
          </w:rPr>
          <w:tab/>
        </w:r>
        <w:r>
          <w:rPr>
            <w:noProof/>
            <w:webHidden/>
          </w:rPr>
          <w:fldChar w:fldCharType="begin"/>
        </w:r>
        <w:r>
          <w:rPr>
            <w:noProof/>
            <w:webHidden/>
          </w:rPr>
          <w:instrText xml:space="preserve"> PAGEREF _Toc262100239 \h </w:instrText>
        </w:r>
        <w:r>
          <w:rPr>
            <w:noProof/>
            <w:webHidden/>
          </w:rPr>
          <w:fldChar w:fldCharType="separate"/>
        </w:r>
        <w:r>
          <w:rPr>
            <w:rFonts w:ascii="Calibri" w:hAnsi="Calibri"/>
            <w:color w:val="6E838A"/>
            <w:sz w:val="20"/>
            <w:noProof/>
            <w:webHidden/>
          </w:rPr>
          <w:t xml:space="preserve">61</w:t>
        </w:r>
        <w:r>
          <w:rPr>
            <w:noProof/>
            <w:webHidden/>
          </w:rPr>
          <w:fldChar w:fldCharType="end"/>
        </w:r>
      </w:hyperlink>
    </w:p>
    <w:p>
      <w:pPr>
        <w:pStyle w:val="TOC3"/>
      </w:pPr>
      <w:hyperlink w:anchor="_Toc262100240" w:history="1">
        <w:r>
          <w:rPr>
            <w:rFonts w:ascii="Calibri" w:hAnsi="Calibri"/>
            <w:color w:val="20262A"/>
            <w:sz w:val="20"/>
            <w:noProof/>
          </w:rPr>
          <w:t xml:space="preserve">39.4 Decoupling from Force</w:t>
        </w:r>
        <w:r>
          <w:rPr>
            <w:noProof/>
            <w:webHidden/>
          </w:rPr>
          <w:tab/>
        </w:r>
        <w:r>
          <w:rPr>
            <w:noProof/>
            <w:webHidden/>
          </w:rPr>
          <w:fldChar w:fldCharType="begin"/>
        </w:r>
        <w:r>
          <w:rPr>
            <w:noProof/>
            <w:webHidden/>
          </w:rPr>
          <w:instrText xml:space="preserve"> PAGEREF _Toc262100240 \h </w:instrText>
        </w:r>
        <w:r>
          <w:rPr>
            <w:noProof/>
            <w:webHidden/>
          </w:rPr>
          <w:fldChar w:fldCharType="separate"/>
        </w:r>
        <w:r>
          <w:rPr>
            <w:rFonts w:ascii="Calibri" w:hAnsi="Calibri"/>
            <w:color w:val="6E838A"/>
            <w:sz w:val="20"/>
            <w:noProof/>
            <w:webHidden/>
          </w:rPr>
          <w:t xml:space="preserve">61</w:t>
        </w:r>
        <w:r>
          <w:rPr>
            <w:noProof/>
            <w:webHidden/>
          </w:rPr>
          <w:fldChar w:fldCharType="end"/>
        </w:r>
      </w:hyperlink>
    </w:p>
    <w:p>
      <w:pPr>
        <w:pStyle w:val="TOC1"/>
      </w:pPr>
      <w:hyperlink w:anchor="_Toc262100241" w:history="1">
        <w:r>
          <w:rPr>
            <w:rFonts w:ascii="Calibri" w:hAnsi="Calibri"/>
            <w:b/>
            <w:color w:val="1D4E5F"/>
            <w:sz w:val="21"/>
            <w:noProof/>
          </w:rPr>
          <w:t xml:space="preserve">Part IX: The Phased Reopening and Activation</w:t>
        </w:r>
        <w:r>
          <w:rPr>
            <w:noProof/>
            <w:webHidden/>
          </w:rPr>
          <w:tab/>
        </w:r>
        <w:r>
          <w:rPr>
            <w:noProof/>
            <w:webHidden/>
          </w:rPr>
          <w:fldChar w:fldCharType="begin"/>
        </w:r>
        <w:r>
          <w:rPr>
            <w:noProof/>
            <w:webHidden/>
          </w:rPr>
          <w:instrText xml:space="preserve"> PAGEREF _Toc262100241 \h </w:instrText>
        </w:r>
        <w:r>
          <w:rPr>
            <w:noProof/>
            <w:webHidden/>
          </w:rPr>
          <w:fldChar w:fldCharType="separate"/>
        </w:r>
        <w:r>
          <w:rPr>
            <w:rFonts w:ascii="Calibri" w:hAnsi="Calibri"/>
            <w:color w:val="6E838A"/>
            <w:sz w:val="20"/>
            <w:noProof/>
            <w:webHidden/>
          </w:rPr>
          <w:t xml:space="preserve">62</w:t>
        </w:r>
        <w:r>
          <w:rPr>
            <w:noProof/>
            <w:webHidden/>
          </w:rPr>
          <w:fldChar w:fldCharType="end"/>
        </w:r>
      </w:hyperlink>
    </w:p>
    <w:p>
      <w:pPr>
        <w:pStyle w:val="TOC2"/>
      </w:pPr>
      <w:hyperlink w:anchor="_Toc262100242" w:history="1">
        <w:r>
          <w:rPr>
            <w:rFonts w:ascii="Calibri" w:hAnsi="Calibri"/>
            <w:color w:val="20262A"/>
            <w:sz w:val="20"/>
            <w:noProof/>
          </w:rPr>
          <w:t xml:space="preserve">Article 40: The Six Phases</w:t>
        </w:r>
        <w:r>
          <w:rPr>
            <w:noProof/>
            <w:webHidden/>
          </w:rPr>
          <w:tab/>
        </w:r>
        <w:r>
          <w:rPr>
            <w:noProof/>
            <w:webHidden/>
          </w:rPr>
          <w:fldChar w:fldCharType="begin"/>
        </w:r>
        <w:r>
          <w:rPr>
            <w:noProof/>
            <w:webHidden/>
          </w:rPr>
          <w:instrText xml:space="preserve"> PAGEREF _Toc262100242 \h </w:instrText>
        </w:r>
        <w:r>
          <w:rPr>
            <w:noProof/>
            <w:webHidden/>
          </w:rPr>
          <w:fldChar w:fldCharType="separate"/>
        </w:r>
        <w:r>
          <w:rPr>
            <w:rFonts w:ascii="Calibri" w:hAnsi="Calibri"/>
            <w:color w:val="6E838A"/>
            <w:sz w:val="20"/>
            <w:noProof/>
            <w:webHidden/>
          </w:rPr>
          <w:t xml:space="preserve">62</w:t>
        </w:r>
        <w:r>
          <w:rPr>
            <w:noProof/>
            <w:webHidden/>
          </w:rPr>
          <w:fldChar w:fldCharType="end"/>
        </w:r>
      </w:hyperlink>
    </w:p>
    <w:p>
      <w:pPr>
        <w:pStyle w:val="TOC3"/>
      </w:pPr>
      <w:hyperlink w:anchor="_Toc262100243" w:history="1">
        <w:r>
          <w:rPr>
            <w:rFonts w:ascii="Calibri" w:hAnsi="Calibri"/>
            <w:color w:val="20262A"/>
            <w:sz w:val="20"/>
            <w:noProof/>
          </w:rPr>
          <w:t xml:space="preserve">40.1 The Sequence at a Glance</w:t>
        </w:r>
        <w:r>
          <w:rPr>
            <w:noProof/>
            <w:webHidden/>
          </w:rPr>
          <w:tab/>
        </w:r>
        <w:r>
          <w:rPr>
            <w:noProof/>
            <w:webHidden/>
          </w:rPr>
          <w:fldChar w:fldCharType="begin"/>
        </w:r>
        <w:r>
          <w:rPr>
            <w:noProof/>
            <w:webHidden/>
          </w:rPr>
          <w:instrText xml:space="preserve"> PAGEREF _Toc262100243 \h </w:instrText>
        </w:r>
        <w:r>
          <w:rPr>
            <w:noProof/>
            <w:webHidden/>
          </w:rPr>
          <w:fldChar w:fldCharType="separate"/>
        </w:r>
        <w:r>
          <w:rPr>
            <w:rFonts w:ascii="Calibri" w:hAnsi="Calibri"/>
            <w:color w:val="6E838A"/>
            <w:sz w:val="20"/>
            <w:noProof/>
            <w:webHidden/>
          </w:rPr>
          <w:t xml:space="preserve">62</w:t>
        </w:r>
        <w:r>
          <w:rPr>
            <w:noProof/>
            <w:webHidden/>
          </w:rPr>
          <w:fldChar w:fldCharType="end"/>
        </w:r>
      </w:hyperlink>
    </w:p>
    <w:p>
      <w:pPr>
        <w:pStyle w:val="TOC3"/>
      </w:pPr>
      <w:hyperlink w:anchor="_Toc262100244" w:history="1">
        <w:r>
          <w:rPr>
            <w:rFonts w:ascii="Calibri" w:hAnsi="Calibri"/>
            <w:color w:val="20262A"/>
            <w:sz w:val="20"/>
            <w:noProof/>
          </w:rPr>
          <w:t xml:space="preserve">40.2 Why the Buffer Opens First</w:t>
        </w:r>
        <w:r>
          <w:rPr>
            <w:noProof/>
            <w:webHidden/>
          </w:rPr>
          <w:tab/>
        </w:r>
        <w:r>
          <w:rPr>
            <w:noProof/>
            <w:webHidden/>
          </w:rPr>
          <w:fldChar w:fldCharType="begin"/>
        </w:r>
        <w:r>
          <w:rPr>
            <w:noProof/>
            <w:webHidden/>
          </w:rPr>
          <w:instrText xml:space="preserve"> PAGEREF _Toc262100244 \h </w:instrText>
        </w:r>
        <w:r>
          <w:rPr>
            <w:noProof/>
            <w:webHidden/>
          </w:rPr>
          <w:fldChar w:fldCharType="separate"/>
        </w:r>
        <w:r>
          <w:rPr>
            <w:rFonts w:ascii="Calibri" w:hAnsi="Calibri"/>
            <w:color w:val="6E838A"/>
            <w:sz w:val="20"/>
            <w:noProof/>
            <w:webHidden/>
          </w:rPr>
          <w:t xml:space="preserve">63</w:t>
        </w:r>
        <w:r>
          <w:rPr>
            <w:noProof/>
            <w:webHidden/>
          </w:rPr>
          <w:fldChar w:fldCharType="end"/>
        </w:r>
      </w:hyperlink>
    </w:p>
    <w:p>
      <w:pPr>
        <w:pStyle w:val="TOC3"/>
      </w:pPr>
      <w:hyperlink w:anchor="_Toc262100245" w:history="1">
        <w:r>
          <w:rPr>
            <w:rFonts w:ascii="Calibri" w:hAnsi="Calibri"/>
            <w:color w:val="20262A"/>
            <w:sz w:val="20"/>
            <w:noProof/>
          </w:rPr>
          <w:t xml:space="preserve">40.3 Pilot Rates and Pilot Rules</w:t>
        </w:r>
        <w:r>
          <w:rPr>
            <w:noProof/>
            <w:webHidden/>
          </w:rPr>
          <w:tab/>
        </w:r>
        <w:r>
          <w:rPr>
            <w:noProof/>
            <w:webHidden/>
          </w:rPr>
          <w:fldChar w:fldCharType="begin"/>
        </w:r>
        <w:r>
          <w:rPr>
            <w:noProof/>
            <w:webHidden/>
          </w:rPr>
          <w:instrText xml:space="preserve"> PAGEREF _Toc262100245 \h </w:instrText>
        </w:r>
        <w:r>
          <w:rPr>
            <w:noProof/>
            <w:webHidden/>
          </w:rPr>
          <w:fldChar w:fldCharType="separate"/>
        </w:r>
        <w:r>
          <w:rPr>
            <w:rFonts w:ascii="Calibri" w:hAnsi="Calibri"/>
            <w:color w:val="6E838A"/>
            <w:sz w:val="20"/>
            <w:noProof/>
            <w:webHidden/>
          </w:rPr>
          <w:t xml:space="preserve">63</w:t>
        </w:r>
        <w:r>
          <w:rPr>
            <w:noProof/>
            <w:webHidden/>
          </w:rPr>
          <w:fldChar w:fldCharType="end"/>
        </w:r>
      </w:hyperlink>
    </w:p>
    <w:p>
      <w:pPr>
        <w:pStyle w:val="TOC2"/>
      </w:pPr>
      <w:hyperlink w:anchor="_Toc262100246" w:history="1">
        <w:r>
          <w:rPr>
            <w:rFonts w:ascii="Calibri" w:hAnsi="Calibri"/>
            <w:color w:val="20262A"/>
            <w:sz w:val="20"/>
            <w:noProof/>
          </w:rPr>
          <w:t xml:space="preserve">Article 41: Phase Gates and the Stability Audit</w:t>
        </w:r>
        <w:r>
          <w:rPr>
            <w:noProof/>
            <w:webHidden/>
          </w:rPr>
          <w:tab/>
        </w:r>
        <w:r>
          <w:rPr>
            <w:noProof/>
            <w:webHidden/>
          </w:rPr>
          <w:fldChar w:fldCharType="begin"/>
        </w:r>
        <w:r>
          <w:rPr>
            <w:noProof/>
            <w:webHidden/>
          </w:rPr>
          <w:instrText xml:space="preserve"> PAGEREF _Toc262100246 \h </w:instrText>
        </w:r>
        <w:r>
          <w:rPr>
            <w:noProof/>
            <w:webHidden/>
          </w:rPr>
          <w:fldChar w:fldCharType="separate"/>
        </w:r>
        <w:r>
          <w:rPr>
            <w:rFonts w:ascii="Calibri" w:hAnsi="Calibri"/>
            <w:color w:val="6E838A"/>
            <w:sz w:val="20"/>
            <w:noProof/>
            <w:webHidden/>
          </w:rPr>
          <w:t xml:space="preserve">63</w:t>
        </w:r>
        <w:r>
          <w:rPr>
            <w:noProof/>
            <w:webHidden/>
          </w:rPr>
          <w:fldChar w:fldCharType="end"/>
        </w:r>
      </w:hyperlink>
    </w:p>
    <w:p>
      <w:pPr>
        <w:pStyle w:val="TOC3"/>
      </w:pPr>
      <w:hyperlink w:anchor="_Toc262100247" w:history="1">
        <w:r>
          <w:rPr>
            <w:rFonts w:ascii="Calibri" w:hAnsi="Calibri"/>
            <w:color w:val="20262A"/>
            <w:sz w:val="20"/>
            <w:noProof/>
          </w:rPr>
          <w:t xml:space="preserve">41.1 Gate Mechanics</w:t>
        </w:r>
        <w:r>
          <w:rPr>
            <w:noProof/>
            <w:webHidden/>
          </w:rPr>
          <w:tab/>
        </w:r>
        <w:r>
          <w:rPr>
            <w:noProof/>
            <w:webHidden/>
          </w:rPr>
          <w:fldChar w:fldCharType="begin"/>
        </w:r>
        <w:r>
          <w:rPr>
            <w:noProof/>
            <w:webHidden/>
          </w:rPr>
          <w:instrText xml:space="preserve"> PAGEREF _Toc262100247 \h </w:instrText>
        </w:r>
        <w:r>
          <w:rPr>
            <w:noProof/>
            <w:webHidden/>
          </w:rPr>
          <w:fldChar w:fldCharType="separate"/>
        </w:r>
        <w:r>
          <w:rPr>
            <w:rFonts w:ascii="Calibri" w:hAnsi="Calibri"/>
            <w:color w:val="6E838A"/>
            <w:sz w:val="20"/>
            <w:noProof/>
            <w:webHidden/>
          </w:rPr>
          <w:t xml:space="preserve">63</w:t>
        </w:r>
        <w:r>
          <w:rPr>
            <w:noProof/>
            <w:webHidden/>
          </w:rPr>
          <w:fldChar w:fldCharType="end"/>
        </w:r>
      </w:hyperlink>
    </w:p>
    <w:p>
      <w:pPr>
        <w:pStyle w:val="TOC3"/>
      </w:pPr>
      <w:hyperlink w:anchor="_Toc262100248" w:history="1">
        <w:r>
          <w:rPr>
            <w:rFonts w:ascii="Calibri" w:hAnsi="Calibri"/>
            <w:color w:val="20262A"/>
            <w:sz w:val="20"/>
            <w:noProof/>
          </w:rPr>
          <w:t xml:space="preserve">41.2 The Extension Discipline</w:t>
        </w:r>
        <w:r>
          <w:rPr>
            <w:noProof/>
            <w:webHidden/>
          </w:rPr>
          <w:tab/>
        </w:r>
        <w:r>
          <w:rPr>
            <w:noProof/>
            <w:webHidden/>
          </w:rPr>
          <w:fldChar w:fldCharType="begin"/>
        </w:r>
        <w:r>
          <w:rPr>
            <w:noProof/>
            <w:webHidden/>
          </w:rPr>
          <w:instrText xml:space="preserve"> PAGEREF _Toc262100248 \h </w:instrText>
        </w:r>
        <w:r>
          <w:rPr>
            <w:noProof/>
            <w:webHidden/>
          </w:rPr>
          <w:fldChar w:fldCharType="separate"/>
        </w:r>
        <w:r>
          <w:rPr>
            <w:rFonts w:ascii="Calibri" w:hAnsi="Calibri"/>
            <w:color w:val="6E838A"/>
            <w:sz w:val="20"/>
            <w:noProof/>
            <w:webHidden/>
          </w:rPr>
          <w:t xml:space="preserve">63</w:t>
        </w:r>
        <w:r>
          <w:rPr>
            <w:noProof/>
            <w:webHidden/>
          </w:rPr>
          <w:fldChar w:fldCharType="end"/>
        </w:r>
      </w:hyperlink>
    </w:p>
    <w:p>
      <w:pPr>
        <w:pStyle w:val="TOC3"/>
      </w:pPr>
      <w:hyperlink w:anchor="_Toc262100249" w:history="1">
        <w:r>
          <w:rPr>
            <w:rFonts w:ascii="Calibri" w:hAnsi="Calibri"/>
            <w:color w:val="20262A"/>
            <w:sz w:val="20"/>
            <w:noProof/>
          </w:rPr>
          <w:t xml:space="preserve">41.3 The Stability Audit Metrics</w:t>
        </w:r>
        <w:r>
          <w:rPr>
            <w:noProof/>
            <w:webHidden/>
          </w:rPr>
          <w:tab/>
        </w:r>
        <w:r>
          <w:rPr>
            <w:noProof/>
            <w:webHidden/>
          </w:rPr>
          <w:fldChar w:fldCharType="begin"/>
        </w:r>
        <w:r>
          <w:rPr>
            <w:noProof/>
            <w:webHidden/>
          </w:rPr>
          <w:instrText xml:space="preserve"> PAGEREF _Toc262100249 \h </w:instrText>
        </w:r>
        <w:r>
          <w:rPr>
            <w:noProof/>
            <w:webHidden/>
          </w:rPr>
          <w:fldChar w:fldCharType="separate"/>
        </w:r>
        <w:r>
          <w:rPr>
            <w:rFonts w:ascii="Calibri" w:hAnsi="Calibri"/>
            <w:color w:val="6E838A"/>
            <w:sz w:val="20"/>
            <w:noProof/>
            <w:webHidden/>
          </w:rPr>
          <w:t xml:space="preserve">64</w:t>
        </w:r>
        <w:r>
          <w:rPr>
            <w:noProof/>
            <w:webHidden/>
          </w:rPr>
          <w:fldChar w:fldCharType="end"/>
        </w:r>
      </w:hyperlink>
    </w:p>
    <w:p>
      <w:pPr>
        <w:pStyle w:val="TOC3"/>
      </w:pPr>
      <w:hyperlink w:anchor="_Toc262100250" w:history="1">
        <w:r>
          <w:rPr>
            <w:rFonts w:ascii="Calibri" w:hAnsi="Calibri"/>
            <w:color w:val="20262A"/>
            <w:sz w:val="20"/>
            <w:noProof/>
          </w:rPr>
          <w:t xml:space="preserve">41.4 Audit Failure</w:t>
        </w:r>
        <w:r>
          <w:rPr>
            <w:noProof/>
            <w:webHidden/>
          </w:rPr>
          <w:tab/>
        </w:r>
        <w:r>
          <w:rPr>
            <w:noProof/>
            <w:webHidden/>
          </w:rPr>
          <w:fldChar w:fldCharType="begin"/>
        </w:r>
        <w:r>
          <w:rPr>
            <w:noProof/>
            <w:webHidden/>
          </w:rPr>
          <w:instrText xml:space="preserve"> PAGEREF _Toc262100250 \h </w:instrText>
        </w:r>
        <w:r>
          <w:rPr>
            <w:noProof/>
            <w:webHidden/>
          </w:rPr>
          <w:fldChar w:fldCharType="separate"/>
        </w:r>
        <w:r>
          <w:rPr>
            <w:rFonts w:ascii="Calibri" w:hAnsi="Calibri"/>
            <w:color w:val="6E838A"/>
            <w:sz w:val="20"/>
            <w:noProof/>
            <w:webHidden/>
          </w:rPr>
          <w:t xml:space="preserve">64</w:t>
        </w:r>
        <w:r>
          <w:rPr>
            <w:noProof/>
            <w:webHidden/>
          </w:rPr>
          <w:fldChar w:fldCharType="end"/>
        </w:r>
      </w:hyperlink>
    </w:p>
    <w:p>
      <w:pPr>
        <w:pStyle w:val="TOC2"/>
      </w:pPr>
      <w:hyperlink w:anchor="_Toc262100251" w:history="1">
        <w:r>
          <w:rPr>
            <w:rFonts w:ascii="Calibri" w:hAnsi="Calibri"/>
            <w:color w:val="20262A"/>
            <w:sz w:val="20"/>
            <w:noProof/>
          </w:rPr>
          <w:t xml:space="preserve">Article 42: Sunset of the Wartime Lanes</w:t>
        </w:r>
        <w:r>
          <w:rPr>
            <w:noProof/>
            <w:webHidden/>
          </w:rPr>
          <w:tab/>
        </w:r>
        <w:r>
          <w:rPr>
            <w:noProof/>
            <w:webHidden/>
          </w:rPr>
          <w:fldChar w:fldCharType="begin"/>
        </w:r>
        <w:r>
          <w:rPr>
            <w:noProof/>
            <w:webHidden/>
          </w:rPr>
          <w:instrText xml:space="preserve"> PAGEREF _Toc262100251 \h </w:instrText>
        </w:r>
        <w:r>
          <w:rPr>
            <w:noProof/>
            <w:webHidden/>
          </w:rPr>
          <w:fldChar w:fldCharType="separate"/>
        </w:r>
        <w:r>
          <w:rPr>
            <w:rFonts w:ascii="Calibri" w:hAnsi="Calibri"/>
            <w:color w:val="6E838A"/>
            <w:sz w:val="20"/>
            <w:noProof/>
            <w:webHidden/>
          </w:rPr>
          <w:t xml:space="preserve">64</w:t>
        </w:r>
        <w:r>
          <w:rPr>
            <w:noProof/>
            <w:webHidden/>
          </w:rPr>
          <w:fldChar w:fldCharType="end"/>
        </w:r>
      </w:hyperlink>
    </w:p>
    <w:p>
      <w:pPr>
        <w:pStyle w:val="TOC3"/>
      </w:pPr>
      <w:hyperlink w:anchor="_Toc262100252" w:history="1">
        <w:r>
          <w:rPr>
            <w:rFonts w:ascii="Calibri" w:hAnsi="Calibri"/>
            <w:color w:val="20262A"/>
            <w:sz w:val="20"/>
            <w:noProof/>
          </w:rPr>
          <w:t xml:space="preserve">42.1 The Transition Rule</w:t>
        </w:r>
        <w:r>
          <w:rPr>
            <w:noProof/>
            <w:webHidden/>
          </w:rPr>
          <w:tab/>
        </w:r>
        <w:r>
          <w:rPr>
            <w:noProof/>
            <w:webHidden/>
          </w:rPr>
          <w:fldChar w:fldCharType="begin"/>
        </w:r>
        <w:r>
          <w:rPr>
            <w:noProof/>
            <w:webHidden/>
          </w:rPr>
          <w:instrText xml:space="preserve"> PAGEREF _Toc262100252 \h </w:instrText>
        </w:r>
        <w:r>
          <w:rPr>
            <w:noProof/>
            <w:webHidden/>
          </w:rPr>
          <w:fldChar w:fldCharType="separate"/>
        </w:r>
        <w:r>
          <w:rPr>
            <w:rFonts w:ascii="Calibri" w:hAnsi="Calibri"/>
            <w:color w:val="6E838A"/>
            <w:sz w:val="20"/>
            <w:noProof/>
            <w:webHidden/>
          </w:rPr>
          <w:t xml:space="preserve">64</w:t>
        </w:r>
        <w:r>
          <w:rPr>
            <w:noProof/>
            <w:webHidden/>
          </w:rPr>
          <w:fldChar w:fldCharType="end"/>
        </w:r>
      </w:hyperlink>
    </w:p>
    <w:p>
      <w:pPr>
        <w:pStyle w:val="TOC3"/>
      </w:pPr>
      <w:hyperlink w:anchor="_Toc262100253" w:history="1">
        <w:r>
          <w:rPr>
            <w:rFonts w:ascii="Calibri" w:hAnsi="Calibri"/>
            <w:color w:val="20262A"/>
            <w:sz w:val="20"/>
            <w:noProof/>
          </w:rPr>
          <w:t xml:space="preserve">42.2 The Sunset Declaration</w:t>
        </w:r>
        <w:r>
          <w:rPr>
            <w:noProof/>
            <w:webHidden/>
          </w:rPr>
          <w:tab/>
        </w:r>
        <w:r>
          <w:rPr>
            <w:noProof/>
            <w:webHidden/>
          </w:rPr>
          <w:fldChar w:fldCharType="begin"/>
        </w:r>
        <w:r>
          <w:rPr>
            <w:noProof/>
            <w:webHidden/>
          </w:rPr>
          <w:instrText xml:space="preserve"> PAGEREF _Toc262100253 \h </w:instrText>
        </w:r>
        <w:r>
          <w:rPr>
            <w:noProof/>
            <w:webHidden/>
          </w:rPr>
          <w:fldChar w:fldCharType="separate"/>
        </w:r>
        <w:r>
          <w:rPr>
            <w:rFonts w:ascii="Calibri" w:hAnsi="Calibri"/>
            <w:color w:val="6E838A"/>
            <w:sz w:val="20"/>
            <w:noProof/>
            <w:webHidden/>
          </w:rPr>
          <w:t xml:space="preserve">64</w:t>
        </w:r>
        <w:r>
          <w:rPr>
            <w:noProof/>
            <w:webHidden/>
          </w:rPr>
          <w:fldChar w:fldCharType="end"/>
        </w:r>
      </w:hyperlink>
    </w:p>
    <w:p>
      <w:pPr>
        <w:pStyle w:val="TOC1"/>
      </w:pPr>
      <w:hyperlink w:anchor="_Toc262100254" w:history="1">
        <w:r>
          <w:rPr>
            <w:rFonts w:ascii="Calibri" w:hAnsi="Calibri"/>
            <w:b/>
            <w:color w:val="1D4E5F"/>
            <w:sz w:val="21"/>
            <w:noProof/>
          </w:rPr>
          <w:t xml:space="preserve">Part X: Continuity, Amendment, and Final Provisions</w:t>
        </w:r>
        <w:r>
          <w:rPr>
            <w:noProof/>
            <w:webHidden/>
          </w:rPr>
          <w:tab/>
        </w:r>
        <w:r>
          <w:rPr>
            <w:noProof/>
            <w:webHidden/>
          </w:rPr>
          <w:fldChar w:fldCharType="begin"/>
        </w:r>
        <w:r>
          <w:rPr>
            <w:noProof/>
            <w:webHidden/>
          </w:rPr>
          <w:instrText xml:space="preserve"> PAGEREF _Toc262100254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2"/>
      </w:pPr>
      <w:hyperlink w:anchor="_Toc262100255" w:history="1">
        <w:r>
          <w:rPr>
            <w:rFonts w:ascii="Calibri" w:hAnsi="Calibri"/>
            <w:color w:val="20262A"/>
            <w:sz w:val="20"/>
            <w:noProof/>
          </w:rPr>
          <w:t xml:space="preserve">Article 43: No-Fade Continuity and the Rolling Horizon</w:t>
        </w:r>
        <w:r>
          <w:rPr>
            <w:noProof/>
            <w:webHidden/>
          </w:rPr>
          <w:tab/>
        </w:r>
        <w:r>
          <w:rPr>
            <w:noProof/>
            <w:webHidden/>
          </w:rPr>
          <w:fldChar w:fldCharType="begin"/>
        </w:r>
        <w:r>
          <w:rPr>
            <w:noProof/>
            <w:webHidden/>
          </w:rPr>
          <w:instrText xml:space="preserve"> PAGEREF _Toc262100255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3"/>
      </w:pPr>
      <w:hyperlink w:anchor="_Toc262100256" w:history="1">
        <w:r>
          <w:rPr>
            <w:rFonts w:ascii="Calibri" w:hAnsi="Calibri"/>
            <w:color w:val="20262A"/>
            <w:sz w:val="20"/>
            <w:noProof/>
          </w:rPr>
          <w:t xml:space="preserve">43.1 The Rule</w:t>
        </w:r>
        <w:r>
          <w:rPr>
            <w:noProof/>
            <w:webHidden/>
          </w:rPr>
          <w:tab/>
        </w:r>
        <w:r>
          <w:rPr>
            <w:noProof/>
            <w:webHidden/>
          </w:rPr>
          <w:fldChar w:fldCharType="begin"/>
        </w:r>
        <w:r>
          <w:rPr>
            <w:noProof/>
            <w:webHidden/>
          </w:rPr>
          <w:instrText xml:space="preserve"> PAGEREF _Toc262100256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3"/>
      </w:pPr>
      <w:hyperlink w:anchor="_Toc262100257" w:history="1">
        <w:r>
          <w:rPr>
            <w:rFonts w:ascii="Calibri" w:hAnsi="Calibri"/>
            <w:color w:val="20262A"/>
            <w:sz w:val="20"/>
            <w:noProof/>
          </w:rPr>
          <w:t xml:space="preserve">43.2 The Rolling Horizon</w:t>
        </w:r>
        <w:r>
          <w:rPr>
            <w:noProof/>
            <w:webHidden/>
          </w:rPr>
          <w:tab/>
        </w:r>
        <w:r>
          <w:rPr>
            <w:noProof/>
            <w:webHidden/>
          </w:rPr>
          <w:fldChar w:fldCharType="begin"/>
        </w:r>
        <w:r>
          <w:rPr>
            <w:noProof/>
            <w:webHidden/>
          </w:rPr>
          <w:instrText xml:space="preserve"> PAGEREF _Toc262100257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3"/>
      </w:pPr>
      <w:hyperlink w:anchor="_Toc262100258" w:history="1">
        <w:r>
          <w:rPr>
            <w:rFonts w:ascii="Calibri" w:hAnsi="Calibri"/>
            <w:color w:val="20262A"/>
            <w:sz w:val="20"/>
            <w:noProof/>
          </w:rPr>
          <w:t xml:space="preserve">43.3 Banked Performance Survival</w:t>
        </w:r>
        <w:r>
          <w:rPr>
            <w:noProof/>
            <w:webHidden/>
          </w:rPr>
          <w:tab/>
        </w:r>
        <w:r>
          <w:rPr>
            <w:noProof/>
            <w:webHidden/>
          </w:rPr>
          <w:fldChar w:fldCharType="begin"/>
        </w:r>
        <w:r>
          <w:rPr>
            <w:noProof/>
            <w:webHidden/>
          </w:rPr>
          <w:instrText xml:space="preserve"> PAGEREF _Toc262100258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2"/>
      </w:pPr>
      <w:hyperlink w:anchor="_Toc262100259" w:history="1">
        <w:r>
          <w:rPr>
            <w:rFonts w:ascii="Calibri" w:hAnsi="Calibri"/>
            <w:color w:val="20262A"/>
            <w:sz w:val="20"/>
            <w:noProof/>
          </w:rPr>
          <w:t xml:space="preserve">Article 44: Amendment, Review, and Accession</w:t>
        </w:r>
        <w:r>
          <w:rPr>
            <w:noProof/>
            <w:webHidden/>
          </w:rPr>
          <w:tab/>
        </w:r>
        <w:r>
          <w:rPr>
            <w:noProof/>
            <w:webHidden/>
          </w:rPr>
          <w:fldChar w:fldCharType="begin"/>
        </w:r>
        <w:r>
          <w:rPr>
            <w:noProof/>
            <w:webHidden/>
          </w:rPr>
          <w:instrText xml:space="preserve"> PAGEREF _Toc262100259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3"/>
      </w:pPr>
      <w:hyperlink w:anchor="_Toc262100260" w:history="1">
        <w:r>
          <w:rPr>
            <w:rFonts w:ascii="Calibri" w:hAnsi="Calibri"/>
            <w:color w:val="20262A"/>
            <w:sz w:val="20"/>
            <w:noProof/>
          </w:rPr>
          <w:t xml:space="preserve">44.1 The Open Water Review Conference</w:t>
        </w:r>
        <w:r>
          <w:rPr>
            <w:noProof/>
            <w:webHidden/>
          </w:rPr>
          <w:tab/>
        </w:r>
        <w:r>
          <w:rPr>
            <w:noProof/>
            <w:webHidden/>
          </w:rPr>
          <w:fldChar w:fldCharType="begin"/>
        </w:r>
        <w:r>
          <w:rPr>
            <w:noProof/>
            <w:webHidden/>
          </w:rPr>
          <w:instrText xml:space="preserve"> PAGEREF _Toc262100260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3"/>
      </w:pPr>
      <w:hyperlink w:anchor="_Toc262100261" w:history="1">
        <w:r>
          <w:rPr>
            <w:rFonts w:ascii="Calibri" w:hAnsi="Calibri"/>
            <w:color w:val="20262A"/>
            <w:sz w:val="20"/>
            <w:noProof/>
          </w:rPr>
          <w:t xml:space="preserve">44.2 Amendment Rules</w:t>
        </w:r>
        <w:r>
          <w:rPr>
            <w:noProof/>
            <w:webHidden/>
          </w:rPr>
          <w:tab/>
        </w:r>
        <w:r>
          <w:rPr>
            <w:noProof/>
            <w:webHidden/>
          </w:rPr>
          <w:fldChar w:fldCharType="begin"/>
        </w:r>
        <w:r>
          <w:rPr>
            <w:noProof/>
            <w:webHidden/>
          </w:rPr>
          <w:instrText xml:space="preserve"> PAGEREF _Toc262100261 \h </w:instrText>
        </w:r>
        <w:r>
          <w:rPr>
            <w:noProof/>
            <w:webHidden/>
          </w:rPr>
          <w:fldChar w:fldCharType="separate"/>
        </w:r>
        <w:r>
          <w:rPr>
            <w:rFonts w:ascii="Calibri" w:hAnsi="Calibri"/>
            <w:color w:val="6E838A"/>
            <w:sz w:val="20"/>
            <w:noProof/>
            <w:webHidden/>
          </w:rPr>
          <w:t xml:space="preserve">65</w:t>
        </w:r>
        <w:r>
          <w:rPr>
            <w:noProof/>
            <w:webHidden/>
          </w:rPr>
          <w:fldChar w:fldCharType="end"/>
        </w:r>
      </w:hyperlink>
    </w:p>
    <w:p>
      <w:pPr>
        <w:pStyle w:val="TOC3"/>
      </w:pPr>
      <w:hyperlink w:anchor="_Toc262100262" w:history="1">
        <w:r>
          <w:rPr>
            <w:rFonts w:ascii="Calibri" w:hAnsi="Calibri"/>
            <w:color w:val="20262A"/>
            <w:sz w:val="20"/>
            <w:noProof/>
          </w:rPr>
          <w:t xml:space="preserve">44.3 Categories of Participation</w:t>
        </w:r>
        <w:r>
          <w:rPr>
            <w:noProof/>
            <w:webHidden/>
          </w:rPr>
          <w:tab/>
        </w:r>
        <w:r>
          <w:rPr>
            <w:noProof/>
            <w:webHidden/>
          </w:rPr>
          <w:fldChar w:fldCharType="begin"/>
        </w:r>
        <w:r>
          <w:rPr>
            <w:noProof/>
            <w:webHidden/>
          </w:rPr>
          <w:instrText xml:space="preserve"> PAGEREF _Toc262100262 \h </w:instrText>
        </w:r>
        <w:r>
          <w:rPr>
            <w:noProof/>
            <w:webHidden/>
          </w:rPr>
          <w:fldChar w:fldCharType="separate"/>
        </w:r>
        <w:r>
          <w:rPr>
            <w:rFonts w:ascii="Calibri" w:hAnsi="Calibri"/>
            <w:color w:val="6E838A"/>
            <w:sz w:val="20"/>
            <w:noProof/>
            <w:webHidden/>
          </w:rPr>
          <w:t xml:space="preserve">66</w:t>
        </w:r>
        <w:r>
          <w:rPr>
            <w:noProof/>
            <w:webHidden/>
          </w:rPr>
          <w:fldChar w:fldCharType="end"/>
        </w:r>
      </w:hyperlink>
    </w:p>
    <w:p>
      <w:pPr>
        <w:pStyle w:val="TOC2"/>
      </w:pPr>
      <w:hyperlink w:anchor="_Toc262100263" w:history="1">
        <w:r>
          <w:rPr>
            <w:rFonts w:ascii="Calibri" w:hAnsi="Calibri"/>
            <w:color w:val="20262A"/>
            <w:sz w:val="20"/>
            <w:noProof/>
          </w:rPr>
          <w:t xml:space="preserve">Article 45: Final Provisions</w:t>
        </w:r>
        <w:r>
          <w:rPr>
            <w:noProof/>
            <w:webHidden/>
          </w:rPr>
          <w:tab/>
        </w:r>
        <w:r>
          <w:rPr>
            <w:noProof/>
            <w:webHidden/>
          </w:rPr>
          <w:fldChar w:fldCharType="begin"/>
        </w:r>
        <w:r>
          <w:rPr>
            <w:noProof/>
            <w:webHidden/>
          </w:rPr>
          <w:instrText xml:space="preserve"> PAGEREF _Toc262100263 \h </w:instrText>
        </w:r>
        <w:r>
          <w:rPr>
            <w:noProof/>
            <w:webHidden/>
          </w:rPr>
          <w:fldChar w:fldCharType="separate"/>
        </w:r>
        <w:r>
          <w:rPr>
            <w:rFonts w:ascii="Calibri" w:hAnsi="Calibri"/>
            <w:color w:val="6E838A"/>
            <w:sz w:val="20"/>
            <w:noProof/>
            <w:webHidden/>
          </w:rPr>
          <w:t xml:space="preserve">66</w:t>
        </w:r>
        <w:r>
          <w:rPr>
            <w:noProof/>
            <w:webHidden/>
          </w:rPr>
          <w:fldChar w:fldCharType="end"/>
        </w:r>
      </w:hyperlink>
    </w:p>
    <w:p>
      <w:pPr>
        <w:pStyle w:val="TOC3"/>
      </w:pPr>
      <w:hyperlink w:anchor="_Toc262100264" w:history="1">
        <w:r>
          <w:rPr>
            <w:rFonts w:ascii="Calibri" w:hAnsi="Calibri"/>
            <w:color w:val="20262A"/>
            <w:sz w:val="20"/>
            <w:noProof/>
          </w:rPr>
          <w:t xml:space="preserve">45.1 Entry into Operation</w:t>
        </w:r>
        <w:r>
          <w:rPr>
            <w:noProof/>
            <w:webHidden/>
          </w:rPr>
          <w:tab/>
        </w:r>
        <w:r>
          <w:rPr>
            <w:noProof/>
            <w:webHidden/>
          </w:rPr>
          <w:fldChar w:fldCharType="begin"/>
        </w:r>
        <w:r>
          <w:rPr>
            <w:noProof/>
            <w:webHidden/>
          </w:rPr>
          <w:instrText xml:space="preserve"> PAGEREF _Toc262100264 \h </w:instrText>
        </w:r>
        <w:r>
          <w:rPr>
            <w:noProof/>
            <w:webHidden/>
          </w:rPr>
          <w:fldChar w:fldCharType="separate"/>
        </w:r>
        <w:r>
          <w:rPr>
            <w:rFonts w:ascii="Calibri" w:hAnsi="Calibri"/>
            <w:color w:val="6E838A"/>
            <w:sz w:val="20"/>
            <w:noProof/>
            <w:webHidden/>
          </w:rPr>
          <w:t xml:space="preserve">66</w:t>
        </w:r>
        <w:r>
          <w:rPr>
            <w:noProof/>
            <w:webHidden/>
          </w:rPr>
          <w:fldChar w:fldCharType="end"/>
        </w:r>
      </w:hyperlink>
    </w:p>
    <w:p>
      <w:pPr>
        <w:pStyle w:val="TOC3"/>
      </w:pPr>
      <w:hyperlink w:anchor="_Toc262100265" w:history="1">
        <w:r>
          <w:rPr>
            <w:rFonts w:ascii="Calibri" w:hAnsi="Calibri"/>
            <w:color w:val="20262A"/>
            <w:sz w:val="20"/>
            <w:noProof/>
          </w:rPr>
          <w:t xml:space="preserve">45.2 Depositary, Languages, and Authentic Texts</w:t>
        </w:r>
        <w:r>
          <w:rPr>
            <w:noProof/>
            <w:webHidden/>
          </w:rPr>
          <w:tab/>
        </w:r>
        <w:r>
          <w:rPr>
            <w:noProof/>
            <w:webHidden/>
          </w:rPr>
          <w:fldChar w:fldCharType="begin"/>
        </w:r>
        <w:r>
          <w:rPr>
            <w:noProof/>
            <w:webHidden/>
          </w:rPr>
          <w:instrText xml:space="preserve"> PAGEREF _Toc262100265 \h </w:instrText>
        </w:r>
        <w:r>
          <w:rPr>
            <w:noProof/>
            <w:webHidden/>
          </w:rPr>
          <w:fldChar w:fldCharType="separate"/>
        </w:r>
        <w:r>
          <w:rPr>
            <w:rFonts w:ascii="Calibri" w:hAnsi="Calibri"/>
            <w:color w:val="6E838A"/>
            <w:sz w:val="20"/>
            <w:noProof/>
            <w:webHidden/>
          </w:rPr>
          <w:t xml:space="preserve">66</w:t>
        </w:r>
        <w:r>
          <w:rPr>
            <w:noProof/>
            <w:webHidden/>
          </w:rPr>
          <w:fldChar w:fldCharType="end"/>
        </w:r>
      </w:hyperlink>
    </w:p>
    <w:p>
      <w:pPr>
        <w:pStyle w:val="TOC3"/>
      </w:pPr>
      <w:hyperlink w:anchor="_Toc262100266" w:history="1">
        <w:r>
          <w:rPr>
            <w:rFonts w:ascii="Calibri" w:hAnsi="Calibri"/>
            <w:color w:val="20262A"/>
            <w:sz w:val="20"/>
            <w:noProof/>
          </w:rPr>
          <w:t xml:space="preserve">45.3 Severability and Modularity</w:t>
        </w:r>
        <w:r>
          <w:rPr>
            <w:noProof/>
            <w:webHidden/>
          </w:rPr>
          <w:tab/>
        </w:r>
        <w:r>
          <w:rPr>
            <w:noProof/>
            <w:webHidden/>
          </w:rPr>
          <w:fldChar w:fldCharType="begin"/>
        </w:r>
        <w:r>
          <w:rPr>
            <w:noProof/>
            <w:webHidden/>
          </w:rPr>
          <w:instrText xml:space="preserve"> PAGEREF _Toc262100266 \h </w:instrText>
        </w:r>
        <w:r>
          <w:rPr>
            <w:noProof/>
            <w:webHidden/>
          </w:rPr>
          <w:fldChar w:fldCharType="separate"/>
        </w:r>
        <w:r>
          <w:rPr>
            <w:rFonts w:ascii="Calibri" w:hAnsi="Calibri"/>
            <w:color w:val="6E838A"/>
            <w:sz w:val="20"/>
            <w:noProof/>
            <w:webHidden/>
          </w:rPr>
          <w:t xml:space="preserve">66</w:t>
        </w:r>
        <w:r>
          <w:rPr>
            <w:noProof/>
            <w:webHidden/>
          </w:rPr>
          <w:fldChar w:fldCharType="end"/>
        </w:r>
      </w:hyperlink>
    </w:p>
    <w:p>
      <w:pPr>
        <w:pStyle w:val="TOC3"/>
      </w:pPr>
      <w:hyperlink w:anchor="_Toc262100267" w:history="1">
        <w:r>
          <w:rPr>
            <w:rFonts w:ascii="Calibri" w:hAnsi="Calibri"/>
            <w:color w:val="20262A"/>
            <w:sz w:val="20"/>
            <w:noProof/>
          </w:rPr>
          <w:t xml:space="preserve">45.4 No Precedent</w:t>
        </w:r>
        <w:r>
          <w:rPr>
            <w:noProof/>
            <w:webHidden/>
          </w:rPr>
          <w:tab/>
        </w:r>
        <w:r>
          <w:rPr>
            <w:noProof/>
            <w:webHidden/>
          </w:rPr>
          <w:fldChar w:fldCharType="begin"/>
        </w:r>
        <w:r>
          <w:rPr>
            <w:noProof/>
            <w:webHidden/>
          </w:rPr>
          <w:instrText xml:space="preserve"> PAGEREF _Toc262100267 \h </w:instrText>
        </w:r>
        <w:r>
          <w:rPr>
            <w:noProof/>
            <w:webHidden/>
          </w:rPr>
          <w:fldChar w:fldCharType="separate"/>
        </w:r>
        <w:r>
          <w:rPr>
            <w:rFonts w:ascii="Calibri" w:hAnsi="Calibri"/>
            <w:color w:val="6E838A"/>
            <w:sz w:val="20"/>
            <w:noProof/>
            <w:webHidden/>
          </w:rPr>
          <w:t xml:space="preserve">66</w:t>
        </w:r>
        <w:r>
          <w:rPr>
            <w:noProof/>
            <w:webHidden/>
          </w:rPr>
          <w:fldChar w:fldCharType="end"/>
        </w:r>
      </w:hyperlink>
    </w:p>
    <w:p>
      <w:pPr>
        <w:pStyle w:val="TOC3"/>
      </w:pPr>
      <w:hyperlink w:anchor="_Toc262100268" w:history="1">
        <w:r>
          <w:rPr>
            <w:rFonts w:ascii="Calibri" w:hAnsi="Calibri"/>
            <w:color w:val="20262A"/>
            <w:sz w:val="20"/>
            <w:noProof/>
          </w:rPr>
          <w:t xml:space="preserve">45.5 Good Faith and Non-Weaponization</w:t>
        </w:r>
        <w:r>
          <w:rPr>
            <w:noProof/>
            <w:webHidden/>
          </w:rPr>
          <w:tab/>
        </w:r>
        <w:r>
          <w:rPr>
            <w:noProof/>
            <w:webHidden/>
          </w:rPr>
          <w:fldChar w:fldCharType="begin"/>
        </w:r>
        <w:r>
          <w:rPr>
            <w:noProof/>
            <w:webHidden/>
          </w:rPr>
          <w:instrText xml:space="preserve"> PAGEREF _Toc262100268 \h </w:instrText>
        </w:r>
        <w:r>
          <w:rPr>
            <w:noProof/>
            <w:webHidden/>
          </w:rPr>
          <w:fldChar w:fldCharType="separate"/>
        </w:r>
        <w:r>
          <w:rPr>
            <w:rFonts w:ascii="Calibri" w:hAnsi="Calibri"/>
            <w:color w:val="6E838A"/>
            <w:sz w:val="20"/>
            <w:noProof/>
            <w:webHidden/>
          </w:rPr>
          <w:t xml:space="preserve">67</w:t>
        </w:r>
        <w:r>
          <w:rPr>
            <w:noProof/>
            <w:webHidden/>
          </w:rPr>
          <w:fldChar w:fldCharType="end"/>
        </w:r>
      </w:hyperlink>
    </w:p>
    <w:p>
      <w:pPr>
        <w:pStyle w:val="TOC1"/>
      </w:pPr>
      <w:hyperlink w:anchor="_Toc262100269" w:history="1">
        <w:r>
          <w:rPr>
            <w:rFonts w:ascii="Calibri" w:hAnsi="Calibri"/>
            <w:b/>
            <w:color w:val="1D4E5F"/>
            <w:sz w:val="21"/>
            <w:noProof/>
          </w:rPr>
          <w:t xml:space="preserve">Annex A: Corridor Coordinates and Geodetic Definitions</w:t>
        </w:r>
        <w:r>
          <w:rPr>
            <w:noProof/>
            <w:webHidden/>
          </w:rPr>
          <w:tab/>
        </w:r>
        <w:r>
          <w:rPr>
            <w:noProof/>
            <w:webHidden/>
          </w:rPr>
          <w:fldChar w:fldCharType="begin"/>
        </w:r>
        <w:r>
          <w:rPr>
            <w:noProof/>
            <w:webHidden/>
          </w:rPr>
          <w:instrText xml:space="preserve"> PAGEREF _Toc262100269 \h </w:instrText>
        </w:r>
        <w:r>
          <w:rPr>
            <w:noProof/>
            <w:webHidden/>
          </w:rPr>
          <w:fldChar w:fldCharType="separate"/>
        </w:r>
        <w:r>
          <w:rPr>
            <w:rFonts w:ascii="Calibri" w:hAnsi="Calibri"/>
            <w:color w:val="6E838A"/>
            <w:sz w:val="20"/>
            <w:noProof/>
            <w:webHidden/>
          </w:rPr>
          <w:t xml:space="preserve">68</w:t>
        </w:r>
        <w:r>
          <w:rPr>
            <w:noProof/>
            <w:webHidden/>
          </w:rPr>
          <w:fldChar w:fldCharType="end"/>
        </w:r>
      </w:hyperlink>
    </w:p>
    <w:p>
      <w:pPr>
        <w:pStyle w:val="TOC2"/>
      </w:pPr>
      <w:hyperlink w:anchor="_Toc262100270" w:history="1">
        <w:r>
          <w:rPr>
            <w:rFonts w:ascii="Calibri" w:hAnsi="Calibri"/>
            <w:color w:val="20262A"/>
            <w:sz w:val="20"/>
            <w:noProof/>
          </w:rPr>
          <w:t xml:space="preserve">A.1 Operating Area Boundary</w:t>
        </w:r>
        <w:r>
          <w:rPr>
            <w:noProof/>
            <w:webHidden/>
          </w:rPr>
          <w:tab/>
        </w:r>
        <w:r>
          <w:rPr>
            <w:noProof/>
            <w:webHidden/>
          </w:rPr>
          <w:fldChar w:fldCharType="begin"/>
        </w:r>
        <w:r>
          <w:rPr>
            <w:noProof/>
            <w:webHidden/>
          </w:rPr>
          <w:instrText xml:space="preserve"> PAGEREF _Toc262100270 \h </w:instrText>
        </w:r>
        <w:r>
          <w:rPr>
            <w:noProof/>
            <w:webHidden/>
          </w:rPr>
          <w:fldChar w:fldCharType="separate"/>
        </w:r>
        <w:r>
          <w:rPr>
            <w:rFonts w:ascii="Calibri" w:hAnsi="Calibri"/>
            <w:color w:val="6E838A"/>
            <w:sz w:val="20"/>
            <w:noProof/>
            <w:webHidden/>
          </w:rPr>
          <w:t xml:space="preserve">68</w:t>
        </w:r>
        <w:r>
          <w:rPr>
            <w:noProof/>
            <w:webHidden/>
          </w:rPr>
          <w:fldChar w:fldCharType="end"/>
        </w:r>
      </w:hyperlink>
    </w:p>
    <w:p>
      <w:pPr>
        <w:pStyle w:val="TOC2"/>
      </w:pPr>
      <w:hyperlink w:anchor="_Toc262100271" w:history="1">
        <w:r>
          <w:rPr>
            <w:rFonts w:ascii="Calibri" w:hAnsi="Calibri"/>
            <w:color w:val="20262A"/>
            <w:sz w:val="20"/>
            <w:noProof/>
          </w:rPr>
          <w:t xml:space="preserve">A.2 Northern Coordination Corridor (Inbound)</w:t>
        </w:r>
        <w:r>
          <w:rPr>
            <w:noProof/>
            <w:webHidden/>
          </w:rPr>
          <w:tab/>
        </w:r>
        <w:r>
          <w:rPr>
            <w:noProof/>
            <w:webHidden/>
          </w:rPr>
          <w:fldChar w:fldCharType="begin"/>
        </w:r>
        <w:r>
          <w:rPr>
            <w:noProof/>
            <w:webHidden/>
          </w:rPr>
          <w:instrText xml:space="preserve"> PAGEREF _Toc262100271 \h </w:instrText>
        </w:r>
        <w:r>
          <w:rPr>
            <w:noProof/>
            <w:webHidden/>
          </w:rPr>
          <w:fldChar w:fldCharType="separate"/>
        </w:r>
        <w:r>
          <w:rPr>
            <w:rFonts w:ascii="Calibri" w:hAnsi="Calibri"/>
            <w:color w:val="6E838A"/>
            <w:sz w:val="20"/>
            <w:noProof/>
            <w:webHidden/>
          </w:rPr>
          <w:t xml:space="preserve">68</w:t>
        </w:r>
        <w:r>
          <w:rPr>
            <w:noProof/>
            <w:webHidden/>
          </w:rPr>
          <w:fldChar w:fldCharType="end"/>
        </w:r>
      </w:hyperlink>
    </w:p>
    <w:p>
      <w:pPr>
        <w:pStyle w:val="TOC2"/>
      </w:pPr>
      <w:hyperlink w:anchor="_Toc262100272" w:history="1">
        <w:r>
          <w:rPr>
            <w:rFonts w:ascii="Calibri" w:hAnsi="Calibri"/>
            <w:color w:val="20262A"/>
            <w:sz w:val="20"/>
            <w:noProof/>
          </w:rPr>
          <w:t xml:space="preserve">A.3 Southern Assurance Corridor (Outbound)</w:t>
        </w:r>
        <w:r>
          <w:rPr>
            <w:noProof/>
            <w:webHidden/>
          </w:rPr>
          <w:tab/>
        </w:r>
        <w:r>
          <w:rPr>
            <w:noProof/>
            <w:webHidden/>
          </w:rPr>
          <w:fldChar w:fldCharType="begin"/>
        </w:r>
        <w:r>
          <w:rPr>
            <w:noProof/>
            <w:webHidden/>
          </w:rPr>
          <w:instrText xml:space="preserve"> PAGEREF _Toc262100272 \h </w:instrText>
        </w:r>
        <w:r>
          <w:rPr>
            <w:noProof/>
            <w:webHidden/>
          </w:rPr>
          <w:fldChar w:fldCharType="separate"/>
        </w:r>
        <w:r>
          <w:rPr>
            <w:rFonts w:ascii="Calibri" w:hAnsi="Calibri"/>
            <w:color w:val="6E838A"/>
            <w:sz w:val="20"/>
            <w:noProof/>
            <w:webHidden/>
          </w:rPr>
          <w:t xml:space="preserve">69</w:t>
        </w:r>
        <w:r>
          <w:rPr>
            <w:noProof/>
            <w:webHidden/>
          </w:rPr>
          <w:fldChar w:fldCharType="end"/>
        </w:r>
      </w:hyperlink>
    </w:p>
    <w:p>
      <w:pPr>
        <w:pStyle w:val="TOC2"/>
      </w:pPr>
      <w:hyperlink w:anchor="_Toc262100273" w:history="1">
        <w:r>
          <w:rPr>
            <w:rFonts w:ascii="Calibri" w:hAnsi="Calibri"/>
            <w:color w:val="20262A"/>
            <w:sz w:val="20"/>
            <w:noProof/>
          </w:rPr>
          <w:t xml:space="preserve">A.4 Central Buffer Corridor and the Separation Belts</w:t>
        </w:r>
        <w:r>
          <w:rPr>
            <w:noProof/>
            <w:webHidden/>
          </w:rPr>
          <w:tab/>
        </w:r>
        <w:r>
          <w:rPr>
            <w:noProof/>
            <w:webHidden/>
          </w:rPr>
          <w:fldChar w:fldCharType="begin"/>
        </w:r>
        <w:r>
          <w:rPr>
            <w:noProof/>
            <w:webHidden/>
          </w:rPr>
          <w:instrText xml:space="preserve"> PAGEREF _Toc262100273 \h </w:instrText>
        </w:r>
        <w:r>
          <w:rPr>
            <w:noProof/>
            <w:webHidden/>
          </w:rPr>
          <w:fldChar w:fldCharType="separate"/>
        </w:r>
        <w:r>
          <w:rPr>
            <w:rFonts w:ascii="Calibri" w:hAnsi="Calibri"/>
            <w:color w:val="6E838A"/>
            <w:sz w:val="20"/>
            <w:noProof/>
            <w:webHidden/>
          </w:rPr>
          <w:t xml:space="preserve">69</w:t>
        </w:r>
        <w:r>
          <w:rPr>
            <w:noProof/>
            <w:webHidden/>
          </w:rPr>
          <w:fldChar w:fldCharType="end"/>
        </w:r>
      </w:hyperlink>
    </w:p>
    <w:p>
      <w:pPr>
        <w:pStyle w:val="TOC2"/>
      </w:pPr>
      <w:hyperlink w:anchor="_Toc262100274" w:history="1">
        <w:r>
          <w:rPr>
            <w:rFonts w:ascii="Calibri" w:hAnsi="Calibri"/>
            <w:color w:val="20262A"/>
            <w:sz w:val="20"/>
            <w:noProof/>
          </w:rPr>
          <w:t xml:space="preserve">A.5 Precautionary Zones</w:t>
        </w:r>
        <w:r>
          <w:rPr>
            <w:noProof/>
            <w:webHidden/>
          </w:rPr>
          <w:tab/>
        </w:r>
        <w:r>
          <w:rPr>
            <w:noProof/>
            <w:webHidden/>
          </w:rPr>
          <w:fldChar w:fldCharType="begin"/>
        </w:r>
        <w:r>
          <w:rPr>
            <w:noProof/>
            <w:webHidden/>
          </w:rPr>
          <w:instrText xml:space="preserve"> PAGEREF _Toc262100274 \h </w:instrText>
        </w:r>
        <w:r>
          <w:rPr>
            <w:noProof/>
            <w:webHidden/>
          </w:rPr>
          <w:fldChar w:fldCharType="separate"/>
        </w:r>
        <w:r>
          <w:rPr>
            <w:rFonts w:ascii="Calibri" w:hAnsi="Calibri"/>
            <w:color w:val="6E838A"/>
            <w:sz w:val="20"/>
            <w:noProof/>
            <w:webHidden/>
          </w:rPr>
          <w:t xml:space="preserve">69</w:t>
        </w:r>
        <w:r>
          <w:rPr>
            <w:noProof/>
            <w:webHidden/>
          </w:rPr>
          <w:fldChar w:fldCharType="end"/>
        </w:r>
      </w:hyperlink>
    </w:p>
    <w:p>
      <w:pPr>
        <w:pStyle w:val="TOC2"/>
      </w:pPr>
      <w:hyperlink w:anchor="_Toc262100275" w:history="1">
        <w:r>
          <w:rPr>
            <w:rFonts w:ascii="Calibri" w:hAnsi="Calibri"/>
            <w:color w:val="20262A"/>
            <w:sz w:val="20"/>
            <w:noProof/>
          </w:rPr>
          <w:t xml:space="preserve">A.6 Holding Anchorages</w:t>
        </w:r>
        <w:r>
          <w:rPr>
            <w:noProof/>
            <w:webHidden/>
          </w:rPr>
          <w:tab/>
        </w:r>
        <w:r>
          <w:rPr>
            <w:noProof/>
            <w:webHidden/>
          </w:rPr>
          <w:fldChar w:fldCharType="begin"/>
        </w:r>
        <w:r>
          <w:rPr>
            <w:noProof/>
            <w:webHidden/>
          </w:rPr>
          <w:instrText xml:space="preserve"> PAGEREF _Toc262100275 \h </w:instrText>
        </w:r>
        <w:r>
          <w:rPr>
            <w:noProof/>
            <w:webHidden/>
          </w:rPr>
          <w:fldChar w:fldCharType="separate"/>
        </w:r>
        <w:r>
          <w:rPr>
            <w:rFonts w:ascii="Calibri" w:hAnsi="Calibri"/>
            <w:color w:val="6E838A"/>
            <w:sz w:val="20"/>
            <w:noProof/>
            <w:webHidden/>
          </w:rPr>
          <w:t xml:space="preserve">70</w:t>
        </w:r>
        <w:r>
          <w:rPr>
            <w:noProof/>
            <w:webHidden/>
          </w:rPr>
          <w:fldChar w:fldCharType="end"/>
        </w:r>
      </w:hyperlink>
    </w:p>
    <w:p>
      <w:pPr>
        <w:pStyle w:val="TOC2"/>
      </w:pPr>
      <w:hyperlink w:anchor="_Toc262100276" w:history="1">
        <w:r>
          <w:rPr>
            <w:rFonts w:ascii="Calibri" w:hAnsi="Calibri"/>
            <w:color w:val="20262A"/>
            <w:sz w:val="20"/>
            <w:noProof/>
          </w:rPr>
          <w:t xml:space="preserve">A.7 Crossing Sectors, Class F Gates, and Voice Reporting Points</w:t>
        </w:r>
        <w:r>
          <w:rPr>
            <w:noProof/>
            <w:webHidden/>
          </w:rPr>
          <w:tab/>
        </w:r>
        <w:r>
          <w:rPr>
            <w:noProof/>
            <w:webHidden/>
          </w:rPr>
          <w:fldChar w:fldCharType="begin"/>
        </w:r>
        <w:r>
          <w:rPr>
            <w:noProof/>
            <w:webHidden/>
          </w:rPr>
          <w:instrText xml:space="preserve"> PAGEREF _Toc262100276 \h </w:instrText>
        </w:r>
        <w:r>
          <w:rPr>
            <w:noProof/>
            <w:webHidden/>
          </w:rPr>
          <w:fldChar w:fldCharType="separate"/>
        </w:r>
        <w:r>
          <w:rPr>
            <w:rFonts w:ascii="Calibri" w:hAnsi="Calibri"/>
            <w:color w:val="6E838A"/>
            <w:sz w:val="20"/>
            <w:noProof/>
            <w:webHidden/>
          </w:rPr>
          <w:t xml:space="preserve">70</w:t>
        </w:r>
        <w:r>
          <w:rPr>
            <w:noProof/>
            <w:webHidden/>
          </w:rPr>
          <w:fldChar w:fldCharType="end"/>
        </w:r>
      </w:hyperlink>
    </w:p>
    <w:p>
      <w:pPr>
        <w:pStyle w:val="TOC2"/>
      </w:pPr>
      <w:hyperlink w:anchor="_Toc262100277" w:history="1">
        <w:r>
          <w:rPr>
            <w:rFonts w:ascii="Calibri" w:hAnsi="Calibri"/>
            <w:color w:val="20262A"/>
            <w:sz w:val="20"/>
            <w:noProof/>
          </w:rPr>
          <w:t xml:space="preserve">A.8 Rendezvous Points</w:t>
        </w:r>
        <w:r>
          <w:rPr>
            <w:noProof/>
            <w:webHidden/>
          </w:rPr>
          <w:tab/>
        </w:r>
        <w:r>
          <w:rPr>
            <w:noProof/>
            <w:webHidden/>
          </w:rPr>
          <w:fldChar w:fldCharType="begin"/>
        </w:r>
        <w:r>
          <w:rPr>
            <w:noProof/>
            <w:webHidden/>
          </w:rPr>
          <w:instrText xml:space="preserve"> PAGEREF _Toc262100277 \h </w:instrText>
        </w:r>
        <w:r>
          <w:rPr>
            <w:noProof/>
            <w:webHidden/>
          </w:rPr>
          <w:fldChar w:fldCharType="separate"/>
        </w:r>
        <w:r>
          <w:rPr>
            <w:rFonts w:ascii="Calibri" w:hAnsi="Calibri"/>
            <w:color w:val="6E838A"/>
            <w:sz w:val="20"/>
            <w:noProof/>
            <w:webHidden/>
          </w:rPr>
          <w:t xml:space="preserve">70</w:t>
        </w:r>
        <w:r>
          <w:rPr>
            <w:noProof/>
            <w:webHidden/>
          </w:rPr>
          <w:fldChar w:fldCharType="end"/>
        </w:r>
      </w:hyperlink>
    </w:p>
    <w:p>
      <w:pPr>
        <w:pStyle w:val="TOC2"/>
      </w:pPr>
      <w:hyperlink w:anchor="_Toc262100278" w:history="1">
        <w:r>
          <w:rPr>
            <w:rFonts w:ascii="Calibri" w:hAnsi="Calibri"/>
            <w:color w:val="20262A"/>
            <w:sz w:val="20"/>
            <w:noProof/>
          </w:rPr>
          <w:t xml:space="preserve">A.9 Inshore Local Craft Bands</w:t>
        </w:r>
        <w:r>
          <w:rPr>
            <w:noProof/>
            <w:webHidden/>
          </w:rPr>
          <w:tab/>
        </w:r>
        <w:r>
          <w:rPr>
            <w:noProof/>
            <w:webHidden/>
          </w:rPr>
          <w:fldChar w:fldCharType="begin"/>
        </w:r>
        <w:r>
          <w:rPr>
            <w:noProof/>
            <w:webHidden/>
          </w:rPr>
          <w:instrText xml:space="preserve"> PAGEREF _Toc262100278 \h </w:instrText>
        </w:r>
        <w:r>
          <w:rPr>
            <w:noProof/>
            <w:webHidden/>
          </w:rPr>
          <w:fldChar w:fldCharType="separate"/>
        </w:r>
        <w:r>
          <w:rPr>
            <w:rFonts w:ascii="Calibri" w:hAnsi="Calibri"/>
            <w:color w:val="6E838A"/>
            <w:sz w:val="20"/>
            <w:noProof/>
            <w:webHidden/>
          </w:rPr>
          <w:t xml:space="preserve">70</w:t>
        </w:r>
        <w:r>
          <w:rPr>
            <w:noProof/>
            <w:webHidden/>
          </w:rPr>
          <w:fldChar w:fldCharType="end"/>
        </w:r>
      </w:hyperlink>
    </w:p>
    <w:p>
      <w:pPr>
        <w:pStyle w:val="TOC2"/>
      </w:pPr>
      <w:hyperlink w:anchor="_Toc262100279" w:history="1">
        <w:r>
          <w:rPr>
            <w:rFonts w:ascii="Calibri" w:hAnsi="Calibri"/>
            <w:color w:val="20262A"/>
            <w:sz w:val="20"/>
            <w:noProof/>
          </w:rPr>
          <w:t xml:space="preserve">A.10 Search and Rescue Grid Sectors and Particularly Sensitive Areas</w:t>
        </w:r>
        <w:r>
          <w:rPr>
            <w:noProof/>
            <w:webHidden/>
          </w:rPr>
          <w:tab/>
        </w:r>
        <w:r>
          <w:rPr>
            <w:noProof/>
            <w:webHidden/>
          </w:rPr>
          <w:fldChar w:fldCharType="begin"/>
        </w:r>
        <w:r>
          <w:rPr>
            <w:noProof/>
            <w:webHidden/>
          </w:rPr>
          <w:instrText xml:space="preserve"> PAGEREF _Toc262100279 \h </w:instrText>
        </w:r>
        <w:r>
          <w:rPr>
            <w:noProof/>
            <w:webHidden/>
          </w:rPr>
          <w:fldChar w:fldCharType="separate"/>
        </w:r>
        <w:r>
          <w:rPr>
            <w:rFonts w:ascii="Calibri" w:hAnsi="Calibri"/>
            <w:color w:val="6E838A"/>
            <w:sz w:val="20"/>
            <w:noProof/>
            <w:webHidden/>
          </w:rPr>
          <w:t xml:space="preserve">71</w:t>
        </w:r>
        <w:r>
          <w:rPr>
            <w:noProof/>
            <w:webHidden/>
          </w:rPr>
          <w:fldChar w:fldCharType="end"/>
        </w:r>
      </w:hyperlink>
    </w:p>
    <w:p>
      <w:pPr>
        <w:pStyle w:val="TOC1"/>
      </w:pPr>
      <w:hyperlink w:anchor="_Toc262100280" w:history="1">
        <w:r>
          <w:rPr>
            <w:rFonts w:ascii="Calibri" w:hAnsi="Calibri"/>
            <w:b/>
            <w:color w:val="1D4E5F"/>
            <w:sz w:val="21"/>
            <w:noProof/>
          </w:rPr>
          <w:t xml:space="preserve">Annex B: Vessel Classification and Treatment Matrix</w:t>
        </w:r>
        <w:r>
          <w:rPr>
            <w:noProof/>
            <w:webHidden/>
          </w:rPr>
          <w:tab/>
        </w:r>
        <w:r>
          <w:rPr>
            <w:noProof/>
            <w:webHidden/>
          </w:rPr>
          <w:fldChar w:fldCharType="begin"/>
        </w:r>
        <w:r>
          <w:rPr>
            <w:noProof/>
            <w:webHidden/>
          </w:rPr>
          <w:instrText xml:space="preserve"> PAGEREF _Toc262100280 \h </w:instrText>
        </w:r>
        <w:r>
          <w:rPr>
            <w:noProof/>
            <w:webHidden/>
          </w:rPr>
          <w:fldChar w:fldCharType="separate"/>
        </w:r>
        <w:r>
          <w:rPr>
            <w:rFonts w:ascii="Calibri" w:hAnsi="Calibri"/>
            <w:color w:val="6E838A"/>
            <w:sz w:val="20"/>
            <w:noProof/>
            <w:webHidden/>
          </w:rPr>
          <w:t xml:space="preserve">72</w:t>
        </w:r>
        <w:r>
          <w:rPr>
            <w:noProof/>
            <w:webHidden/>
          </w:rPr>
          <w:fldChar w:fldCharType="end"/>
        </w:r>
      </w:hyperlink>
    </w:p>
    <w:p>
      <w:pPr>
        <w:pStyle w:val="TOC2"/>
      </w:pPr>
      <w:hyperlink w:anchor="_Toc262100281" w:history="1">
        <w:r>
          <w:rPr>
            <w:rFonts w:ascii="Calibri" w:hAnsi="Calibri"/>
            <w:color w:val="20262A"/>
            <w:sz w:val="20"/>
            <w:noProof/>
          </w:rPr>
          <w:t xml:space="preserve">B.1 The Matrix</w:t>
        </w:r>
        <w:r>
          <w:rPr>
            <w:noProof/>
            <w:webHidden/>
          </w:rPr>
          <w:tab/>
        </w:r>
        <w:r>
          <w:rPr>
            <w:noProof/>
            <w:webHidden/>
          </w:rPr>
          <w:fldChar w:fldCharType="begin"/>
        </w:r>
        <w:r>
          <w:rPr>
            <w:noProof/>
            <w:webHidden/>
          </w:rPr>
          <w:instrText xml:space="preserve"> PAGEREF _Toc262100281 \h </w:instrText>
        </w:r>
        <w:r>
          <w:rPr>
            <w:noProof/>
            <w:webHidden/>
          </w:rPr>
          <w:fldChar w:fldCharType="separate"/>
        </w:r>
        <w:r>
          <w:rPr>
            <w:rFonts w:ascii="Calibri" w:hAnsi="Calibri"/>
            <w:color w:val="6E838A"/>
            <w:sz w:val="20"/>
            <w:noProof/>
            <w:webHidden/>
          </w:rPr>
          <w:t xml:space="preserve">72</w:t>
        </w:r>
        <w:r>
          <w:rPr>
            <w:noProof/>
            <w:webHidden/>
          </w:rPr>
          <w:fldChar w:fldCharType="end"/>
        </w:r>
      </w:hyperlink>
    </w:p>
    <w:p>
      <w:pPr>
        <w:pStyle w:val="TOC2"/>
      </w:pPr>
      <w:hyperlink w:anchor="_Toc262100282" w:history="1">
        <w:r>
          <w:rPr>
            <w:rFonts w:ascii="Calibri" w:hAnsi="Calibri"/>
            <w:color w:val="20262A"/>
            <w:sz w:val="20"/>
            <w:noProof/>
          </w:rPr>
          <w:t xml:space="preserve">B.2 Lane Assignment and Mixed-Purpose Voyages</w:t>
        </w:r>
        <w:r>
          <w:rPr>
            <w:noProof/>
            <w:webHidden/>
          </w:rPr>
          <w:tab/>
        </w:r>
        <w:r>
          <w:rPr>
            <w:noProof/>
            <w:webHidden/>
          </w:rPr>
          <w:fldChar w:fldCharType="begin"/>
        </w:r>
        <w:r>
          <w:rPr>
            <w:noProof/>
            <w:webHidden/>
          </w:rPr>
          <w:instrText xml:space="preserve"> PAGEREF _Toc262100282 \h </w:instrText>
        </w:r>
        <w:r>
          <w:rPr>
            <w:noProof/>
            <w:webHidden/>
          </w:rPr>
          <w:fldChar w:fldCharType="separate"/>
        </w:r>
        <w:r>
          <w:rPr>
            <w:rFonts w:ascii="Calibri" w:hAnsi="Calibri"/>
            <w:color w:val="6E838A"/>
            <w:sz w:val="20"/>
            <w:noProof/>
            <w:webHidden/>
          </w:rPr>
          <w:t xml:space="preserve">72</w:t>
        </w:r>
        <w:r>
          <w:rPr>
            <w:noProof/>
            <w:webHidden/>
          </w:rPr>
          <w:fldChar w:fldCharType="end"/>
        </w:r>
      </w:hyperlink>
    </w:p>
    <w:p>
      <w:pPr>
        <w:pStyle w:val="TOC2"/>
      </w:pPr>
      <w:hyperlink w:anchor="_Toc262100283" w:history="1">
        <w:r>
          <w:rPr>
            <w:rFonts w:ascii="Calibri" w:hAnsi="Calibri"/>
            <w:color w:val="20262A"/>
            <w:sz w:val="20"/>
            <w:noProof/>
          </w:rPr>
          <w:t xml:space="preserve">B.3 Treatment Differentiators: The Standing Rule</w:t>
        </w:r>
        <w:r>
          <w:rPr>
            <w:noProof/>
            <w:webHidden/>
          </w:rPr>
          <w:tab/>
        </w:r>
        <w:r>
          <w:rPr>
            <w:noProof/>
            <w:webHidden/>
          </w:rPr>
          <w:fldChar w:fldCharType="begin"/>
        </w:r>
        <w:r>
          <w:rPr>
            <w:noProof/>
            <w:webHidden/>
          </w:rPr>
          <w:instrText xml:space="preserve"> PAGEREF _Toc262100283 \h </w:instrText>
        </w:r>
        <w:r>
          <w:rPr>
            <w:noProof/>
            <w:webHidden/>
          </w:rPr>
          <w:fldChar w:fldCharType="separate"/>
        </w:r>
        <w:r>
          <w:rPr>
            <w:rFonts w:ascii="Calibri" w:hAnsi="Calibri"/>
            <w:color w:val="6E838A"/>
            <w:sz w:val="20"/>
            <w:noProof/>
            <w:webHidden/>
          </w:rPr>
          <w:t xml:space="preserve">73</w:t>
        </w:r>
        <w:r>
          <w:rPr>
            <w:noProof/>
            <w:webHidden/>
          </w:rPr>
          <w:fldChar w:fldCharType="end"/>
        </w:r>
      </w:hyperlink>
    </w:p>
    <w:p>
      <w:pPr>
        <w:pStyle w:val="TOC1"/>
      </w:pPr>
      <w:hyperlink w:anchor="_Toc262100284" w:history="1">
        <w:r>
          <w:rPr>
            <w:rFonts w:ascii="Calibri" w:hAnsi="Calibri"/>
            <w:b/>
            <w:color w:val="1D4E5F"/>
            <w:sz w:val="21"/>
            <w:noProof/>
          </w:rPr>
          <w:t xml:space="preserve">Annex C: Stewardship Shares, the Accrual Schedule, and the Index Rubric</w:t>
        </w:r>
        <w:r>
          <w:rPr>
            <w:noProof/>
            <w:webHidden/>
          </w:rPr>
          <w:tab/>
        </w:r>
        <w:r>
          <w:rPr>
            <w:noProof/>
            <w:webHidden/>
          </w:rPr>
          <w:fldChar w:fldCharType="begin"/>
        </w:r>
        <w:r>
          <w:rPr>
            <w:noProof/>
            <w:webHidden/>
          </w:rPr>
          <w:instrText xml:space="preserve"> PAGEREF _Toc262100284 \h </w:instrText>
        </w:r>
        <w:r>
          <w:rPr>
            <w:noProof/>
            <w:webHidden/>
          </w:rPr>
          <w:fldChar w:fldCharType="separate"/>
        </w:r>
        <w:r>
          <w:rPr>
            <w:rFonts w:ascii="Calibri" w:hAnsi="Calibri"/>
            <w:color w:val="6E838A"/>
            <w:sz w:val="20"/>
            <w:noProof/>
            <w:webHidden/>
          </w:rPr>
          <w:t xml:space="preserve">74</w:t>
        </w:r>
        <w:r>
          <w:rPr>
            <w:noProof/>
            <w:webHidden/>
          </w:rPr>
          <w:fldChar w:fldCharType="end"/>
        </w:r>
      </w:hyperlink>
    </w:p>
    <w:p>
      <w:pPr>
        <w:pStyle w:val="TOC2"/>
      </w:pPr>
      <w:hyperlink w:anchor="_Toc262100285" w:history="1">
        <w:r>
          <w:rPr>
            <w:rFonts w:ascii="Calibri" w:hAnsi="Calibri"/>
            <w:color w:val="20262A"/>
            <w:sz w:val="20"/>
            <w:noProof/>
          </w:rPr>
          <w:t xml:space="preserve">C.1 The Three Dimensions of a Share</w:t>
        </w:r>
        <w:r>
          <w:rPr>
            <w:noProof/>
            <w:webHidden/>
          </w:rPr>
          <w:tab/>
        </w:r>
        <w:r>
          <w:rPr>
            <w:noProof/>
            <w:webHidden/>
          </w:rPr>
          <w:fldChar w:fldCharType="begin"/>
        </w:r>
        <w:r>
          <w:rPr>
            <w:noProof/>
            <w:webHidden/>
          </w:rPr>
          <w:instrText xml:space="preserve"> PAGEREF _Toc262100285 \h </w:instrText>
        </w:r>
        <w:r>
          <w:rPr>
            <w:noProof/>
            <w:webHidden/>
          </w:rPr>
          <w:fldChar w:fldCharType="separate"/>
        </w:r>
        <w:r>
          <w:rPr>
            <w:rFonts w:ascii="Calibri" w:hAnsi="Calibri"/>
            <w:color w:val="6E838A"/>
            <w:sz w:val="20"/>
            <w:noProof/>
            <w:webHidden/>
          </w:rPr>
          <w:t xml:space="preserve">74</w:t>
        </w:r>
        <w:r>
          <w:rPr>
            <w:noProof/>
            <w:webHidden/>
          </w:rPr>
          <w:fldChar w:fldCharType="end"/>
        </w:r>
      </w:hyperlink>
    </w:p>
    <w:p>
      <w:pPr>
        <w:pStyle w:val="TOC2"/>
      </w:pPr>
      <w:hyperlink w:anchor="_Toc262100286" w:history="1">
        <w:r>
          <w:rPr>
            <w:rFonts w:ascii="Calibri" w:hAnsi="Calibri"/>
            <w:color w:val="20262A"/>
            <w:sz w:val="20"/>
            <w:noProof/>
          </w:rPr>
          <w:t xml:space="preserve">C.2 The Share Schedule and Gate Criteria (Operative Table)</w:t>
        </w:r>
        <w:r>
          <w:rPr>
            <w:noProof/>
            <w:webHidden/>
          </w:rPr>
          <w:tab/>
        </w:r>
        <w:r>
          <w:rPr>
            <w:noProof/>
            <w:webHidden/>
          </w:rPr>
          <w:fldChar w:fldCharType="begin"/>
        </w:r>
        <w:r>
          <w:rPr>
            <w:noProof/>
            <w:webHidden/>
          </w:rPr>
          <w:instrText xml:space="preserve"> PAGEREF _Toc262100286 \h </w:instrText>
        </w:r>
        <w:r>
          <w:rPr>
            <w:noProof/>
            <w:webHidden/>
          </w:rPr>
          <w:fldChar w:fldCharType="separate"/>
        </w:r>
        <w:r>
          <w:rPr>
            <w:rFonts w:ascii="Calibri" w:hAnsi="Calibri"/>
            <w:color w:val="6E838A"/>
            <w:sz w:val="20"/>
            <w:noProof/>
            <w:webHidden/>
          </w:rPr>
          <w:t xml:space="preserve">74</w:t>
        </w:r>
        <w:r>
          <w:rPr>
            <w:noProof/>
            <w:webHidden/>
          </w:rPr>
          <w:fldChar w:fldCharType="end"/>
        </w:r>
      </w:hyperlink>
    </w:p>
    <w:p>
      <w:pPr>
        <w:pStyle w:val="TOC2"/>
      </w:pPr>
      <w:hyperlink w:anchor="_Toc262100287" w:history="1">
        <w:r>
          <w:rPr>
            <w:rFonts w:ascii="Calibri" w:hAnsi="Calibri"/>
            <w:color w:val="20262A"/>
            <w:sz w:val="20"/>
            <w:noProof/>
          </w:rPr>
          <w:t xml:space="preserve">C.3 The SPI Rubric: Domain Metrics and Deductions</w:t>
        </w:r>
        <w:r>
          <w:rPr>
            <w:noProof/>
            <w:webHidden/>
          </w:rPr>
          <w:tab/>
        </w:r>
        <w:r>
          <w:rPr>
            <w:noProof/>
            <w:webHidden/>
          </w:rPr>
          <w:fldChar w:fldCharType="begin"/>
        </w:r>
        <w:r>
          <w:rPr>
            <w:noProof/>
            <w:webHidden/>
          </w:rPr>
          <w:instrText xml:space="preserve"> PAGEREF _Toc262100287 \h </w:instrText>
        </w:r>
        <w:r>
          <w:rPr>
            <w:noProof/>
            <w:webHidden/>
          </w:rPr>
          <w:fldChar w:fldCharType="separate"/>
        </w:r>
        <w:r>
          <w:rPr>
            <w:rFonts w:ascii="Calibri" w:hAnsi="Calibri"/>
            <w:color w:val="6E838A"/>
            <w:sz w:val="20"/>
            <w:noProof/>
            <w:webHidden/>
          </w:rPr>
          <w:t xml:space="preserve">75</w:t>
        </w:r>
        <w:r>
          <w:rPr>
            <w:noProof/>
            <w:webHidden/>
          </w:rPr>
          <w:fldChar w:fldCharType="end"/>
        </w:r>
      </w:hyperlink>
    </w:p>
    <w:p>
      <w:pPr>
        <w:pStyle w:val="TOC2"/>
      </w:pPr>
      <w:hyperlink w:anchor="_Toc262100288" w:history="1">
        <w:r>
          <w:rPr>
            <w:rFonts w:ascii="Calibri" w:hAnsi="Calibri"/>
            <w:color w:val="20262A"/>
            <w:sz w:val="20"/>
            <w:noProof/>
          </w:rPr>
          <w:t xml:space="preserve">C.4 The Two Audits</w:t>
        </w:r>
        <w:r>
          <w:rPr>
            <w:noProof/>
            <w:webHidden/>
          </w:rPr>
          <w:tab/>
        </w:r>
        <w:r>
          <w:rPr>
            <w:noProof/>
            <w:webHidden/>
          </w:rPr>
          <w:fldChar w:fldCharType="begin"/>
        </w:r>
        <w:r>
          <w:rPr>
            <w:noProof/>
            <w:webHidden/>
          </w:rPr>
          <w:instrText xml:space="preserve"> PAGEREF _Toc262100288 \h </w:instrText>
        </w:r>
        <w:r>
          <w:rPr>
            <w:noProof/>
            <w:webHidden/>
          </w:rPr>
          <w:fldChar w:fldCharType="separate"/>
        </w:r>
        <w:r>
          <w:rPr>
            <w:rFonts w:ascii="Calibri" w:hAnsi="Calibri"/>
            <w:color w:val="6E838A"/>
            <w:sz w:val="20"/>
            <w:noProof/>
            <w:webHidden/>
          </w:rPr>
          <w:t xml:space="preserve">75</w:t>
        </w:r>
        <w:r>
          <w:rPr>
            <w:noProof/>
            <w:webHidden/>
          </w:rPr>
          <w:fldChar w:fldCharType="end"/>
        </w:r>
      </w:hyperlink>
    </w:p>
    <w:p>
      <w:pPr>
        <w:pStyle w:val="TOC2"/>
      </w:pPr>
      <w:hyperlink w:anchor="_Toc262100289" w:history="1">
        <w:r>
          <w:rPr>
            <w:rFonts w:ascii="Calibri" w:hAnsi="Calibri"/>
            <w:color w:val="20262A"/>
            <w:sz w:val="20"/>
            <w:noProof/>
          </w:rPr>
          <w:t xml:space="preserve">C.5 Step-Back and Earn-Back Table</w:t>
        </w:r>
        <w:r>
          <w:rPr>
            <w:noProof/>
            <w:webHidden/>
          </w:rPr>
          <w:tab/>
        </w:r>
        <w:r>
          <w:rPr>
            <w:noProof/>
            <w:webHidden/>
          </w:rPr>
          <w:fldChar w:fldCharType="begin"/>
        </w:r>
        <w:r>
          <w:rPr>
            <w:noProof/>
            <w:webHidden/>
          </w:rPr>
          <w:instrText xml:space="preserve"> PAGEREF _Toc262100289 \h </w:instrText>
        </w:r>
        <w:r>
          <w:rPr>
            <w:noProof/>
            <w:webHidden/>
          </w:rPr>
          <w:fldChar w:fldCharType="separate"/>
        </w:r>
        <w:r>
          <w:rPr>
            <w:rFonts w:ascii="Calibri" w:hAnsi="Calibri"/>
            <w:color w:val="6E838A"/>
            <w:sz w:val="20"/>
            <w:noProof/>
            <w:webHidden/>
          </w:rPr>
          <w:t xml:space="preserve">76</w:t>
        </w:r>
        <w:r>
          <w:rPr>
            <w:noProof/>
            <w:webHidden/>
          </w:rPr>
          <w:fldChar w:fldCharType="end"/>
        </w:r>
      </w:hyperlink>
    </w:p>
    <w:p>
      <w:pPr>
        <w:pStyle w:val="TOC2"/>
      </w:pPr>
      <w:hyperlink w:anchor="_Toc262100290" w:history="1">
        <w:r>
          <w:rPr>
            <w:rFonts w:ascii="Calibri" w:hAnsi="Calibri"/>
            <w:color w:val="20262A"/>
            <w:sz w:val="20"/>
            <w:noProof/>
          </w:rPr>
          <w:t xml:space="preserve">C.6 The Inviolable Principles Register (Full Operative Text)</w:t>
        </w:r>
        <w:r>
          <w:rPr>
            <w:noProof/>
            <w:webHidden/>
          </w:rPr>
          <w:tab/>
        </w:r>
        <w:r>
          <w:rPr>
            <w:noProof/>
            <w:webHidden/>
          </w:rPr>
          <w:fldChar w:fldCharType="begin"/>
        </w:r>
        <w:r>
          <w:rPr>
            <w:noProof/>
            <w:webHidden/>
          </w:rPr>
          <w:instrText xml:space="preserve"> PAGEREF _Toc262100290 \h </w:instrText>
        </w:r>
        <w:r>
          <w:rPr>
            <w:noProof/>
            <w:webHidden/>
          </w:rPr>
          <w:fldChar w:fldCharType="separate"/>
        </w:r>
        <w:r>
          <w:rPr>
            <w:rFonts w:ascii="Calibri" w:hAnsi="Calibri"/>
            <w:color w:val="6E838A"/>
            <w:sz w:val="20"/>
            <w:noProof/>
            <w:webHidden/>
          </w:rPr>
          <w:t xml:space="preserve">76</w:t>
        </w:r>
        <w:r>
          <w:rPr>
            <w:noProof/>
            <w:webHidden/>
          </w:rPr>
          <w:fldChar w:fldCharType="end"/>
        </w:r>
      </w:hyperlink>
    </w:p>
    <w:p>
      <w:pPr>
        <w:pStyle w:val="TOC2"/>
      </w:pPr>
      <w:hyperlink w:anchor="_Toc262100291" w:history="1">
        <w:r>
          <w:rPr>
            <w:rFonts w:ascii="Calibri" w:hAnsi="Calibri"/>
            <w:color w:val="20262A"/>
            <w:sz w:val="20"/>
            <w:noProof/>
          </w:rPr>
          <w:t xml:space="preserve">C.7 Worked Accrual Example</w:t>
        </w:r>
        <w:r>
          <w:rPr>
            <w:noProof/>
            <w:webHidden/>
          </w:rPr>
          <w:tab/>
        </w:r>
        <w:r>
          <w:rPr>
            <w:noProof/>
            <w:webHidden/>
          </w:rPr>
          <w:fldChar w:fldCharType="begin"/>
        </w:r>
        <w:r>
          <w:rPr>
            <w:noProof/>
            <w:webHidden/>
          </w:rPr>
          <w:instrText xml:space="preserve"> PAGEREF _Toc262100291 \h </w:instrText>
        </w:r>
        <w:r>
          <w:rPr>
            <w:noProof/>
            <w:webHidden/>
          </w:rPr>
          <w:fldChar w:fldCharType="separate"/>
        </w:r>
        <w:r>
          <w:rPr>
            <w:rFonts w:ascii="Calibri" w:hAnsi="Calibri"/>
            <w:color w:val="6E838A"/>
            <w:sz w:val="20"/>
            <w:noProof/>
            <w:webHidden/>
          </w:rPr>
          <w:t xml:space="preserve">76</w:t>
        </w:r>
        <w:r>
          <w:rPr>
            <w:noProof/>
            <w:webHidden/>
          </w:rPr>
          <w:fldChar w:fldCharType="end"/>
        </w:r>
      </w:hyperlink>
    </w:p>
    <w:p>
      <w:pPr>
        <w:pStyle w:val="TOC1"/>
      </w:pPr>
      <w:hyperlink w:anchor="_Toc262100292" w:history="1">
        <w:r>
          <w:rPr>
            <w:rFonts w:ascii="Calibri" w:hAnsi="Calibri"/>
            <w:b/>
            <w:color w:val="1D4E5F"/>
            <w:sz w:val="21"/>
            <w:noProof/>
          </w:rPr>
          <w:t xml:space="preserve">Annex D: The Verified Services Catalog and Rate Schedule</w:t>
        </w:r>
        <w:r>
          <w:rPr>
            <w:noProof/>
            <w:webHidden/>
          </w:rPr>
          <w:tab/>
        </w:r>
        <w:r>
          <w:rPr>
            <w:noProof/>
            <w:webHidden/>
          </w:rPr>
          <w:fldChar w:fldCharType="begin"/>
        </w:r>
        <w:r>
          <w:rPr>
            <w:noProof/>
            <w:webHidden/>
          </w:rPr>
          <w:instrText xml:space="preserve"> PAGEREF _Toc262100292 \h </w:instrText>
        </w:r>
        <w:r>
          <w:rPr>
            <w:noProof/>
            <w:webHidden/>
          </w:rPr>
          <w:fldChar w:fldCharType="separate"/>
        </w:r>
        <w:r>
          <w:rPr>
            <w:rFonts w:ascii="Calibri" w:hAnsi="Calibri"/>
            <w:color w:val="6E838A"/>
            <w:sz w:val="20"/>
            <w:noProof/>
            <w:webHidden/>
          </w:rPr>
          <w:t xml:space="preserve">78</w:t>
        </w:r>
        <w:r>
          <w:rPr>
            <w:noProof/>
            <w:webHidden/>
          </w:rPr>
          <w:fldChar w:fldCharType="end"/>
        </w:r>
      </w:hyperlink>
    </w:p>
    <w:p>
      <w:pPr>
        <w:pStyle w:val="TOC2"/>
      </w:pPr>
      <w:hyperlink w:anchor="_Toc262100293" w:history="1">
        <w:r>
          <w:rPr>
            <w:rFonts w:ascii="Calibri" w:hAnsi="Calibri"/>
            <w:color w:val="20262A"/>
            <w:sz w:val="20"/>
            <w:noProof/>
          </w:rPr>
          <w:t xml:space="preserve">D.1 Catalog Structure</w:t>
        </w:r>
        <w:r>
          <w:rPr>
            <w:noProof/>
            <w:webHidden/>
          </w:rPr>
          <w:tab/>
        </w:r>
        <w:r>
          <w:rPr>
            <w:noProof/>
            <w:webHidden/>
          </w:rPr>
          <w:fldChar w:fldCharType="begin"/>
        </w:r>
        <w:r>
          <w:rPr>
            <w:noProof/>
            <w:webHidden/>
          </w:rPr>
          <w:instrText xml:space="preserve"> PAGEREF _Toc262100293 \h </w:instrText>
        </w:r>
        <w:r>
          <w:rPr>
            <w:noProof/>
            <w:webHidden/>
          </w:rPr>
          <w:fldChar w:fldCharType="separate"/>
        </w:r>
        <w:r>
          <w:rPr>
            <w:rFonts w:ascii="Calibri" w:hAnsi="Calibri"/>
            <w:color w:val="6E838A"/>
            <w:sz w:val="20"/>
            <w:noProof/>
            <w:webHidden/>
          </w:rPr>
          <w:t xml:space="preserve">78</w:t>
        </w:r>
        <w:r>
          <w:rPr>
            <w:noProof/>
            <w:webHidden/>
          </w:rPr>
          <w:fldChar w:fldCharType="end"/>
        </w:r>
      </w:hyperlink>
    </w:p>
    <w:p>
      <w:pPr>
        <w:pStyle w:val="TOC2"/>
      </w:pPr>
      <w:hyperlink w:anchor="_Toc262100294" w:history="1">
        <w:r>
          <w:rPr>
            <w:rFonts w:ascii="Calibri" w:hAnsi="Calibri"/>
            <w:color w:val="20262A"/>
            <w:sz w:val="20"/>
            <w:noProof/>
          </w:rPr>
          <w:t xml:space="preserve">D.2 Service Families and Rates (Table D-1)</w:t>
        </w:r>
        <w:r>
          <w:rPr>
            <w:noProof/>
            <w:webHidden/>
          </w:rPr>
          <w:tab/>
        </w:r>
        <w:r>
          <w:rPr>
            <w:noProof/>
            <w:webHidden/>
          </w:rPr>
          <w:fldChar w:fldCharType="begin"/>
        </w:r>
        <w:r>
          <w:rPr>
            <w:noProof/>
            <w:webHidden/>
          </w:rPr>
          <w:instrText xml:space="preserve"> PAGEREF _Toc262100294 \h </w:instrText>
        </w:r>
        <w:r>
          <w:rPr>
            <w:noProof/>
            <w:webHidden/>
          </w:rPr>
          <w:fldChar w:fldCharType="separate"/>
        </w:r>
        <w:r>
          <w:rPr>
            <w:rFonts w:ascii="Calibri" w:hAnsi="Calibri"/>
            <w:color w:val="6E838A"/>
            <w:sz w:val="20"/>
            <w:noProof/>
            <w:webHidden/>
          </w:rPr>
          <w:t xml:space="preserve">78</w:t>
        </w:r>
        <w:r>
          <w:rPr>
            <w:noProof/>
            <w:webHidden/>
          </w:rPr>
          <w:fldChar w:fldCharType="end"/>
        </w:r>
      </w:hyperlink>
    </w:p>
    <w:p>
      <w:pPr>
        <w:pStyle w:val="TOC2"/>
      </w:pPr>
      <w:hyperlink w:anchor="_Toc262100295" w:history="1">
        <w:r>
          <w:rPr>
            <w:rFonts w:ascii="Calibri" w:hAnsi="Calibri"/>
            <w:color w:val="20262A"/>
            <w:sz w:val="20"/>
            <w:noProof/>
          </w:rPr>
          <w:t xml:space="preserve">D.3 Evidence Rules</w:t>
        </w:r>
        <w:r>
          <w:rPr>
            <w:noProof/>
            <w:webHidden/>
          </w:rPr>
          <w:tab/>
        </w:r>
        <w:r>
          <w:rPr>
            <w:noProof/>
            <w:webHidden/>
          </w:rPr>
          <w:fldChar w:fldCharType="begin"/>
        </w:r>
        <w:r>
          <w:rPr>
            <w:noProof/>
            <w:webHidden/>
          </w:rPr>
          <w:instrText xml:space="preserve"> PAGEREF _Toc262100295 \h </w:instrText>
        </w:r>
        <w:r>
          <w:rPr>
            <w:noProof/>
            <w:webHidden/>
          </w:rPr>
          <w:fldChar w:fldCharType="separate"/>
        </w:r>
        <w:r>
          <w:rPr>
            <w:rFonts w:ascii="Calibri" w:hAnsi="Calibri"/>
            <w:color w:val="6E838A"/>
            <w:sz w:val="20"/>
            <w:noProof/>
            <w:webHidden/>
          </w:rPr>
          <w:t xml:space="preserve">78</w:t>
        </w:r>
        <w:r>
          <w:rPr>
            <w:noProof/>
            <w:webHidden/>
          </w:rPr>
          <w:fldChar w:fldCharType="end"/>
        </w:r>
      </w:hyperlink>
    </w:p>
    <w:p>
      <w:pPr>
        <w:pStyle w:val="TOC2"/>
      </w:pPr>
      <w:hyperlink w:anchor="_Toc262100296" w:history="1">
        <w:r>
          <w:rPr>
            <w:rFonts w:ascii="Calibri" w:hAnsi="Calibri"/>
            <w:color w:val="20262A"/>
            <w:sz w:val="20"/>
            <w:noProof/>
          </w:rPr>
          <w:t xml:space="preserve">D.4 Deduction Schedule (Table D-2)</w:t>
        </w:r>
        <w:r>
          <w:rPr>
            <w:noProof/>
            <w:webHidden/>
          </w:rPr>
          <w:tab/>
        </w:r>
        <w:r>
          <w:rPr>
            <w:noProof/>
            <w:webHidden/>
          </w:rPr>
          <w:fldChar w:fldCharType="begin"/>
        </w:r>
        <w:r>
          <w:rPr>
            <w:noProof/>
            <w:webHidden/>
          </w:rPr>
          <w:instrText xml:space="preserve"> PAGEREF _Toc262100296 \h </w:instrText>
        </w:r>
        <w:r>
          <w:rPr>
            <w:noProof/>
            <w:webHidden/>
          </w:rPr>
          <w:fldChar w:fldCharType="separate"/>
        </w:r>
        <w:r>
          <w:rPr>
            <w:rFonts w:ascii="Calibri" w:hAnsi="Calibri"/>
            <w:color w:val="6E838A"/>
            <w:sz w:val="20"/>
            <w:noProof/>
            <w:webHidden/>
          </w:rPr>
          <w:t xml:space="preserve">79</w:t>
        </w:r>
        <w:r>
          <w:rPr>
            <w:noProof/>
            <w:webHidden/>
          </w:rPr>
          <w:fldChar w:fldCharType="end"/>
        </w:r>
      </w:hyperlink>
    </w:p>
    <w:p>
      <w:pPr>
        <w:pStyle w:val="TOC2"/>
      </w:pPr>
      <w:hyperlink w:anchor="_Toc262100297" w:history="1">
        <w:r>
          <w:rPr>
            <w:rFonts w:ascii="Calibri" w:hAnsi="Calibri"/>
            <w:color w:val="20262A"/>
            <w:sz w:val="20"/>
            <w:noProof/>
          </w:rPr>
          <w:t xml:space="preserve">D.5 The Port Processing Add-On (Table D-3)</w:t>
        </w:r>
        <w:r>
          <w:rPr>
            <w:noProof/>
            <w:webHidden/>
          </w:rPr>
          <w:tab/>
        </w:r>
        <w:r>
          <w:rPr>
            <w:noProof/>
            <w:webHidden/>
          </w:rPr>
          <w:fldChar w:fldCharType="begin"/>
        </w:r>
        <w:r>
          <w:rPr>
            <w:noProof/>
            <w:webHidden/>
          </w:rPr>
          <w:instrText xml:space="preserve"> PAGEREF _Toc262100297 \h </w:instrText>
        </w:r>
        <w:r>
          <w:rPr>
            <w:noProof/>
            <w:webHidden/>
          </w:rPr>
          <w:fldChar w:fldCharType="separate"/>
        </w:r>
        <w:r>
          <w:rPr>
            <w:rFonts w:ascii="Calibri" w:hAnsi="Calibri"/>
            <w:color w:val="6E838A"/>
            <w:sz w:val="20"/>
            <w:noProof/>
            <w:webHidden/>
          </w:rPr>
          <w:t xml:space="preserve">79</w:t>
        </w:r>
        <w:r>
          <w:rPr>
            <w:noProof/>
            <w:webHidden/>
          </w:rPr>
          <w:fldChar w:fldCharType="end"/>
        </w:r>
      </w:hyperlink>
    </w:p>
    <w:p>
      <w:pPr>
        <w:pStyle w:val="TOC2"/>
      </w:pPr>
      <w:hyperlink w:anchor="_Toc262100298" w:history="1">
        <w:r>
          <w:rPr>
            <w:rFonts w:ascii="Calibri" w:hAnsi="Calibri"/>
            <w:color w:val="20262A"/>
            <w:sz w:val="20"/>
            <w:noProof/>
          </w:rPr>
          <w:t xml:space="preserve">D.6 The Humanitarian Rule</w:t>
        </w:r>
        <w:r>
          <w:rPr>
            <w:noProof/>
            <w:webHidden/>
          </w:rPr>
          <w:tab/>
        </w:r>
        <w:r>
          <w:rPr>
            <w:noProof/>
            <w:webHidden/>
          </w:rPr>
          <w:fldChar w:fldCharType="begin"/>
        </w:r>
        <w:r>
          <w:rPr>
            <w:noProof/>
            <w:webHidden/>
          </w:rPr>
          <w:instrText xml:space="preserve"> PAGEREF _Toc262100298 \h </w:instrText>
        </w:r>
        <w:r>
          <w:rPr>
            <w:noProof/>
            <w:webHidden/>
          </w:rPr>
          <w:fldChar w:fldCharType="separate"/>
        </w:r>
        <w:r>
          <w:rPr>
            <w:rFonts w:ascii="Calibri" w:hAnsi="Calibri"/>
            <w:color w:val="6E838A"/>
            <w:sz w:val="20"/>
            <w:noProof/>
            <w:webHidden/>
          </w:rPr>
          <w:t xml:space="preserve">79</w:t>
        </w:r>
        <w:r>
          <w:rPr>
            <w:noProof/>
            <w:webHidden/>
          </w:rPr>
          <w:fldChar w:fldCharType="end"/>
        </w:r>
      </w:hyperlink>
    </w:p>
    <w:p>
      <w:pPr>
        <w:pStyle w:val="TOC1"/>
      </w:pPr>
      <w:hyperlink w:anchor="_Toc262100299" w:history="1">
        <w:r>
          <w:rPr>
            <w:rFonts w:ascii="Calibri" w:hAnsi="Calibri"/>
            <w:b/>
            <w:color w:val="1D4E5F"/>
            <w:sz w:val="21"/>
            <w:noProof/>
          </w:rPr>
          <w:t xml:space="preserve">Annex E: The Route Assurance Data Service: Products, Bands, and Service Levels</w:t>
        </w:r>
        <w:r>
          <w:rPr>
            <w:noProof/>
            <w:webHidden/>
          </w:rPr>
          <w:tab/>
        </w:r>
        <w:r>
          <w:rPr>
            <w:noProof/>
            <w:webHidden/>
          </w:rPr>
          <w:fldChar w:fldCharType="begin"/>
        </w:r>
        <w:r>
          <w:rPr>
            <w:noProof/>
            <w:webHidden/>
          </w:rPr>
          <w:instrText xml:space="preserve"> PAGEREF _Toc262100299 \h </w:instrText>
        </w:r>
        <w:r>
          <w:rPr>
            <w:noProof/>
            <w:webHidden/>
          </w:rPr>
          <w:fldChar w:fldCharType="separate"/>
        </w:r>
        <w:r>
          <w:rPr>
            <w:rFonts w:ascii="Calibri" w:hAnsi="Calibri"/>
            <w:color w:val="6E838A"/>
            <w:sz w:val="20"/>
            <w:noProof/>
            <w:webHidden/>
          </w:rPr>
          <w:t xml:space="preserve">80</w:t>
        </w:r>
        <w:r>
          <w:rPr>
            <w:noProof/>
            <w:webHidden/>
          </w:rPr>
          <w:fldChar w:fldCharType="end"/>
        </w:r>
      </w:hyperlink>
    </w:p>
    <w:p>
      <w:pPr>
        <w:pStyle w:val="TOC2"/>
      </w:pPr>
      <w:hyperlink w:anchor="_Toc262100300" w:history="1">
        <w:r>
          <w:rPr>
            <w:rFonts w:ascii="Calibri" w:hAnsi="Calibri"/>
            <w:color w:val="20262A"/>
            <w:sz w:val="20"/>
            <w:noProof/>
          </w:rPr>
          <w:t xml:space="preserve">E.1 The Four Offers</w:t>
        </w:r>
        <w:r>
          <w:rPr>
            <w:noProof/>
            <w:webHidden/>
          </w:rPr>
          <w:tab/>
        </w:r>
        <w:r>
          <w:rPr>
            <w:noProof/>
            <w:webHidden/>
          </w:rPr>
          <w:fldChar w:fldCharType="begin"/>
        </w:r>
        <w:r>
          <w:rPr>
            <w:noProof/>
            <w:webHidden/>
          </w:rPr>
          <w:instrText xml:space="preserve"> PAGEREF _Toc262100300 \h </w:instrText>
        </w:r>
        <w:r>
          <w:rPr>
            <w:noProof/>
            <w:webHidden/>
          </w:rPr>
          <w:fldChar w:fldCharType="separate"/>
        </w:r>
        <w:r>
          <w:rPr>
            <w:rFonts w:ascii="Calibri" w:hAnsi="Calibri"/>
            <w:color w:val="6E838A"/>
            <w:sz w:val="20"/>
            <w:noProof/>
            <w:webHidden/>
          </w:rPr>
          <w:t xml:space="preserve">80</w:t>
        </w:r>
        <w:r>
          <w:rPr>
            <w:noProof/>
            <w:webHidden/>
          </w:rPr>
          <w:fldChar w:fldCharType="end"/>
        </w:r>
      </w:hyperlink>
    </w:p>
    <w:p>
      <w:pPr>
        <w:pStyle w:val="TOC2"/>
      </w:pPr>
      <w:hyperlink w:anchor="_Toc262100301" w:history="1">
        <w:r>
          <w:rPr>
            <w:rFonts w:ascii="Calibri" w:hAnsi="Calibri"/>
            <w:color w:val="20262A"/>
            <w:sz w:val="20"/>
            <w:noProof/>
          </w:rPr>
          <w:t xml:space="preserve">E.2 Subscription Bands (Table E-1)</w:t>
        </w:r>
        <w:r>
          <w:rPr>
            <w:noProof/>
            <w:webHidden/>
          </w:rPr>
          <w:tab/>
        </w:r>
        <w:r>
          <w:rPr>
            <w:noProof/>
            <w:webHidden/>
          </w:rPr>
          <w:fldChar w:fldCharType="begin"/>
        </w:r>
        <w:r>
          <w:rPr>
            <w:noProof/>
            <w:webHidden/>
          </w:rPr>
          <w:instrText xml:space="preserve"> PAGEREF _Toc262100301 \h </w:instrText>
        </w:r>
        <w:r>
          <w:rPr>
            <w:noProof/>
            <w:webHidden/>
          </w:rPr>
          <w:fldChar w:fldCharType="separate"/>
        </w:r>
        <w:r>
          <w:rPr>
            <w:rFonts w:ascii="Calibri" w:hAnsi="Calibri"/>
            <w:color w:val="6E838A"/>
            <w:sz w:val="20"/>
            <w:noProof/>
            <w:webHidden/>
          </w:rPr>
          <w:t xml:space="preserve">80</w:t>
        </w:r>
        <w:r>
          <w:rPr>
            <w:noProof/>
            <w:webHidden/>
          </w:rPr>
          <w:fldChar w:fldCharType="end"/>
        </w:r>
      </w:hyperlink>
    </w:p>
    <w:p>
      <w:pPr>
        <w:pStyle w:val="TOC2"/>
      </w:pPr>
      <w:hyperlink w:anchor="_Toc262100302" w:history="1">
        <w:r>
          <w:rPr>
            <w:rFonts w:ascii="Calibri" w:hAnsi="Calibri"/>
            <w:color w:val="20262A"/>
            <w:sz w:val="20"/>
            <w:noProof/>
          </w:rPr>
          <w:t xml:space="preserve">E.3 Service Levels (Table E-2)</w:t>
        </w:r>
        <w:r>
          <w:rPr>
            <w:noProof/>
            <w:webHidden/>
          </w:rPr>
          <w:tab/>
        </w:r>
        <w:r>
          <w:rPr>
            <w:noProof/>
            <w:webHidden/>
          </w:rPr>
          <w:fldChar w:fldCharType="begin"/>
        </w:r>
        <w:r>
          <w:rPr>
            <w:noProof/>
            <w:webHidden/>
          </w:rPr>
          <w:instrText xml:space="preserve"> PAGEREF _Toc262100302 \h </w:instrText>
        </w:r>
        <w:r>
          <w:rPr>
            <w:noProof/>
            <w:webHidden/>
          </w:rPr>
          <w:fldChar w:fldCharType="separate"/>
        </w:r>
        <w:r>
          <w:rPr>
            <w:rFonts w:ascii="Calibri" w:hAnsi="Calibri"/>
            <w:color w:val="6E838A"/>
            <w:sz w:val="20"/>
            <w:noProof/>
            <w:webHidden/>
          </w:rPr>
          <w:t xml:space="preserve">81</w:t>
        </w:r>
        <w:r>
          <w:rPr>
            <w:noProof/>
            <w:webHidden/>
          </w:rPr>
          <w:fldChar w:fldCharType="end"/>
        </w:r>
      </w:hyperlink>
    </w:p>
    <w:p>
      <w:pPr>
        <w:pStyle w:val="TOC2"/>
      </w:pPr>
      <w:hyperlink w:anchor="_Toc262100303" w:history="1">
        <w:r>
          <w:rPr>
            <w:rFonts w:ascii="Calibri" w:hAnsi="Calibri"/>
            <w:color w:val="20262A"/>
            <w:sz w:val="20"/>
            <w:noProof/>
          </w:rPr>
          <w:t xml:space="preserve">E.4 The Public Layer</w:t>
        </w:r>
        <w:r>
          <w:rPr>
            <w:noProof/>
            <w:webHidden/>
          </w:rPr>
          <w:tab/>
        </w:r>
        <w:r>
          <w:rPr>
            <w:noProof/>
            <w:webHidden/>
          </w:rPr>
          <w:fldChar w:fldCharType="begin"/>
        </w:r>
        <w:r>
          <w:rPr>
            <w:noProof/>
            <w:webHidden/>
          </w:rPr>
          <w:instrText xml:space="preserve"> PAGEREF _Toc262100303 \h </w:instrText>
        </w:r>
        <w:r>
          <w:rPr>
            <w:noProof/>
            <w:webHidden/>
          </w:rPr>
          <w:fldChar w:fldCharType="separate"/>
        </w:r>
        <w:r>
          <w:rPr>
            <w:rFonts w:ascii="Calibri" w:hAnsi="Calibri"/>
            <w:color w:val="6E838A"/>
            <w:sz w:val="20"/>
            <w:noProof/>
            <w:webHidden/>
          </w:rPr>
          <w:t xml:space="preserve">81</w:t>
        </w:r>
        <w:r>
          <w:rPr>
            <w:noProof/>
            <w:webHidden/>
          </w:rPr>
          <w:fldChar w:fldCharType="end"/>
        </w:r>
      </w:hyperlink>
    </w:p>
    <w:p>
      <w:pPr>
        <w:pStyle w:val="TOC2"/>
      </w:pPr>
      <w:hyperlink w:anchor="_Toc262100304" w:history="1">
        <w:r>
          <w:rPr>
            <w:rFonts w:ascii="Calibri" w:hAnsi="Calibri"/>
            <w:color w:val="20262A"/>
            <w:sz w:val="20"/>
            <w:noProof/>
          </w:rPr>
          <w:t xml:space="preserve">E.5 The Premium Dividend Mechanics</w:t>
        </w:r>
        <w:r>
          <w:rPr>
            <w:noProof/>
            <w:webHidden/>
          </w:rPr>
          <w:tab/>
        </w:r>
        <w:r>
          <w:rPr>
            <w:noProof/>
            <w:webHidden/>
          </w:rPr>
          <w:fldChar w:fldCharType="begin"/>
        </w:r>
        <w:r>
          <w:rPr>
            <w:noProof/>
            <w:webHidden/>
          </w:rPr>
          <w:instrText xml:space="preserve"> PAGEREF _Toc262100304 \h </w:instrText>
        </w:r>
        <w:r>
          <w:rPr>
            <w:noProof/>
            <w:webHidden/>
          </w:rPr>
          <w:fldChar w:fldCharType="separate"/>
        </w:r>
        <w:r>
          <w:rPr>
            <w:rFonts w:ascii="Calibri" w:hAnsi="Calibri"/>
            <w:color w:val="6E838A"/>
            <w:sz w:val="20"/>
            <w:noProof/>
            <w:webHidden/>
          </w:rPr>
          <w:t xml:space="preserve">81</w:t>
        </w:r>
        <w:r>
          <w:rPr>
            <w:noProof/>
            <w:webHidden/>
          </w:rPr>
          <w:fldChar w:fldCharType="end"/>
        </w:r>
      </w:hyperlink>
    </w:p>
    <w:p>
      <w:pPr>
        <w:pStyle w:val="TOC2"/>
      </w:pPr>
      <w:hyperlink w:anchor="_Toc262100305" w:history="1">
        <w:r>
          <w:rPr>
            <w:rFonts w:ascii="Calibri" w:hAnsi="Calibri"/>
            <w:color w:val="20262A"/>
            <w:sz w:val="20"/>
            <w:noProof/>
          </w:rPr>
          <w:t xml:space="preserve">E.6 The Green Discount</w:t>
        </w:r>
        <w:r>
          <w:rPr>
            <w:noProof/>
            <w:webHidden/>
          </w:rPr>
          <w:tab/>
        </w:r>
        <w:r>
          <w:rPr>
            <w:noProof/>
            <w:webHidden/>
          </w:rPr>
          <w:fldChar w:fldCharType="begin"/>
        </w:r>
        <w:r>
          <w:rPr>
            <w:noProof/>
            <w:webHidden/>
          </w:rPr>
          <w:instrText xml:space="preserve"> PAGEREF _Toc262100305 \h </w:instrText>
        </w:r>
        <w:r>
          <w:rPr>
            <w:noProof/>
            <w:webHidden/>
          </w:rPr>
          <w:fldChar w:fldCharType="separate"/>
        </w:r>
        <w:r>
          <w:rPr>
            <w:rFonts w:ascii="Calibri" w:hAnsi="Calibri"/>
            <w:color w:val="6E838A"/>
            <w:sz w:val="20"/>
            <w:noProof/>
            <w:webHidden/>
          </w:rPr>
          <w:t xml:space="preserve">81</w:t>
        </w:r>
        <w:r>
          <w:rPr>
            <w:noProof/>
            <w:webHidden/>
          </w:rPr>
          <w:fldChar w:fldCharType="end"/>
        </w:r>
      </w:hyperlink>
    </w:p>
    <w:p>
      <w:pPr>
        <w:pStyle w:val="TOC1"/>
      </w:pPr>
      <w:hyperlink w:anchor="_Toc262100306" w:history="1">
        <w:r>
          <w:rPr>
            <w:rFonts w:ascii="Calibri" w:hAnsi="Calibri"/>
            <w:b/>
            <w:color w:val="1D4E5F"/>
            <w:sz w:val="21"/>
            <w:noProof/>
          </w:rPr>
          <w:t xml:space="preserve">Annex F: Escrow Fund Operating Rules and Worked Financial Examples</w:t>
        </w:r>
        <w:r>
          <w:rPr>
            <w:noProof/>
            <w:webHidden/>
          </w:rPr>
          <w:tab/>
        </w:r>
        <w:r>
          <w:rPr>
            <w:noProof/>
            <w:webHidden/>
          </w:rPr>
          <w:fldChar w:fldCharType="begin"/>
        </w:r>
        <w:r>
          <w:rPr>
            <w:noProof/>
            <w:webHidden/>
          </w:rPr>
          <w:instrText xml:space="preserve"> PAGEREF _Toc262100306 \h </w:instrText>
        </w:r>
        <w:r>
          <w:rPr>
            <w:noProof/>
            <w:webHidden/>
          </w:rPr>
          <w:fldChar w:fldCharType="separate"/>
        </w:r>
        <w:r>
          <w:rPr>
            <w:rFonts w:ascii="Calibri" w:hAnsi="Calibri"/>
            <w:color w:val="6E838A"/>
            <w:sz w:val="20"/>
            <w:noProof/>
            <w:webHidden/>
          </w:rPr>
          <w:t xml:space="preserve">82</w:t>
        </w:r>
        <w:r>
          <w:rPr>
            <w:noProof/>
            <w:webHidden/>
          </w:rPr>
          <w:fldChar w:fldCharType="end"/>
        </w:r>
      </w:hyperlink>
    </w:p>
    <w:p>
      <w:pPr>
        <w:pStyle w:val="TOC2"/>
      </w:pPr>
      <w:hyperlink w:anchor="_Toc262100307" w:history="1">
        <w:r>
          <w:rPr>
            <w:rFonts w:ascii="Calibri" w:hAnsi="Calibri"/>
            <w:color w:val="20262A"/>
            <w:sz w:val="20"/>
            <w:noProof/>
          </w:rPr>
          <w:t xml:space="preserve">F.1 The Account Structure</w:t>
        </w:r>
        <w:r>
          <w:rPr>
            <w:noProof/>
            <w:webHidden/>
          </w:rPr>
          <w:tab/>
        </w:r>
        <w:r>
          <w:rPr>
            <w:noProof/>
            <w:webHidden/>
          </w:rPr>
          <w:fldChar w:fldCharType="begin"/>
        </w:r>
        <w:r>
          <w:rPr>
            <w:noProof/>
            <w:webHidden/>
          </w:rPr>
          <w:instrText xml:space="preserve"> PAGEREF _Toc262100307 \h </w:instrText>
        </w:r>
        <w:r>
          <w:rPr>
            <w:noProof/>
            <w:webHidden/>
          </w:rPr>
          <w:fldChar w:fldCharType="separate"/>
        </w:r>
        <w:r>
          <w:rPr>
            <w:rFonts w:ascii="Calibri" w:hAnsi="Calibri"/>
            <w:color w:val="6E838A"/>
            <w:sz w:val="20"/>
            <w:noProof/>
            <w:webHidden/>
          </w:rPr>
          <w:t xml:space="preserve">82</w:t>
        </w:r>
        <w:r>
          <w:rPr>
            <w:noProof/>
            <w:webHidden/>
          </w:rPr>
          <w:fldChar w:fldCharType="end"/>
        </w:r>
      </w:hyperlink>
    </w:p>
    <w:p>
      <w:pPr>
        <w:pStyle w:val="TOC2"/>
      </w:pPr>
      <w:hyperlink w:anchor="_Toc262100308" w:history="1">
        <w:r>
          <w:rPr>
            <w:rFonts w:ascii="Calibri" w:hAnsi="Calibri"/>
            <w:color w:val="20262A"/>
            <w:sz w:val="20"/>
            <w:noProof/>
          </w:rPr>
          <w:t xml:space="preserve">F.2 The Allocation Table</w:t>
        </w:r>
        <w:r>
          <w:rPr>
            <w:noProof/>
            <w:webHidden/>
          </w:rPr>
          <w:tab/>
        </w:r>
        <w:r>
          <w:rPr>
            <w:noProof/>
            <w:webHidden/>
          </w:rPr>
          <w:fldChar w:fldCharType="begin"/>
        </w:r>
        <w:r>
          <w:rPr>
            <w:noProof/>
            <w:webHidden/>
          </w:rPr>
          <w:instrText xml:space="preserve"> PAGEREF _Toc262100308 \h </w:instrText>
        </w:r>
        <w:r>
          <w:rPr>
            <w:noProof/>
            <w:webHidden/>
          </w:rPr>
          <w:fldChar w:fldCharType="separate"/>
        </w:r>
        <w:r>
          <w:rPr>
            <w:rFonts w:ascii="Calibri" w:hAnsi="Calibri"/>
            <w:color w:val="6E838A"/>
            <w:sz w:val="20"/>
            <w:noProof/>
            <w:webHidden/>
          </w:rPr>
          <w:t xml:space="preserve">82</w:t>
        </w:r>
        <w:r>
          <w:rPr>
            <w:noProof/>
            <w:webHidden/>
          </w:rPr>
          <w:fldChar w:fldCharType="end"/>
        </w:r>
      </w:hyperlink>
    </w:p>
    <w:p>
      <w:pPr>
        <w:pStyle w:val="TOC2"/>
      </w:pPr>
      <w:hyperlink w:anchor="_Toc262100309" w:history="1">
        <w:r>
          <w:rPr>
            <w:rFonts w:ascii="Calibri" w:hAnsi="Calibri"/>
            <w:color w:val="20262A"/>
            <w:sz w:val="20"/>
            <w:noProof/>
          </w:rPr>
          <w:t xml:space="preserve">F.3 Collection Flows</w:t>
        </w:r>
        <w:r>
          <w:rPr>
            <w:noProof/>
            <w:webHidden/>
          </w:rPr>
          <w:tab/>
        </w:r>
        <w:r>
          <w:rPr>
            <w:noProof/>
            <w:webHidden/>
          </w:rPr>
          <w:fldChar w:fldCharType="begin"/>
        </w:r>
        <w:r>
          <w:rPr>
            <w:noProof/>
            <w:webHidden/>
          </w:rPr>
          <w:instrText xml:space="preserve"> PAGEREF _Toc262100309 \h </w:instrText>
        </w:r>
        <w:r>
          <w:rPr>
            <w:noProof/>
            <w:webHidden/>
          </w:rPr>
          <w:fldChar w:fldCharType="separate"/>
        </w:r>
        <w:r>
          <w:rPr>
            <w:rFonts w:ascii="Calibri" w:hAnsi="Calibri"/>
            <w:color w:val="6E838A"/>
            <w:sz w:val="20"/>
            <w:noProof/>
            <w:webHidden/>
          </w:rPr>
          <w:t xml:space="preserve">83</w:t>
        </w:r>
        <w:r>
          <w:rPr>
            <w:noProof/>
            <w:webHidden/>
          </w:rPr>
          <w:fldChar w:fldCharType="end"/>
        </w:r>
      </w:hyperlink>
    </w:p>
    <w:p>
      <w:pPr>
        <w:pStyle w:val="TOC2"/>
      </w:pPr>
      <w:hyperlink w:anchor="_Toc262100310" w:history="1">
        <w:r>
          <w:rPr>
            <w:rFonts w:ascii="Calibri" w:hAnsi="Calibri"/>
            <w:color w:val="20262A"/>
            <w:sz w:val="20"/>
            <w:noProof/>
          </w:rPr>
          <w:t xml:space="preserve">F.4 The Distribution Calendar</w:t>
        </w:r>
        <w:r>
          <w:rPr>
            <w:noProof/>
            <w:webHidden/>
          </w:rPr>
          <w:tab/>
        </w:r>
        <w:r>
          <w:rPr>
            <w:noProof/>
            <w:webHidden/>
          </w:rPr>
          <w:fldChar w:fldCharType="begin"/>
        </w:r>
        <w:r>
          <w:rPr>
            <w:noProof/>
            <w:webHidden/>
          </w:rPr>
          <w:instrText xml:space="preserve"> PAGEREF _Toc262100310 \h </w:instrText>
        </w:r>
        <w:r>
          <w:rPr>
            <w:noProof/>
            <w:webHidden/>
          </w:rPr>
          <w:fldChar w:fldCharType="separate"/>
        </w:r>
        <w:r>
          <w:rPr>
            <w:rFonts w:ascii="Calibri" w:hAnsi="Calibri"/>
            <w:color w:val="6E838A"/>
            <w:sz w:val="20"/>
            <w:noProof/>
            <w:webHidden/>
          </w:rPr>
          <w:t xml:space="preserve">83</w:t>
        </w:r>
        <w:r>
          <w:rPr>
            <w:noProof/>
            <w:webHidden/>
          </w:rPr>
          <w:fldChar w:fldCharType="end"/>
        </w:r>
      </w:hyperlink>
    </w:p>
    <w:p>
      <w:pPr>
        <w:pStyle w:val="TOC2"/>
      </w:pPr>
      <w:hyperlink w:anchor="_Toc262100311" w:history="1">
        <w:r>
          <w:rPr>
            <w:rFonts w:ascii="Calibri" w:hAnsi="Calibri"/>
            <w:color w:val="20262A"/>
            <w:sz w:val="20"/>
            <w:noProof/>
          </w:rPr>
          <w:t xml:space="preserve">F.5 The Sanctions-Compliance Firewall (Rules F-1 to F-10)</w:t>
        </w:r>
        <w:r>
          <w:rPr>
            <w:noProof/>
            <w:webHidden/>
          </w:rPr>
          <w:tab/>
        </w:r>
        <w:r>
          <w:rPr>
            <w:noProof/>
            <w:webHidden/>
          </w:rPr>
          <w:fldChar w:fldCharType="begin"/>
        </w:r>
        <w:r>
          <w:rPr>
            <w:noProof/>
            <w:webHidden/>
          </w:rPr>
          <w:instrText xml:space="preserve"> PAGEREF _Toc262100311 \h </w:instrText>
        </w:r>
        <w:r>
          <w:rPr>
            <w:noProof/>
            <w:webHidden/>
          </w:rPr>
          <w:fldChar w:fldCharType="separate"/>
        </w:r>
        <w:r>
          <w:rPr>
            <w:rFonts w:ascii="Calibri" w:hAnsi="Calibri"/>
            <w:color w:val="6E838A"/>
            <w:sz w:val="20"/>
            <w:noProof/>
            <w:webHidden/>
          </w:rPr>
          <w:t xml:space="preserve">83</w:t>
        </w:r>
        <w:r>
          <w:rPr>
            <w:noProof/>
            <w:webHidden/>
          </w:rPr>
          <w:fldChar w:fldCharType="end"/>
        </w:r>
      </w:hyperlink>
    </w:p>
    <w:p>
      <w:pPr>
        <w:pStyle w:val="TOC2"/>
      </w:pPr>
      <w:hyperlink w:anchor="_Toc262100312" w:history="1">
        <w:r>
          <w:rPr>
            <w:rFonts w:ascii="Calibri" w:hAnsi="Calibri"/>
            <w:color w:val="20262A"/>
            <w:sz w:val="20"/>
            <w:noProof/>
          </w:rPr>
          <w:t xml:space="preserve">F.6 The Audit Protocol</w:t>
        </w:r>
        <w:r>
          <w:rPr>
            <w:noProof/>
            <w:webHidden/>
          </w:rPr>
          <w:tab/>
        </w:r>
        <w:r>
          <w:rPr>
            <w:noProof/>
            <w:webHidden/>
          </w:rPr>
          <w:fldChar w:fldCharType="begin"/>
        </w:r>
        <w:r>
          <w:rPr>
            <w:noProof/>
            <w:webHidden/>
          </w:rPr>
          <w:instrText xml:space="preserve"> PAGEREF _Toc262100312 \h </w:instrText>
        </w:r>
        <w:r>
          <w:rPr>
            <w:noProof/>
            <w:webHidden/>
          </w:rPr>
          <w:fldChar w:fldCharType="separate"/>
        </w:r>
        <w:r>
          <w:rPr>
            <w:rFonts w:ascii="Calibri" w:hAnsi="Calibri"/>
            <w:color w:val="6E838A"/>
            <w:sz w:val="20"/>
            <w:noProof/>
            <w:webHidden/>
          </w:rPr>
          <w:t xml:space="preserve">84</w:t>
        </w:r>
        <w:r>
          <w:rPr>
            <w:noProof/>
            <w:webHidden/>
          </w:rPr>
          <w:fldChar w:fldCharType="end"/>
        </w:r>
      </w:hyperlink>
    </w:p>
    <w:p>
      <w:pPr>
        <w:pStyle w:val="TOC2"/>
      </w:pPr>
      <w:hyperlink w:anchor="_Toc262100313" w:history="1">
        <w:r>
          <w:rPr>
            <w:rFonts w:ascii="Calibri" w:hAnsi="Calibri"/>
            <w:color w:val="20262A"/>
            <w:sz w:val="20"/>
            <w:noProof/>
          </w:rPr>
          <w:t xml:space="preserve">F.7 Worked Financial Examples</w:t>
        </w:r>
        <w:r>
          <w:rPr>
            <w:noProof/>
            <w:webHidden/>
          </w:rPr>
          <w:tab/>
        </w:r>
        <w:r>
          <w:rPr>
            <w:noProof/>
            <w:webHidden/>
          </w:rPr>
          <w:fldChar w:fldCharType="begin"/>
        </w:r>
        <w:r>
          <w:rPr>
            <w:noProof/>
            <w:webHidden/>
          </w:rPr>
          <w:instrText xml:space="preserve"> PAGEREF _Toc262100313 \h </w:instrText>
        </w:r>
        <w:r>
          <w:rPr>
            <w:noProof/>
            <w:webHidden/>
          </w:rPr>
          <w:fldChar w:fldCharType="separate"/>
        </w:r>
        <w:r>
          <w:rPr>
            <w:rFonts w:ascii="Calibri" w:hAnsi="Calibri"/>
            <w:color w:val="6E838A"/>
            <w:sz w:val="20"/>
            <w:noProof/>
            <w:webHidden/>
          </w:rPr>
          <w:t xml:space="preserve">84</w:t>
        </w:r>
        <w:r>
          <w:rPr>
            <w:noProof/>
            <w:webHidden/>
          </w:rPr>
          <w:fldChar w:fldCharType="end"/>
        </w:r>
      </w:hyperlink>
    </w:p>
    <w:p>
      <w:pPr>
        <w:pStyle w:val="TOC3"/>
      </w:pPr>
      <w:hyperlink w:anchor="_Toc262100314" w:history="1">
        <w:r>
          <w:rPr>
            <w:rFonts w:ascii="Calibri" w:hAnsi="Calibri"/>
            <w:color w:val="20262A"/>
            <w:sz w:val="20"/>
            <w:noProof/>
          </w:rPr>
          <w:t xml:space="preserve">F.7.1 Vessel-Level Example: One Laden VLCC Round Voyage</w:t>
        </w:r>
        <w:r>
          <w:rPr>
            <w:noProof/>
            <w:webHidden/>
          </w:rPr>
          <w:tab/>
        </w:r>
        <w:r>
          <w:rPr>
            <w:noProof/>
            <w:webHidden/>
          </w:rPr>
          <w:fldChar w:fldCharType="begin"/>
        </w:r>
        <w:r>
          <w:rPr>
            <w:noProof/>
            <w:webHidden/>
          </w:rPr>
          <w:instrText xml:space="preserve"> PAGEREF _Toc262100314 \h </w:instrText>
        </w:r>
        <w:r>
          <w:rPr>
            <w:noProof/>
            <w:webHidden/>
          </w:rPr>
          <w:fldChar w:fldCharType="separate"/>
        </w:r>
        <w:r>
          <w:rPr>
            <w:rFonts w:ascii="Calibri" w:hAnsi="Calibri"/>
            <w:color w:val="6E838A"/>
            <w:sz w:val="20"/>
            <w:noProof/>
            <w:webHidden/>
          </w:rPr>
          <w:t xml:space="preserve">84</w:t>
        </w:r>
        <w:r>
          <w:rPr>
            <w:noProof/>
            <w:webHidden/>
          </w:rPr>
          <w:fldChar w:fldCharType="end"/>
        </w:r>
      </w:hyperlink>
    </w:p>
    <w:p>
      <w:pPr>
        <w:pStyle w:val="TOC3"/>
      </w:pPr>
      <w:hyperlink w:anchor="_Toc262100315" w:history="1">
        <w:r>
          <w:rPr>
            <w:rFonts w:ascii="Calibri" w:hAnsi="Calibri"/>
            <w:color w:val="20262A"/>
            <w:sz w:val="20"/>
            <w:noProof/>
          </w:rPr>
          <w:t xml:space="preserve">F.7.2 Fund-Level Example: The First Full Operating Year (Illustrative Volumes)</w:t>
        </w:r>
        <w:r>
          <w:rPr>
            <w:noProof/>
            <w:webHidden/>
          </w:rPr>
          <w:tab/>
        </w:r>
        <w:r>
          <w:rPr>
            <w:noProof/>
            <w:webHidden/>
          </w:rPr>
          <w:fldChar w:fldCharType="begin"/>
        </w:r>
        <w:r>
          <w:rPr>
            <w:noProof/>
            <w:webHidden/>
          </w:rPr>
          <w:instrText xml:space="preserve"> PAGEREF _Toc262100315 \h </w:instrText>
        </w:r>
        <w:r>
          <w:rPr>
            <w:noProof/>
            <w:webHidden/>
          </w:rPr>
          <w:fldChar w:fldCharType="separate"/>
        </w:r>
        <w:r>
          <w:rPr>
            <w:rFonts w:ascii="Calibri" w:hAnsi="Calibri"/>
            <w:color w:val="6E838A"/>
            <w:sz w:val="20"/>
            <w:noProof/>
            <w:webHidden/>
          </w:rPr>
          <w:t xml:space="preserve">84</w:t>
        </w:r>
        <w:r>
          <w:rPr>
            <w:noProof/>
            <w:webHidden/>
          </w:rPr>
          <w:fldChar w:fldCharType="end"/>
        </w:r>
      </w:hyperlink>
    </w:p>
    <w:p>
      <w:pPr>
        <w:pStyle w:val="TOC1"/>
      </w:pPr>
      <w:hyperlink w:anchor="_Toc262100316" w:history="1">
        <w:r>
          <w:rPr>
            <w:rFonts w:ascii="Calibri" w:hAnsi="Calibri"/>
            <w:b/>
            <w:color w:val="1D4E5F"/>
            <w:sz w:val="21"/>
            <w:noProof/>
          </w:rPr>
          <w:t xml:space="preserve">Annex G: The Twin Key Concurrence Matrix</w:t>
        </w:r>
        <w:r>
          <w:rPr>
            <w:noProof/>
            <w:webHidden/>
          </w:rPr>
          <w:tab/>
        </w:r>
        <w:r>
          <w:rPr>
            <w:noProof/>
            <w:webHidden/>
          </w:rPr>
          <w:fldChar w:fldCharType="begin"/>
        </w:r>
        <w:r>
          <w:rPr>
            <w:noProof/>
            <w:webHidden/>
          </w:rPr>
          <w:instrText xml:space="preserve"> PAGEREF _Toc262100316 \h </w:instrText>
        </w:r>
        <w:r>
          <w:rPr>
            <w:noProof/>
            <w:webHidden/>
          </w:rPr>
          <w:fldChar w:fldCharType="separate"/>
        </w:r>
        <w:r>
          <w:rPr>
            <w:rFonts w:ascii="Calibri" w:hAnsi="Calibri"/>
            <w:color w:val="6E838A"/>
            <w:sz w:val="20"/>
            <w:noProof/>
            <w:webHidden/>
          </w:rPr>
          <w:t xml:space="preserve">86</w:t>
        </w:r>
        <w:r>
          <w:rPr>
            <w:noProof/>
            <w:webHidden/>
          </w:rPr>
          <w:fldChar w:fldCharType="end"/>
        </w:r>
      </w:hyperlink>
    </w:p>
    <w:p>
      <w:pPr>
        <w:pStyle w:val="TOC2"/>
      </w:pPr>
      <w:hyperlink w:anchor="_Toc262100317" w:history="1">
        <w:r>
          <w:rPr>
            <w:rFonts w:ascii="Calibri" w:hAnsi="Calibri"/>
            <w:color w:val="20262A"/>
            <w:sz w:val="20"/>
            <w:noProof/>
          </w:rPr>
          <w:t xml:space="preserve">G.1 The Consequential Actions Register</w:t>
        </w:r>
        <w:r>
          <w:rPr>
            <w:noProof/>
            <w:webHidden/>
          </w:rPr>
          <w:tab/>
        </w:r>
        <w:r>
          <w:rPr>
            <w:noProof/>
            <w:webHidden/>
          </w:rPr>
          <w:fldChar w:fldCharType="begin"/>
        </w:r>
        <w:r>
          <w:rPr>
            <w:noProof/>
            <w:webHidden/>
          </w:rPr>
          <w:instrText xml:space="preserve"> PAGEREF _Toc262100317 \h </w:instrText>
        </w:r>
        <w:r>
          <w:rPr>
            <w:noProof/>
            <w:webHidden/>
          </w:rPr>
          <w:fldChar w:fldCharType="separate"/>
        </w:r>
        <w:r>
          <w:rPr>
            <w:rFonts w:ascii="Calibri" w:hAnsi="Calibri"/>
            <w:color w:val="6E838A"/>
            <w:sz w:val="20"/>
            <w:noProof/>
            <w:webHidden/>
          </w:rPr>
          <w:t xml:space="preserve">86</w:t>
        </w:r>
        <w:r>
          <w:rPr>
            <w:noProof/>
            <w:webHidden/>
          </w:rPr>
          <w:fldChar w:fldCharType="end"/>
        </w:r>
      </w:hyperlink>
    </w:p>
    <w:p>
      <w:pPr>
        <w:pStyle w:val="TOC2"/>
      </w:pPr>
      <w:hyperlink w:anchor="_Toc262100318" w:history="1">
        <w:r>
          <w:rPr>
            <w:rFonts w:ascii="Calibri" w:hAnsi="Calibri"/>
            <w:color w:val="20262A"/>
            <w:sz w:val="20"/>
            <w:noProof/>
          </w:rPr>
          <w:t xml:space="preserve">G.2 The Routine Actions Register (Illustrative Standing List)</w:t>
        </w:r>
        <w:r>
          <w:rPr>
            <w:noProof/>
            <w:webHidden/>
          </w:rPr>
          <w:tab/>
        </w:r>
        <w:r>
          <w:rPr>
            <w:noProof/>
            <w:webHidden/>
          </w:rPr>
          <w:fldChar w:fldCharType="begin"/>
        </w:r>
        <w:r>
          <w:rPr>
            <w:noProof/>
            <w:webHidden/>
          </w:rPr>
          <w:instrText xml:space="preserve"> PAGEREF _Toc262100318 \h </w:instrText>
        </w:r>
        <w:r>
          <w:rPr>
            <w:noProof/>
            <w:webHidden/>
          </w:rPr>
          <w:fldChar w:fldCharType="separate"/>
        </w:r>
        <w:r>
          <w:rPr>
            <w:rFonts w:ascii="Calibri" w:hAnsi="Calibri"/>
            <w:color w:val="6E838A"/>
            <w:sz w:val="20"/>
            <w:noProof/>
            <w:webHidden/>
          </w:rPr>
          <w:t xml:space="preserve">86</w:t>
        </w:r>
        <w:r>
          <w:rPr>
            <w:noProof/>
            <w:webHidden/>
          </w:rPr>
          <w:fldChar w:fldCharType="end"/>
        </w:r>
      </w:hyperlink>
    </w:p>
    <w:p>
      <w:pPr>
        <w:pStyle w:val="TOC1"/>
      </w:pPr>
      <w:hyperlink w:anchor="_Toc262100319" w:history="1">
        <w:r>
          <w:rPr>
            <w:rFonts w:ascii="Calibri" w:hAnsi="Calibri"/>
            <w:b/>
            <w:color w:val="1D4E5F"/>
            <w:sz w:val="21"/>
            <w:noProof/>
          </w:rPr>
          <w:t xml:space="preserve">Annex H: Incident Classification, Response Timelines, and Neutral Language</w:t>
        </w:r>
        <w:r>
          <w:rPr>
            <w:noProof/>
            <w:webHidden/>
          </w:rPr>
          <w:tab/>
        </w:r>
        <w:r>
          <w:rPr>
            <w:noProof/>
            <w:webHidden/>
          </w:rPr>
          <w:fldChar w:fldCharType="begin"/>
        </w:r>
        <w:r>
          <w:rPr>
            <w:noProof/>
            <w:webHidden/>
          </w:rPr>
          <w:instrText xml:space="preserve"> PAGEREF _Toc262100319 \h </w:instrText>
        </w:r>
        <w:r>
          <w:rPr>
            <w:noProof/>
            <w:webHidden/>
          </w:rPr>
          <w:fldChar w:fldCharType="separate"/>
        </w:r>
        <w:r>
          <w:rPr>
            <w:rFonts w:ascii="Calibri" w:hAnsi="Calibri"/>
            <w:color w:val="6E838A"/>
            <w:sz w:val="20"/>
            <w:noProof/>
            <w:webHidden/>
          </w:rPr>
          <w:t xml:space="preserve">87</w:t>
        </w:r>
        <w:r>
          <w:rPr>
            <w:noProof/>
            <w:webHidden/>
          </w:rPr>
          <w:fldChar w:fldCharType="end"/>
        </w:r>
      </w:hyperlink>
    </w:p>
    <w:p>
      <w:pPr>
        <w:pStyle w:val="TOC2"/>
      </w:pPr>
      <w:hyperlink w:anchor="_Toc262100320" w:history="1">
        <w:r>
          <w:rPr>
            <w:rFonts w:ascii="Calibri" w:hAnsi="Calibri"/>
            <w:color w:val="20262A"/>
            <w:sz w:val="20"/>
            <w:noProof/>
          </w:rPr>
          <w:t xml:space="preserve">H.1 The Five-Class Ladder</w:t>
        </w:r>
        <w:r>
          <w:rPr>
            <w:noProof/>
            <w:webHidden/>
          </w:rPr>
          <w:tab/>
        </w:r>
        <w:r>
          <w:rPr>
            <w:noProof/>
            <w:webHidden/>
          </w:rPr>
          <w:fldChar w:fldCharType="begin"/>
        </w:r>
        <w:r>
          <w:rPr>
            <w:noProof/>
            <w:webHidden/>
          </w:rPr>
          <w:instrText xml:space="preserve"> PAGEREF _Toc262100320 \h </w:instrText>
        </w:r>
        <w:r>
          <w:rPr>
            <w:noProof/>
            <w:webHidden/>
          </w:rPr>
          <w:fldChar w:fldCharType="separate"/>
        </w:r>
        <w:r>
          <w:rPr>
            <w:rFonts w:ascii="Calibri" w:hAnsi="Calibri"/>
            <w:color w:val="6E838A"/>
            <w:sz w:val="20"/>
            <w:noProof/>
            <w:webHidden/>
          </w:rPr>
          <w:t xml:space="preserve">87</w:t>
        </w:r>
        <w:r>
          <w:rPr>
            <w:noProof/>
            <w:webHidden/>
          </w:rPr>
          <w:fldChar w:fldCharType="end"/>
        </w:r>
      </w:hyperlink>
    </w:p>
    <w:p>
      <w:pPr>
        <w:pStyle w:val="TOC2"/>
      </w:pPr>
      <w:hyperlink w:anchor="_Toc262100321" w:history="1">
        <w:r>
          <w:rPr>
            <w:rFonts w:ascii="Calibri" w:hAnsi="Calibri"/>
            <w:color w:val="20262A"/>
            <w:sz w:val="20"/>
            <w:noProof/>
          </w:rPr>
          <w:t xml:space="preserve">H.2 Response Timelines</w:t>
        </w:r>
        <w:r>
          <w:rPr>
            <w:noProof/>
            <w:webHidden/>
          </w:rPr>
          <w:tab/>
        </w:r>
        <w:r>
          <w:rPr>
            <w:noProof/>
            <w:webHidden/>
          </w:rPr>
          <w:fldChar w:fldCharType="begin"/>
        </w:r>
        <w:r>
          <w:rPr>
            <w:noProof/>
            <w:webHidden/>
          </w:rPr>
          <w:instrText xml:space="preserve"> PAGEREF _Toc262100321 \h </w:instrText>
        </w:r>
        <w:r>
          <w:rPr>
            <w:noProof/>
            <w:webHidden/>
          </w:rPr>
          <w:fldChar w:fldCharType="separate"/>
        </w:r>
        <w:r>
          <w:rPr>
            <w:rFonts w:ascii="Calibri" w:hAnsi="Calibri"/>
            <w:color w:val="6E838A"/>
            <w:sz w:val="20"/>
            <w:noProof/>
            <w:webHidden/>
          </w:rPr>
          <w:t xml:space="preserve">87</w:t>
        </w:r>
        <w:r>
          <w:rPr>
            <w:noProof/>
            <w:webHidden/>
          </w:rPr>
          <w:fldChar w:fldCharType="end"/>
        </w:r>
      </w:hyperlink>
    </w:p>
    <w:p>
      <w:pPr>
        <w:pStyle w:val="TOC2"/>
      </w:pPr>
      <w:hyperlink w:anchor="_Toc262100322" w:history="1">
        <w:r>
          <w:rPr>
            <w:rFonts w:ascii="Calibri" w:hAnsi="Calibri"/>
            <w:color w:val="20262A"/>
            <w:sz w:val="20"/>
            <w:noProof/>
          </w:rPr>
          <w:t xml:space="preserve">H.3 The Neutral Incident Language</w:t>
        </w:r>
        <w:r>
          <w:rPr>
            <w:noProof/>
            <w:webHidden/>
          </w:rPr>
          <w:tab/>
        </w:r>
        <w:r>
          <w:rPr>
            <w:noProof/>
            <w:webHidden/>
          </w:rPr>
          <w:fldChar w:fldCharType="begin"/>
        </w:r>
        <w:r>
          <w:rPr>
            <w:noProof/>
            <w:webHidden/>
          </w:rPr>
          <w:instrText xml:space="preserve"> PAGEREF _Toc262100322 \h </w:instrText>
        </w:r>
        <w:r>
          <w:rPr>
            <w:noProof/>
            <w:webHidden/>
          </w:rPr>
          <w:fldChar w:fldCharType="separate"/>
        </w:r>
        <w:r>
          <w:rPr>
            <w:rFonts w:ascii="Calibri" w:hAnsi="Calibri"/>
            <w:color w:val="6E838A"/>
            <w:sz w:val="20"/>
            <w:noProof/>
            <w:webHidden/>
          </w:rPr>
          <w:t xml:space="preserve">88</w:t>
        </w:r>
        <w:r>
          <w:rPr>
            <w:noProof/>
            <w:webHidden/>
          </w:rPr>
          <w:fldChar w:fldCharType="end"/>
        </w:r>
      </w:hyperlink>
    </w:p>
    <w:p>
      <w:pPr>
        <w:pStyle w:val="TOC2"/>
      </w:pPr>
      <w:hyperlink w:anchor="_Toc262100323" w:history="1">
        <w:r>
          <w:rPr>
            <w:rFonts w:ascii="Calibri" w:hAnsi="Calibri"/>
            <w:color w:val="20262A"/>
            <w:sz w:val="20"/>
            <w:noProof/>
          </w:rPr>
          <w:t xml:space="preserve">H.4 The Sealed Incident File</w:t>
        </w:r>
        <w:r>
          <w:rPr>
            <w:noProof/>
            <w:webHidden/>
          </w:rPr>
          <w:tab/>
        </w:r>
        <w:r>
          <w:rPr>
            <w:noProof/>
            <w:webHidden/>
          </w:rPr>
          <w:fldChar w:fldCharType="begin"/>
        </w:r>
        <w:r>
          <w:rPr>
            <w:noProof/>
            <w:webHidden/>
          </w:rPr>
          <w:instrText xml:space="preserve"> PAGEREF _Toc262100323 \h </w:instrText>
        </w:r>
        <w:r>
          <w:rPr>
            <w:noProof/>
            <w:webHidden/>
          </w:rPr>
          <w:fldChar w:fldCharType="separate"/>
        </w:r>
        <w:r>
          <w:rPr>
            <w:rFonts w:ascii="Calibri" w:hAnsi="Calibri"/>
            <w:color w:val="6E838A"/>
            <w:sz w:val="20"/>
            <w:noProof/>
            <w:webHidden/>
          </w:rPr>
          <w:t xml:space="preserve">88</w:t>
        </w:r>
        <w:r>
          <w:rPr>
            <w:noProof/>
            <w:webHidden/>
          </w:rPr>
          <w:fldChar w:fldCharType="end"/>
        </w:r>
      </w:hyperlink>
    </w:p>
    <w:p>
      <w:pPr>
        <w:pStyle w:val="TOC2"/>
      </w:pPr>
      <w:hyperlink w:anchor="_Toc262100324" w:history="1">
        <w:r>
          <w:rPr>
            <w:rFonts w:ascii="Calibri" w:hAnsi="Calibri"/>
            <w:color w:val="20262A"/>
            <w:sz w:val="20"/>
            <w:noProof/>
          </w:rPr>
          <w:t xml:space="preserve">H.5 Repeat Event Analysis</w:t>
        </w:r>
        <w:r>
          <w:rPr>
            <w:noProof/>
            <w:webHidden/>
          </w:rPr>
          <w:tab/>
        </w:r>
        <w:r>
          <w:rPr>
            <w:noProof/>
            <w:webHidden/>
          </w:rPr>
          <w:fldChar w:fldCharType="begin"/>
        </w:r>
        <w:r>
          <w:rPr>
            <w:noProof/>
            <w:webHidden/>
          </w:rPr>
          <w:instrText xml:space="preserve"> PAGEREF _Toc262100324 \h </w:instrText>
        </w:r>
        <w:r>
          <w:rPr>
            <w:noProof/>
            <w:webHidden/>
          </w:rPr>
          <w:fldChar w:fldCharType="separate"/>
        </w:r>
        <w:r>
          <w:rPr>
            <w:rFonts w:ascii="Calibri" w:hAnsi="Calibri"/>
            <w:color w:val="6E838A"/>
            <w:sz w:val="20"/>
            <w:noProof/>
            <w:webHidden/>
          </w:rPr>
          <w:t xml:space="preserve">88</w:t>
        </w:r>
        <w:r>
          <w:rPr>
            <w:noProof/>
            <w:webHidden/>
          </w:rPr>
          <w:fldChar w:fldCharType="end"/>
        </w:r>
      </w:hyperlink>
    </w:p>
    <w:p>
      <w:pPr>
        <w:pStyle w:val="TOC2"/>
      </w:pPr>
      <w:hyperlink w:anchor="_Toc262100325" w:history="1">
        <w:r>
          <w:rPr>
            <w:rFonts w:ascii="Calibri" w:hAnsi="Calibri"/>
            <w:color w:val="20262A"/>
            <w:sz w:val="20"/>
            <w:noProof/>
          </w:rPr>
          <w:t xml:space="preserve">H.6 False-Report Consequence</w:t>
        </w:r>
        <w:r>
          <w:rPr>
            <w:noProof/>
            <w:webHidden/>
          </w:rPr>
          <w:tab/>
        </w:r>
        <w:r>
          <w:rPr>
            <w:noProof/>
            <w:webHidden/>
          </w:rPr>
          <w:fldChar w:fldCharType="begin"/>
        </w:r>
        <w:r>
          <w:rPr>
            <w:noProof/>
            <w:webHidden/>
          </w:rPr>
          <w:instrText xml:space="preserve"> PAGEREF _Toc262100325 \h </w:instrText>
        </w:r>
        <w:r>
          <w:rPr>
            <w:noProof/>
            <w:webHidden/>
          </w:rPr>
          <w:fldChar w:fldCharType="separate"/>
        </w:r>
        <w:r>
          <w:rPr>
            <w:rFonts w:ascii="Calibri" w:hAnsi="Calibri"/>
            <w:color w:val="6E838A"/>
            <w:sz w:val="20"/>
            <w:noProof/>
            <w:webHidden/>
          </w:rPr>
          <w:t xml:space="preserve">88</w:t>
        </w:r>
        <w:r>
          <w:rPr>
            <w:noProof/>
            <w:webHidden/>
          </w:rPr>
          <w:fldChar w:fldCharType="end"/>
        </w:r>
      </w:hyperlink>
    </w:p>
    <w:p>
      <w:pPr>
        <w:pStyle w:val="TOC1"/>
      </w:pPr>
      <w:hyperlink w:anchor="_Toc262100326" w:history="1">
        <w:r>
          <w:rPr>
            <w:rFonts w:ascii="Calibri" w:hAnsi="Calibri"/>
            <w:b/>
            <w:color w:val="1D4E5F"/>
            <w:sz w:val="21"/>
            <w:noProof/>
          </w:rPr>
          <w:t xml:space="preserve">Annex I: The Phased Reopening Activation Checklist</w:t>
        </w:r>
        <w:r>
          <w:rPr>
            <w:noProof/>
            <w:webHidden/>
          </w:rPr>
          <w:tab/>
        </w:r>
        <w:r>
          <w:rPr>
            <w:noProof/>
            <w:webHidden/>
          </w:rPr>
          <w:fldChar w:fldCharType="begin"/>
        </w:r>
        <w:r>
          <w:rPr>
            <w:noProof/>
            <w:webHidden/>
          </w:rPr>
          <w:instrText xml:space="preserve"> PAGEREF _Toc262100326 \h </w:instrText>
        </w:r>
        <w:r>
          <w:rPr>
            <w:noProof/>
            <w:webHidden/>
          </w:rPr>
          <w:fldChar w:fldCharType="separate"/>
        </w:r>
        <w:r>
          <w:rPr>
            <w:rFonts w:ascii="Calibri" w:hAnsi="Calibri"/>
            <w:color w:val="6E838A"/>
            <w:sz w:val="20"/>
            <w:noProof/>
            <w:webHidden/>
          </w:rPr>
          <w:t xml:space="preserve">89</w:t>
        </w:r>
        <w:r>
          <w:rPr>
            <w:noProof/>
            <w:webHidden/>
          </w:rPr>
          <w:fldChar w:fldCharType="end"/>
        </w:r>
      </w:hyperlink>
    </w:p>
    <w:p>
      <w:pPr>
        <w:pStyle w:val="TOC2"/>
      </w:pPr>
      <w:hyperlink w:anchor="_Toc262100327" w:history="1">
        <w:r>
          <w:rPr>
            <w:rFonts w:ascii="Calibri" w:hAnsi="Calibri"/>
            <w:color w:val="20262A"/>
            <w:sz w:val="20"/>
            <w:noProof/>
          </w:rPr>
          <w:t xml:space="preserve">I.1 Phase Zero: Minimal Viable Activation (Days 0 to 10)</w:t>
        </w:r>
        <w:r>
          <w:rPr>
            <w:noProof/>
            <w:webHidden/>
          </w:rPr>
          <w:tab/>
        </w:r>
        <w:r>
          <w:rPr>
            <w:noProof/>
            <w:webHidden/>
          </w:rPr>
          <w:fldChar w:fldCharType="begin"/>
        </w:r>
        <w:r>
          <w:rPr>
            <w:noProof/>
            <w:webHidden/>
          </w:rPr>
          <w:instrText xml:space="preserve"> PAGEREF _Toc262100327 \h </w:instrText>
        </w:r>
        <w:r>
          <w:rPr>
            <w:noProof/>
            <w:webHidden/>
          </w:rPr>
          <w:fldChar w:fldCharType="separate"/>
        </w:r>
        <w:r>
          <w:rPr>
            <w:rFonts w:ascii="Calibri" w:hAnsi="Calibri"/>
            <w:color w:val="6E838A"/>
            <w:sz w:val="20"/>
            <w:noProof/>
            <w:webHidden/>
          </w:rPr>
          <w:t xml:space="preserve">89</w:t>
        </w:r>
        <w:r>
          <w:rPr>
            <w:noProof/>
            <w:webHidden/>
          </w:rPr>
          <w:fldChar w:fldCharType="end"/>
        </w:r>
      </w:hyperlink>
    </w:p>
    <w:p>
      <w:pPr>
        <w:pStyle w:val="TOC2"/>
      </w:pPr>
      <w:hyperlink w:anchor="_Toc262100328" w:history="1">
        <w:r>
          <w:rPr>
            <w:rFonts w:ascii="Calibri" w:hAnsi="Calibri"/>
            <w:color w:val="20262A"/>
            <w:sz w:val="20"/>
            <w:noProof/>
          </w:rPr>
          <w:t xml:space="preserve">I.2 Phase One: Pilot Declaration (Days 10 to 20)</w:t>
        </w:r>
        <w:r>
          <w:rPr>
            <w:noProof/>
            <w:webHidden/>
          </w:rPr>
          <w:tab/>
        </w:r>
        <w:r>
          <w:rPr>
            <w:noProof/>
            <w:webHidden/>
          </w:rPr>
          <w:fldChar w:fldCharType="begin"/>
        </w:r>
        <w:r>
          <w:rPr>
            <w:noProof/>
            <w:webHidden/>
          </w:rPr>
          <w:instrText xml:space="preserve"> PAGEREF _Toc262100328 \h </w:instrText>
        </w:r>
        <w:r>
          <w:rPr>
            <w:noProof/>
            <w:webHidden/>
          </w:rPr>
          <w:fldChar w:fldCharType="separate"/>
        </w:r>
        <w:r>
          <w:rPr>
            <w:rFonts w:ascii="Calibri" w:hAnsi="Calibri"/>
            <w:color w:val="6E838A"/>
            <w:sz w:val="20"/>
            <w:noProof/>
            <w:webHidden/>
          </w:rPr>
          <w:t xml:space="preserve">89</w:t>
        </w:r>
        <w:r>
          <w:rPr>
            <w:noProof/>
            <w:webHidden/>
          </w:rPr>
          <w:fldChar w:fldCharType="end"/>
        </w:r>
      </w:hyperlink>
    </w:p>
    <w:p>
      <w:pPr>
        <w:pStyle w:val="TOC2"/>
      </w:pPr>
      <w:hyperlink w:anchor="_Toc262100329" w:history="1">
        <w:r>
          <w:rPr>
            <w:rFonts w:ascii="Calibri" w:hAnsi="Calibri"/>
            <w:color w:val="20262A"/>
            <w:sz w:val="20"/>
            <w:noProof/>
          </w:rPr>
          <w:t xml:space="preserve">I.3 Phase Two: Sequential Corridor Activation (Days 20 to 40)</w:t>
        </w:r>
        <w:r>
          <w:rPr>
            <w:noProof/>
            <w:webHidden/>
          </w:rPr>
          <w:tab/>
        </w:r>
        <w:r>
          <w:rPr>
            <w:noProof/>
            <w:webHidden/>
          </w:rPr>
          <w:fldChar w:fldCharType="begin"/>
        </w:r>
        <w:r>
          <w:rPr>
            <w:noProof/>
            <w:webHidden/>
          </w:rPr>
          <w:instrText xml:space="preserve"> PAGEREF _Toc262100329 \h </w:instrText>
        </w:r>
        <w:r>
          <w:rPr>
            <w:noProof/>
            <w:webHidden/>
          </w:rPr>
          <w:fldChar w:fldCharType="separate"/>
        </w:r>
        <w:r>
          <w:rPr>
            <w:rFonts w:ascii="Calibri" w:hAnsi="Calibri"/>
            <w:color w:val="6E838A"/>
            <w:sz w:val="20"/>
            <w:noProof/>
            <w:webHidden/>
          </w:rPr>
          <w:t xml:space="preserve">89</w:t>
        </w:r>
        <w:r>
          <w:rPr>
            <w:noProof/>
            <w:webHidden/>
          </w:rPr>
          <w:fldChar w:fldCharType="end"/>
        </w:r>
      </w:hyperlink>
    </w:p>
    <w:p>
      <w:pPr>
        <w:pStyle w:val="TOC2"/>
      </w:pPr>
      <w:hyperlink w:anchor="_Toc262100330" w:history="1">
        <w:r>
          <w:rPr>
            <w:rFonts w:ascii="Calibri" w:hAnsi="Calibri"/>
            <w:color w:val="20262A"/>
            <w:sz w:val="20"/>
            <w:noProof/>
          </w:rPr>
          <w:t xml:space="preserve">I.4 Phase Three: Money Goes Live (Days 40 to 55)</w:t>
        </w:r>
        <w:r>
          <w:rPr>
            <w:noProof/>
            <w:webHidden/>
          </w:rPr>
          <w:tab/>
        </w:r>
        <w:r>
          <w:rPr>
            <w:noProof/>
            <w:webHidden/>
          </w:rPr>
          <w:fldChar w:fldCharType="begin"/>
        </w:r>
        <w:r>
          <w:rPr>
            <w:noProof/>
            <w:webHidden/>
          </w:rPr>
          <w:instrText xml:space="preserve"> PAGEREF _Toc262100330 \h </w:instrText>
        </w:r>
        <w:r>
          <w:rPr>
            <w:noProof/>
            <w:webHidden/>
          </w:rPr>
          <w:fldChar w:fldCharType="separate"/>
        </w:r>
        <w:r>
          <w:rPr>
            <w:rFonts w:ascii="Calibri" w:hAnsi="Calibri"/>
            <w:color w:val="6E838A"/>
            <w:sz w:val="20"/>
            <w:noProof/>
            <w:webHidden/>
          </w:rPr>
          <w:t xml:space="preserve">90</w:t>
        </w:r>
        <w:r>
          <w:rPr>
            <w:noProof/>
            <w:webHidden/>
          </w:rPr>
          <w:fldChar w:fldCharType="end"/>
        </w:r>
      </w:hyperlink>
    </w:p>
    <w:p>
      <w:pPr>
        <w:pStyle w:val="TOC2"/>
      </w:pPr>
      <w:hyperlink w:anchor="_Toc262100331" w:history="1">
        <w:r>
          <w:rPr>
            <w:rFonts w:ascii="Calibri" w:hAnsi="Calibri"/>
            <w:color w:val="20262A"/>
            <w:sz w:val="20"/>
            <w:noProof/>
          </w:rPr>
          <w:t xml:space="preserve">I.5 Phase Four: The Stability Audit (Days 55 to 90)</w:t>
        </w:r>
        <w:r>
          <w:rPr>
            <w:noProof/>
            <w:webHidden/>
          </w:rPr>
          <w:tab/>
        </w:r>
        <w:r>
          <w:rPr>
            <w:noProof/>
            <w:webHidden/>
          </w:rPr>
          <w:fldChar w:fldCharType="begin"/>
        </w:r>
        <w:r>
          <w:rPr>
            <w:noProof/>
            <w:webHidden/>
          </w:rPr>
          <w:instrText xml:space="preserve"> PAGEREF _Toc262100331 \h </w:instrText>
        </w:r>
        <w:r>
          <w:rPr>
            <w:noProof/>
            <w:webHidden/>
          </w:rPr>
          <w:fldChar w:fldCharType="separate"/>
        </w:r>
        <w:r>
          <w:rPr>
            <w:rFonts w:ascii="Calibri" w:hAnsi="Calibri"/>
            <w:color w:val="6E838A"/>
            <w:sz w:val="20"/>
            <w:noProof/>
            <w:webHidden/>
          </w:rPr>
          <w:t xml:space="preserve">90</w:t>
        </w:r>
        <w:r>
          <w:rPr>
            <w:noProof/>
            <w:webHidden/>
          </w:rPr>
          <w:fldChar w:fldCharType="end"/>
        </w:r>
      </w:hyperlink>
    </w:p>
    <w:p>
      <w:pPr>
        <w:pStyle w:val="TOC2"/>
      </w:pPr>
      <w:hyperlink w:anchor="_Toc262100332" w:history="1">
        <w:r>
          <w:rPr>
            <w:rFonts w:ascii="Calibri" w:hAnsi="Calibri"/>
            <w:color w:val="20262A"/>
            <w:sz w:val="20"/>
            <w:noProof/>
          </w:rPr>
          <w:t xml:space="preserve">I.6 Phase Five: Full Activation (Days 90 to 120)</w:t>
        </w:r>
        <w:r>
          <w:rPr>
            <w:noProof/>
            <w:webHidden/>
          </w:rPr>
          <w:tab/>
        </w:r>
        <w:r>
          <w:rPr>
            <w:noProof/>
            <w:webHidden/>
          </w:rPr>
          <w:fldChar w:fldCharType="begin"/>
        </w:r>
        <w:r>
          <w:rPr>
            <w:noProof/>
            <w:webHidden/>
          </w:rPr>
          <w:instrText xml:space="preserve"> PAGEREF _Toc262100332 \h </w:instrText>
        </w:r>
        <w:r>
          <w:rPr>
            <w:noProof/>
            <w:webHidden/>
          </w:rPr>
          <w:fldChar w:fldCharType="separate"/>
        </w:r>
        <w:r>
          <w:rPr>
            <w:rFonts w:ascii="Calibri" w:hAnsi="Calibri"/>
            <w:color w:val="6E838A"/>
            <w:sz w:val="20"/>
            <w:noProof/>
            <w:webHidden/>
          </w:rPr>
          <w:t xml:space="preserve">90</w:t>
        </w:r>
        <w:r>
          <w:rPr>
            <w:noProof/>
            <w:webHidden/>
          </w:rPr>
          <w:fldChar w:fldCharType="end"/>
        </w:r>
      </w:hyperlink>
    </w:p>
    <w:p>
      <w:pPr>
        <w:pStyle w:val="TOC1"/>
      </w:pPr>
      <w:hyperlink w:anchor="_Toc262100333" w:history="1">
        <w:r>
          <w:rPr>
            <w:rFonts w:ascii="Calibri" w:hAnsi="Calibri"/>
            <w:b/>
            <w:color w:val="1D4E5F"/>
            <w:sz w:val="21"/>
            <w:noProof/>
          </w:rPr>
          <w:t xml:space="preserve">Annex J: Communications, AIS, and Reporting Formats</w:t>
        </w:r>
        <w:r>
          <w:rPr>
            <w:noProof/>
            <w:webHidden/>
          </w:rPr>
          <w:tab/>
        </w:r>
        <w:r>
          <w:rPr>
            <w:noProof/>
            <w:webHidden/>
          </w:rPr>
          <w:fldChar w:fldCharType="begin"/>
        </w:r>
        <w:r>
          <w:rPr>
            <w:noProof/>
            <w:webHidden/>
          </w:rPr>
          <w:instrText xml:space="preserve"> PAGEREF _Toc262100333 \h </w:instrText>
        </w:r>
        <w:r>
          <w:rPr>
            <w:noProof/>
            <w:webHidden/>
          </w:rPr>
          <w:fldChar w:fldCharType="separate"/>
        </w:r>
        <w:r>
          <w:rPr>
            <w:rFonts w:ascii="Calibri" w:hAnsi="Calibri"/>
            <w:color w:val="6E838A"/>
            <w:sz w:val="20"/>
            <w:noProof/>
            <w:webHidden/>
          </w:rPr>
          <w:t xml:space="preserve">91</w:t>
        </w:r>
        <w:r>
          <w:rPr>
            <w:noProof/>
            <w:webHidden/>
          </w:rPr>
          <w:fldChar w:fldCharType="end"/>
        </w:r>
      </w:hyperlink>
    </w:p>
    <w:p>
      <w:pPr>
        <w:pStyle w:val="TOC2"/>
      </w:pPr>
      <w:hyperlink w:anchor="_Toc262100334" w:history="1">
        <w:r>
          <w:rPr>
            <w:rFonts w:ascii="Calibri" w:hAnsi="Calibri"/>
            <w:color w:val="20262A"/>
            <w:sz w:val="20"/>
            <w:noProof/>
          </w:rPr>
          <w:t xml:space="preserve">J.1 The Multilateral Transit Code Format</w:t>
        </w:r>
        <w:r>
          <w:rPr>
            <w:noProof/>
            <w:webHidden/>
          </w:rPr>
          <w:tab/>
        </w:r>
        <w:r>
          <w:rPr>
            <w:noProof/>
            <w:webHidden/>
          </w:rPr>
          <w:fldChar w:fldCharType="begin"/>
        </w:r>
        <w:r>
          <w:rPr>
            <w:noProof/>
            <w:webHidden/>
          </w:rPr>
          <w:instrText xml:space="preserve"> PAGEREF _Toc262100334 \h </w:instrText>
        </w:r>
        <w:r>
          <w:rPr>
            <w:noProof/>
            <w:webHidden/>
          </w:rPr>
          <w:fldChar w:fldCharType="separate"/>
        </w:r>
        <w:r>
          <w:rPr>
            <w:rFonts w:ascii="Calibri" w:hAnsi="Calibri"/>
            <w:color w:val="6E838A"/>
            <w:sz w:val="20"/>
            <w:noProof/>
            <w:webHidden/>
          </w:rPr>
          <w:t xml:space="preserve">91</w:t>
        </w:r>
        <w:r>
          <w:rPr>
            <w:noProof/>
            <w:webHidden/>
          </w:rPr>
          <w:fldChar w:fldCharType="end"/>
        </w:r>
      </w:hyperlink>
    </w:p>
    <w:p>
      <w:pPr>
        <w:pStyle w:val="TOC2"/>
      </w:pPr>
      <w:hyperlink w:anchor="_Toc262100335" w:history="1">
        <w:r>
          <w:rPr>
            <w:rFonts w:ascii="Calibri" w:hAnsi="Calibri"/>
            <w:color w:val="20262A"/>
            <w:sz w:val="20"/>
            <w:noProof/>
          </w:rPr>
          <w:t xml:space="preserve">J.2 The Twelve Filing Fields</w:t>
        </w:r>
        <w:r>
          <w:rPr>
            <w:noProof/>
            <w:webHidden/>
          </w:rPr>
          <w:tab/>
        </w:r>
        <w:r>
          <w:rPr>
            <w:noProof/>
            <w:webHidden/>
          </w:rPr>
          <w:fldChar w:fldCharType="begin"/>
        </w:r>
        <w:r>
          <w:rPr>
            <w:noProof/>
            <w:webHidden/>
          </w:rPr>
          <w:instrText xml:space="preserve"> PAGEREF _Toc262100335 \h </w:instrText>
        </w:r>
        <w:r>
          <w:rPr>
            <w:noProof/>
            <w:webHidden/>
          </w:rPr>
          <w:fldChar w:fldCharType="separate"/>
        </w:r>
        <w:r>
          <w:rPr>
            <w:rFonts w:ascii="Calibri" w:hAnsi="Calibri"/>
            <w:color w:val="6E838A"/>
            <w:sz w:val="20"/>
            <w:noProof/>
            <w:webHidden/>
          </w:rPr>
          <w:t xml:space="preserve">91</w:t>
        </w:r>
        <w:r>
          <w:rPr>
            <w:noProof/>
            <w:webHidden/>
          </w:rPr>
          <w:fldChar w:fldCharType="end"/>
        </w:r>
      </w:hyperlink>
    </w:p>
    <w:p>
      <w:pPr>
        <w:pStyle w:val="TOC2"/>
      </w:pPr>
      <w:hyperlink w:anchor="_Toc262100336" w:history="1">
        <w:r>
          <w:rPr>
            <w:rFonts w:ascii="Calibri" w:hAnsi="Calibri"/>
            <w:color w:val="20262A"/>
            <w:sz w:val="20"/>
            <w:noProof/>
          </w:rPr>
          <w:t xml:space="preserve">J.3 Message Templates</w:t>
        </w:r>
        <w:r>
          <w:rPr>
            <w:noProof/>
            <w:webHidden/>
          </w:rPr>
          <w:tab/>
        </w:r>
        <w:r>
          <w:rPr>
            <w:noProof/>
            <w:webHidden/>
          </w:rPr>
          <w:fldChar w:fldCharType="begin"/>
        </w:r>
        <w:r>
          <w:rPr>
            <w:noProof/>
            <w:webHidden/>
          </w:rPr>
          <w:instrText xml:space="preserve"> PAGEREF _Toc262100336 \h </w:instrText>
        </w:r>
        <w:r>
          <w:rPr>
            <w:noProof/>
            <w:webHidden/>
          </w:rPr>
          <w:fldChar w:fldCharType="separate"/>
        </w:r>
        <w:r>
          <w:rPr>
            <w:rFonts w:ascii="Calibri" w:hAnsi="Calibri"/>
            <w:color w:val="6E838A"/>
            <w:sz w:val="20"/>
            <w:noProof/>
            <w:webHidden/>
          </w:rPr>
          <w:t xml:space="preserve">91</w:t>
        </w:r>
        <w:r>
          <w:rPr>
            <w:noProof/>
            <w:webHidden/>
          </w:rPr>
          <w:fldChar w:fldCharType="end"/>
        </w:r>
      </w:hyperlink>
    </w:p>
    <w:p>
      <w:pPr>
        <w:pStyle w:val="TOC2"/>
      </w:pPr>
      <w:hyperlink w:anchor="_Toc262100337" w:history="1">
        <w:r>
          <w:rPr>
            <w:rFonts w:ascii="Calibri" w:hAnsi="Calibri"/>
            <w:color w:val="20262A"/>
            <w:sz w:val="20"/>
            <w:noProof/>
          </w:rPr>
          <w:t xml:space="preserve">J.4 The Class H Fast-Track Form</w:t>
        </w:r>
        <w:r>
          <w:rPr>
            <w:noProof/>
            <w:webHidden/>
          </w:rPr>
          <w:tab/>
        </w:r>
        <w:r>
          <w:rPr>
            <w:noProof/>
            <w:webHidden/>
          </w:rPr>
          <w:fldChar w:fldCharType="begin"/>
        </w:r>
        <w:r>
          <w:rPr>
            <w:noProof/>
            <w:webHidden/>
          </w:rPr>
          <w:instrText xml:space="preserve"> PAGEREF _Toc262100337 \h </w:instrText>
        </w:r>
        <w:r>
          <w:rPr>
            <w:noProof/>
            <w:webHidden/>
          </w:rPr>
          <w:fldChar w:fldCharType="separate"/>
        </w:r>
        <w:r>
          <w:rPr>
            <w:rFonts w:ascii="Calibri" w:hAnsi="Calibri"/>
            <w:color w:val="6E838A"/>
            <w:sz w:val="20"/>
            <w:noProof/>
            <w:webHidden/>
          </w:rPr>
          <w:t xml:space="preserve">91</w:t>
        </w:r>
        <w:r>
          <w:rPr>
            <w:noProof/>
            <w:webHidden/>
          </w:rPr>
          <w:fldChar w:fldCharType="end"/>
        </w:r>
      </w:hyperlink>
    </w:p>
    <w:p>
      <w:pPr>
        <w:pStyle w:val="TOC2"/>
      </w:pPr>
      <w:hyperlink w:anchor="_Toc262100338" w:history="1">
        <w:r>
          <w:rPr>
            <w:rFonts w:ascii="Calibri" w:hAnsi="Calibri"/>
            <w:color w:val="20262A"/>
            <w:sz w:val="20"/>
            <w:noProof/>
          </w:rPr>
          <w:t xml:space="preserve">J.5 The Channel Matrix</w:t>
        </w:r>
        <w:r>
          <w:rPr>
            <w:noProof/>
            <w:webHidden/>
          </w:rPr>
          <w:tab/>
        </w:r>
        <w:r>
          <w:rPr>
            <w:noProof/>
            <w:webHidden/>
          </w:rPr>
          <w:fldChar w:fldCharType="begin"/>
        </w:r>
        <w:r>
          <w:rPr>
            <w:noProof/>
            <w:webHidden/>
          </w:rPr>
          <w:instrText xml:space="preserve"> PAGEREF _Toc262100338 \h </w:instrText>
        </w:r>
        <w:r>
          <w:rPr>
            <w:noProof/>
            <w:webHidden/>
          </w:rPr>
          <w:fldChar w:fldCharType="separate"/>
        </w:r>
        <w:r>
          <w:rPr>
            <w:rFonts w:ascii="Calibri" w:hAnsi="Calibri"/>
            <w:color w:val="6E838A"/>
            <w:sz w:val="20"/>
            <w:noProof/>
            <w:webHidden/>
          </w:rPr>
          <w:t xml:space="preserve">91</w:t>
        </w:r>
        <w:r>
          <w:rPr>
            <w:noProof/>
            <w:webHidden/>
          </w:rPr>
          <w:fldChar w:fldCharType="end"/>
        </w:r>
      </w:hyperlink>
    </w:p>
    <w:p>
      <w:pPr>
        <w:pStyle w:val="TOC2"/>
      </w:pPr>
      <w:hyperlink w:anchor="_Toc262100339" w:history="1">
        <w:r>
          <w:rPr>
            <w:rFonts w:ascii="Calibri" w:hAnsi="Calibri"/>
            <w:color w:val="20262A"/>
            <w:sz w:val="20"/>
            <w:noProof/>
          </w:rPr>
          <w:t xml:space="preserve">J.6 AIS and Telemetry Rules</w:t>
        </w:r>
        <w:r>
          <w:rPr>
            <w:noProof/>
            <w:webHidden/>
          </w:rPr>
          <w:tab/>
        </w:r>
        <w:r>
          <w:rPr>
            <w:noProof/>
            <w:webHidden/>
          </w:rPr>
          <w:fldChar w:fldCharType="begin"/>
        </w:r>
        <w:r>
          <w:rPr>
            <w:noProof/>
            <w:webHidden/>
          </w:rPr>
          <w:instrText xml:space="preserve"> PAGEREF _Toc262100339 \h </w:instrText>
        </w:r>
        <w:r>
          <w:rPr>
            <w:noProof/>
            <w:webHidden/>
          </w:rPr>
          <w:fldChar w:fldCharType="separate"/>
        </w:r>
        <w:r>
          <w:rPr>
            <w:rFonts w:ascii="Calibri" w:hAnsi="Calibri"/>
            <w:color w:val="6E838A"/>
            <w:sz w:val="20"/>
            <w:noProof/>
            <w:webHidden/>
          </w:rPr>
          <w:t xml:space="preserve">92</w:t>
        </w:r>
        <w:r>
          <w:rPr>
            <w:noProof/>
            <w:webHidden/>
          </w:rPr>
          <w:fldChar w:fldCharType="end"/>
        </w:r>
      </w:hyperlink>
    </w:p>
    <w:p>
      <w:pPr>
        <w:pStyle w:val="TOC2"/>
      </w:pPr>
      <w:hyperlink w:anchor="_Toc262100340" w:history="1">
        <w:r>
          <w:rPr>
            <w:rFonts w:ascii="Calibri" w:hAnsi="Calibri"/>
            <w:color w:val="20262A"/>
            <w:sz w:val="20"/>
            <w:noProof/>
          </w:rPr>
          <w:t xml:space="preserve">J.7 Anti-Spoofing Protocol</w:t>
        </w:r>
        <w:r>
          <w:rPr>
            <w:noProof/>
            <w:webHidden/>
          </w:rPr>
          <w:tab/>
        </w:r>
        <w:r>
          <w:rPr>
            <w:noProof/>
            <w:webHidden/>
          </w:rPr>
          <w:fldChar w:fldCharType="begin"/>
        </w:r>
        <w:r>
          <w:rPr>
            <w:noProof/>
            <w:webHidden/>
          </w:rPr>
          <w:instrText xml:space="preserve"> PAGEREF _Toc262100340 \h </w:instrText>
        </w:r>
        <w:r>
          <w:rPr>
            <w:noProof/>
            <w:webHidden/>
          </w:rPr>
          <w:fldChar w:fldCharType="separate"/>
        </w:r>
        <w:r>
          <w:rPr>
            <w:rFonts w:ascii="Calibri" w:hAnsi="Calibri"/>
            <w:color w:val="6E838A"/>
            <w:sz w:val="20"/>
            <w:noProof/>
            <w:webHidden/>
          </w:rPr>
          <w:t xml:space="preserve">92</w:t>
        </w:r>
        <w:r>
          <w:rPr>
            <w:noProof/>
            <w:webHidden/>
          </w:rPr>
          <w:fldChar w:fldCharType="end"/>
        </w:r>
      </w:hyperlink>
    </w:p>
    <w:p>
      <w:pPr>
        <w:pStyle w:val="TOC1"/>
      </w:pPr>
      <w:hyperlink w:anchor="_Toc262100341" w:history="1">
        <w:r>
          <w:rPr>
            <w:rFonts w:ascii="Calibri" w:hAnsi="Calibri"/>
            <w:b/>
            <w:color w:val="1D4E5F"/>
            <w:sz w:val="21"/>
            <w:noProof/>
          </w:rPr>
          <w:t xml:space="preserve">Annex K: The Environmental Response Protocol</w:t>
        </w:r>
        <w:r>
          <w:rPr>
            <w:noProof/>
            <w:webHidden/>
          </w:rPr>
          <w:tab/>
        </w:r>
        <w:r>
          <w:rPr>
            <w:noProof/>
            <w:webHidden/>
          </w:rPr>
          <w:fldChar w:fldCharType="begin"/>
        </w:r>
        <w:r>
          <w:rPr>
            <w:noProof/>
            <w:webHidden/>
          </w:rPr>
          <w:instrText xml:space="preserve"> PAGEREF _Toc262100341 \h </w:instrText>
        </w:r>
        <w:r>
          <w:rPr>
            <w:noProof/>
            <w:webHidden/>
          </w:rPr>
          <w:fldChar w:fldCharType="separate"/>
        </w:r>
        <w:r>
          <w:rPr>
            <w:rFonts w:ascii="Calibri" w:hAnsi="Calibri"/>
            <w:color w:val="6E838A"/>
            <w:sz w:val="20"/>
            <w:noProof/>
            <w:webHidden/>
          </w:rPr>
          <w:t xml:space="preserve">93</w:t>
        </w:r>
        <w:r>
          <w:rPr>
            <w:noProof/>
            <w:webHidden/>
          </w:rPr>
          <w:fldChar w:fldCharType="end"/>
        </w:r>
      </w:hyperlink>
    </w:p>
    <w:p>
      <w:pPr>
        <w:pStyle w:val="TOC2"/>
      </w:pPr>
      <w:hyperlink w:anchor="_Toc262100342" w:history="1">
        <w:r>
          <w:rPr>
            <w:rFonts w:ascii="Calibri" w:hAnsi="Calibri"/>
            <w:color w:val="20262A"/>
            <w:sz w:val="20"/>
            <w:noProof/>
          </w:rPr>
          <w:t xml:space="preserve">K.1 The Three Tiers</w:t>
        </w:r>
        <w:r>
          <w:rPr>
            <w:noProof/>
            <w:webHidden/>
          </w:rPr>
          <w:tab/>
        </w:r>
        <w:r>
          <w:rPr>
            <w:noProof/>
            <w:webHidden/>
          </w:rPr>
          <w:fldChar w:fldCharType="begin"/>
        </w:r>
        <w:r>
          <w:rPr>
            <w:noProof/>
            <w:webHidden/>
          </w:rPr>
          <w:instrText xml:space="preserve"> PAGEREF _Toc262100342 \h </w:instrText>
        </w:r>
        <w:r>
          <w:rPr>
            <w:noProof/>
            <w:webHidden/>
          </w:rPr>
          <w:fldChar w:fldCharType="separate"/>
        </w:r>
        <w:r>
          <w:rPr>
            <w:rFonts w:ascii="Calibri" w:hAnsi="Calibri"/>
            <w:color w:val="6E838A"/>
            <w:sz w:val="20"/>
            <w:noProof/>
            <w:webHidden/>
          </w:rPr>
          <w:t xml:space="preserve">93</w:t>
        </w:r>
        <w:r>
          <w:rPr>
            <w:noProof/>
            <w:webHidden/>
          </w:rPr>
          <w:fldChar w:fldCharType="end"/>
        </w:r>
      </w:hyperlink>
    </w:p>
    <w:p>
      <w:pPr>
        <w:pStyle w:val="TOC2"/>
      </w:pPr>
      <w:hyperlink w:anchor="_Toc262100343" w:history="1">
        <w:r>
          <w:rPr>
            <w:rFonts w:ascii="Calibri" w:hAnsi="Calibri"/>
            <w:color w:val="20262A"/>
            <w:sz w:val="20"/>
            <w:noProof/>
          </w:rPr>
          <w:t xml:space="preserve">K.2 The Readiness Asset Table</w:t>
        </w:r>
        <w:r>
          <w:rPr>
            <w:noProof/>
            <w:webHidden/>
          </w:rPr>
          <w:tab/>
        </w:r>
        <w:r>
          <w:rPr>
            <w:noProof/>
            <w:webHidden/>
          </w:rPr>
          <w:fldChar w:fldCharType="begin"/>
        </w:r>
        <w:r>
          <w:rPr>
            <w:noProof/>
            <w:webHidden/>
          </w:rPr>
          <w:instrText xml:space="preserve"> PAGEREF _Toc262100343 \h </w:instrText>
        </w:r>
        <w:r>
          <w:rPr>
            <w:noProof/>
            <w:webHidden/>
          </w:rPr>
          <w:fldChar w:fldCharType="separate"/>
        </w:r>
        <w:r>
          <w:rPr>
            <w:rFonts w:ascii="Calibri" w:hAnsi="Calibri"/>
            <w:color w:val="6E838A"/>
            <w:sz w:val="20"/>
            <w:noProof/>
            <w:webHidden/>
          </w:rPr>
          <w:t xml:space="preserve">93</w:t>
        </w:r>
        <w:r>
          <w:rPr>
            <w:noProof/>
            <w:webHidden/>
          </w:rPr>
          <w:fldChar w:fldCharType="end"/>
        </w:r>
      </w:hyperlink>
    </w:p>
    <w:p>
      <w:pPr>
        <w:pStyle w:val="TOC2"/>
      </w:pPr>
      <w:hyperlink w:anchor="_Toc262100344" w:history="1">
        <w:r>
          <w:rPr>
            <w:rFonts w:ascii="Calibri" w:hAnsi="Calibri"/>
            <w:color w:val="20262A"/>
            <w:sz w:val="20"/>
            <w:noProof/>
          </w:rPr>
          <w:t xml:space="preserve">K.3 Sensitive Area Rules</w:t>
        </w:r>
        <w:r>
          <w:rPr>
            <w:noProof/>
            <w:webHidden/>
          </w:rPr>
          <w:tab/>
        </w:r>
        <w:r>
          <w:rPr>
            <w:noProof/>
            <w:webHidden/>
          </w:rPr>
          <w:fldChar w:fldCharType="begin"/>
        </w:r>
        <w:r>
          <w:rPr>
            <w:noProof/>
            <w:webHidden/>
          </w:rPr>
          <w:instrText xml:space="preserve"> PAGEREF _Toc262100344 \h </w:instrText>
        </w:r>
        <w:r>
          <w:rPr>
            <w:noProof/>
            <w:webHidden/>
          </w:rPr>
          <w:fldChar w:fldCharType="separate"/>
        </w:r>
        <w:r>
          <w:rPr>
            <w:rFonts w:ascii="Calibri" w:hAnsi="Calibri"/>
            <w:color w:val="6E838A"/>
            <w:sz w:val="20"/>
            <w:noProof/>
            <w:webHidden/>
          </w:rPr>
          <w:t xml:space="preserve">93</w:t>
        </w:r>
        <w:r>
          <w:rPr>
            <w:noProof/>
            <w:webHidden/>
          </w:rPr>
          <w:fldChar w:fldCharType="end"/>
        </w:r>
      </w:hyperlink>
    </w:p>
    <w:p>
      <w:pPr>
        <w:pStyle w:val="TOC2"/>
      </w:pPr>
      <w:hyperlink w:anchor="_Toc262100345" w:history="1">
        <w:r>
          <w:rPr>
            <w:rFonts w:ascii="Calibri" w:hAnsi="Calibri"/>
            <w:color w:val="20262A"/>
            <w:sz w:val="20"/>
            <w:noProof/>
          </w:rPr>
          <w:t xml:space="preserve">K.4 The Rolling Survey Program</w:t>
        </w:r>
        <w:r>
          <w:rPr>
            <w:noProof/>
            <w:webHidden/>
          </w:rPr>
          <w:tab/>
        </w:r>
        <w:r>
          <w:rPr>
            <w:noProof/>
            <w:webHidden/>
          </w:rPr>
          <w:fldChar w:fldCharType="begin"/>
        </w:r>
        <w:r>
          <w:rPr>
            <w:noProof/>
            <w:webHidden/>
          </w:rPr>
          <w:instrText xml:space="preserve"> PAGEREF _Toc262100345 \h </w:instrText>
        </w:r>
        <w:r>
          <w:rPr>
            <w:noProof/>
            <w:webHidden/>
          </w:rPr>
          <w:fldChar w:fldCharType="separate"/>
        </w:r>
        <w:r>
          <w:rPr>
            <w:rFonts w:ascii="Calibri" w:hAnsi="Calibri"/>
            <w:color w:val="6E838A"/>
            <w:sz w:val="20"/>
            <w:noProof/>
            <w:webHidden/>
          </w:rPr>
          <w:t xml:space="preserve">93</w:t>
        </w:r>
        <w:r>
          <w:rPr>
            <w:noProof/>
            <w:webHidden/>
          </w:rPr>
          <w:fldChar w:fldCharType="end"/>
        </w:r>
      </w:hyperlink>
    </w:p>
    <w:p>
      <w:pPr>
        <w:pStyle w:val="TOC1"/>
      </w:pPr>
      <w:hyperlink w:anchor="_Toc262100346" w:history="1">
        <w:r>
          <w:rPr>
            <w:rFonts w:ascii="Calibri" w:hAnsi="Calibri"/>
            <w:b/>
            <w:color w:val="1D4E5F"/>
            <w:sz w:val="21"/>
            <w:noProof/>
          </w:rPr>
          <w:t xml:space="preserve">Annex L: Model Forms</w:t>
        </w:r>
        <w:r>
          <w:rPr>
            <w:noProof/>
            <w:webHidden/>
          </w:rPr>
          <w:tab/>
        </w:r>
        <w:r>
          <w:rPr>
            <w:noProof/>
            <w:webHidden/>
          </w:rPr>
          <w:fldChar w:fldCharType="begin"/>
        </w:r>
        <w:r>
          <w:rPr>
            <w:noProof/>
            <w:webHidden/>
          </w:rPr>
          <w:instrText xml:space="preserve"> PAGEREF _Toc262100346 \h </w:instrText>
        </w:r>
        <w:r>
          <w:rPr>
            <w:noProof/>
            <w:webHidden/>
          </w:rPr>
          <w:fldChar w:fldCharType="separate"/>
        </w:r>
        <w:r>
          <w:rPr>
            <w:rFonts w:ascii="Calibri" w:hAnsi="Calibri"/>
            <w:color w:val="6E838A"/>
            <w:sz w:val="20"/>
            <w:noProof/>
            <w:webHidden/>
          </w:rPr>
          <w:t xml:space="preserve">94</w:t>
        </w:r>
        <w:r>
          <w:rPr>
            <w:noProof/>
            <w:webHidden/>
          </w:rPr>
          <w:fldChar w:fldCharType="end"/>
        </w:r>
      </w:hyperlink>
    </w:p>
    <w:p>
      <w:pPr>
        <w:pStyle w:val="TOC2"/>
      </w:pPr>
      <w:hyperlink w:anchor="_Toc262100347" w:history="1">
        <w:r>
          <w:rPr>
            <w:rFonts w:ascii="Calibri" w:hAnsi="Calibri"/>
            <w:color w:val="20262A"/>
            <w:sz w:val="20"/>
            <w:noProof/>
          </w:rPr>
          <w:t xml:space="preserve">L.1 Form T-1: Transit Registration</w:t>
        </w:r>
        <w:r>
          <w:rPr>
            <w:noProof/>
            <w:webHidden/>
          </w:rPr>
          <w:tab/>
        </w:r>
        <w:r>
          <w:rPr>
            <w:noProof/>
            <w:webHidden/>
          </w:rPr>
          <w:fldChar w:fldCharType="begin"/>
        </w:r>
        <w:r>
          <w:rPr>
            <w:noProof/>
            <w:webHidden/>
          </w:rPr>
          <w:instrText xml:space="preserve"> PAGEREF _Toc262100347 \h </w:instrText>
        </w:r>
        <w:r>
          <w:rPr>
            <w:noProof/>
            <w:webHidden/>
          </w:rPr>
          <w:fldChar w:fldCharType="separate"/>
        </w:r>
        <w:r>
          <w:rPr>
            <w:rFonts w:ascii="Calibri" w:hAnsi="Calibri"/>
            <w:color w:val="6E838A"/>
            <w:sz w:val="20"/>
            <w:noProof/>
            <w:webHidden/>
          </w:rPr>
          <w:t xml:space="preserve">94</w:t>
        </w:r>
        <w:r>
          <w:rPr>
            <w:noProof/>
            <w:webHidden/>
          </w:rPr>
          <w:fldChar w:fldCharType="end"/>
        </w:r>
      </w:hyperlink>
    </w:p>
    <w:p>
      <w:pPr>
        <w:pStyle w:val="TOC2"/>
      </w:pPr>
      <w:hyperlink w:anchor="_Toc262100348" w:history="1">
        <w:r>
          <w:rPr>
            <w:rFonts w:ascii="Calibri" w:hAnsi="Calibri"/>
            <w:color w:val="20262A"/>
            <w:sz w:val="20"/>
            <w:noProof/>
          </w:rPr>
          <w:t xml:space="preserve">L.2 Form S-1: Service Invoice Cover Sheet</w:t>
        </w:r>
        <w:r>
          <w:rPr>
            <w:noProof/>
            <w:webHidden/>
          </w:rPr>
          <w:tab/>
        </w:r>
        <w:r>
          <w:rPr>
            <w:noProof/>
            <w:webHidden/>
          </w:rPr>
          <w:fldChar w:fldCharType="begin"/>
        </w:r>
        <w:r>
          <w:rPr>
            <w:noProof/>
            <w:webHidden/>
          </w:rPr>
          <w:instrText xml:space="preserve"> PAGEREF _Toc262100348 \h </w:instrText>
        </w:r>
        <w:r>
          <w:rPr>
            <w:noProof/>
            <w:webHidden/>
          </w:rPr>
          <w:fldChar w:fldCharType="separate"/>
        </w:r>
        <w:r>
          <w:rPr>
            <w:rFonts w:ascii="Calibri" w:hAnsi="Calibri"/>
            <w:color w:val="6E838A"/>
            <w:sz w:val="20"/>
            <w:noProof/>
            <w:webHidden/>
          </w:rPr>
          <w:t xml:space="preserve">94</w:t>
        </w:r>
        <w:r>
          <w:rPr>
            <w:noProof/>
            <w:webHidden/>
          </w:rPr>
          <w:fldChar w:fldCharType="end"/>
        </w:r>
      </w:hyperlink>
    </w:p>
    <w:p>
      <w:pPr>
        <w:pStyle w:val="TOC2"/>
      </w:pPr>
      <w:hyperlink w:anchor="_Toc262100349" w:history="1">
        <w:r>
          <w:rPr>
            <w:rFonts w:ascii="Calibri" w:hAnsi="Calibri"/>
            <w:color w:val="20262A"/>
            <w:sz w:val="20"/>
            <w:noProof/>
          </w:rPr>
          <w:t xml:space="preserve">L.3 Form O-1: Observer Embarkation and Report</w:t>
        </w:r>
        <w:r>
          <w:rPr>
            <w:noProof/>
            <w:webHidden/>
          </w:rPr>
          <w:tab/>
        </w:r>
        <w:r>
          <w:rPr>
            <w:noProof/>
            <w:webHidden/>
          </w:rPr>
          <w:fldChar w:fldCharType="begin"/>
        </w:r>
        <w:r>
          <w:rPr>
            <w:noProof/>
            <w:webHidden/>
          </w:rPr>
          <w:instrText xml:space="preserve"> PAGEREF _Toc262100349 \h </w:instrText>
        </w:r>
        <w:r>
          <w:rPr>
            <w:noProof/>
            <w:webHidden/>
          </w:rPr>
          <w:fldChar w:fldCharType="separate"/>
        </w:r>
        <w:r>
          <w:rPr>
            <w:rFonts w:ascii="Calibri" w:hAnsi="Calibri"/>
            <w:color w:val="6E838A"/>
            <w:sz w:val="20"/>
            <w:noProof/>
            <w:webHidden/>
          </w:rPr>
          <w:t xml:space="preserve">95</w:t>
        </w:r>
        <w:r>
          <w:rPr>
            <w:noProof/>
            <w:webHidden/>
          </w:rPr>
          <w:fldChar w:fldCharType="end"/>
        </w:r>
      </w:hyperlink>
    </w:p>
    <w:p>
      <w:pPr>
        <w:pStyle w:val="TOC2"/>
      </w:pPr>
      <w:hyperlink w:anchor="_Toc262100350" w:history="1">
        <w:r>
          <w:rPr>
            <w:rFonts w:ascii="Calibri" w:hAnsi="Calibri"/>
            <w:color w:val="20262A"/>
            <w:sz w:val="20"/>
            <w:noProof/>
          </w:rPr>
          <w:t xml:space="preserve">L.4 Form A-1: Instrument of Accession</w:t>
        </w:r>
        <w:r>
          <w:rPr>
            <w:noProof/>
            <w:webHidden/>
          </w:rPr>
          <w:tab/>
        </w:r>
        <w:r>
          <w:rPr>
            <w:noProof/>
            <w:webHidden/>
          </w:rPr>
          <w:fldChar w:fldCharType="begin"/>
        </w:r>
        <w:r>
          <w:rPr>
            <w:noProof/>
            <w:webHidden/>
          </w:rPr>
          <w:instrText xml:space="preserve"> PAGEREF _Toc262100350 \h </w:instrText>
        </w:r>
        <w:r>
          <w:rPr>
            <w:noProof/>
            <w:webHidden/>
          </w:rPr>
          <w:fldChar w:fldCharType="separate"/>
        </w:r>
        <w:r>
          <w:rPr>
            <w:rFonts w:ascii="Calibri" w:hAnsi="Calibri"/>
            <w:color w:val="6E838A"/>
            <w:sz w:val="20"/>
            <w:noProof/>
            <w:webHidden/>
          </w:rPr>
          <w:t xml:space="preserve">95</w:t>
        </w:r>
        <w:r>
          <w:rPr>
            <w:noProof/>
            <w:webHidden/>
          </w:rPr>
          <w:fldChar w:fldCharType="end"/>
        </w:r>
      </w:hyperlink>
    </w:p>
    <w:p>
      <w:pPr>
        <w:pStyle w:val="TOC1"/>
      </w:pPr>
      <w:hyperlink w:anchor="_Toc262100351" w:history="1">
        <w:r>
          <w:rPr>
            <w:rFonts w:ascii="Calibri" w:hAnsi="Calibri"/>
            <w:b/>
            <w:color w:val="1D4E5F"/>
            <w:sz w:val="21"/>
            <w:noProof/>
          </w:rPr>
          <w:t xml:space="preserve">Annex M: Governance Calendar and Standing Tables</w:t>
        </w:r>
        <w:r>
          <w:rPr>
            <w:noProof/>
            <w:webHidden/>
          </w:rPr>
          <w:tab/>
        </w:r>
        <w:r>
          <w:rPr>
            <w:noProof/>
            <w:webHidden/>
          </w:rPr>
          <w:fldChar w:fldCharType="begin"/>
        </w:r>
        <w:r>
          <w:rPr>
            <w:noProof/>
            <w:webHidden/>
          </w:rPr>
          <w:instrText xml:space="preserve"> PAGEREF _Toc262100351 \h </w:instrText>
        </w:r>
        <w:r>
          <w:rPr>
            <w:noProof/>
            <w:webHidden/>
          </w:rPr>
          <w:fldChar w:fldCharType="separate"/>
        </w:r>
        <w:r>
          <w:rPr>
            <w:rFonts w:ascii="Calibri" w:hAnsi="Calibri"/>
            <w:color w:val="6E838A"/>
            <w:sz w:val="20"/>
            <w:noProof/>
            <w:webHidden/>
          </w:rPr>
          <w:t xml:space="preserve">96</w:t>
        </w:r>
        <w:r>
          <w:rPr>
            <w:noProof/>
            <w:webHidden/>
          </w:rPr>
          <w:fldChar w:fldCharType="end"/>
        </w:r>
      </w:hyperlink>
    </w:p>
    <w:p>
      <w:pPr>
        <w:pStyle w:val="TOC2"/>
      </w:pPr>
      <w:hyperlink w:anchor="_Toc262100352" w:history="1">
        <w:r>
          <w:rPr>
            <w:rFonts w:ascii="Calibri" w:hAnsi="Calibri"/>
            <w:color w:val="20262A"/>
            <w:sz w:val="20"/>
            <w:noProof/>
          </w:rPr>
          <w:t xml:space="preserve">M.1 The Annual Calendar</w:t>
        </w:r>
        <w:r>
          <w:rPr>
            <w:noProof/>
            <w:webHidden/>
          </w:rPr>
          <w:tab/>
        </w:r>
        <w:r>
          <w:rPr>
            <w:noProof/>
            <w:webHidden/>
          </w:rPr>
          <w:fldChar w:fldCharType="begin"/>
        </w:r>
        <w:r>
          <w:rPr>
            <w:noProof/>
            <w:webHidden/>
          </w:rPr>
          <w:instrText xml:space="preserve"> PAGEREF _Toc262100352 \h </w:instrText>
        </w:r>
        <w:r>
          <w:rPr>
            <w:noProof/>
            <w:webHidden/>
          </w:rPr>
          <w:fldChar w:fldCharType="separate"/>
        </w:r>
        <w:r>
          <w:rPr>
            <w:rFonts w:ascii="Calibri" w:hAnsi="Calibri"/>
            <w:color w:val="6E838A"/>
            <w:sz w:val="20"/>
            <w:noProof/>
            <w:webHidden/>
          </w:rPr>
          <w:t xml:space="preserve">96</w:t>
        </w:r>
        <w:r>
          <w:rPr>
            <w:noProof/>
            <w:webHidden/>
          </w:rPr>
          <w:fldChar w:fldCharType="end"/>
        </w:r>
      </w:hyperlink>
    </w:p>
    <w:p>
      <w:pPr>
        <w:pStyle w:val="TOC2"/>
      </w:pPr>
      <w:hyperlink w:anchor="_Toc262100353" w:history="1">
        <w:r>
          <w:rPr>
            <w:rFonts w:ascii="Calibri" w:hAnsi="Calibri"/>
            <w:color w:val="20262A"/>
            <w:sz w:val="20"/>
            <w:noProof/>
          </w:rPr>
          <w:t xml:space="preserve">M.2 Council Sessions</w:t>
        </w:r>
        <w:r>
          <w:rPr>
            <w:noProof/>
            <w:webHidden/>
          </w:rPr>
          <w:tab/>
        </w:r>
        <w:r>
          <w:rPr>
            <w:noProof/>
            <w:webHidden/>
          </w:rPr>
          <w:fldChar w:fldCharType="begin"/>
        </w:r>
        <w:r>
          <w:rPr>
            <w:noProof/>
            <w:webHidden/>
          </w:rPr>
          <w:instrText xml:space="preserve"> PAGEREF _Toc262100353 \h </w:instrText>
        </w:r>
        <w:r>
          <w:rPr>
            <w:noProof/>
            <w:webHidden/>
          </w:rPr>
          <w:fldChar w:fldCharType="separate"/>
        </w:r>
        <w:r>
          <w:rPr>
            <w:rFonts w:ascii="Calibri" w:hAnsi="Calibri"/>
            <w:color w:val="6E838A"/>
            <w:sz w:val="20"/>
            <w:noProof/>
            <w:webHidden/>
          </w:rPr>
          <w:t xml:space="preserve">96</w:t>
        </w:r>
        <w:r>
          <w:rPr>
            <w:noProof/>
            <w:webHidden/>
          </w:rPr>
          <w:fldChar w:fldCharType="end"/>
        </w:r>
      </w:hyperlink>
    </w:p>
    <w:p>
      <w:pPr>
        <w:pStyle w:val="TOC2"/>
      </w:pPr>
      <w:hyperlink w:anchor="_Toc262100354" w:history="1">
        <w:r>
          <w:rPr>
            <w:rFonts w:ascii="Calibri" w:hAnsi="Calibri"/>
            <w:color w:val="20262A"/>
            <w:sz w:val="20"/>
            <w:noProof/>
          </w:rPr>
          <w:t xml:space="preserve">M.3 The Center Establishment (Fifty-Eight Posts)</w:t>
        </w:r>
        <w:r>
          <w:rPr>
            <w:noProof/>
            <w:webHidden/>
          </w:rPr>
          <w:tab/>
        </w:r>
        <w:r>
          <w:rPr>
            <w:noProof/>
            <w:webHidden/>
          </w:rPr>
          <w:fldChar w:fldCharType="begin"/>
        </w:r>
        <w:r>
          <w:rPr>
            <w:noProof/>
            <w:webHidden/>
          </w:rPr>
          <w:instrText xml:space="preserve"> PAGEREF _Toc262100354 \h </w:instrText>
        </w:r>
        <w:r>
          <w:rPr>
            <w:noProof/>
            <w:webHidden/>
          </w:rPr>
          <w:fldChar w:fldCharType="separate"/>
        </w:r>
        <w:r>
          <w:rPr>
            <w:rFonts w:ascii="Calibri" w:hAnsi="Calibri"/>
            <w:color w:val="6E838A"/>
            <w:sz w:val="20"/>
            <w:noProof/>
            <w:webHidden/>
          </w:rPr>
          <w:t xml:space="preserve">96</w:t>
        </w:r>
        <w:r>
          <w:rPr>
            <w:noProof/>
            <w:webHidden/>
          </w:rPr>
          <w:fldChar w:fldCharType="end"/>
        </w:r>
      </w:hyperlink>
    </w:p>
    <w:p>
      <w:pPr>
        <w:pStyle w:val="TOC2"/>
      </w:pPr>
      <w:hyperlink w:anchor="_Toc262100355" w:history="1">
        <w:r>
          <w:rPr>
            <w:rFonts w:ascii="Calibri" w:hAnsi="Calibri"/>
            <w:color w:val="20262A"/>
            <w:sz w:val="20"/>
            <w:noProof/>
          </w:rPr>
          <w:t xml:space="preserve">M.4 Standing Financial Tables, Year One</w:t>
        </w:r>
        <w:r>
          <w:rPr>
            <w:noProof/>
            <w:webHidden/>
          </w:rPr>
          <w:tab/>
        </w:r>
        <w:r>
          <w:rPr>
            <w:noProof/>
            <w:webHidden/>
          </w:rPr>
          <w:fldChar w:fldCharType="begin"/>
        </w:r>
        <w:r>
          <w:rPr>
            <w:noProof/>
            <w:webHidden/>
          </w:rPr>
          <w:instrText xml:space="preserve"> PAGEREF _Toc262100355 \h </w:instrText>
        </w:r>
        <w:r>
          <w:rPr>
            <w:noProof/>
            <w:webHidden/>
          </w:rPr>
          <w:fldChar w:fldCharType="separate"/>
        </w:r>
        <w:r>
          <w:rPr>
            <w:rFonts w:ascii="Calibri" w:hAnsi="Calibri"/>
            <w:color w:val="6E838A"/>
            <w:sz w:val="20"/>
            <w:noProof/>
            <w:webHidden/>
          </w:rPr>
          <w:t xml:space="preserve">97</w:t>
        </w:r>
        <w:r>
          <w:rPr>
            <w:noProof/>
            <w:webHidden/>
          </w:rPr>
          <w:fldChar w:fldCharType="end"/>
        </w:r>
      </w:hyperlink>
    </w:p>
    <w:p>
      <w:pPr>
        <w:pStyle w:val="TOC1"/>
      </w:pPr>
      <w:hyperlink w:anchor="_Toc262100356" w:history="1">
        <w:r>
          <w:rPr>
            <w:rFonts w:ascii="Calibri" w:hAnsi="Calibri"/>
            <w:b/>
            <w:color w:val="1D4E5F"/>
            <w:sz w:val="21"/>
            <w:noProof/>
          </w:rPr>
          <w:t xml:space="preserve">Annex N: Glossary of Compact Terms</w:t>
        </w:r>
        <w:r>
          <w:rPr>
            <w:noProof/>
            <w:webHidden/>
          </w:rPr>
          <w:tab/>
        </w:r>
        <w:r>
          <w:rPr>
            <w:noProof/>
            <w:webHidden/>
          </w:rPr>
          <w:fldChar w:fldCharType="begin"/>
        </w:r>
        <w:r>
          <w:rPr>
            <w:noProof/>
            <w:webHidden/>
          </w:rPr>
          <w:instrText xml:space="preserve"> PAGEREF _Toc262100356 \h </w:instrText>
        </w:r>
        <w:r>
          <w:rPr>
            <w:noProof/>
            <w:webHidden/>
          </w:rPr>
          <w:fldChar w:fldCharType="separate"/>
        </w:r>
        <w:r>
          <w:rPr>
            <w:rFonts w:ascii="Calibri" w:hAnsi="Calibri"/>
            <w:color w:val="6E838A"/>
            <w:sz w:val="20"/>
            <w:noProof/>
            <w:webHidden/>
          </w:rPr>
          <w:t xml:space="preserve">98</w:t>
        </w:r>
        <w:r>
          <w:rPr>
            <w:noProof/>
            <w:webHidden/>
          </w:rPr>
          <w:fldChar w:fldCharType="end"/>
        </w:r>
      </w:hyperlink>
    </w:p>
    <w:p>
      <w:pPr>
        <w:pStyle w:val="TOC1"/>
      </w:pPr>
      <w:hyperlink w:anchor="_Toc262100357" w:history="1">
        <w:r>
          <w:rPr>
            <w:rFonts w:ascii="Calibri" w:hAnsi="Calibri"/>
            <w:b/>
            <w:color w:val="1D4E5F"/>
            <w:sz w:val="21"/>
            <w:noProof/>
          </w:rPr>
          <w:t xml:space="preserve">Closing Note of the Drafting Facilitators</w:t>
        </w:r>
        <w:r>
          <w:rPr>
            <w:noProof/>
            <w:webHidden/>
          </w:rPr>
          <w:tab/>
        </w:r>
        <w:r>
          <w:rPr>
            <w:noProof/>
            <w:webHidden/>
          </w:rPr>
          <w:fldChar w:fldCharType="begin"/>
        </w:r>
        <w:r>
          <w:rPr>
            <w:noProof/>
            <w:webHidden/>
          </w:rPr>
          <w:instrText xml:space="preserve"> PAGEREF _Toc262100357 \h </w:instrText>
        </w:r>
        <w:r>
          <w:rPr>
            <w:noProof/>
            <w:webHidden/>
          </w:rPr>
          <w:fldChar w:fldCharType="separate"/>
        </w:r>
        <w:r>
          <w:rPr>
            <w:rFonts w:ascii="Calibri" w:hAnsi="Calibri"/>
            <w:color w:val="6E838A"/>
            <w:sz w:val="20"/>
            <w:noProof/>
            <w:webHidden/>
          </w:rPr>
          <w:t xml:space="preserve">100</w:t>
        </w:r>
        <w:r>
          <w:rPr>
            <w:noProof/>
            <w:webHidden/>
          </w:rPr>
          <w:fldChar w:fldCharType="end"/>
        </w:r>
      </w:hyperlink>
      <w:r>
        <w:rPr>
          <w:noProof/>
          <w:webHidden/>
        </w:rPr>
        <w:fldChar w:fldCharType="end"/>
      </w:r>
    </w:p>
    <w:p>
      <w:pPr>
        <w:sectPr>
          <w:type w:val="nextPage"/>
          <w:pgSz w:w="11906" w:h="16838"/>
          <w:pgMar w:top="1600" w:right="1440" w:bottom="1440" w:left="1440" w:header="720" w:footer="720"/>
        </w:sectPr>
      </w:pPr>
    </w:p>
    <w:p>
      <w:pPr>
        <w:pStyle w:val="Heading1"/>
        <w:keepNext/>
        <w:keepLines/>
      </w:pPr>
      <w:bookmarkStart w:id="100" w:name="_Toc262100000"/>
      <w:r>
        <w:rPr>
          <w:rFonts w:ascii="Calibri" w:hAnsi="Calibri"/>
          <w:b/>
          <w:color w:val="1D4E5F"/>
          <w:sz w:val="34"/>
        </w:rPr>
        <w:t xml:space="preserve">Document Status and Instrument Record</w:t>
      </w:r>
      <w:bookmarkEnd w:id="100"/>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800"/>
        <w:gridCol w:w="7200"/>
      </w:tblGrid>
      <w:tr>
        <w:trPr>
          <w:tblHeader/>
        </w:trPr>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Field</w:t>
            </w:r>
          </w:p>
        </w:tc>
        <w:tc>
          <w:tcPr>
            <w:tcW w:w="7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Entry</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Instrument name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Gulf Triadic Governance Compact (GTGC)</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Negotiation reference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GTGC-2026-v1.0</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Version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1.0</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Date of issue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7 August 2026</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Status</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Negotiation draft, subject to revision</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Classification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Authorized negotiators and designated technical staff</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Coastal States</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Islamic Republic of Iran and Sultanate of Oman</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Stakeholder Circle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Gulf Cooperation Council states: Kingdom of Saudi Arabia, United Arab Emirates, State of Qatar, Kingdom of Bahrain, and State of Kuwait, with the Sultanate of Oman seated separately as Coastal State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User Circle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Major transit and flag states in advisory standing, with first engagement to China, India, Japan, and the Republic of Korea, and a second tier to the United Kingdom and France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Facilitating states</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Swiss Confederation, Islamic Republic of Pakistan, and State of Qatar</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Technical interface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International Maritime Organization</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Verification presence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Meridian Verification Office, with International Maritime Organization recognition</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Fiduciary administration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Neutral fiduciary agent in Geneva under Fund Board oversight</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Seat</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Triadic Stewardship Center, Muscat; Mirror Office, Bandar Abbas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Depositary</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Ministry of Foreign Affairs of the Sultanate of Oman, Muscat</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Languages</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Persian, Arabic, and English; the three texts carry equal authority</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Entry into operation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Phase Zero activates on the day of signature, per Article 40</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Continuity rule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No-fade continuity under Article 43; no sunset, no cliff</w:t>
            </w:r>
          </w:p>
        </w:tc>
      </w:tr>
    </w:tbl>
    <w:p>
      <w:pPr>
        <w:spacing w:after="100"/>
      </w:pPr>
    </w:p>
    <w:p>
      <w:pPr>
        <w:spacing w:after="130" w:line="340" w:lineRule="auto"/>
        <w:jc w:val="both"/>
      </w:pPr>
      <w:r>
        <w:rPr>
          <w:rFonts w:ascii="Cambria" w:hAnsi="Cambria"/>
          <w:color w:val="20262A"/>
          <w:sz w:val="22"/>
        </w:rPr>
        <w:t xml:space="preserve">This instrument record forms part of the operative text. Any conflict between a translation and this record resolves in favor of the shared meaning the negotiators assign to the provision in question.</w:t>
      </w:r>
    </w:p>
    <w:p>
      <w:pPr>
        <w:pStyle w:val="Heading1"/>
        <w:keepNext/>
        <w:keepLines/>
        <w:pageBreakBefore/>
      </w:pPr>
      <w:bookmarkStart w:id="101" w:name="_Toc262100001"/>
      <w:r>
        <w:rPr>
          <w:rFonts w:ascii="Calibri" w:hAnsi="Calibri"/>
          <w:b/>
          <w:color w:val="1D4E5F"/>
          <w:sz w:val="34"/>
        </w:rPr>
        <w:t xml:space="preserve">Cover Note of the Facilitating States</w:t>
      </w:r>
      <w:bookmarkEnd w:id="101"/>
    </w:p>
    <w:p>
      <w:pPr>
        <w:spacing w:after="130" w:line="340" w:lineRule="auto"/>
        <w:jc w:val="both"/>
      </w:pPr>
      <w:r>
        <w:rPr>
          <w:rFonts w:ascii="Cambria" w:hAnsi="Cambria"/>
          <w:color w:val="20262A"/>
          <w:sz w:val="22"/>
        </w:rPr>
        <w:t xml:space="preserve">The facilitating states transmit this draft to the delegations of the two Coastal States, the states of the Stakeholder Circle, the states of the User Circle, and the International Maritime Organization with a single conviction: the Strait of Hormuz sustains its greatest value when its coastal states and its principal users govern it together, in the open, under rules that treat transit as a shared asset and treat verified conduct as the only currency of advancement.</w:t>
      </w:r>
    </w:p>
    <w:p>
      <w:pPr>
        <w:spacing w:after="130" w:line="340" w:lineRule="auto"/>
        <w:jc w:val="both"/>
      </w:pPr>
      <w:r>
        <w:rPr>
          <w:rFonts w:ascii="Cambria" w:hAnsi="Cambria"/>
          <w:color w:val="20262A"/>
          <w:sz w:val="22"/>
        </w:rPr>
        <w:t xml:space="preserve">This draft answers the four questions that remain open in the negotiation file as of 7 August 2026. It answers the question of security authority with the Twin Key Rule, under which every consequential act carries the concurrence of two keys from two different circles. It answers the question of money with the Settlement Pair: the Neutral Escrow Fund, through which every payment flows to a neutral fiduciary rather than to any state, and the Route Assurance Data Service, which converts the fee question into a commercial subscription for a genuine product. It answers the question of the corridor shares with the One-Third Allocation Rule and the Accrual Ladder, under which the Islamic Republic of Iran begins with primary administration of the corridor closest to its coast and earns an expanding, banked, and permanent share of the Central Buffer Corridor through audited performance. And it answers the question of sequence with the six-phase reopening of Article 40, which moves the strait from wartime routing to full triadic operation in one hundred and twenty days without a single unguarded seam.</w:t>
      </w:r>
    </w:p>
    <w:p>
      <w:pPr>
        <w:spacing w:after="130" w:line="340" w:lineRule="auto"/>
        <w:jc w:val="both"/>
      </w:pPr>
      <w:r>
        <w:rPr>
          <w:rFonts w:ascii="Cambria" w:hAnsi="Cambria"/>
          <w:color w:val="20262A"/>
          <w:sz w:val="22"/>
        </w:rPr>
        <w:t xml:space="preserve">The draft observes three drafting disciplines throughout. First, it states every rule in the active present tense, because the Compact describes an operating system, not a set of promises. Second, it attributes every constraint to the shared architecture rather than to the restraint of any Participant State, because all Participant States bind themselves through the same design. Third, it firewalls the nuclear file completely: nothing in this Compact touches, conditions, measures, or awaits the nuclear track, and the Compact says so in operative language in Part VII.</w:t>
      </w:r>
    </w:p>
    <w:p>
      <w:pPr>
        <w:spacing w:after="130" w:line="340" w:lineRule="auto"/>
        <w:jc w:val="both"/>
      </w:pPr>
      <w:r>
        <w:rPr>
          <w:rFonts w:ascii="Cambria" w:hAnsi="Cambria"/>
          <w:color w:val="20262A"/>
          <w:sz w:val="22"/>
        </w:rPr>
        <w:t xml:space="preserve">The facilitating states invite every delegation to treat this text as a working whole. Each annex operates as a self-contained module. A delegation accepts, adjusts, or sets aside a module without breaking the rest of the structure. The text rewards precision: where a number, a coordinate, a rate, or a time limit appears, the negotiators intend it as an operative value, open to technical adjustment at the table and then fixed under the decision rules of Article 24.</w:t>
      </w:r>
    </w:p>
    <w:p>
      <w:pPr>
        <w:spacing w:after="130" w:line="340" w:lineRule="auto"/>
        <w:jc w:val="both"/>
      </w:pPr>
      <w:r>
        <w:rPr>
          <w:rFonts w:ascii="Cambria" w:hAnsi="Cambria"/>
          <w:color w:val="20262A"/>
          <w:sz w:val="22"/>
        </w:rPr>
        <w:t xml:space="preserve">Muscat, 7 August 2026</w:t>
      </w:r>
    </w:p>
    <w:p>
      <w:pPr>
        <w:pStyle w:val="Heading1"/>
        <w:keepNext/>
        <w:keepLines/>
        <w:pageBreakBefore/>
      </w:pPr>
      <w:bookmarkStart w:id="102" w:name="_Toc262100002"/>
      <w:r>
        <w:rPr>
          <w:rFonts w:ascii="Calibri" w:hAnsi="Calibri"/>
          <w:b/>
          <w:color w:val="1D4E5F"/>
          <w:sz w:val="34"/>
        </w:rPr>
        <w:t xml:space="preserve">Preface: Drafting Convention and Method</w:t>
      </w:r>
      <w:bookmarkEnd w:id="102"/>
    </w:p>
    <w:p>
      <w:pPr>
        <w:spacing w:after="130" w:line="340" w:lineRule="auto"/>
        <w:jc w:val="both"/>
      </w:pPr>
      <w:r>
        <w:rPr>
          <w:rFonts w:ascii="Cambria" w:hAnsi="Cambria"/>
          <w:color w:val="20262A"/>
          <w:sz w:val="22"/>
        </w:rPr>
        <w:t xml:space="preserve">This document follows a strict drafting convention, and readers benefit from knowing it in advance.</w:t>
      </w:r>
    </w:p>
    <w:p>
      <w:pPr>
        <w:spacing w:after="130" w:line="340" w:lineRule="auto"/>
        <w:jc w:val="both"/>
      </w:pPr>
      <w:r>
        <w:rPr>
          <w:rFonts w:ascii="Cambria" w:hAnsi="Cambria"/>
          <w:color w:val="20262A"/>
          <w:sz w:val="22"/>
        </w:rPr>
        <w:t xml:space="preserve">Present-tense engine. Every operative sentence states an action or a state as a present reality. The text contains no command verbs of the traditional treaty type. Where a classic treaty writes a future obligation, this text writes the operating rule itself: the Center issues, the Council convenes, the Fund distributes, the share accrues. This convention removes ambiguity about timing. A rule in this document operates from the moment its phase activates and never drifts into intention language.</w:t>
      </w:r>
    </w:p>
    <w:p>
      <w:pPr>
        <w:spacing w:after="130" w:line="340" w:lineRule="auto"/>
        <w:jc w:val="both"/>
      </w:pPr>
      <w:r>
        <w:rPr>
          <w:rFonts w:ascii="Cambria" w:hAnsi="Cambria"/>
          <w:color w:val="20262A"/>
          <w:sz w:val="22"/>
        </w:rPr>
        <w:t xml:space="preserve">Mutual architecture. The text never frames a constraint as one Participant State restraining itself for the benefit of another. Constraints attach to the architecture: the framework excludes boarding inside the corridors; the architecture prohibits charges on transit; the system routes every payment through the neutral fiduciary. All Participant States stand inside the same structure, equally bound by its design.</w:t>
      </w:r>
    </w:p>
    <w:p>
      <w:pPr>
        <w:spacing w:after="130" w:line="340" w:lineRule="auto"/>
        <w:jc w:val="both"/>
      </w:pPr>
      <w:r>
        <w:rPr>
          <w:rFonts w:ascii="Cambria" w:hAnsi="Cambria"/>
          <w:color w:val="20262A"/>
          <w:sz w:val="22"/>
        </w:rPr>
        <w:t xml:space="preserve">No-fade continuity. No provision of this Compact carries an expiry date. The rolling horizon of Article 43 makes continuation the default and treats any ending as an affirmative, deliberate, and reversible act. Banked performance survives every review cycle. Nothing fades.</w:t>
      </w:r>
    </w:p>
    <w:p>
      <w:pPr>
        <w:spacing w:after="130" w:line="340" w:lineRule="auto"/>
        <w:jc w:val="both"/>
      </w:pPr>
      <w:r>
        <w:rPr>
          <w:rFonts w:ascii="Cambria" w:hAnsi="Cambria"/>
          <w:color w:val="20262A"/>
          <w:sz w:val="22"/>
        </w:rPr>
        <w:t xml:space="preserve">Prohibition vocabulary. Where the framework excludes a conduct, the text says so directly: the framework excludes, the architecture prohibits, the system does not permit. Where the framework affirms a conduct, the actor performs it in the present tense.</w:t>
      </w:r>
    </w:p>
    <w:p>
      <w:pPr>
        <w:spacing w:after="130" w:line="340" w:lineRule="auto"/>
        <w:jc w:val="both"/>
      </w:pPr>
      <w:r>
        <w:rPr>
          <w:rFonts w:ascii="Cambria" w:hAnsi="Cambria"/>
          <w:color w:val="20262A"/>
          <w:sz w:val="22"/>
        </w:rPr>
        <w:t xml:space="preserve">Neutral naming. Every institution, mechanism, corridor, and zone carries a politically neutral name that assigns no primacy, no victory, and no ownership to any Participant State. The names describe function: the Triadic Council convenes the three circles; the Triadic Stewardship Center coordinates at the middle; the Meridian Verification Office keeps the record straight at the line that divides the hemispheres of trust.</w:t>
      </w:r>
    </w:p>
    <w:p>
      <w:pPr>
        <w:spacing w:after="130" w:line="340" w:lineRule="auto"/>
        <w:jc w:val="both"/>
      </w:pPr>
      <w:r>
        <w:rPr>
          <w:rFonts w:ascii="Cambria" w:hAnsi="Cambria"/>
          <w:color w:val="20262A"/>
          <w:sz w:val="22"/>
        </w:rPr>
        <w:t xml:space="preserve">The triadic idea. The Compact takes its name from a double triad. The water holds three corridors: the Northern Coordination Corridor, the Central Buffer Corridor, and the Southern Assurance Corridor. The table seats three circles: the Coastal Circle of Iran and Oman, the Stakeholder Circle of the Gulf Cooperation Council, and the User Circle of the major transit states. Every consequential decision touches all three corridors and all three circles, and no circle decides alone.</w:t>
      </w:r>
    </w:p>
    <w:p>
      <w:pPr>
        <w:spacing w:after="130" w:line="340" w:lineRule="auto"/>
        <w:jc w:val="both"/>
      </w:pPr>
      <w:r>
        <w:rPr>
          <w:rFonts w:ascii="Cambria" w:hAnsi="Cambria"/>
          <w:color w:val="20262A"/>
          <w:sz w:val="22"/>
        </w:rPr>
        <w:t xml:space="preserve">Modularity. The annexes operate as self-contained protocol modules. Each module stands on its own, survives the failure of any other module, and enters or leaves operation only through the procedures of Article 24.</w:t>
      </w:r>
    </w:p>
    <w:p>
      <w:pPr>
        <w:pStyle w:val="Heading1"/>
        <w:keepNext/>
        <w:keepLines/>
        <w:pageBreakBefore/>
      </w:pPr>
      <w:bookmarkStart w:id="103" w:name="_Toc262100003"/>
      <w:r>
        <w:rPr>
          <w:rFonts w:ascii="Calibri" w:hAnsi="Calibri"/>
          <w:b/>
          <w:color w:val="1D4E5F"/>
          <w:sz w:val="34"/>
        </w:rPr>
        <w:t xml:space="preserve">Conversion Note: From Guideline to Operative Text</w:t>
      </w:r>
      <w:bookmarkEnd w:id="103"/>
    </w:p>
    <w:p>
      <w:pPr>
        <w:spacing w:after="130" w:line="340" w:lineRule="auto"/>
        <w:jc w:val="both"/>
      </w:pPr>
      <w:r>
        <w:rPr>
          <w:rFonts w:ascii="Cambria" w:hAnsi="Cambria"/>
          <w:color w:val="20262A"/>
          <w:sz w:val="22"/>
        </w:rPr>
        <w:t xml:space="preserve">This Compact converts a negotiating guideline into an operative instrument. The conversion follows six moves, and each move leaves a visible trace in the text.</w:t>
      </w:r>
    </w:p>
    <w:p>
      <w:pPr>
        <w:spacing w:after="130" w:line="340" w:lineRule="auto"/>
        <w:jc w:val="both"/>
      </w:pPr>
      <w:r>
        <w:rPr>
          <w:rFonts w:ascii="Cambria" w:hAnsi="Cambria"/>
          <w:color w:val="20262A"/>
          <w:sz w:val="22"/>
        </w:rPr>
        <w:t xml:space="preserve">First move: the corridor concept becomes geometry. The guideline speaks of three lanes. Part II and Annex A fix those lanes as the Northern Coordination Corridor, the Central Buffer Corridor, and the Southern Assurance Corridor, with provisional boundary coordinates, separation belts, precautionary zones, and holding anchorages, ready for registration with the International Maritime Organization.</w:t>
      </w:r>
    </w:p>
    <w:p>
      <w:pPr>
        <w:spacing w:after="130" w:line="340" w:lineRule="auto"/>
        <w:jc w:val="both"/>
      </w:pPr>
      <w:r>
        <w:rPr>
          <w:rFonts w:ascii="Cambria" w:hAnsi="Cambria"/>
          <w:color w:val="20262A"/>
          <w:sz w:val="22"/>
        </w:rPr>
        <w:t xml:space="preserve">Second move: the share concept becomes the One-Third Allocation Rule. The guideline proposes that Iran hold one lane plus one-third of a second lane. Article 10 converts that proposal into a three-dimensional share system, in which a share carries equal weight in management authority, in revenue apportionment, and in concurrence weight, and in which the Islamic Republic of Iran begins at activation with the corridor closest to its coast, constituting one third of the corridor system, plus a one-sixth share of the Central Buffer Corridor.</w:t>
      </w:r>
    </w:p>
    <w:p>
      <w:pPr>
        <w:spacing w:after="130" w:line="340" w:lineRule="auto"/>
        <w:jc w:val="both"/>
      </w:pPr>
      <w:r>
        <w:rPr>
          <w:rFonts w:ascii="Cambria" w:hAnsi="Cambria"/>
          <w:color w:val="20262A"/>
          <w:sz w:val="22"/>
        </w:rPr>
        <w:t xml:space="preserve">Third move: good behavior becomes the Accrual Ladder. The guideline ties expansion to conduct. Part III converts that tie into the Stewardship Performance Index, a one-hundred-point quarterly score across six domains, and into five gates that raise the Iranian share of the Central Buffer Corridor from one-sixth to the one-third ceiling, with banking, a floor, step-back, and earn-back, all measured by the Meridian Verification Office and none of it touched by the nuclear file.</w:t>
      </w:r>
    </w:p>
    <w:p>
      <w:pPr>
        <w:spacing w:after="130" w:line="340" w:lineRule="auto"/>
        <w:jc w:val="both"/>
      </w:pPr>
      <w:r>
        <w:rPr>
          <w:rFonts w:ascii="Cambria" w:hAnsi="Cambria"/>
          <w:color w:val="20262A"/>
          <w:sz w:val="22"/>
        </w:rPr>
        <w:t xml:space="preserve">Fourth move: the fee question becomes the Settlement Pair. The guideline offers a menu of fee solutions. Part V adopts two of them as the operative pair: the Neutral Escrow Fund, which routes every payment through a neutral fiduciary in Geneva so that shippers pay a fund and never a state, and the Route Assurance Data Service, which packages corridor safety data as a commercial subscription product. The Zero-Toll Rule of Article 26 keeps passage itself free, and the Verified Services Catalog of Annex D prices only documented services actually rendered.</w:t>
      </w:r>
    </w:p>
    <w:p>
      <w:pPr>
        <w:spacing w:after="130" w:line="340" w:lineRule="auto"/>
        <w:jc w:val="both"/>
      </w:pPr>
      <w:r>
        <w:rPr>
          <w:rFonts w:ascii="Cambria" w:hAnsi="Cambria"/>
          <w:color w:val="20262A"/>
          <w:sz w:val="22"/>
        </w:rPr>
        <w:t xml:space="preserve">Fifth move: the nuclear question becomes the Firewall. Part VII excludes the nuclear file from the Compact in both directions: no Compact right, share, gate, or phase conditions on the nuclear track, and no development on the nuclear track suspends, slows, or conditions any Compact operation.</w:t>
      </w:r>
    </w:p>
    <w:p>
      <w:pPr>
        <w:spacing w:after="130" w:line="340" w:lineRule="auto"/>
        <w:jc w:val="both"/>
      </w:pPr>
      <w:r>
        <w:rPr>
          <w:rFonts w:ascii="Cambria" w:hAnsi="Cambria"/>
          <w:color w:val="20262A"/>
          <w:sz w:val="22"/>
        </w:rPr>
        <w:t xml:space="preserve">Sixth move: reopening becomes a sequence, not an event. Article 40 and Annex I convert the reopening into six phases across one hundred and twenty days, with the Central Buffer Corridor activating first, the Southern Assurance Corridor second, and the Northern Coordination Corridor third, a Stability Audit between pilot and full operation, and the wartime lanes sunsetting only after the audit certifies the new system.</w:t>
      </w:r>
    </w:p>
    <w:p>
      <w:pPr>
        <w:pStyle w:val="Heading1"/>
        <w:keepNext/>
        <w:keepLines/>
        <w:pageBreakBefore/>
      </w:pPr>
      <w:bookmarkStart w:id="104" w:name="_Toc262100004"/>
      <w:r>
        <w:rPr>
          <w:rFonts w:ascii="Calibri" w:hAnsi="Calibri"/>
          <w:b/>
          <w:color w:val="1D4E5F"/>
          <w:sz w:val="34"/>
        </w:rPr>
        <w:t xml:space="preserve">Preamble: The Shared Stewardship of the Strait of Hormuz</w:t>
      </w:r>
      <w:bookmarkEnd w:id="104"/>
    </w:p>
    <w:p>
      <w:pPr>
        <w:spacing w:after="130" w:line="340" w:lineRule="auto"/>
        <w:jc w:val="both"/>
      </w:pPr>
      <w:r>
        <w:rPr>
          <w:rFonts w:ascii="Cambria" w:hAnsi="Cambria"/>
          <w:color w:val="20262A"/>
          <w:sz w:val="22"/>
        </w:rPr>
        <w:t xml:space="preserve">The Participant States establish this Compact as a multilateral contribution to maritime safety, freedom of navigation, regional stability, and the shared stewardship of the Strait of Hormuz.</w:t>
      </w:r>
    </w:p>
    <w:p>
      <w:pPr>
        <w:spacing w:after="130" w:line="340" w:lineRule="auto"/>
        <w:jc w:val="both"/>
      </w:pPr>
      <w:r>
        <w:rPr>
          <w:rFonts w:ascii="Cambria" w:hAnsi="Cambria"/>
          <w:color w:val="20262A"/>
          <w:sz w:val="22"/>
        </w:rPr>
        <w:t xml:space="preserve">The Strait of Hormuz carries a regional and international public good. Its safe use engages the United Nations Convention on the Law of the Sea, applicable United Nations Security Council resolutions concerning freedom of navigation and maritime security, International Maritime Organization instruments, and the economic security of every state whose energy, food, medicine, and manufactured goods move through its lanes.</w:t>
      </w:r>
    </w:p>
    <w:p>
      <w:pPr>
        <w:spacing w:after="130" w:line="340" w:lineRule="auto"/>
        <w:jc w:val="both"/>
      </w:pPr>
      <w:r>
        <w:rPr>
          <w:rFonts w:ascii="Cambria" w:hAnsi="Cambria"/>
          <w:color w:val="20262A"/>
          <w:sz w:val="22"/>
        </w:rPr>
        <w:t xml:space="preserve">The war of 2026 closed the strait to ordinary commerce for months and demonstrated the cost of fragmented governance. The Islamabad Memorandum of Understanding of 17 June 2026 opened a diplomatic path, the technical consultations in Muscat mapped a three-corridor arrangement, and the delegations now converge on a system that gives each coastal state a defined and honored role while keeping the water open, free of tolls, and predictable for every flag.</w:t>
      </w:r>
    </w:p>
    <w:p>
      <w:pPr>
        <w:spacing w:after="130" w:line="340" w:lineRule="auto"/>
        <w:jc w:val="both"/>
      </w:pPr>
      <w:r>
        <w:rPr>
          <w:rFonts w:ascii="Cambria" w:hAnsi="Cambria"/>
          <w:color w:val="20262A"/>
          <w:sz w:val="22"/>
        </w:rPr>
        <w:t xml:space="preserve">The Compact that follows honors four realities at once. It honors the reality that commerce flows only when passage remains free of tolls, unconditional, and predictable. It honors the reality that the Islamic Republic of Iran and the Sultanate of Oman hold sovereign rights and security interests in their own waters, and that a durable system recognizes each of them in defined, functional form. It honors the reality that verified conduct, and only verified conduct, earns expanded stewardship. And it honors the reality that the nuclear file belongs to another table, under other rules, and never to this one.</w:t>
      </w:r>
    </w:p>
    <w:p>
      <w:pPr>
        <w:spacing w:after="130" w:line="340" w:lineRule="auto"/>
        <w:jc w:val="both"/>
      </w:pPr>
      <w:r>
        <w:rPr>
          <w:rFonts w:ascii="Cambria" w:hAnsi="Cambria"/>
          <w:color w:val="20262A"/>
          <w:sz w:val="22"/>
        </w:rPr>
        <w:t xml:space="preserve">The Participant States therefore establish the Gulf Triadic Governance Compact: a governance system of three corridors and three circles, one council, one center, one verification office, one fund, one data service, and one standing rule of earned stewardship, designed to operate in fair weather and foul, and designed never to fade.</w:t>
      </w:r>
    </w:p>
    <w:p>
      <w:pPr>
        <w:pStyle w:val="Heading1"/>
        <w:keepNext/>
        <w:keepLines/>
        <w:pageBreakBefore/>
      </w:pPr>
      <w:bookmarkStart w:id="105" w:name="_Toc262100005"/>
      <w:r>
        <w:rPr>
          <w:rFonts w:ascii="Calibri" w:hAnsi="Calibri"/>
          <w:b/>
          <w:color w:val="1D4E5F"/>
          <w:sz w:val="34"/>
        </w:rPr>
        <w:t xml:space="preserve">How to Read This Document</w:t>
      </w:r>
      <w:bookmarkEnd w:id="105"/>
    </w:p>
    <w:p>
      <w:pPr>
        <w:spacing w:after="130" w:line="340" w:lineRule="auto"/>
        <w:jc w:val="both"/>
      </w:pPr>
      <w:r>
        <w:rPr>
          <w:rFonts w:ascii="Cambria" w:hAnsi="Cambria"/>
          <w:color w:val="20262A"/>
          <w:sz w:val="22"/>
        </w:rPr>
        <w:t xml:space="preserve">A reader who wants the design in one sitting reads the Preamble, Article 3, Article 6, Article 10, Article 15, Article 25, Article 37, and Article 40. A reader who operates the system lives in Articles 7 through 14 and Annexes A, B, H, and J. A reader who funds the system lives in Part V and Annexes D, E, and F. A reader who verifies the system lives in Articles 16, 23, 31, and 38 and Annex C. A reader who tracks the Iranian share lives in Part III and Annex C.</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700"/>
        <w:gridCol w:w="5300"/>
        <w:gridCol w:w="3000"/>
      </w:tblGrid>
      <w:tr>
        <w:trPr>
          <w:tblHeader/>
        </w:trPr>
        <w:tc>
          <w:tcPr>
            <w:tcW w:w="1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Part</w:t>
            </w:r>
          </w:p>
        </w:tc>
        <w:tc>
          <w:tcPr>
            <w:tcW w:w="5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Content</w:t>
            </w:r>
          </w:p>
        </w:tc>
        <w:tc>
          <w:tcPr>
            <w:tcW w:w="3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Primary reader</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I</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Foundations, principles, definitions, inviolable principles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All delegations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II</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The three corridors, coordinates, vessel classes, safe passage</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Operators, mariners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III</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The Good Conduct Accrual architecture and the shares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All delegations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IV</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Institutions, the Twin Key Rule, decision rules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Administrators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V</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The fee settlement: Escrow Fund and Data Service</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Finance desks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VI</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Verification, security, mine-risk, search and rescue, environment</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Operators, verifiers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VII</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The Nuclear Firewall</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All delegations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VIII</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Compliance engine and dispute resolution</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Legal desks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IX</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The phased reopening and activation</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Operators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Part X</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Continuity, amendment, accession, final provisions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All delegations</w:t>
            </w:r>
          </w:p>
        </w:tc>
      </w:tr>
      <w:tr>
        <w:tc>
          <w:tcPr>
            <w:tcW w:w="1700" w:type="dxa"/>
            <w:tcMar>
              <w:top w:w="60" w:type="dxa"/>
              <w:left w:w="100" w:type="dxa"/>
              <w:bottom w:w="60" w:type="dxa"/>
              <w:right w:w="100" w:type="dxa"/>
            </w:tcMar>
          </w:tcPr>
          <w:p>
            <w:pPr>
              <w:spacing w:after="20" w:line="290" w:lineRule="auto"/>
            </w:pPr>
            <w:r>
              <w:rPr>
                <w:rFonts w:ascii="Calibri" w:hAnsi="Calibri"/>
                <w:color w:val="20262A"/>
                <w:sz w:val="19"/>
              </w:rPr>
              <w:t xml:space="preserve">Annexes A to N</w:t>
            </w:r>
          </w:p>
        </w:tc>
        <w:tc>
          <w:tcPr>
            <w:tcW w:w="5300" w:type="dxa"/>
            <w:tcMar>
              <w:top w:w="60" w:type="dxa"/>
              <w:left w:w="100" w:type="dxa"/>
              <w:bottom w:w="60" w:type="dxa"/>
              <w:right w:w="100" w:type="dxa"/>
            </w:tcMar>
          </w:tcPr>
          <w:p>
            <w:pPr>
              <w:spacing w:after="20" w:line="290" w:lineRule="auto"/>
            </w:pPr>
            <w:r>
              <w:rPr>
                <w:rFonts w:ascii="Calibri" w:hAnsi="Calibri"/>
                <w:color w:val="20262A"/>
                <w:sz w:val="19"/>
              </w:rPr>
              <w:t xml:space="preserve">Coordinates, shares, rates, rules, checklists, forms, calendars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Operators</w:t>
            </w:r>
          </w:p>
        </w:tc>
      </w:tr>
    </w:tbl>
    <w:p>
      <w:pPr>
        <w:spacing w:after="100"/>
      </w:pPr>
    </w:p>
    <w:p>
      <w:pPr>
        <w:pStyle w:val="Heading1"/>
        <w:keepNext/>
        <w:keepLines/>
        <w:pageBreakBefore/>
      </w:pPr>
      <w:bookmarkStart w:id="106" w:name="_Toc262100006"/>
      <w:r>
        <w:rPr>
          <w:rFonts w:ascii="Calibri" w:hAnsi="Calibri"/>
          <w:b/>
          <w:color w:val="1D4E5F"/>
          <w:sz w:val="34"/>
        </w:rPr>
        <w:t xml:space="preserve">Part I: Foundations</w:t>
      </w:r>
      <w:bookmarkEnd w:id="106"/>
    </w:p>
    <w:p>
      <w:pPr>
        <w:pStyle w:val="Heading2"/>
        <w:keepNext/>
        <w:keepLines/>
      </w:pPr>
      <w:bookmarkStart w:id="107" w:name="_Toc262100007"/>
      <w:r>
        <w:rPr>
          <w:rFonts w:ascii="Calibri" w:hAnsi="Calibri"/>
          <w:b/>
          <w:color w:val="1D4E5F"/>
          <w:sz w:val="27"/>
        </w:rPr>
        <w:t xml:space="preserve">Article 1: Establishment, Purpose, and Scope</w:t>
      </w:r>
      <w:bookmarkEnd w:id="107"/>
    </w:p>
    <w:p>
      <w:pPr>
        <w:pStyle w:val="Heading3"/>
        <w:keepNext/>
        <w:keepLines/>
      </w:pPr>
      <w:bookmarkStart w:id="108" w:name="_Toc262100008"/>
      <w:r>
        <w:rPr>
          <w:rFonts w:ascii="Calibri" w:hAnsi="Calibri"/>
          <w:b/>
          <w:color w:val="37666F"/>
          <w:sz w:val="24"/>
        </w:rPr>
        <w:t xml:space="preserve">1.1 Establishment</w:t>
      </w:r>
      <w:bookmarkEnd w:id="108"/>
    </w:p>
    <w:p>
      <w:pPr>
        <w:spacing w:after="110" w:line="340" w:lineRule="auto"/>
        <w:ind w:left="360" w:hanging="360"/>
        <w:jc w:val="both"/>
      </w:pPr>
      <w:r>
        <w:rPr>
          <w:rFonts w:ascii="Cambria" w:hAnsi="Cambria"/>
          <w:b/>
          <w:color w:val="1D4E5F"/>
          <w:sz w:val="22"/>
        </w:rPr>
        <w:t xml:space="preserve">1.1.1 </w:t>
      </w:r>
      <w:r>
        <w:rPr>
          <w:rFonts w:ascii="Cambria" w:hAnsi="Cambria"/>
          <w:color w:val="20262A"/>
          <w:sz w:val="22"/>
        </w:rPr>
        <w:t xml:space="preserve">The Islamic Republic of Iran and the Sultanate of Oman, together the Coastal States, in consultation with the Stakeholder Circle, the User Circle, and the International Maritime Organization, establish the Gulf Triadic Governance Compact, abbreviated GTGC, as their standing governance system for the Strait of Hormuz.</w:t>
      </w:r>
    </w:p>
    <w:p>
      <w:pPr>
        <w:spacing w:after="110" w:line="340" w:lineRule="auto"/>
        <w:ind w:left="360" w:hanging="360"/>
        <w:jc w:val="both"/>
      </w:pPr>
      <w:r>
        <w:rPr>
          <w:rFonts w:ascii="Cambria" w:hAnsi="Cambria"/>
          <w:b/>
          <w:color w:val="1D4E5F"/>
          <w:sz w:val="22"/>
        </w:rPr>
        <w:t xml:space="preserve">1.1.2 </w:t>
      </w:r>
      <w:r>
        <w:rPr>
          <w:rFonts w:ascii="Cambria" w:hAnsi="Cambria"/>
          <w:color w:val="20262A"/>
          <w:sz w:val="22"/>
        </w:rPr>
        <w:t xml:space="preserve">The Compact comprises the corridor system of Part II, the accrual architecture of Part III, the institutions of Part IV, the financial settlement of Part V, the safety and verification system of Part VI, the nuclear firewall of Part VII, the compliance engine of Part VIII, the activation machinery of Part IX, and the continuity machinery of Part X.</w:t>
      </w:r>
    </w:p>
    <w:p>
      <w:pPr>
        <w:spacing w:after="110" w:line="340" w:lineRule="auto"/>
        <w:ind w:left="360" w:hanging="360"/>
        <w:jc w:val="both"/>
      </w:pPr>
      <w:r>
        <w:rPr>
          <w:rFonts w:ascii="Cambria" w:hAnsi="Cambria"/>
          <w:b/>
          <w:color w:val="1D4E5F"/>
          <w:sz w:val="22"/>
        </w:rPr>
        <w:t xml:space="preserve">1.1.3 </w:t>
      </w:r>
      <w:r>
        <w:rPr>
          <w:rFonts w:ascii="Cambria" w:hAnsi="Cambria"/>
          <w:color w:val="20262A"/>
          <w:sz w:val="22"/>
        </w:rPr>
        <w:t xml:space="preserve">The Compact possesses international legal personality in the territories of the Participant States, including the capacity to contract, to hold accounts, to employ staff, and to appear before the dispute bodies of Article 39.</w:t>
      </w:r>
    </w:p>
    <w:p>
      <w:pPr>
        <w:pStyle w:val="Heading3"/>
        <w:keepNext/>
        <w:keepLines/>
      </w:pPr>
      <w:bookmarkStart w:id="109" w:name="_Toc262100009"/>
      <w:r>
        <w:rPr>
          <w:rFonts w:ascii="Calibri" w:hAnsi="Calibri"/>
          <w:b/>
          <w:color w:val="37666F"/>
          <w:sz w:val="24"/>
        </w:rPr>
        <w:t xml:space="preserve">1.2 Purpose</w:t>
      </w:r>
      <w:bookmarkEnd w:id="109"/>
    </w:p>
    <w:p>
      <w:pPr>
        <w:spacing w:after="110" w:line="340" w:lineRule="auto"/>
        <w:ind w:left="360" w:hanging="360"/>
        <w:jc w:val="both"/>
      </w:pPr>
      <w:r>
        <w:rPr>
          <w:rFonts w:ascii="Cambria" w:hAnsi="Cambria"/>
          <w:b/>
          <w:color w:val="1D4E5F"/>
          <w:sz w:val="22"/>
        </w:rPr>
        <w:t xml:space="preserve">1.2.1 </w:t>
      </w:r>
      <w:r>
        <w:rPr>
          <w:rFonts w:ascii="Cambria" w:hAnsi="Cambria"/>
          <w:color w:val="20262A"/>
          <w:sz w:val="22"/>
        </w:rPr>
        <w:t xml:space="preserve">The Compact guarantees free, safe, and predictable transit through the Strait of Hormuz for every vessel that complies with the traffic rules of Part II.</w:t>
      </w:r>
    </w:p>
    <w:p>
      <w:pPr>
        <w:spacing w:after="110" w:line="340" w:lineRule="auto"/>
        <w:ind w:left="360" w:hanging="360"/>
        <w:jc w:val="both"/>
      </w:pPr>
      <w:r>
        <w:rPr>
          <w:rFonts w:ascii="Cambria" w:hAnsi="Cambria"/>
          <w:b/>
          <w:color w:val="1D4E5F"/>
          <w:sz w:val="22"/>
        </w:rPr>
        <w:t xml:space="preserve">1.2.2 </w:t>
      </w:r>
      <w:r>
        <w:rPr>
          <w:rFonts w:ascii="Cambria" w:hAnsi="Cambria"/>
          <w:color w:val="20262A"/>
          <w:sz w:val="22"/>
        </w:rPr>
        <w:t xml:space="preserve">The Compact recognizes and operationalizes the shared authority of the two Coastal States over the waterway, and it converts that authority into services, verification, and stewardship rather than into charges on passage.</w:t>
      </w:r>
    </w:p>
    <w:p>
      <w:pPr>
        <w:spacing w:after="110" w:line="340" w:lineRule="auto"/>
        <w:ind w:left="360" w:hanging="360"/>
        <w:jc w:val="both"/>
      </w:pPr>
      <w:r>
        <w:rPr>
          <w:rFonts w:ascii="Cambria" w:hAnsi="Cambria"/>
          <w:b/>
          <w:color w:val="1D4E5F"/>
          <w:sz w:val="22"/>
        </w:rPr>
        <w:t xml:space="preserve">1.2.3 </w:t>
      </w:r>
      <w:r>
        <w:rPr>
          <w:rFonts w:ascii="Cambria" w:hAnsi="Cambria"/>
          <w:color w:val="20262A"/>
          <w:sz w:val="22"/>
        </w:rPr>
        <w:t xml:space="preserve">The Compact finances its services through the Settlement Pair of Part V: the Neutral Escrow Fund and the Route Assurance Data Service, never through tolls, fees, or charges levied as a condition of transit.</w:t>
      </w:r>
    </w:p>
    <w:p>
      <w:pPr>
        <w:spacing w:after="110" w:line="340" w:lineRule="auto"/>
        <w:ind w:left="360" w:hanging="360"/>
        <w:jc w:val="both"/>
      </w:pPr>
      <w:r>
        <w:rPr>
          <w:rFonts w:ascii="Cambria" w:hAnsi="Cambria"/>
          <w:b/>
          <w:color w:val="1D4E5F"/>
          <w:sz w:val="22"/>
        </w:rPr>
        <w:t xml:space="preserve">1.2.4 </w:t>
      </w:r>
      <w:r>
        <w:rPr>
          <w:rFonts w:ascii="Cambria" w:hAnsi="Cambria"/>
          <w:color w:val="20262A"/>
          <w:sz w:val="22"/>
        </w:rPr>
        <w:t xml:space="preserve">The Compact rewards verified conduct with expanded stewardship. The Accrual Ladder of Part III raises the Iranian share of the Central Buffer Corridor from one-sixth at activation to a permanent ceiling of one-third, on the strength of audited performance alone.</w:t>
      </w:r>
    </w:p>
    <w:p>
      <w:pPr>
        <w:spacing w:after="110" w:line="340" w:lineRule="auto"/>
        <w:ind w:left="360" w:hanging="360"/>
        <w:jc w:val="both"/>
      </w:pPr>
      <w:r>
        <w:rPr>
          <w:rFonts w:ascii="Cambria" w:hAnsi="Cambria"/>
          <w:b/>
          <w:color w:val="1D4E5F"/>
          <w:sz w:val="22"/>
        </w:rPr>
        <w:t xml:space="preserve">1.2.5 </w:t>
      </w:r>
      <w:r>
        <w:rPr>
          <w:rFonts w:ascii="Cambria" w:hAnsi="Cambria"/>
          <w:color w:val="20262A"/>
          <w:sz w:val="22"/>
        </w:rPr>
        <w:t xml:space="preserve">The Compact reduces the cost of governance by sharing assets, crews, data, and facilities among Participant States instead of duplicating them.</w:t>
      </w:r>
    </w:p>
    <w:p>
      <w:pPr>
        <w:pStyle w:val="Heading3"/>
        <w:keepNext/>
        <w:keepLines/>
      </w:pPr>
      <w:bookmarkStart w:id="110" w:name="_Toc262100010"/>
      <w:r>
        <w:rPr>
          <w:rFonts w:ascii="Calibri" w:hAnsi="Calibri"/>
          <w:b/>
          <w:color w:val="37666F"/>
          <w:sz w:val="24"/>
        </w:rPr>
        <w:t xml:space="preserve">1.3 Geographic Scope</w:t>
      </w:r>
      <w:bookmarkEnd w:id="110"/>
    </w:p>
    <w:p>
      <w:pPr>
        <w:spacing w:after="110" w:line="340" w:lineRule="auto"/>
        <w:ind w:left="360" w:hanging="360"/>
        <w:jc w:val="both"/>
      </w:pPr>
      <w:r>
        <w:rPr>
          <w:rFonts w:ascii="Cambria" w:hAnsi="Cambria"/>
          <w:b/>
          <w:color w:val="1D4E5F"/>
          <w:sz w:val="22"/>
        </w:rPr>
        <w:t xml:space="preserve">1.3.1 </w:t>
      </w:r>
      <w:r>
        <w:rPr>
          <w:rFonts w:ascii="Cambria" w:hAnsi="Cambria"/>
          <w:color w:val="20262A"/>
          <w:sz w:val="22"/>
        </w:rPr>
        <w:t xml:space="preserve">The Compact operates in the Strait of Hormuz Operating Area, defined as the waters enclosed by the line connecting the points listed in Annex A, Section A.1, together with the designated holding anchorages, approach sectors, and rendezvous points that Annex A lists.</w:t>
      </w:r>
    </w:p>
    <w:p>
      <w:pPr>
        <w:spacing w:after="110" w:line="340" w:lineRule="auto"/>
        <w:ind w:left="360" w:hanging="360"/>
        <w:jc w:val="both"/>
      </w:pPr>
      <w:r>
        <w:rPr>
          <w:rFonts w:ascii="Cambria" w:hAnsi="Cambria"/>
          <w:b/>
          <w:color w:val="1D4E5F"/>
          <w:sz w:val="22"/>
        </w:rPr>
        <w:t xml:space="preserve">1.3.2 </w:t>
      </w:r>
      <w:r>
        <w:rPr>
          <w:rFonts w:ascii="Cambria" w:hAnsi="Cambria"/>
          <w:color w:val="20262A"/>
          <w:sz w:val="22"/>
        </w:rPr>
        <w:t xml:space="preserve">The Operating Area includes the Northern Coordination Corridor, the Central Buffer Corridor, the Southern Assurance Corridor, the two separation belts, the Eastern and Western Precautionary Zones, the holding anchorages, and the Inshore Local Craft Bands.</w:t>
      </w:r>
    </w:p>
    <w:p>
      <w:pPr>
        <w:spacing w:after="110" w:line="340" w:lineRule="auto"/>
        <w:ind w:left="360" w:hanging="360"/>
        <w:jc w:val="both"/>
      </w:pPr>
      <w:r>
        <w:rPr>
          <w:rFonts w:ascii="Cambria" w:hAnsi="Cambria"/>
          <w:b/>
          <w:color w:val="1D4E5F"/>
          <w:sz w:val="22"/>
        </w:rPr>
        <w:t xml:space="preserve">1.3.3 </w:t>
      </w:r>
      <w:r>
        <w:rPr>
          <w:rFonts w:ascii="Cambria" w:hAnsi="Cambria"/>
          <w:color w:val="20262A"/>
          <w:sz w:val="22"/>
        </w:rPr>
        <w:t xml:space="preserve">Nothing in this Compact delimits maritime boundaries among the Participant States, and no act under this Compact prejudices any position of any Participant State on delimitation.</w:t>
      </w:r>
    </w:p>
    <w:p>
      <w:pPr>
        <w:pStyle w:val="Heading3"/>
        <w:keepNext/>
        <w:keepLines/>
      </w:pPr>
      <w:bookmarkStart w:id="111" w:name="_Toc262100011"/>
      <w:r>
        <w:rPr>
          <w:rFonts w:ascii="Calibri" w:hAnsi="Calibri"/>
          <w:b/>
          <w:color w:val="37666F"/>
          <w:sz w:val="24"/>
        </w:rPr>
        <w:t xml:space="preserve">1.4 Functional Scope</w:t>
      </w:r>
      <w:bookmarkEnd w:id="111"/>
    </w:p>
    <w:p>
      <w:pPr>
        <w:spacing w:after="110" w:line="340" w:lineRule="auto"/>
        <w:ind w:left="360" w:hanging="360"/>
        <w:jc w:val="both"/>
      </w:pPr>
      <w:r>
        <w:rPr>
          <w:rFonts w:ascii="Cambria" w:hAnsi="Cambria"/>
          <w:b/>
          <w:color w:val="1D4E5F"/>
          <w:sz w:val="22"/>
        </w:rPr>
        <w:t xml:space="preserve">1.4.1 </w:t>
      </w:r>
      <w:r>
        <w:rPr>
          <w:rFonts w:ascii="Cambria" w:hAnsi="Cambria"/>
          <w:color w:val="20262A"/>
          <w:sz w:val="22"/>
        </w:rPr>
        <w:t xml:space="preserve">The Compact governs navigation safety, traffic coordination, service provision and reimbursement, verification, incident management, search and rescue coordination, environmental protection, stewardship share administration, and dispute resolution within the Operating Area.</w:t>
      </w:r>
    </w:p>
    <w:p>
      <w:pPr>
        <w:spacing w:after="110" w:line="340" w:lineRule="auto"/>
        <w:ind w:left="360" w:hanging="360"/>
        <w:jc w:val="both"/>
      </w:pPr>
      <w:r>
        <w:rPr>
          <w:rFonts w:ascii="Cambria" w:hAnsi="Cambria"/>
          <w:b/>
          <w:color w:val="1D4E5F"/>
          <w:sz w:val="22"/>
        </w:rPr>
        <w:t xml:space="preserve">1.4.2 </w:t>
      </w:r>
      <w:r>
        <w:rPr>
          <w:rFonts w:ascii="Cambria" w:hAnsi="Cambria"/>
          <w:color w:val="20262A"/>
          <w:sz w:val="22"/>
        </w:rPr>
        <w:t xml:space="preserve">The Compact does not govern the internal waters, ports, or harbors of any Participant State beyond the holding anchorages and rendezvous points listed in Annex A.</w:t>
      </w:r>
    </w:p>
    <w:p>
      <w:pPr>
        <w:spacing w:after="110" w:line="340" w:lineRule="auto"/>
        <w:ind w:left="360" w:hanging="360"/>
        <w:jc w:val="both"/>
      </w:pPr>
      <w:r>
        <w:rPr>
          <w:rFonts w:ascii="Cambria" w:hAnsi="Cambria"/>
          <w:b/>
          <w:color w:val="1D4E5F"/>
          <w:sz w:val="22"/>
        </w:rPr>
        <w:t xml:space="preserve">1.4.3 </w:t>
      </w:r>
      <w:r>
        <w:rPr>
          <w:rFonts w:ascii="Cambria" w:hAnsi="Cambria"/>
          <w:color w:val="20262A"/>
          <w:sz w:val="22"/>
        </w:rPr>
        <w:t xml:space="preserve">The Compact does not govern the cargo policies, trade policies, or sanctions regimes of any state. The Compact governs movement, services, and stewardship on the water.</w:t>
      </w:r>
    </w:p>
    <w:p>
      <w:pPr>
        <w:spacing w:after="110" w:line="340" w:lineRule="auto"/>
        <w:ind w:left="360" w:hanging="360"/>
        <w:jc w:val="both"/>
      </w:pPr>
      <w:r>
        <w:rPr>
          <w:rFonts w:ascii="Cambria" w:hAnsi="Cambria"/>
          <w:b/>
          <w:color w:val="1D4E5F"/>
          <w:sz w:val="22"/>
        </w:rPr>
        <w:t xml:space="preserve">1.4.4 </w:t>
      </w:r>
      <w:r>
        <w:rPr>
          <w:rFonts w:ascii="Cambria" w:hAnsi="Cambria"/>
          <w:color w:val="20262A"/>
          <w:sz w:val="22"/>
        </w:rPr>
        <w:t xml:space="preserve">The Compact does not govern, measure, condition, or await any nuclear matter. Part VII states this exclusion in operative form.</w:t>
      </w:r>
    </w:p>
    <w:p>
      <w:pPr>
        <w:pStyle w:val="Heading3"/>
        <w:keepNext/>
        <w:keepLines/>
      </w:pPr>
      <w:bookmarkStart w:id="112" w:name="_Toc262100012"/>
      <w:r>
        <w:rPr>
          <w:rFonts w:ascii="Calibri" w:hAnsi="Calibri"/>
          <w:b/>
          <w:color w:val="37666F"/>
          <w:sz w:val="24"/>
        </w:rPr>
        <w:t xml:space="preserve">1.5 What This Compact Does and Does Not Do</w:t>
      </w:r>
      <w:bookmarkEnd w:id="112"/>
    </w:p>
    <w:tbl>
      <w:tblPr>
        <w:tblW w:w="5000" w:type="pct"/>
        <w:tblBorders>
          <w:top w:val="single" w:color="9C7A2E" w:sz="8"/>
          <w:left w:val="single" w:color="9C7A2E" w:sz="8"/>
          <w:bottom w:val="single" w:color="9C7A2E" w:sz="8"/>
          <w:right w:val="single" w:color="9C7A2E" w:sz="8"/>
          <w:insideH w:val="nil"/>
          <w:insideV w:val="nil"/>
        </w:tblBorders>
      </w:tblPr>
      <w:tblGrid>
        <w:gridCol w:w="10000"/>
      </w:tblGrid>
      <w:tr>
        <w:tc>
          <w:tcPr>
            <w:tcW w:w="10000" w:type="dxa"/>
            <w:shd w:val="clear" w:fill="F5F1E6"/>
            <w:tcMar>
              <w:top w:w="120" w:type="dxa"/>
              <w:left w:w="160" w:type="dxa"/>
              <w:bottom w:w="120" w:type="dxa"/>
              <w:right w:w="160" w:type="dxa"/>
            </w:tcMar>
          </w:tcPr>
          <w:p>
            <w:pPr>
              <w:spacing w:before="60" w:after="60" w:line="320" w:lineRule="auto"/>
              <w:jc w:val="both"/>
            </w:pPr>
            <w:r>
              <w:rPr>
                <w:rFonts w:ascii="Cambria" w:hAnsi="Cambria"/>
                <w:i/>
                <w:color w:val="26343A"/>
                <w:sz w:val="21"/>
              </w:rPr>
              <w:t xml:space="preserve">This Compact establishes a triadic operating system for the strait. It keeps passage free, prices only verified services, routes all money through a neutral fiduciary, rewards audited conduct with banked and permanent stewardship shares, and continues without expiry. This Compact does not create a toll regime, does not grant any Participant State command over another, does not transfer sovereignty, does not prejudice boundary positions, does not touch the nuclear file, and does not authorize the use of force by any actor.</w:t>
            </w:r>
          </w:p>
        </w:tc>
      </w:tr>
    </w:tbl>
    <w:p>
      <w:pPr>
        <w:spacing w:after="100"/>
      </w:pPr>
    </w:p>
    <w:p>
      <w:pPr>
        <w:pStyle w:val="Heading3"/>
        <w:keepNext/>
        <w:keepLines/>
      </w:pPr>
      <w:bookmarkStart w:id="113" w:name="_Toc262100013"/>
      <w:r>
        <w:rPr>
          <w:rFonts w:ascii="Calibri" w:hAnsi="Calibri"/>
          <w:b/>
          <w:color w:val="37666F"/>
          <w:sz w:val="24"/>
        </w:rPr>
        <w:t xml:space="preserve">1.6 Relationship to Existing Instruments</w:t>
      </w:r>
      <w:bookmarkEnd w:id="113"/>
    </w:p>
    <w:p>
      <w:pPr>
        <w:spacing w:after="110" w:line="340" w:lineRule="auto"/>
        <w:ind w:left="360" w:hanging="360"/>
        <w:jc w:val="both"/>
      </w:pPr>
      <w:r>
        <w:rPr>
          <w:rFonts w:ascii="Cambria" w:hAnsi="Cambria"/>
          <w:b/>
          <w:color w:val="1D4E5F"/>
          <w:sz w:val="22"/>
        </w:rPr>
        <w:t xml:space="preserve">1.6.1 </w:t>
      </w:r>
      <w:r>
        <w:rPr>
          <w:rFonts w:ascii="Cambria" w:hAnsi="Cambria"/>
          <w:color w:val="20262A"/>
          <w:sz w:val="22"/>
        </w:rPr>
        <w:t xml:space="preserve">The Compact implements the safe navigation consultations contemplated by the Strait provision of the Islamabad Memorandum of Understanding of 17 June 2026, and it succeeds the interim technical work conducted in Muscat since 29 June 2026.</w:t>
      </w:r>
    </w:p>
    <w:p>
      <w:pPr>
        <w:spacing w:after="110" w:line="340" w:lineRule="auto"/>
        <w:ind w:left="360" w:hanging="360"/>
        <w:jc w:val="both"/>
      </w:pPr>
      <w:r>
        <w:rPr>
          <w:rFonts w:ascii="Cambria" w:hAnsi="Cambria"/>
          <w:b/>
          <w:color w:val="1D4E5F"/>
          <w:sz w:val="22"/>
        </w:rPr>
        <w:t xml:space="preserve">1.6.2 </w:t>
      </w:r>
      <w:r>
        <w:rPr>
          <w:rFonts w:ascii="Cambria" w:hAnsi="Cambria"/>
          <w:color w:val="20262A"/>
          <w:sz w:val="22"/>
        </w:rPr>
        <w:t xml:space="preserve">The Compact builds upon the International Maritime Organization Traffic Separation Scheme for the Strait of Hormuz, and Participant States route all scheme amendments through the International Maritime Organization in the manner Article 11 describes.</w:t>
      </w:r>
    </w:p>
    <w:p>
      <w:pPr>
        <w:spacing w:after="110" w:line="340" w:lineRule="auto"/>
        <w:ind w:left="360" w:hanging="360"/>
        <w:jc w:val="both"/>
      </w:pPr>
      <w:r>
        <w:rPr>
          <w:rFonts w:ascii="Cambria" w:hAnsi="Cambria"/>
          <w:b/>
          <w:color w:val="1D4E5F"/>
          <w:sz w:val="22"/>
        </w:rPr>
        <w:t xml:space="preserve">1.6.3 </w:t>
      </w:r>
      <w:r>
        <w:rPr>
          <w:rFonts w:ascii="Cambria" w:hAnsi="Cambria"/>
          <w:color w:val="20262A"/>
          <w:sz w:val="22"/>
        </w:rPr>
        <w:t xml:space="preserve">Where a prior bilateral or regional arrangement between Participant States addresses the same subject, this Compact prevails among those Participant States; where an International Maritime Organization instrument addresses the same subject, Participant States harmonize this Compact with that instrument at the next review conference.</w:t>
      </w:r>
    </w:p>
    <w:p>
      <w:pPr>
        <w:pStyle w:val="Heading2"/>
        <w:keepNext/>
        <w:keepLines/>
      </w:pPr>
      <w:bookmarkStart w:id="114" w:name="_Toc262100014"/>
      <w:r>
        <w:rPr>
          <w:rFonts w:ascii="Calibri" w:hAnsi="Calibri"/>
          <w:b/>
          <w:color w:val="1D4E5F"/>
          <w:sz w:val="27"/>
        </w:rPr>
        <w:t xml:space="preserve">Article 2: Legal Foundations</w:t>
      </w:r>
      <w:bookmarkEnd w:id="114"/>
    </w:p>
    <w:p>
      <w:pPr>
        <w:pStyle w:val="Heading3"/>
        <w:keepNext/>
        <w:keepLines/>
      </w:pPr>
      <w:bookmarkStart w:id="115" w:name="_Toc262100015"/>
      <w:r>
        <w:rPr>
          <w:rFonts w:ascii="Calibri" w:hAnsi="Calibri"/>
          <w:b/>
          <w:color w:val="37666F"/>
          <w:sz w:val="24"/>
        </w:rPr>
        <w:t xml:space="preserve">2.1 Sovereign Equality of Participant States</w:t>
      </w:r>
      <w:bookmarkEnd w:id="115"/>
    </w:p>
    <w:p>
      <w:pPr>
        <w:spacing w:after="110" w:line="340" w:lineRule="auto"/>
        <w:ind w:left="360" w:hanging="360"/>
        <w:jc w:val="both"/>
      </w:pPr>
      <w:r>
        <w:rPr>
          <w:rFonts w:ascii="Cambria" w:hAnsi="Cambria"/>
          <w:b/>
          <w:color w:val="1D4E5F"/>
          <w:sz w:val="22"/>
        </w:rPr>
        <w:t xml:space="preserve">2.1.1 </w:t>
      </w:r>
      <w:r>
        <w:rPr>
          <w:rFonts w:ascii="Cambria" w:hAnsi="Cambria"/>
          <w:color w:val="20262A"/>
          <w:sz w:val="22"/>
        </w:rPr>
        <w:t xml:space="preserve">All Participant States act throughout this Compact as equals. Every institution seats them in equal or proportionally representative number, and every joint act follows the applicable majority, concurrence, or consensus rule of Article 24.</w:t>
      </w:r>
    </w:p>
    <w:p>
      <w:pPr>
        <w:spacing w:after="110" w:line="340" w:lineRule="auto"/>
        <w:ind w:left="360" w:hanging="360"/>
        <w:jc w:val="both"/>
      </w:pPr>
      <w:r>
        <w:rPr>
          <w:rFonts w:ascii="Cambria" w:hAnsi="Cambria"/>
          <w:b/>
          <w:color w:val="1D4E5F"/>
          <w:sz w:val="22"/>
        </w:rPr>
        <w:t xml:space="preserve">2.1.2 </w:t>
      </w:r>
      <w:r>
        <w:rPr>
          <w:rFonts w:ascii="Cambria" w:hAnsi="Cambria"/>
          <w:color w:val="20262A"/>
          <w:sz w:val="22"/>
        </w:rPr>
        <w:t xml:space="preserve">The Compact derives its authority from the consent of all Participant States and from the sovereign rights each Coastal State holds in its own waters. No Participant State derives authority over another from this Compact.</w:t>
      </w:r>
    </w:p>
    <w:p>
      <w:pPr>
        <w:pStyle w:val="Heading3"/>
        <w:keepNext/>
        <w:keepLines/>
      </w:pPr>
      <w:bookmarkStart w:id="116" w:name="_Toc262100016"/>
      <w:r>
        <w:rPr>
          <w:rFonts w:ascii="Calibri" w:hAnsi="Calibri"/>
          <w:b/>
          <w:color w:val="37666F"/>
          <w:sz w:val="24"/>
        </w:rPr>
        <w:t xml:space="preserve">2.2 The Two Legal Anchors</w:t>
      </w:r>
      <w:bookmarkEnd w:id="116"/>
    </w:p>
    <w:p>
      <w:pPr>
        <w:spacing w:after="110" w:line="340" w:lineRule="auto"/>
        <w:ind w:left="360" w:hanging="360"/>
        <w:jc w:val="both"/>
      </w:pPr>
      <w:r>
        <w:rPr>
          <w:rFonts w:ascii="Cambria" w:hAnsi="Cambria"/>
          <w:b/>
          <w:color w:val="1D4E5F"/>
          <w:sz w:val="22"/>
        </w:rPr>
        <w:t xml:space="preserve">2.2.1 </w:t>
      </w:r>
      <w:r>
        <w:rPr>
          <w:rFonts w:ascii="Cambria" w:hAnsi="Cambria"/>
          <w:color w:val="20262A"/>
          <w:sz w:val="22"/>
        </w:rPr>
        <w:t xml:space="preserve">The first anchor: ships of all states enjoy the right of transit passage through the Strait of Hormuz, and this Compact treats that right as unconditional in all three corridors.</w:t>
      </w:r>
    </w:p>
    <w:p>
      <w:pPr>
        <w:spacing w:after="110" w:line="340" w:lineRule="auto"/>
        <w:ind w:left="360" w:hanging="360"/>
        <w:jc w:val="both"/>
      </w:pPr>
      <w:r>
        <w:rPr>
          <w:rFonts w:ascii="Cambria" w:hAnsi="Cambria"/>
          <w:b/>
          <w:color w:val="1D4E5F"/>
          <w:sz w:val="22"/>
        </w:rPr>
        <w:t xml:space="preserve">2.2.2 </w:t>
      </w:r>
      <w:r>
        <w:rPr>
          <w:rFonts w:ascii="Cambria" w:hAnsi="Cambria"/>
          <w:color w:val="20262A"/>
          <w:sz w:val="22"/>
        </w:rPr>
        <w:t xml:space="preserve">The second anchor: the law of the sea entitles a coastal state to levy charges for specific services rendered to a vessel, and this Compact organizes every legitimate service charge through the Verified Services Catalog and the reimbursement mechanism of Part V.</w:t>
      </w:r>
    </w:p>
    <w:p>
      <w:pPr>
        <w:spacing w:after="110" w:line="340" w:lineRule="auto"/>
        <w:ind w:left="360" w:hanging="360"/>
        <w:jc w:val="both"/>
      </w:pPr>
      <w:r>
        <w:rPr>
          <w:rFonts w:ascii="Cambria" w:hAnsi="Cambria"/>
          <w:b/>
          <w:color w:val="1D4E5F"/>
          <w:sz w:val="22"/>
        </w:rPr>
        <w:t xml:space="preserve">2.2.3 </w:t>
      </w:r>
      <w:r>
        <w:rPr>
          <w:rFonts w:ascii="Cambria" w:hAnsi="Cambria"/>
          <w:color w:val="20262A"/>
          <w:sz w:val="22"/>
        </w:rPr>
        <w:t xml:space="preserve">The architecture holds the two anchors apart with complete rigor: passage remains free, services carry documented costs, and no instrument in the Compact blends the two.</w:t>
      </w:r>
    </w:p>
    <w:p>
      <w:pPr>
        <w:pStyle w:val="Heading3"/>
        <w:keepNext/>
        <w:keepLines/>
      </w:pPr>
      <w:bookmarkStart w:id="117" w:name="_Toc262100017"/>
      <w:r>
        <w:rPr>
          <w:rFonts w:ascii="Calibri" w:hAnsi="Calibri"/>
          <w:b/>
          <w:color w:val="37666F"/>
          <w:sz w:val="24"/>
        </w:rPr>
        <w:t xml:space="preserve">2.3 Interface with the Law of the Sea</w:t>
      </w:r>
      <w:bookmarkEnd w:id="117"/>
    </w:p>
    <w:p>
      <w:pPr>
        <w:spacing w:after="110" w:line="340" w:lineRule="auto"/>
        <w:ind w:left="360" w:hanging="360"/>
        <w:jc w:val="both"/>
      </w:pPr>
      <w:r>
        <w:rPr>
          <w:rFonts w:ascii="Cambria" w:hAnsi="Cambria"/>
          <w:b/>
          <w:color w:val="1D4E5F"/>
          <w:sz w:val="22"/>
        </w:rPr>
        <w:t xml:space="preserve">2.3.1 </w:t>
      </w:r>
      <w:r>
        <w:rPr>
          <w:rFonts w:ascii="Cambria" w:hAnsi="Cambria"/>
          <w:color w:val="20262A"/>
          <w:sz w:val="22"/>
        </w:rPr>
        <w:t xml:space="preserve">The Sultanate of Oman applies the Compact consistently with its obligations as a party to the United Nations Convention on the Law of the Sea, including the rule that charges attach only to specific services rendered.</w:t>
      </w:r>
    </w:p>
    <w:p>
      <w:pPr>
        <w:spacing w:after="110" w:line="340" w:lineRule="auto"/>
        <w:ind w:left="360" w:hanging="360"/>
        <w:jc w:val="both"/>
      </w:pPr>
      <w:r>
        <w:rPr>
          <w:rFonts w:ascii="Cambria" w:hAnsi="Cambria"/>
          <w:b/>
          <w:color w:val="1D4E5F"/>
          <w:sz w:val="22"/>
        </w:rPr>
        <w:t xml:space="preserve">2.3.2 </w:t>
      </w:r>
      <w:r>
        <w:rPr>
          <w:rFonts w:ascii="Cambria" w:hAnsi="Cambria"/>
          <w:color w:val="20262A"/>
          <w:sz w:val="22"/>
        </w:rPr>
        <w:t xml:space="preserve">The Islamic Republic of Iran applies the Compact as a matter of sovereign policy and multilateral commitment, and it accepts the same operational distinction between passage and services for all Compact purposes.</w:t>
      </w:r>
    </w:p>
    <w:p>
      <w:pPr>
        <w:spacing w:after="110" w:line="340" w:lineRule="auto"/>
        <w:ind w:left="360" w:hanging="360"/>
        <w:jc w:val="both"/>
      </w:pPr>
      <w:r>
        <w:rPr>
          <w:rFonts w:ascii="Cambria" w:hAnsi="Cambria"/>
          <w:b/>
          <w:color w:val="1D4E5F"/>
          <w:sz w:val="22"/>
        </w:rPr>
        <w:t xml:space="preserve">2.3.3 </w:t>
      </w:r>
      <w:r>
        <w:rPr>
          <w:rFonts w:ascii="Cambria" w:hAnsi="Cambria"/>
          <w:color w:val="20262A"/>
          <w:sz w:val="22"/>
        </w:rPr>
        <w:t xml:space="preserve">The Compact thus gives all Participant States one operational standard regardless of their differing treaty positions: transit carries no charge, services carry verified costs.</w:t>
      </w:r>
    </w:p>
    <w:p>
      <w:pPr>
        <w:pStyle w:val="Heading3"/>
        <w:keepNext/>
        <w:keepLines/>
      </w:pPr>
      <w:bookmarkStart w:id="118" w:name="_Toc262100018"/>
      <w:r>
        <w:rPr>
          <w:rFonts w:ascii="Calibri" w:hAnsi="Calibri"/>
          <w:b/>
          <w:color w:val="37666F"/>
          <w:sz w:val="24"/>
        </w:rPr>
        <w:t xml:space="preserve">2.4 No Prejudice</w:t>
      </w:r>
      <w:bookmarkEnd w:id="118"/>
    </w:p>
    <w:p>
      <w:pPr>
        <w:spacing w:after="110" w:line="340" w:lineRule="auto"/>
        <w:ind w:left="360" w:hanging="360"/>
        <w:jc w:val="both"/>
      </w:pPr>
      <w:r>
        <w:rPr>
          <w:rFonts w:ascii="Cambria" w:hAnsi="Cambria"/>
          <w:b/>
          <w:color w:val="1D4E5F"/>
          <w:sz w:val="22"/>
        </w:rPr>
        <w:t xml:space="preserve">2.4.1 </w:t>
      </w:r>
      <w:r>
        <w:rPr>
          <w:rFonts w:ascii="Cambria" w:hAnsi="Cambria"/>
          <w:color w:val="20262A"/>
          <w:sz w:val="22"/>
        </w:rPr>
        <w:t xml:space="preserve">The coordinates in Annex A describe traffic organization, not sovereignty allocation. A vessel's presence in a corridor creates no legal inference about the status of the waters it crosses.</w:t>
      </w:r>
    </w:p>
    <w:p>
      <w:pPr>
        <w:spacing w:after="110" w:line="340" w:lineRule="auto"/>
        <w:ind w:left="360" w:hanging="360"/>
        <w:jc w:val="both"/>
      </w:pPr>
      <w:r>
        <w:rPr>
          <w:rFonts w:ascii="Cambria" w:hAnsi="Cambria"/>
          <w:b/>
          <w:color w:val="1D4E5F"/>
          <w:sz w:val="22"/>
        </w:rPr>
        <w:t xml:space="preserve">2.4.2 </w:t>
      </w:r>
      <w:r>
        <w:rPr>
          <w:rFonts w:ascii="Cambria" w:hAnsi="Cambria"/>
          <w:color w:val="20262A"/>
          <w:sz w:val="22"/>
        </w:rPr>
        <w:t xml:space="preserve">A stewardship share under Part III describes administrative function, concurrence weight, and revenue apportionment. A share creates no territorial title, transfers no sovereignty, and prefigures no boundary.</w:t>
      </w:r>
    </w:p>
    <w:p>
      <w:pPr>
        <w:spacing w:after="110" w:line="340" w:lineRule="auto"/>
        <w:ind w:left="360" w:hanging="360"/>
        <w:jc w:val="both"/>
      </w:pPr>
      <w:r>
        <w:rPr>
          <w:rFonts w:ascii="Cambria" w:hAnsi="Cambria"/>
          <w:b/>
          <w:color w:val="1D4E5F"/>
          <w:sz w:val="22"/>
        </w:rPr>
        <w:t xml:space="preserve">2.4.3 </w:t>
      </w:r>
      <w:r>
        <w:rPr>
          <w:rFonts w:ascii="Cambria" w:hAnsi="Cambria"/>
          <w:color w:val="20262A"/>
          <w:sz w:val="22"/>
        </w:rPr>
        <w:t xml:space="preserve">Each Participant State's acceptance of this Compact stands without prejudice to its legal position on any question the Compact does not expressly settle.</w:t>
      </w:r>
    </w:p>
    <w:p>
      <w:pPr>
        <w:pStyle w:val="Heading2"/>
        <w:keepNext/>
        <w:keepLines/>
      </w:pPr>
      <w:bookmarkStart w:id="119" w:name="_Toc262100019"/>
      <w:r>
        <w:rPr>
          <w:rFonts w:ascii="Calibri" w:hAnsi="Calibri"/>
          <w:b/>
          <w:color w:val="1D4E5F"/>
          <w:sz w:val="27"/>
        </w:rPr>
        <w:t xml:space="preserve">Article 3: Core Operating Principles</w:t>
      </w:r>
      <w:bookmarkEnd w:id="119"/>
    </w:p>
    <w:p>
      <w:pPr>
        <w:pStyle w:val="Heading3"/>
        <w:keepNext/>
        <w:keepLines/>
      </w:pPr>
      <w:bookmarkStart w:id="120" w:name="_Toc262100020"/>
      <w:r>
        <w:rPr>
          <w:rFonts w:ascii="Calibri" w:hAnsi="Calibri"/>
          <w:b/>
          <w:color w:val="37666F"/>
          <w:sz w:val="24"/>
        </w:rPr>
        <w:t xml:space="preserve">3.1 Shared Action</w:t>
      </w:r>
      <w:bookmarkEnd w:id="120"/>
    </w:p>
    <w:p>
      <w:pPr>
        <w:spacing w:after="110" w:line="340" w:lineRule="auto"/>
        <w:ind w:left="360" w:hanging="360"/>
        <w:jc w:val="both"/>
      </w:pPr>
      <w:r>
        <w:rPr>
          <w:rFonts w:ascii="Cambria" w:hAnsi="Cambria"/>
          <w:b/>
          <w:color w:val="1D4E5F"/>
          <w:sz w:val="22"/>
        </w:rPr>
        <w:t xml:space="preserve">3.1.1 </w:t>
      </w:r>
      <w:r>
        <w:rPr>
          <w:rFonts w:ascii="Cambria" w:hAnsi="Cambria"/>
          <w:color w:val="20262A"/>
          <w:sz w:val="22"/>
        </w:rPr>
        <w:t xml:space="preserve">Every obligation of one Participant State pairs with reciprocal obligations across the Compact. The framework contains no unilateral concession, and every joint act follows the collective decision rules of Article 24.</w:t>
      </w:r>
    </w:p>
    <w:p>
      <w:pPr>
        <w:pStyle w:val="Heading3"/>
        <w:keepNext/>
        <w:keepLines/>
      </w:pPr>
      <w:bookmarkStart w:id="121" w:name="_Toc262100021"/>
      <w:r>
        <w:rPr>
          <w:rFonts w:ascii="Calibri" w:hAnsi="Calibri"/>
          <w:b/>
          <w:color w:val="37666F"/>
          <w:sz w:val="24"/>
        </w:rPr>
        <w:t xml:space="preserve">3.2 Mutual Architecture</w:t>
      </w:r>
      <w:bookmarkEnd w:id="121"/>
    </w:p>
    <w:p>
      <w:pPr>
        <w:spacing w:after="110" w:line="340" w:lineRule="auto"/>
        <w:ind w:left="360" w:hanging="360"/>
        <w:jc w:val="both"/>
      </w:pPr>
      <w:r>
        <w:rPr>
          <w:rFonts w:ascii="Cambria" w:hAnsi="Cambria"/>
          <w:b/>
          <w:color w:val="1D4E5F"/>
          <w:sz w:val="22"/>
        </w:rPr>
        <w:t xml:space="preserve">3.2.1 </w:t>
      </w:r>
      <w:r>
        <w:rPr>
          <w:rFonts w:ascii="Cambria" w:hAnsi="Cambria"/>
          <w:color w:val="20262A"/>
          <w:sz w:val="22"/>
        </w:rPr>
        <w:t xml:space="preserve">The text attributes every constraint to the framework itself. The architecture excludes interdiction inside the corridors; the architecture excludes tolls; the architecture excludes military staffing of operational roles. No Participant State grants another a favor; all inhabit the same structure.</w:t>
      </w:r>
    </w:p>
    <w:p>
      <w:pPr>
        <w:pStyle w:val="Heading3"/>
        <w:keepNext/>
        <w:keepLines/>
      </w:pPr>
      <w:bookmarkStart w:id="122" w:name="_Toc262100022"/>
      <w:r>
        <w:rPr>
          <w:rFonts w:ascii="Calibri" w:hAnsi="Calibri"/>
          <w:b/>
          <w:color w:val="37666F"/>
          <w:sz w:val="24"/>
        </w:rPr>
        <w:t xml:space="preserve">3.3 No-Fade Continuity</w:t>
      </w:r>
      <w:bookmarkEnd w:id="122"/>
    </w:p>
    <w:p>
      <w:pPr>
        <w:spacing w:after="110" w:line="340" w:lineRule="auto"/>
        <w:ind w:left="360" w:hanging="360"/>
        <w:jc w:val="both"/>
      </w:pPr>
      <w:r>
        <w:rPr>
          <w:rFonts w:ascii="Cambria" w:hAnsi="Cambria"/>
          <w:b/>
          <w:color w:val="1D4E5F"/>
          <w:sz w:val="22"/>
        </w:rPr>
        <w:t xml:space="preserve">3.3.1 </w:t>
      </w:r>
      <w:r>
        <w:rPr>
          <w:rFonts w:ascii="Cambria" w:hAnsi="Cambria"/>
          <w:color w:val="20262A"/>
          <w:sz w:val="22"/>
        </w:rPr>
        <w:t xml:space="preserve">No commitment fades at a date boundary. Continuation forms the default at every review point, and ending any element proceeds only through the affirmative, time-buffered procedures of Articles 24 and 43.</w:t>
      </w:r>
    </w:p>
    <w:p>
      <w:pPr>
        <w:pStyle w:val="Heading3"/>
        <w:keepNext/>
        <w:keepLines/>
      </w:pPr>
      <w:bookmarkStart w:id="123" w:name="_Toc262100023"/>
      <w:r>
        <w:rPr>
          <w:rFonts w:ascii="Calibri" w:hAnsi="Calibri"/>
          <w:b/>
          <w:color w:val="37666F"/>
          <w:sz w:val="24"/>
        </w:rPr>
        <w:t xml:space="preserve">3.4 Earned Stewardship</w:t>
      </w:r>
      <w:bookmarkEnd w:id="123"/>
    </w:p>
    <w:p>
      <w:pPr>
        <w:spacing w:after="110" w:line="340" w:lineRule="auto"/>
        <w:ind w:left="360" w:hanging="360"/>
        <w:jc w:val="both"/>
      </w:pPr>
      <w:r>
        <w:rPr>
          <w:rFonts w:ascii="Cambria" w:hAnsi="Cambria"/>
          <w:b/>
          <w:color w:val="1D4E5F"/>
          <w:sz w:val="22"/>
        </w:rPr>
        <w:t xml:space="preserve">3.4.1 </w:t>
      </w:r>
      <w:r>
        <w:rPr>
          <w:rFonts w:ascii="Cambria" w:hAnsi="Cambria"/>
          <w:color w:val="20262A"/>
          <w:sz w:val="22"/>
        </w:rPr>
        <w:t xml:space="preserve">Stewardship grows by evidence, not by claim. The Accrual Ladder of Part III ties every expansion of share to audited performance on the Stewardship Performance Index, and the same ladder applies the same discipline to every Participant State that holds a share.</w:t>
      </w:r>
    </w:p>
    <w:p>
      <w:pPr>
        <w:pStyle w:val="Heading3"/>
        <w:keepNext/>
        <w:keepLines/>
      </w:pPr>
      <w:bookmarkStart w:id="124" w:name="_Toc262100024"/>
      <w:r>
        <w:rPr>
          <w:rFonts w:ascii="Calibri" w:hAnsi="Calibri"/>
          <w:b/>
          <w:color w:val="37666F"/>
          <w:sz w:val="24"/>
        </w:rPr>
        <w:t xml:space="preserve">3.5 Transparency Over Trust</w:t>
      </w:r>
      <w:bookmarkEnd w:id="124"/>
    </w:p>
    <w:p>
      <w:pPr>
        <w:spacing w:after="110" w:line="340" w:lineRule="auto"/>
        <w:ind w:left="360" w:hanging="360"/>
        <w:jc w:val="both"/>
      </w:pPr>
      <w:r>
        <w:rPr>
          <w:rFonts w:ascii="Cambria" w:hAnsi="Cambria"/>
          <w:b/>
          <w:color w:val="1D4E5F"/>
          <w:sz w:val="22"/>
        </w:rPr>
        <w:t xml:space="preserve">3.5.1 </w:t>
      </w:r>
      <w:r>
        <w:rPr>
          <w:rFonts w:ascii="Cambria" w:hAnsi="Cambria"/>
          <w:color w:val="20262A"/>
          <w:sz w:val="22"/>
        </w:rPr>
        <w:t xml:space="preserve">The framework substitutes publication for assurances. The Open Water Bulletin publishes corridor status daily; the Fund publishes its accounts quarterly; the Meridian Verification Office publishes its observation log in summary form each week.</w:t>
      </w:r>
    </w:p>
    <w:p>
      <w:pPr>
        <w:pStyle w:val="Heading3"/>
        <w:keepNext/>
        <w:keepLines/>
      </w:pPr>
      <w:bookmarkStart w:id="125" w:name="_Toc262100025"/>
      <w:r>
        <w:rPr>
          <w:rFonts w:ascii="Calibri" w:hAnsi="Calibri"/>
          <w:b/>
          <w:color w:val="37666F"/>
          <w:sz w:val="24"/>
        </w:rPr>
        <w:t xml:space="preserve">3.6 Cost Discipline</w:t>
      </w:r>
      <w:bookmarkEnd w:id="125"/>
    </w:p>
    <w:p>
      <w:pPr>
        <w:spacing w:after="110" w:line="340" w:lineRule="auto"/>
        <w:ind w:left="360" w:hanging="360"/>
        <w:jc w:val="both"/>
      </w:pPr>
      <w:r>
        <w:rPr>
          <w:rFonts w:ascii="Cambria" w:hAnsi="Cambria"/>
          <w:b/>
          <w:color w:val="1D4E5F"/>
          <w:sz w:val="22"/>
        </w:rPr>
        <w:t xml:space="preserve">3.6.1 </w:t>
      </w:r>
      <w:r>
        <w:rPr>
          <w:rFonts w:ascii="Cambria" w:hAnsi="Cambria"/>
          <w:color w:val="20262A"/>
          <w:sz w:val="22"/>
        </w:rPr>
        <w:t xml:space="preserve">The Compact funds services at documented cost plus the fixed administrative margin of Annex D, and nothing more. The annual envelope of Article 30 caps every line, and the Fund Board publishes variance against the envelope each quarter.</w:t>
      </w:r>
    </w:p>
    <w:p>
      <w:pPr>
        <w:pStyle w:val="Heading3"/>
        <w:keepNext/>
        <w:keepLines/>
      </w:pPr>
      <w:bookmarkStart w:id="126" w:name="_Toc262100026"/>
      <w:r>
        <w:rPr>
          <w:rFonts w:ascii="Calibri" w:hAnsi="Calibri"/>
          <w:b/>
          <w:color w:val="37666F"/>
          <w:sz w:val="24"/>
        </w:rPr>
        <w:t xml:space="preserve">3.7 Civilian Character</w:t>
      </w:r>
      <w:bookmarkEnd w:id="126"/>
    </w:p>
    <w:p>
      <w:pPr>
        <w:spacing w:after="110" w:line="340" w:lineRule="auto"/>
        <w:ind w:left="360" w:hanging="360"/>
        <w:jc w:val="both"/>
      </w:pPr>
      <w:r>
        <w:rPr>
          <w:rFonts w:ascii="Cambria" w:hAnsi="Cambria"/>
          <w:b/>
          <w:color w:val="1D4E5F"/>
          <w:sz w:val="22"/>
        </w:rPr>
        <w:t xml:space="preserve">3.7.1 </w:t>
      </w:r>
      <w:r>
        <w:rPr>
          <w:rFonts w:ascii="Cambria" w:hAnsi="Cambria"/>
          <w:color w:val="20262A"/>
          <w:sz w:val="22"/>
        </w:rPr>
        <w:t xml:space="preserve">Every operational role in the Compact is a civilian role. The Center, the Office, the Fund, and the Data Service staff no military personnel, operate no weapons, and issue no military orders.</w:t>
      </w:r>
    </w:p>
    <w:p>
      <w:pPr>
        <w:pStyle w:val="Heading3"/>
        <w:keepNext/>
        <w:keepLines/>
      </w:pPr>
      <w:bookmarkStart w:id="127" w:name="_Toc262100027"/>
      <w:r>
        <w:rPr>
          <w:rFonts w:ascii="Calibri" w:hAnsi="Calibri"/>
          <w:b/>
          <w:color w:val="37666F"/>
          <w:sz w:val="24"/>
        </w:rPr>
        <w:t xml:space="preserve">3.8 Human-Anchored Verification</w:t>
      </w:r>
      <w:bookmarkEnd w:id="127"/>
    </w:p>
    <w:p>
      <w:pPr>
        <w:spacing w:after="110" w:line="340" w:lineRule="auto"/>
        <w:ind w:left="360" w:hanging="360"/>
        <w:jc w:val="both"/>
      </w:pPr>
      <w:r>
        <w:rPr>
          <w:rFonts w:ascii="Cambria" w:hAnsi="Cambria"/>
          <w:b/>
          <w:color w:val="1D4E5F"/>
          <w:sz w:val="22"/>
        </w:rPr>
        <w:t xml:space="preserve">3.8.1 </w:t>
      </w:r>
      <w:r>
        <w:rPr>
          <w:rFonts w:ascii="Cambria" w:hAnsi="Cambria"/>
          <w:color w:val="20262A"/>
          <w:sz w:val="22"/>
        </w:rPr>
        <w:t xml:space="preserve">Automated feeds inform, and human observers decide. The Meridian Verification Office pairs every automated indicator with embarked or shore-based human observation before any score, finding, or gate recommendation takes effect.</w:t>
      </w:r>
    </w:p>
    <w:p>
      <w:pPr>
        <w:pStyle w:val="Heading3"/>
        <w:keepNext/>
        <w:keepLines/>
      </w:pPr>
      <w:bookmarkStart w:id="128" w:name="_Toc262100028"/>
      <w:r>
        <w:rPr>
          <w:rFonts w:ascii="Calibri" w:hAnsi="Calibri"/>
          <w:b/>
          <w:color w:val="37666F"/>
          <w:sz w:val="24"/>
        </w:rPr>
        <w:t xml:space="preserve">3.9 Triadic Balance</w:t>
      </w:r>
      <w:bookmarkEnd w:id="128"/>
    </w:p>
    <w:p>
      <w:pPr>
        <w:spacing w:after="110" w:line="340" w:lineRule="auto"/>
        <w:ind w:left="360" w:hanging="360"/>
        <w:jc w:val="both"/>
      </w:pPr>
      <w:r>
        <w:rPr>
          <w:rFonts w:ascii="Cambria" w:hAnsi="Cambria"/>
          <w:b/>
          <w:color w:val="1D4E5F"/>
          <w:sz w:val="22"/>
        </w:rPr>
        <w:t xml:space="preserve">3.9.1 </w:t>
      </w:r>
      <w:r>
        <w:rPr>
          <w:rFonts w:ascii="Cambria" w:hAnsi="Cambria"/>
          <w:color w:val="20262A"/>
          <w:sz w:val="22"/>
        </w:rPr>
        <w:t xml:space="preserve">No single state governs the strait alone, and no circle decides alone. Every consequential act carries a second concurrence from a different circle under the Twin Key Rule of Article 24.</w:t>
      </w:r>
    </w:p>
    <w:p>
      <w:pPr>
        <w:pStyle w:val="Heading3"/>
        <w:keepNext/>
        <w:keepLines/>
      </w:pPr>
      <w:bookmarkStart w:id="129" w:name="_Toc262100029"/>
      <w:r>
        <w:rPr>
          <w:rFonts w:ascii="Calibri" w:hAnsi="Calibri"/>
          <w:b/>
          <w:color w:val="37666F"/>
          <w:sz w:val="24"/>
        </w:rPr>
        <w:t xml:space="preserve">3.10 The Routine Standard</w:t>
      </w:r>
      <w:bookmarkEnd w:id="129"/>
    </w:p>
    <w:p>
      <w:pPr>
        <w:spacing w:after="110" w:line="340" w:lineRule="auto"/>
        <w:ind w:left="360" w:hanging="360"/>
        <w:jc w:val="both"/>
      </w:pPr>
      <w:r>
        <w:rPr>
          <w:rFonts w:ascii="Cambria" w:hAnsi="Cambria"/>
          <w:b/>
          <w:color w:val="1D4E5F"/>
          <w:sz w:val="22"/>
        </w:rPr>
        <w:t xml:space="preserve">3.10.1 </w:t>
      </w:r>
      <w:r>
        <w:rPr>
          <w:rFonts w:ascii="Cambria" w:hAnsi="Cambria"/>
          <w:color w:val="20262A"/>
          <w:sz w:val="22"/>
        </w:rPr>
        <w:t xml:space="preserve">The Compact measures its own success by the absence of drama. The architecture achieves its purpose when transit becomes routine, billing becomes boring, incidents become rare and small, and the strait disappears from the headlines. The Council reviews the Routine Standard at every annual conference and treats sustained routine as the primary strategic indicator.</w:t>
      </w:r>
    </w:p>
    <w:p>
      <w:pPr>
        <w:pStyle w:val="Heading2"/>
        <w:keepNext/>
        <w:keepLines/>
      </w:pPr>
      <w:bookmarkStart w:id="130" w:name="_Toc262100030"/>
      <w:r>
        <w:rPr>
          <w:rFonts w:ascii="Calibri" w:hAnsi="Calibri"/>
          <w:b/>
          <w:color w:val="1D4E5F"/>
          <w:sz w:val="27"/>
        </w:rPr>
        <w:t xml:space="preserve">Article 4: Definitions and Interpretation</w:t>
      </w:r>
      <w:bookmarkEnd w:id="130"/>
    </w:p>
    <w:p>
      <w:pPr>
        <w:pStyle w:val="Heading3"/>
        <w:keepNext/>
        <w:keepLines/>
      </w:pPr>
      <w:bookmarkStart w:id="131" w:name="_Toc262100031"/>
      <w:r>
        <w:rPr>
          <w:rFonts w:ascii="Calibri" w:hAnsi="Calibri"/>
          <w:b/>
          <w:color w:val="37666F"/>
          <w:sz w:val="24"/>
        </w:rPr>
        <w:t xml:space="preserve">4.1 Definitions</w:t>
      </w:r>
      <w:bookmarkEnd w:id="131"/>
    </w:p>
    <w:p>
      <w:pPr>
        <w:spacing w:after="130" w:line="340" w:lineRule="auto"/>
        <w:jc w:val="both"/>
      </w:pPr>
      <w:r>
        <w:rPr>
          <w:rFonts w:ascii="Cambria" w:hAnsi="Cambria"/>
          <w:color w:val="20262A"/>
          <w:sz w:val="22"/>
        </w:rPr>
        <w:t xml:space="preserve">In this Compact, the following terms carry the following meanings:</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900"/>
        <w:gridCol w:w="7100"/>
      </w:tblGrid>
      <w:tr>
        <w:trPr>
          <w:tblHeader/>
        </w:trPr>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Term</w:t>
            </w:r>
          </w:p>
        </w:tc>
        <w:tc>
          <w:tcPr>
            <w:tcW w:w="71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Meaning</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Operating Area</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waters enclosed by the boundary of Annex A, Section A.1, including the corridors, separation belts, precautionary zones, holding anchorages, and Inshore Local Craft Bands.</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Corridor System</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Northern Coordination Corridor, the Central Buffer Corridor, and the Southern Assurance Corridor, together with the two separation belts.</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Northern Coordination Corridor</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inbound corridor nearest the Iranian coast, administered by the Northern Corridor Administrator under Article 7.</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Central Buffer Corridor</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central corridor between the separation belts, administered jointly by the Buffer Corridor Management Board under Article 9.</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Southern Assurance Corridor</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outbound corridor nearest the Omani coast, administered by the Southern Corridor Administrator under Article 8.</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Coastal Circle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Islamic Republic of Iran and the Sultanate of Oman.</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Stakeholder Circle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Gulf Cooperation Council states participating under Article 44, with Oman seated separately in the Coastal Circle.</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User Circle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major transit and flag states participating in advisory standing under Article 44.</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Stewardship Share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A proportional share of the administration of the Central Buffer Corridor, carrying equal weight in management authority, revenue apportionment, and concurrence weight under Article 10.</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Accrual</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permanent, banked increase of a Stewardship Share through a gate of the Accrual Ladder under Article 17.</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Accrual Ladder</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five-gate schedule of Article 17 and Annex C that raises the Iranian Stewardship Share from one-sixth to the one-third ceiling.</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Stewardship Performance Index</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one-hundred-point quarterly score of Article 16 and Annex C, produced by the Meridian Verification Office.</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Step-Back</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temporary reduction of a Stewardship Share by one gate under Article 18.</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Earn-Back</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restoration of a stepped-back share after two consecutive clean quarters under Article 18.</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Banking</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permanent survival of an accrued share and of gate history across every review, extension, or suspension of other Compact elements.</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The Floor</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one-sixth Stewardship Share below which the Iranian share never falls under any circumstance.</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Settlement Pair</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Neutral Escrow Fund of Article 27 and the Route Assurance Data Service of Article 28, operating together.</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Neutral Escrow Fund</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fiduciary structure of Article 27 and Annex F, administered by the neutral fiduciary agent in Geneva, through which every Compact payment flows.</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Route Assurance Data Service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commercial data subscription product of Article 28 and Annex E.</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Verified Services Catalog</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catalog of services and rates of Annex D, from which alone the Fund reimburses service costs.</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Twin Key Rule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concurrence rule of Article 24, under which every Consequential Action requires the initiating key plus one concurring key from a different circle.</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Consequential Action</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Any action listed in the Consequential Actions Register of Annex G.</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Participant State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Any state that participates in the Compact in any category of Article 44.</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Compact Bodies</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Triadic Council, the Triadic Stewardship Center, the Buffer Corridor Management Board, the Meridian Verification Office, the Fund Board, and the Technical Arbitration Panel.</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Open Water Bulletin</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daily public publication of corridor status, incidents, and notices under Article 6.</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Multilateral Transit Code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standardized transit registration code of Annex J.</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Incident Class</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A classification on the five-class ladder of Article 36 and Annex H.</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Nuclear Firewall</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exclusion regime of Part VII.</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Phase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One of the six activation phases of Article 40.</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Phase Gate</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criteria-based transition point between phases under Article 41.</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Stability Audit</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thirty-five-day audit of Phase Four under Article 41.</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Wartime Lanes</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temporary routing arrangements in force before Phase Two.</w:t>
            </w:r>
          </w:p>
        </w:tc>
      </w:tr>
      <w:tr>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No-Fade Continuity</w:t>
            </w:r>
          </w:p>
        </w:tc>
        <w:tc>
          <w:tcPr>
            <w:tcW w:w="7100" w:type="dxa"/>
            <w:tcMar>
              <w:top w:w="60" w:type="dxa"/>
              <w:left w:w="100" w:type="dxa"/>
              <w:bottom w:w="60" w:type="dxa"/>
              <w:right w:w="100" w:type="dxa"/>
            </w:tcMar>
          </w:tcPr>
          <w:p>
            <w:pPr>
              <w:spacing w:after="20" w:line="290" w:lineRule="auto"/>
            </w:pPr>
            <w:r>
              <w:rPr>
                <w:rFonts w:ascii="Calibri" w:hAnsi="Calibri"/>
                <w:color w:val="20262A"/>
                <w:sz w:val="19"/>
              </w:rPr>
              <w:t xml:space="preserve">The continuity rule of Article 43.</w:t>
            </w:r>
          </w:p>
        </w:tc>
      </w:tr>
    </w:tbl>
    <w:p>
      <w:pPr>
        <w:spacing w:after="100"/>
      </w:pPr>
    </w:p>
    <w:p>
      <w:pPr>
        <w:pStyle w:val="Heading3"/>
        <w:keepNext/>
        <w:keepLines/>
      </w:pPr>
      <w:bookmarkStart w:id="132" w:name="_Toc262100032"/>
      <w:r>
        <w:rPr>
          <w:rFonts w:ascii="Calibri" w:hAnsi="Calibri"/>
          <w:b/>
          <w:color w:val="37666F"/>
          <w:sz w:val="24"/>
        </w:rPr>
        <w:t xml:space="preserve">4.2 Interpretation</w:t>
      </w:r>
      <w:bookmarkEnd w:id="132"/>
    </w:p>
    <w:p>
      <w:pPr>
        <w:spacing w:after="110" w:line="340" w:lineRule="auto"/>
        <w:ind w:left="360" w:hanging="360"/>
        <w:jc w:val="both"/>
      </w:pPr>
      <w:r>
        <w:rPr>
          <w:rFonts w:ascii="Cambria" w:hAnsi="Cambria"/>
          <w:b/>
          <w:color w:val="1D4E5F"/>
          <w:sz w:val="22"/>
        </w:rPr>
        <w:t xml:space="preserve">4.2.1 </w:t>
      </w:r>
      <w:r>
        <w:rPr>
          <w:rFonts w:ascii="Cambria" w:hAnsi="Cambria"/>
          <w:color w:val="20262A"/>
          <w:sz w:val="22"/>
        </w:rPr>
        <w:t xml:space="preserve">Headings orient the reader and carry no operative weight. Numbered clauses carry the operative text.</w:t>
      </w:r>
    </w:p>
    <w:p>
      <w:pPr>
        <w:spacing w:after="110" w:line="340" w:lineRule="auto"/>
        <w:ind w:left="360" w:hanging="360"/>
        <w:jc w:val="both"/>
      </w:pPr>
      <w:r>
        <w:rPr>
          <w:rFonts w:ascii="Cambria" w:hAnsi="Cambria"/>
          <w:b/>
          <w:color w:val="1D4E5F"/>
          <w:sz w:val="22"/>
        </w:rPr>
        <w:t xml:space="preserve">4.2.2 </w:t>
      </w:r>
      <w:r>
        <w:rPr>
          <w:rFonts w:ascii="Cambria" w:hAnsi="Cambria"/>
          <w:color w:val="20262A"/>
          <w:sz w:val="22"/>
        </w:rPr>
        <w:t xml:space="preserve">Where a clause states a time limit, the limit runs in calendar days and expires at 17:00 Gulf Standard Time on the final day.</w:t>
      </w:r>
    </w:p>
    <w:p>
      <w:pPr>
        <w:spacing w:after="110" w:line="340" w:lineRule="auto"/>
        <w:ind w:left="360" w:hanging="360"/>
        <w:jc w:val="both"/>
      </w:pPr>
      <w:r>
        <w:rPr>
          <w:rFonts w:ascii="Cambria" w:hAnsi="Cambria"/>
          <w:b/>
          <w:color w:val="1D4E5F"/>
          <w:sz w:val="22"/>
        </w:rPr>
        <w:t xml:space="preserve">4.2.3 </w:t>
      </w:r>
      <w:r>
        <w:rPr>
          <w:rFonts w:ascii="Cambria" w:hAnsi="Cambria"/>
          <w:color w:val="20262A"/>
          <w:sz w:val="22"/>
        </w:rPr>
        <w:t xml:space="preserve">Where the Persian, Arabic, and English texts diverge, the Depositary convenes a linguistic reconciliation panel of three, one nominee of each Coastal State and one nominee of the facilitating states, and the panel issues a reconciling interpretation within fourteen days.</w:t>
      </w:r>
    </w:p>
    <w:p>
      <w:pPr>
        <w:spacing w:after="110" w:line="340" w:lineRule="auto"/>
        <w:ind w:left="360" w:hanging="360"/>
        <w:jc w:val="both"/>
      </w:pPr>
      <w:r>
        <w:rPr>
          <w:rFonts w:ascii="Cambria" w:hAnsi="Cambria"/>
          <w:b/>
          <w:color w:val="1D4E5F"/>
          <w:sz w:val="22"/>
        </w:rPr>
        <w:t xml:space="preserve">4.2.4 </w:t>
      </w:r>
      <w:r>
        <w:rPr>
          <w:rFonts w:ascii="Cambria" w:hAnsi="Cambria"/>
          <w:color w:val="20262A"/>
          <w:sz w:val="22"/>
        </w:rPr>
        <w:t xml:space="preserve">The annexes form part of the operative text. A conflict between an article and an annex resolves in favor of the article, and the Council records the resolution and aligns the annex at its next session.</w:t>
      </w:r>
    </w:p>
    <w:p>
      <w:pPr>
        <w:pStyle w:val="Heading2"/>
        <w:keepNext/>
        <w:keepLines/>
      </w:pPr>
      <w:bookmarkStart w:id="133" w:name="_Toc262100033"/>
      <w:r>
        <w:rPr>
          <w:rFonts w:ascii="Calibri" w:hAnsi="Calibri"/>
          <w:b/>
          <w:color w:val="1D4E5F"/>
          <w:sz w:val="27"/>
        </w:rPr>
        <w:t xml:space="preserve">Article 5: The Inviolable Principles Register</w:t>
      </w:r>
      <w:bookmarkEnd w:id="133"/>
    </w:p>
    <w:p>
      <w:pPr>
        <w:pStyle w:val="Heading3"/>
        <w:keepNext/>
        <w:keepLines/>
      </w:pPr>
      <w:bookmarkStart w:id="134" w:name="_Toc262100034"/>
      <w:r>
        <w:rPr>
          <w:rFonts w:ascii="Calibri" w:hAnsi="Calibri"/>
          <w:b/>
          <w:color w:val="37666F"/>
          <w:sz w:val="24"/>
        </w:rPr>
        <w:t xml:space="preserve">5.1 Purpose and Method</w:t>
      </w:r>
      <w:bookmarkEnd w:id="134"/>
    </w:p>
    <w:p>
      <w:pPr>
        <w:spacing w:after="110" w:line="340" w:lineRule="auto"/>
        <w:ind w:left="360" w:hanging="360"/>
        <w:jc w:val="both"/>
      </w:pPr>
      <w:r>
        <w:rPr>
          <w:rFonts w:ascii="Cambria" w:hAnsi="Cambria"/>
          <w:b/>
          <w:color w:val="1D4E5F"/>
          <w:sz w:val="22"/>
        </w:rPr>
        <w:t xml:space="preserve">5.1.1 </w:t>
      </w:r>
      <w:r>
        <w:rPr>
          <w:rFonts w:ascii="Cambria" w:hAnsi="Cambria"/>
          <w:color w:val="20262A"/>
          <w:sz w:val="22"/>
        </w:rPr>
        <w:t xml:space="preserve">The Inviolable Principles Register fixes the principles that no phase, no incident, no dispute, and no amendment procedure touches except through the Perimeter Test of Section 5.3. The Register binds every Compact Body, every Participant State, and every contractor.</w:t>
      </w:r>
    </w:p>
    <w:p>
      <w:pPr>
        <w:spacing w:after="110" w:line="340" w:lineRule="auto"/>
        <w:ind w:left="360" w:hanging="360"/>
        <w:jc w:val="both"/>
      </w:pPr>
      <w:r>
        <w:rPr>
          <w:rFonts w:ascii="Cambria" w:hAnsi="Cambria"/>
          <w:b/>
          <w:color w:val="1D4E5F"/>
          <w:sz w:val="22"/>
        </w:rPr>
        <w:t xml:space="preserve">5.1.2 </w:t>
      </w:r>
      <w:r>
        <w:rPr>
          <w:rFonts w:ascii="Cambria" w:hAnsi="Cambria"/>
          <w:color w:val="20262A"/>
          <w:sz w:val="22"/>
        </w:rPr>
        <w:t xml:space="preserve">Each entry states a principle and its operative consequence. The entries form part of the operative text and repeat in full in Annex C, Section C.6.</w:t>
      </w:r>
    </w:p>
    <w:p>
      <w:pPr>
        <w:pStyle w:val="Heading3"/>
        <w:keepNext/>
        <w:keepLines/>
      </w:pPr>
      <w:bookmarkStart w:id="135" w:name="_Toc262100035"/>
      <w:r>
        <w:rPr>
          <w:rFonts w:ascii="Calibri" w:hAnsi="Calibri"/>
          <w:b/>
          <w:color w:val="37666F"/>
          <w:sz w:val="24"/>
        </w:rPr>
        <w:t xml:space="preserve">5.2 The Register</w:t>
      </w:r>
      <w:bookmarkEnd w:id="135"/>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200"/>
        <w:gridCol w:w="8800"/>
      </w:tblGrid>
      <w:tr>
        <w:trPr>
          <w:tblHeader/>
        </w:trPr>
        <w:tc>
          <w:tcPr>
            <w:tcW w:w="1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Entry</w:t>
            </w:r>
          </w:p>
        </w:tc>
        <w:tc>
          <w:tcPr>
            <w:tcW w:w="8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Principle and operative consequence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Transit passage carries no toll. No vessel pays any charge as a condition of passage through any corridor, at any phase, under any circumstance.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IPR-2</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No single coastal state governs the strait alone. Every corridor operates under the administration this Compact assigns, and every Consequential Action carries a second concurrence.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IPR-3</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The Twin Key Rule governs every Consequential Action. One key initiates, one key from a different circle concurs, and the act proceeds.</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IPR-4</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Passage remains unconditional. Registration informs the system; registration never permits or denies passage.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IPR-5</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The architecture excludes kinetic enforcement inside the corridors. No Compact Body directs, requests, or facilitates any use of force.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IPR-6</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Stewardship shares describe function, never title. A share carries administration, concurrence weight, and revenue apportionment, and nothing more.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IPR-7</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Money never touches politics. Every payment flows through the neutral fiduciary, and no state collects directly from any vessel, insurer, or flag state.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IPR-8</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Verification precedes reward. Every accrual follows an audited score, and no gate opens on the strength of declarations.</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IPR-9</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Banked performance survives every review. An accrued share persists across extensions, suspensions of other elements, and amendments.</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IPR-10</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The environment holds standing. Environmental findings enter the Index and the compliance engine in their own right, not as an adjunct to other findings.</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IPR-11</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The nuclear file stands outside the Compact. No Compact element touches, measures, conditions, or awaits any nuclear matter.</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IPR-12</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Incidents speak in neutral language. Every report, bulletin, and finding uses the neutral incident language of Annex H.</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IPR-13</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Humanitarian traffic holds absolute priority. Class H vessels transit ahead of every queue, at every phase, under every circumstance.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IPR-14</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Publication substitutes for assurance. Every score, account, incident summary, and corridor status enters the public record on its fixed schedule.</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IPR-15</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The Compact never rewards an incident. No party gains a share, a fee advantage, or a procedural benefit from an event the compliance engine attributes to it.</w:t>
            </w:r>
          </w:p>
        </w:tc>
      </w:tr>
      <w:tr>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IPR-16</w:t>
            </w:r>
          </w:p>
        </w:tc>
        <w:tc>
          <w:tcPr>
            <w:tcW w:w="8800" w:type="dxa"/>
            <w:tcMar>
              <w:top w:w="60" w:type="dxa"/>
              <w:left w:w="100" w:type="dxa"/>
              <w:bottom w:w="60" w:type="dxa"/>
              <w:right w:w="100" w:type="dxa"/>
            </w:tcMar>
          </w:tcPr>
          <w:p>
            <w:pPr>
              <w:spacing w:after="20" w:line="290" w:lineRule="auto"/>
            </w:pPr>
            <w:r>
              <w:rPr>
                <w:rFonts w:ascii="Calibri" w:hAnsi="Calibri"/>
                <w:color w:val="20262A"/>
                <w:sz w:val="19"/>
              </w:rPr>
              <w:t xml:space="preserve">No party conditions the water on any other track. The corridors operate on maritime facts alone.</w:t>
            </w:r>
          </w:p>
        </w:tc>
      </w:tr>
    </w:tbl>
    <w:p>
      <w:pPr>
        <w:spacing w:after="100"/>
      </w:pPr>
    </w:p>
    <w:p>
      <w:pPr>
        <w:pStyle w:val="Heading3"/>
        <w:keepNext/>
        <w:keepLines/>
      </w:pPr>
      <w:bookmarkStart w:id="136" w:name="_Toc262100036"/>
      <w:r>
        <w:rPr>
          <w:rFonts w:ascii="Calibri" w:hAnsi="Calibri"/>
          <w:b/>
          <w:color w:val="37666F"/>
          <w:sz w:val="24"/>
        </w:rPr>
        <w:t xml:space="preserve">5.3 The Perimeter Test</w:t>
      </w:r>
      <w:bookmarkEnd w:id="136"/>
    </w:p>
    <w:p>
      <w:pPr>
        <w:spacing w:after="110" w:line="340" w:lineRule="auto"/>
        <w:ind w:left="360" w:hanging="360"/>
        <w:jc w:val="both"/>
      </w:pPr>
      <w:r>
        <w:rPr>
          <w:rFonts w:ascii="Cambria" w:hAnsi="Cambria"/>
          <w:b/>
          <w:color w:val="1D4E5F"/>
          <w:sz w:val="22"/>
        </w:rPr>
        <w:t xml:space="preserve">5.3.1 </w:t>
      </w:r>
      <w:r>
        <w:rPr>
          <w:rFonts w:ascii="Cambria" w:hAnsi="Cambria"/>
          <w:color w:val="20262A"/>
          <w:sz w:val="22"/>
        </w:rPr>
        <w:t xml:space="preserve">A proposal touches the Register only when it alters the text or the operative consequence of an entry. The Council tests every proposal against the Register before any other consideration.</w:t>
      </w:r>
    </w:p>
    <w:p>
      <w:pPr>
        <w:spacing w:after="110" w:line="340" w:lineRule="auto"/>
        <w:ind w:left="360" w:hanging="360"/>
        <w:jc w:val="both"/>
      </w:pPr>
      <w:r>
        <w:rPr>
          <w:rFonts w:ascii="Cambria" w:hAnsi="Cambria"/>
          <w:b/>
          <w:color w:val="1D4E5F"/>
          <w:sz w:val="22"/>
        </w:rPr>
        <w:t xml:space="preserve">5.3.2 </w:t>
      </w:r>
      <w:r>
        <w:rPr>
          <w:rFonts w:ascii="Cambria" w:hAnsi="Cambria"/>
          <w:color w:val="20262A"/>
          <w:sz w:val="22"/>
        </w:rPr>
        <w:t xml:space="preserve">Amendment of an entry requires the affirmative vote of every Participant State in the Coastal Circle and a three-quarters vote of the full Council, and takes effect no earlier than one hundred and eighty days after adoption.</w:t>
      </w:r>
    </w:p>
    <w:p>
      <w:pPr>
        <w:pStyle w:val="Heading3"/>
        <w:keepNext/>
        <w:keepLines/>
      </w:pPr>
      <w:bookmarkStart w:id="137" w:name="_Toc262100037"/>
      <w:r>
        <w:rPr>
          <w:rFonts w:ascii="Calibri" w:hAnsi="Calibri"/>
          <w:b/>
          <w:color w:val="37666F"/>
          <w:sz w:val="24"/>
        </w:rPr>
        <w:t xml:space="preserve">5.4 No Trading of Inviolables</w:t>
      </w:r>
      <w:bookmarkEnd w:id="137"/>
    </w:p>
    <w:p>
      <w:pPr>
        <w:spacing w:after="110" w:line="340" w:lineRule="auto"/>
        <w:ind w:left="360" w:hanging="360"/>
        <w:jc w:val="both"/>
      </w:pPr>
      <w:r>
        <w:rPr>
          <w:rFonts w:ascii="Cambria" w:hAnsi="Cambria"/>
          <w:b/>
          <w:color w:val="1D4E5F"/>
          <w:sz w:val="22"/>
        </w:rPr>
        <w:t xml:space="preserve">5.4.1 </w:t>
      </w:r>
      <w:r>
        <w:rPr>
          <w:rFonts w:ascii="Cambria" w:hAnsi="Cambria"/>
          <w:color w:val="20262A"/>
          <w:sz w:val="22"/>
        </w:rPr>
        <w:t xml:space="preserve">The framework excludes any bargain that exchanges a Register entry against any other concession, inside or outside the Compact. A proposal that prices an entry fails at the Perimeter Test without further debate.</w:t>
      </w:r>
    </w:p>
    <w:p>
      <w:pPr>
        <w:pStyle w:val="Heading1"/>
        <w:keepNext/>
        <w:keepLines/>
        <w:pageBreakBefore/>
      </w:pPr>
      <w:bookmarkStart w:id="138" w:name="_Toc262100038"/>
      <w:r>
        <w:rPr>
          <w:rFonts w:ascii="Calibri" w:hAnsi="Calibri"/>
          <w:b/>
          <w:color w:val="1D4E5F"/>
          <w:sz w:val="34"/>
        </w:rPr>
        <w:t xml:space="preserve">Part II: The Triadic Corridor System</w:t>
      </w:r>
      <w:bookmarkEnd w:id="138"/>
    </w:p>
    <w:p>
      <w:pPr>
        <w:pStyle w:val="Heading2"/>
        <w:keepNext/>
        <w:keepLines/>
      </w:pPr>
      <w:bookmarkStart w:id="139" w:name="_Toc262100039"/>
      <w:r>
        <w:rPr>
          <w:rFonts w:ascii="Calibri" w:hAnsi="Calibri"/>
          <w:b/>
          <w:color w:val="1D4E5F"/>
          <w:sz w:val="27"/>
        </w:rPr>
        <w:t xml:space="preserve">Article 6: The System at a Glance</w:t>
      </w:r>
      <w:bookmarkEnd w:id="139"/>
    </w:p>
    <w:p>
      <w:pPr>
        <w:pStyle w:val="Heading3"/>
        <w:keepNext/>
        <w:keepLines/>
      </w:pPr>
      <w:bookmarkStart w:id="140" w:name="_Toc262100040"/>
      <w:r>
        <w:rPr>
          <w:rFonts w:ascii="Calibri" w:hAnsi="Calibri"/>
          <w:b/>
          <w:color w:val="37666F"/>
          <w:sz w:val="24"/>
        </w:rPr>
        <w:t xml:space="preserve">6.1 Design Logic</w:t>
      </w:r>
      <w:bookmarkEnd w:id="140"/>
    </w:p>
    <w:p>
      <w:pPr>
        <w:spacing w:after="110" w:line="340" w:lineRule="auto"/>
        <w:ind w:left="360" w:hanging="360"/>
        <w:jc w:val="both"/>
      </w:pPr>
      <w:r>
        <w:rPr>
          <w:rFonts w:ascii="Cambria" w:hAnsi="Cambria"/>
          <w:b/>
          <w:color w:val="1D4E5F"/>
          <w:sz w:val="22"/>
        </w:rPr>
        <w:t xml:space="preserve">6.1.1 </w:t>
      </w:r>
      <w:r>
        <w:rPr>
          <w:rFonts w:ascii="Cambria" w:hAnsi="Cambria"/>
          <w:color w:val="20262A"/>
          <w:sz w:val="22"/>
        </w:rPr>
        <w:t xml:space="preserve">The Corridor System separates opposing flows of traffic into two directional corridors and places a jointly administered buffer corridor between them. Two separation belts of one nautical mile each divide the three corridors. The geometry concentrates commercial traffic in disciplined lanes, removes ambiguity about who administers which water, and gives every mariner a single, published, predictable picture.</w:t>
      </w:r>
    </w:p>
    <w:p>
      <w:pPr>
        <w:spacing w:after="110" w:line="340" w:lineRule="auto"/>
        <w:ind w:left="360" w:hanging="360"/>
        <w:jc w:val="both"/>
      </w:pPr>
      <w:r>
        <w:rPr>
          <w:rFonts w:ascii="Cambria" w:hAnsi="Cambria"/>
          <w:b/>
          <w:color w:val="1D4E5F"/>
          <w:sz w:val="22"/>
        </w:rPr>
        <w:t xml:space="preserve">6.1.2 </w:t>
      </w:r>
      <w:r>
        <w:rPr>
          <w:rFonts w:ascii="Cambria" w:hAnsi="Cambria"/>
          <w:color w:val="20262A"/>
          <w:sz w:val="22"/>
        </w:rPr>
        <w:t xml:space="preserve">Each corridor carries one governing rule, stated at the head of its article: the Northern Coordination Corridor runs on registration, not permission; the Southern Assurance Corridor runs on unconditional transit; the Central Buffer Corridor runs on notification, not permission. No corridor runs on permission, and no administrator holds a power of refusal.</w:t>
      </w:r>
    </w:p>
    <w:p>
      <w:pPr>
        <w:pStyle w:val="Heading3"/>
        <w:keepNext/>
        <w:keepLines/>
      </w:pPr>
      <w:bookmarkStart w:id="141" w:name="_Toc262100041"/>
      <w:r>
        <w:rPr>
          <w:rFonts w:ascii="Calibri" w:hAnsi="Calibri"/>
          <w:b/>
          <w:color w:val="37666F"/>
          <w:sz w:val="24"/>
        </w:rPr>
        <w:t xml:space="preserve">6.2 The Three Corridors</w:t>
      </w:r>
      <w:bookmarkEnd w:id="141"/>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300"/>
        <w:gridCol w:w="2700"/>
        <w:gridCol w:w="3000"/>
        <w:gridCol w:w="2000"/>
      </w:tblGrid>
      <w:tr>
        <w:trPr>
          <w:tblHeader/>
        </w:trPr>
        <w:tc>
          <w:tcPr>
            <w:tcW w:w="2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Corridor</w:t>
            </w:r>
          </w:p>
        </w:tc>
        <w:tc>
          <w:tcPr>
            <w:tcW w:w="2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Function</w:t>
            </w:r>
          </w:p>
        </w:tc>
        <w:tc>
          <w:tcPr>
            <w:tcW w:w="3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Administration</w:t>
            </w:r>
          </w:p>
        </w:tc>
        <w:tc>
          <w:tcPr>
            <w:tcW w:w="2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Governing rule</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Northern Coordination Corridor</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Inbound traffic toward the Persian Gulf</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Northern Corridor Administrator (Iran), Twin Key with Oman</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Registration, not permission</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Central Buffer Corridor</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Separation, emergency diversion, naval deconfliction, search and rescue routing, mine-risk avoidance</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Buffer Corridor Management Board: Iran, Oman, and the Standing Share of the Center</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Notification, not permission</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Southern Assurance Corridor</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Outbound traffic toward the Sea of Oman</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Southern Corridor Administrator (Oman), Twin Key with Iran</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Unconditional transit</w:t>
            </w:r>
          </w:p>
        </w:tc>
      </w:tr>
    </w:tbl>
    <w:p>
      <w:pPr>
        <w:spacing w:after="100"/>
      </w:pPr>
    </w:p>
    <w:p>
      <w:pPr>
        <w:pStyle w:val="Heading3"/>
        <w:keepNext/>
        <w:keepLines/>
      </w:pPr>
      <w:bookmarkStart w:id="142" w:name="_Toc262100042"/>
      <w:r>
        <w:rPr>
          <w:rFonts w:ascii="Calibri" w:hAnsi="Calibri"/>
          <w:b/>
          <w:color w:val="37666F"/>
          <w:sz w:val="24"/>
        </w:rPr>
        <w:t xml:space="preserve">6.3 The Two Separation Belts</w:t>
      </w:r>
      <w:bookmarkEnd w:id="142"/>
    </w:p>
    <w:p>
      <w:pPr>
        <w:spacing w:after="110" w:line="340" w:lineRule="auto"/>
        <w:ind w:left="360" w:hanging="360"/>
        <w:jc w:val="both"/>
      </w:pPr>
      <w:r>
        <w:rPr>
          <w:rFonts w:ascii="Cambria" w:hAnsi="Cambria"/>
          <w:b/>
          <w:color w:val="1D4E5F"/>
          <w:sz w:val="22"/>
        </w:rPr>
        <w:t xml:space="preserve">6.3.1 </w:t>
      </w:r>
      <w:r>
        <w:rPr>
          <w:rFonts w:ascii="Cambria" w:hAnsi="Cambria"/>
          <w:color w:val="20262A"/>
          <w:sz w:val="22"/>
        </w:rPr>
        <w:t xml:space="preserve">A separation belt of one nautical mile lies between the Northern Coordination Corridor and the Central Buffer Corridor, and a second separation belt of one nautical mile lies between the Central Buffer Corridor and the Southern Assurance Corridor. Annex A fixes the belt boundaries.</w:t>
      </w:r>
    </w:p>
    <w:p>
      <w:pPr>
        <w:spacing w:after="110" w:line="340" w:lineRule="auto"/>
        <w:ind w:left="360" w:hanging="360"/>
        <w:jc w:val="both"/>
      </w:pPr>
      <w:r>
        <w:rPr>
          <w:rFonts w:ascii="Cambria" w:hAnsi="Cambria"/>
          <w:b/>
          <w:color w:val="1D4E5F"/>
          <w:sz w:val="22"/>
        </w:rPr>
        <w:t xml:space="preserve">6.3.2 </w:t>
      </w:r>
      <w:r>
        <w:rPr>
          <w:rFonts w:ascii="Cambria" w:hAnsi="Cambria"/>
          <w:color w:val="20262A"/>
          <w:sz w:val="22"/>
        </w:rPr>
        <w:t xml:space="preserve">The architecture excludes commercial transit inside the separation belts. Only emergency diversion, search and rescue, and mine-risk operations enter the belts, and each entry generates an automatic notice to the watch floor.</w:t>
      </w:r>
    </w:p>
    <w:p>
      <w:pPr>
        <w:pStyle w:val="Heading3"/>
        <w:keepNext/>
        <w:keepLines/>
      </w:pPr>
      <w:bookmarkStart w:id="143" w:name="_Toc262100043"/>
      <w:r>
        <w:rPr>
          <w:rFonts w:ascii="Calibri" w:hAnsi="Calibri"/>
          <w:b/>
          <w:color w:val="37666F"/>
          <w:sz w:val="24"/>
        </w:rPr>
        <w:t xml:space="preserve">6.4 Flow States</w:t>
      </w:r>
      <w:bookmarkEnd w:id="143"/>
    </w:p>
    <w:p>
      <w:pPr>
        <w:spacing w:after="110" w:line="340" w:lineRule="auto"/>
        <w:ind w:left="360" w:hanging="360"/>
        <w:jc w:val="both"/>
      </w:pPr>
      <w:r>
        <w:rPr>
          <w:rFonts w:ascii="Cambria" w:hAnsi="Cambria"/>
          <w:b/>
          <w:color w:val="1D4E5F"/>
          <w:sz w:val="22"/>
        </w:rPr>
        <w:t xml:space="preserve">6.4.1 </w:t>
      </w:r>
      <w:r>
        <w:rPr>
          <w:rFonts w:ascii="Cambria" w:hAnsi="Cambria"/>
          <w:color w:val="20262A"/>
          <w:sz w:val="22"/>
        </w:rPr>
        <w:t xml:space="preserve">The Corridor System operates in three flow states. Flow State Green denotes normal two-way operation. Flow State Amber denotes degraded operation with convoy windows and extended spacing under Article 14. Flow State Blue denotes emergency diversion operation through the Central Buffer Corridor under Article 32.</w:t>
      </w:r>
    </w:p>
    <w:p>
      <w:pPr>
        <w:spacing w:after="110" w:line="340" w:lineRule="auto"/>
        <w:ind w:left="360" w:hanging="360"/>
        <w:jc w:val="both"/>
      </w:pPr>
      <w:r>
        <w:rPr>
          <w:rFonts w:ascii="Cambria" w:hAnsi="Cambria"/>
          <w:b/>
          <w:color w:val="1D4E5F"/>
          <w:sz w:val="22"/>
        </w:rPr>
        <w:t xml:space="preserve">6.4.2 </w:t>
      </w:r>
      <w:r>
        <w:rPr>
          <w:rFonts w:ascii="Cambria" w:hAnsi="Cambria"/>
          <w:color w:val="20262A"/>
          <w:sz w:val="22"/>
        </w:rPr>
        <w:t xml:space="preserve">The watch floor declares flow states, and a declaration of Flow State Blue constitutes a Consequential Action under the Twin Key Rule.</w:t>
      </w:r>
    </w:p>
    <w:p>
      <w:pPr>
        <w:pStyle w:val="Heading3"/>
        <w:keepNext/>
        <w:keepLines/>
      </w:pPr>
      <w:bookmarkStart w:id="144" w:name="_Toc262100044"/>
      <w:r>
        <w:rPr>
          <w:rFonts w:ascii="Calibri" w:hAnsi="Calibri"/>
          <w:b/>
          <w:color w:val="37666F"/>
          <w:sz w:val="24"/>
        </w:rPr>
        <w:t xml:space="preserve">6.5 The Open Water Bulletin</w:t>
      </w:r>
      <w:bookmarkEnd w:id="144"/>
    </w:p>
    <w:p>
      <w:pPr>
        <w:spacing w:after="110" w:line="340" w:lineRule="auto"/>
        <w:ind w:left="360" w:hanging="360"/>
        <w:jc w:val="both"/>
      </w:pPr>
      <w:r>
        <w:rPr>
          <w:rFonts w:ascii="Cambria" w:hAnsi="Cambria"/>
          <w:b/>
          <w:color w:val="1D4E5F"/>
          <w:sz w:val="22"/>
        </w:rPr>
        <w:t xml:space="preserve">6.5.1 </w:t>
      </w:r>
      <w:r>
        <w:rPr>
          <w:rFonts w:ascii="Cambria" w:hAnsi="Cambria"/>
          <w:color w:val="20262A"/>
          <w:sz w:val="22"/>
        </w:rPr>
        <w:t xml:space="preserve">The Center publishes the Open Water Bulletin every day at 06:00 Gulf Standard Time. The Bulletin states the flow state, corridor status, active notices, scheduled convoy windows, mine-risk advisories, and the incident summary for the preceding twenty-four hours.</w:t>
      </w:r>
    </w:p>
    <w:p>
      <w:pPr>
        <w:spacing w:after="110" w:line="340" w:lineRule="auto"/>
        <w:ind w:left="360" w:hanging="360"/>
        <w:jc w:val="both"/>
      </w:pPr>
      <w:r>
        <w:rPr>
          <w:rFonts w:ascii="Cambria" w:hAnsi="Cambria"/>
          <w:b/>
          <w:color w:val="1D4E5F"/>
          <w:sz w:val="22"/>
        </w:rPr>
        <w:t xml:space="preserve">6.5.2 </w:t>
      </w:r>
      <w:r>
        <w:rPr>
          <w:rFonts w:ascii="Cambria" w:hAnsi="Cambria"/>
          <w:color w:val="20262A"/>
          <w:sz w:val="22"/>
        </w:rPr>
        <w:t xml:space="preserve">The Bulletin publishes in Persian, Arabic, and English simultaneously, and the Data Service distributes it to subscribers in machine-readable form within ninety seconds of publication.</w:t>
      </w:r>
    </w:p>
    <w:p>
      <w:pPr>
        <w:pStyle w:val="Heading2"/>
        <w:keepNext/>
        <w:keepLines/>
      </w:pPr>
      <w:bookmarkStart w:id="145" w:name="_Toc262100045"/>
      <w:r>
        <w:rPr>
          <w:rFonts w:ascii="Calibri" w:hAnsi="Calibri"/>
          <w:b/>
          <w:color w:val="1D4E5F"/>
          <w:sz w:val="27"/>
        </w:rPr>
        <w:t xml:space="preserve">Article 7: The Northern Coordination Corridor</w:t>
      </w:r>
      <w:bookmarkEnd w:id="145"/>
    </w:p>
    <w:p>
      <w:pPr>
        <w:pStyle w:val="Heading3"/>
        <w:keepNext/>
        <w:keepLines/>
      </w:pPr>
      <w:bookmarkStart w:id="146" w:name="_Toc262100046"/>
      <w:r>
        <w:rPr>
          <w:rFonts w:ascii="Calibri" w:hAnsi="Calibri"/>
          <w:b/>
          <w:color w:val="37666F"/>
          <w:sz w:val="24"/>
        </w:rPr>
        <w:t xml:space="preserve">7.1 Position and Geometry</w:t>
      </w:r>
      <w:bookmarkEnd w:id="146"/>
    </w:p>
    <w:p>
      <w:pPr>
        <w:spacing w:after="110" w:line="340" w:lineRule="auto"/>
        <w:ind w:left="360" w:hanging="360"/>
        <w:jc w:val="both"/>
      </w:pPr>
      <w:r>
        <w:rPr>
          <w:rFonts w:ascii="Cambria" w:hAnsi="Cambria"/>
          <w:b/>
          <w:color w:val="1D4E5F"/>
          <w:sz w:val="22"/>
        </w:rPr>
        <w:t xml:space="preserve">7.1.1 </w:t>
      </w:r>
      <w:r>
        <w:rPr>
          <w:rFonts w:ascii="Cambria" w:hAnsi="Cambria"/>
          <w:color w:val="20262A"/>
          <w:sz w:val="22"/>
        </w:rPr>
        <w:t xml:space="preserve">The Northern Coordination Corridor occupies the band nearest the Iranian coast, between the northern limit line and the northern separation belt, as Annex A, Section A.2 defines. The corridor runs two nautical miles wide along the centerline waypoints that Annex A lists.</w:t>
      </w:r>
    </w:p>
    <w:p>
      <w:pPr>
        <w:pStyle w:val="Heading3"/>
        <w:keepNext/>
        <w:keepLines/>
      </w:pPr>
      <w:bookmarkStart w:id="147" w:name="_Toc262100047"/>
      <w:r>
        <w:rPr>
          <w:rFonts w:ascii="Calibri" w:hAnsi="Calibri"/>
          <w:b/>
          <w:color w:val="37666F"/>
          <w:sz w:val="24"/>
        </w:rPr>
        <w:t xml:space="preserve">7.2 The Governing Rule: Registration, Not Permission</w:t>
      </w:r>
      <w:bookmarkEnd w:id="147"/>
    </w:p>
    <w:p>
      <w:pPr>
        <w:spacing w:after="110" w:line="340" w:lineRule="auto"/>
        <w:ind w:left="360" w:hanging="360"/>
        <w:jc w:val="both"/>
      </w:pPr>
      <w:r>
        <w:rPr>
          <w:rFonts w:ascii="Cambria" w:hAnsi="Cambria"/>
          <w:b/>
          <w:color w:val="1D4E5F"/>
          <w:sz w:val="22"/>
        </w:rPr>
        <w:t xml:space="preserve">7.2.1 </w:t>
      </w:r>
      <w:r>
        <w:rPr>
          <w:rFonts w:ascii="Cambria" w:hAnsi="Cambria"/>
          <w:color w:val="20262A"/>
          <w:sz w:val="22"/>
        </w:rPr>
        <w:t xml:space="preserve">Every inbound commercial vessel registers its transit with the Center under Annex J and receives a Multilateral Transit Code. Registration informs the system. No element of the system conditions passage on approval, and the architecture excludes any queue, hold, or clearance that functions as a permission.</w:t>
      </w:r>
    </w:p>
    <w:tbl>
      <w:tblPr>
        <w:tblW w:w="5000" w:type="pct"/>
        <w:tblBorders>
          <w:top w:val="single" w:color="9C7A2E" w:sz="8"/>
          <w:left w:val="single" w:color="9C7A2E" w:sz="8"/>
          <w:bottom w:val="single" w:color="9C7A2E" w:sz="8"/>
          <w:right w:val="single" w:color="9C7A2E" w:sz="8"/>
          <w:insideH w:val="nil"/>
          <w:insideV w:val="nil"/>
        </w:tblBorders>
      </w:tblPr>
      <w:tblGrid>
        <w:gridCol w:w="10000"/>
      </w:tblGrid>
      <w:tr>
        <w:tc>
          <w:tcPr>
            <w:tcW w:w="10000" w:type="dxa"/>
            <w:shd w:val="clear" w:fill="F5F1E6"/>
            <w:tcMar>
              <w:top w:w="120" w:type="dxa"/>
              <w:left w:w="160" w:type="dxa"/>
              <w:bottom w:w="120" w:type="dxa"/>
              <w:right w:w="160" w:type="dxa"/>
            </w:tcMar>
          </w:tcPr>
          <w:p>
            <w:pPr>
              <w:spacing w:before="60" w:after="60" w:line="320" w:lineRule="auto"/>
              <w:jc w:val="both"/>
            </w:pPr>
            <w:r>
              <w:rPr>
                <w:rFonts w:ascii="Cambria" w:hAnsi="Cambria"/>
                <w:i/>
                <w:color w:val="26343A"/>
                <w:sz w:val="21"/>
              </w:rPr>
              <w:t xml:space="preserve">Registration is not permission. A registered vessel transits on its own schedule. The corridor administrator coordinates, informs, and serves; the administrator never grants or withholds passage.</w:t>
            </w:r>
          </w:p>
        </w:tc>
      </w:tr>
    </w:tbl>
    <w:p>
      <w:pPr>
        <w:spacing w:after="100"/>
      </w:pPr>
    </w:p>
    <w:p>
      <w:pPr>
        <w:pStyle w:val="Heading3"/>
        <w:keepNext/>
        <w:keepLines/>
      </w:pPr>
      <w:bookmarkStart w:id="148" w:name="_Toc262100048"/>
      <w:r>
        <w:rPr>
          <w:rFonts w:ascii="Calibri" w:hAnsi="Calibri"/>
          <w:b/>
          <w:color w:val="37666F"/>
          <w:sz w:val="24"/>
        </w:rPr>
        <w:t xml:space="preserve">7.3 The Multilateral Transit Code</w:t>
      </w:r>
      <w:bookmarkEnd w:id="148"/>
    </w:p>
    <w:p>
      <w:pPr>
        <w:spacing w:after="110" w:line="340" w:lineRule="auto"/>
        <w:ind w:left="360" w:hanging="360"/>
        <w:jc w:val="both"/>
      </w:pPr>
      <w:r>
        <w:rPr>
          <w:rFonts w:ascii="Cambria" w:hAnsi="Cambria"/>
          <w:b/>
          <w:color w:val="1D4E5F"/>
          <w:sz w:val="22"/>
        </w:rPr>
        <w:t xml:space="preserve">7.3.1 </w:t>
      </w:r>
      <w:r>
        <w:rPr>
          <w:rFonts w:ascii="Cambria" w:hAnsi="Cambria"/>
          <w:color w:val="20262A"/>
          <w:sz w:val="22"/>
        </w:rPr>
        <w:t xml:space="preserve">The Multilateral Transit Code identifies the vessel, the voyage, the corridor, and the service package. Annex J fixes the code format, the twelve filing fields, and the filing channels. Filing completes in one transaction of not more than fifteen minutes through any of the three filing channels.</w:t>
      </w:r>
    </w:p>
    <w:p>
      <w:pPr>
        <w:pStyle w:val="Heading3"/>
        <w:keepNext/>
        <w:keepLines/>
      </w:pPr>
      <w:bookmarkStart w:id="149" w:name="_Toc262100049"/>
      <w:r>
        <w:rPr>
          <w:rFonts w:ascii="Calibri" w:hAnsi="Calibri"/>
          <w:b/>
          <w:color w:val="37666F"/>
          <w:sz w:val="24"/>
        </w:rPr>
        <w:t xml:space="preserve">7.4 Management Arrangement</w:t>
      </w:r>
      <w:bookmarkEnd w:id="149"/>
    </w:p>
    <w:p>
      <w:pPr>
        <w:spacing w:after="110" w:line="340" w:lineRule="auto"/>
        <w:ind w:left="360" w:hanging="360"/>
        <w:jc w:val="both"/>
      </w:pPr>
      <w:r>
        <w:rPr>
          <w:rFonts w:ascii="Cambria" w:hAnsi="Cambria"/>
          <w:b/>
          <w:color w:val="1D4E5F"/>
          <w:sz w:val="22"/>
        </w:rPr>
        <w:t xml:space="preserve">7.4.1 </w:t>
      </w:r>
      <w:r>
        <w:rPr>
          <w:rFonts w:ascii="Cambria" w:hAnsi="Cambria"/>
          <w:color w:val="20262A"/>
          <w:sz w:val="22"/>
        </w:rPr>
        <w:t xml:space="preserve">The Islamic Republic of Iran holds the role of Northern Corridor Administrator, designated Role R-1. The administrator operates the corridor reporting points, maintains the corridor service craft, staffs the northern desk of the watch floor, and delivers the services of the Verified Services Catalog within the corridor.</w:t>
      </w:r>
    </w:p>
    <w:p>
      <w:pPr>
        <w:spacing w:after="110" w:line="340" w:lineRule="auto"/>
        <w:ind w:left="360" w:hanging="360"/>
        <w:jc w:val="both"/>
      </w:pPr>
      <w:r>
        <w:rPr>
          <w:rFonts w:ascii="Cambria" w:hAnsi="Cambria"/>
          <w:b/>
          <w:color w:val="1D4E5F"/>
          <w:sz w:val="22"/>
        </w:rPr>
        <w:t xml:space="preserve">7.4.2 </w:t>
      </w:r>
      <w:r>
        <w:rPr>
          <w:rFonts w:ascii="Cambria" w:hAnsi="Cambria"/>
          <w:color w:val="20262A"/>
          <w:sz w:val="22"/>
        </w:rPr>
        <w:t xml:space="preserve">Every Consequential Action in the corridor follows the Twin Key Rule: the Northern Corridor Administrator initiates, and the Southern Corridor Administrator or the Center concurs, as Annex G assigns. Routine Actions proceed without concurrence under the Routine Actions Register of Annex G.</w:t>
      </w:r>
    </w:p>
    <w:p>
      <w:pPr>
        <w:pStyle w:val="Heading3"/>
        <w:keepNext/>
        <w:keepLines/>
      </w:pPr>
      <w:bookmarkStart w:id="150" w:name="_Toc262100050"/>
      <w:r>
        <w:rPr>
          <w:rFonts w:ascii="Calibri" w:hAnsi="Calibri"/>
          <w:b/>
          <w:color w:val="37666F"/>
          <w:sz w:val="24"/>
        </w:rPr>
        <w:t xml:space="preserve">7.5 Services in the Northern Coordination Corridor</w:t>
      </w:r>
      <w:bookmarkEnd w:id="150"/>
    </w:p>
    <w:p>
      <w:pPr>
        <w:spacing w:after="110" w:line="340" w:lineRule="auto"/>
        <w:ind w:left="360" w:hanging="360"/>
        <w:jc w:val="both"/>
      </w:pPr>
      <w:r>
        <w:rPr>
          <w:rFonts w:ascii="Cambria" w:hAnsi="Cambria"/>
          <w:b/>
          <w:color w:val="1D4E5F"/>
          <w:sz w:val="22"/>
        </w:rPr>
        <w:t xml:space="preserve">7.5.1 </w:t>
      </w:r>
      <w:r>
        <w:rPr>
          <w:rFonts w:ascii="Cambria" w:hAnsi="Cambria"/>
          <w:color w:val="20262A"/>
          <w:sz w:val="22"/>
        </w:rPr>
        <w:t xml:space="preserve">The administrator delivers the corridor data package, the environmental monitoring service, the search and rescue readiness service, and the optional services of the Verified Services Catalog. The Fund reimburses every delivered service at the catalog rate against the evidence rules of Annex D.</w:t>
      </w:r>
    </w:p>
    <w:p>
      <w:pPr>
        <w:pStyle w:val="Heading3"/>
        <w:keepNext/>
        <w:keepLines/>
      </w:pPr>
      <w:bookmarkStart w:id="151" w:name="_Toc262100051"/>
      <w:r>
        <w:rPr>
          <w:rFonts w:ascii="Calibri" w:hAnsi="Calibri"/>
          <w:b/>
          <w:color w:val="37666F"/>
          <w:sz w:val="24"/>
        </w:rPr>
        <w:t xml:space="preserve">7.6 Lane Discipline</w:t>
      </w:r>
      <w:bookmarkEnd w:id="151"/>
    </w:p>
    <w:p>
      <w:pPr>
        <w:spacing w:after="110" w:line="340" w:lineRule="auto"/>
        <w:ind w:left="360" w:hanging="360"/>
        <w:jc w:val="both"/>
      </w:pPr>
      <w:r>
        <w:rPr>
          <w:rFonts w:ascii="Cambria" w:hAnsi="Cambria"/>
          <w:b/>
          <w:color w:val="1D4E5F"/>
          <w:sz w:val="22"/>
        </w:rPr>
        <w:t xml:space="preserve">7.6.1 </w:t>
      </w:r>
      <w:r>
        <w:rPr>
          <w:rFonts w:ascii="Cambria" w:hAnsi="Cambria"/>
          <w:color w:val="20262A"/>
          <w:sz w:val="22"/>
        </w:rPr>
        <w:t xml:space="preserve">Vessels keep to the inbound lane, observe the speed bands of Article 14, report at every reporting point, and maintain continuous Automatic Identification System transmission under Annex J. A vessel that deviates without cause generates a lane discipline event, which the Meridian Verification Office scores under Article 16.</w:t>
      </w:r>
    </w:p>
    <w:p>
      <w:pPr>
        <w:pStyle w:val="Heading2"/>
        <w:keepNext/>
        <w:keepLines/>
      </w:pPr>
      <w:bookmarkStart w:id="152" w:name="_Toc262100052"/>
      <w:r>
        <w:rPr>
          <w:rFonts w:ascii="Calibri" w:hAnsi="Calibri"/>
          <w:b/>
          <w:color w:val="1D4E5F"/>
          <w:sz w:val="27"/>
        </w:rPr>
        <w:t xml:space="preserve">Article 8: The Southern Assurance Corridor</w:t>
      </w:r>
      <w:bookmarkEnd w:id="152"/>
    </w:p>
    <w:p>
      <w:pPr>
        <w:pStyle w:val="Heading3"/>
        <w:keepNext/>
        <w:keepLines/>
      </w:pPr>
      <w:bookmarkStart w:id="153" w:name="_Toc262100053"/>
      <w:r>
        <w:rPr>
          <w:rFonts w:ascii="Calibri" w:hAnsi="Calibri"/>
          <w:b/>
          <w:color w:val="37666F"/>
          <w:sz w:val="24"/>
        </w:rPr>
        <w:t xml:space="preserve">8.1 Position and Geometry</w:t>
      </w:r>
      <w:bookmarkEnd w:id="153"/>
    </w:p>
    <w:p>
      <w:pPr>
        <w:spacing w:after="110" w:line="340" w:lineRule="auto"/>
        <w:ind w:left="360" w:hanging="360"/>
        <w:jc w:val="both"/>
      </w:pPr>
      <w:r>
        <w:rPr>
          <w:rFonts w:ascii="Cambria" w:hAnsi="Cambria"/>
          <w:b/>
          <w:color w:val="1D4E5F"/>
          <w:sz w:val="22"/>
        </w:rPr>
        <w:t xml:space="preserve">8.1.1 </w:t>
      </w:r>
      <w:r>
        <w:rPr>
          <w:rFonts w:ascii="Cambria" w:hAnsi="Cambria"/>
          <w:color w:val="20262A"/>
          <w:sz w:val="22"/>
        </w:rPr>
        <w:t xml:space="preserve">The Southern Assurance Corridor occupies the band nearest the Omani coast, between the southern separation belt and the southern limit line, as Annex A, Section A.3 defines. The corridor runs two nautical miles wide along the centerline waypoints that Annex A lists.</w:t>
      </w:r>
    </w:p>
    <w:p>
      <w:pPr>
        <w:pStyle w:val="Heading3"/>
        <w:keepNext/>
        <w:keepLines/>
      </w:pPr>
      <w:bookmarkStart w:id="154" w:name="_Toc262100054"/>
      <w:r>
        <w:rPr>
          <w:rFonts w:ascii="Calibri" w:hAnsi="Calibri"/>
          <w:b/>
          <w:color w:val="37666F"/>
          <w:sz w:val="24"/>
        </w:rPr>
        <w:t xml:space="preserve">8.2 The Governing Rule: Unconditional Transit</w:t>
      </w:r>
      <w:bookmarkEnd w:id="154"/>
    </w:p>
    <w:p>
      <w:pPr>
        <w:spacing w:after="110" w:line="340" w:lineRule="auto"/>
        <w:ind w:left="360" w:hanging="360"/>
        <w:jc w:val="both"/>
      </w:pPr>
      <w:r>
        <w:rPr>
          <w:rFonts w:ascii="Cambria" w:hAnsi="Cambria"/>
          <w:b/>
          <w:color w:val="1D4E5F"/>
          <w:sz w:val="22"/>
        </w:rPr>
        <w:t xml:space="preserve">8.2.1 </w:t>
      </w:r>
      <w:r>
        <w:rPr>
          <w:rFonts w:ascii="Cambria" w:hAnsi="Cambria"/>
          <w:color w:val="20262A"/>
          <w:sz w:val="22"/>
        </w:rPr>
        <w:t xml:space="preserve">Outbound vessels transit the Southern Assurance Corridor unconditionally. Registration remains available and recommended for service eligibility, and the absence of a registration never delays, diverts, or conditions transit.</w:t>
      </w:r>
    </w:p>
    <w:tbl>
      <w:tblPr>
        <w:tblW w:w="5000" w:type="pct"/>
        <w:tblBorders>
          <w:top w:val="single" w:color="9C7A2E" w:sz="8"/>
          <w:left w:val="single" w:color="9C7A2E" w:sz="8"/>
          <w:bottom w:val="single" w:color="9C7A2E" w:sz="8"/>
          <w:right w:val="single" w:color="9C7A2E" w:sz="8"/>
          <w:insideH w:val="nil"/>
          <w:insideV w:val="nil"/>
        </w:tblBorders>
      </w:tblPr>
      <w:tblGrid>
        <w:gridCol w:w="10000"/>
      </w:tblGrid>
      <w:tr>
        <w:tc>
          <w:tcPr>
            <w:tcW w:w="10000" w:type="dxa"/>
            <w:shd w:val="clear" w:fill="F5F1E6"/>
            <w:tcMar>
              <w:top w:w="120" w:type="dxa"/>
              <w:left w:w="160" w:type="dxa"/>
              <w:bottom w:w="120" w:type="dxa"/>
              <w:right w:w="160" w:type="dxa"/>
            </w:tcMar>
          </w:tcPr>
          <w:p>
            <w:pPr>
              <w:spacing w:before="60" w:after="60" w:line="320" w:lineRule="auto"/>
              <w:jc w:val="both"/>
            </w:pPr>
            <w:r>
              <w:rPr>
                <w:rFonts w:ascii="Cambria" w:hAnsi="Cambria"/>
                <w:i/>
                <w:color w:val="26343A"/>
                <w:sz w:val="21"/>
              </w:rPr>
              <w:t xml:space="preserve">Transit through the Southern Assurance Corridor is unconditional. No registration, fee, queue, or clearance conditions it. The corridor exists to assure, not to gate.</w:t>
            </w:r>
          </w:p>
        </w:tc>
      </w:tr>
    </w:tbl>
    <w:p>
      <w:pPr>
        <w:spacing w:after="100"/>
      </w:pPr>
    </w:p>
    <w:p>
      <w:pPr>
        <w:pStyle w:val="Heading3"/>
        <w:keepNext/>
        <w:keepLines/>
      </w:pPr>
      <w:bookmarkStart w:id="155" w:name="_Toc262100055"/>
      <w:r>
        <w:rPr>
          <w:rFonts w:ascii="Calibri" w:hAnsi="Calibri"/>
          <w:b/>
          <w:color w:val="37666F"/>
          <w:sz w:val="24"/>
        </w:rPr>
        <w:t xml:space="preserve">8.3 Management Arrangement</w:t>
      </w:r>
      <w:bookmarkEnd w:id="155"/>
    </w:p>
    <w:p>
      <w:pPr>
        <w:spacing w:after="110" w:line="340" w:lineRule="auto"/>
        <w:ind w:left="360" w:hanging="360"/>
        <w:jc w:val="both"/>
      </w:pPr>
      <w:r>
        <w:rPr>
          <w:rFonts w:ascii="Cambria" w:hAnsi="Cambria"/>
          <w:b/>
          <w:color w:val="1D4E5F"/>
          <w:sz w:val="22"/>
        </w:rPr>
        <w:t xml:space="preserve">8.3.1 </w:t>
      </w:r>
      <w:r>
        <w:rPr>
          <w:rFonts w:ascii="Cambria" w:hAnsi="Cambria"/>
          <w:color w:val="20262A"/>
          <w:sz w:val="22"/>
        </w:rPr>
        <w:t xml:space="preserve">The Sultanate of Oman holds the role of Southern Corridor Administrator, designated Role R-2. The administrator operates the corridor reporting points, maintains the corridor service craft, staffs the southern desk of the watch floor, and delivers the services of the Verified Services Catalog within the corridor.</w:t>
      </w:r>
    </w:p>
    <w:p>
      <w:pPr>
        <w:spacing w:after="110" w:line="340" w:lineRule="auto"/>
        <w:ind w:left="360" w:hanging="360"/>
        <w:jc w:val="both"/>
      </w:pPr>
      <w:r>
        <w:rPr>
          <w:rFonts w:ascii="Cambria" w:hAnsi="Cambria"/>
          <w:b/>
          <w:color w:val="1D4E5F"/>
          <w:sz w:val="22"/>
        </w:rPr>
        <w:t xml:space="preserve">8.3.2 </w:t>
      </w:r>
      <w:r>
        <w:rPr>
          <w:rFonts w:ascii="Cambria" w:hAnsi="Cambria"/>
          <w:color w:val="20262A"/>
          <w:sz w:val="22"/>
        </w:rPr>
        <w:t xml:space="preserve">Every Consequential Action in the corridor follows the Twin Key Rule: the Southern Corridor Administrator initiates, and the Northern Corridor Administrator or the Center concurs, as Annex G assigns.</w:t>
      </w:r>
    </w:p>
    <w:p>
      <w:pPr>
        <w:pStyle w:val="Heading3"/>
        <w:keepNext/>
        <w:keepLines/>
      </w:pPr>
      <w:bookmarkStart w:id="156" w:name="_Toc262100056"/>
      <w:r>
        <w:rPr>
          <w:rFonts w:ascii="Calibri" w:hAnsi="Calibri"/>
          <w:b/>
          <w:color w:val="37666F"/>
          <w:sz w:val="24"/>
        </w:rPr>
        <w:t xml:space="preserve">8.4 Services in the Southern Assurance Corridor</w:t>
      </w:r>
      <w:bookmarkEnd w:id="156"/>
    </w:p>
    <w:p>
      <w:pPr>
        <w:spacing w:after="110" w:line="340" w:lineRule="auto"/>
        <w:ind w:left="360" w:hanging="360"/>
        <w:jc w:val="both"/>
      </w:pPr>
      <w:r>
        <w:rPr>
          <w:rFonts w:ascii="Cambria" w:hAnsi="Cambria"/>
          <w:b/>
          <w:color w:val="1D4E5F"/>
          <w:sz w:val="22"/>
        </w:rPr>
        <w:t xml:space="preserve">8.4.1 </w:t>
      </w:r>
      <w:r>
        <w:rPr>
          <w:rFonts w:ascii="Cambria" w:hAnsi="Cambria"/>
          <w:color w:val="20262A"/>
          <w:sz w:val="22"/>
        </w:rPr>
        <w:t xml:space="preserve">The administrator delivers the corridor data package, the environmental monitoring service, the search and rescue readiness service, and the optional services of the Verified Services Catalog, reimbursed through the Fund at catalog rates.</w:t>
      </w:r>
    </w:p>
    <w:p>
      <w:pPr>
        <w:pStyle w:val="Heading3"/>
        <w:keepNext/>
        <w:keepLines/>
      </w:pPr>
      <w:bookmarkStart w:id="157" w:name="_Toc262100057"/>
      <w:r>
        <w:rPr>
          <w:rFonts w:ascii="Calibri" w:hAnsi="Calibri"/>
          <w:b/>
          <w:color w:val="37666F"/>
          <w:sz w:val="24"/>
        </w:rPr>
        <w:t xml:space="preserve">8.5 Lane Discipline</w:t>
      </w:r>
      <w:bookmarkEnd w:id="157"/>
    </w:p>
    <w:p>
      <w:pPr>
        <w:spacing w:after="110" w:line="340" w:lineRule="auto"/>
        <w:ind w:left="360" w:hanging="360"/>
        <w:jc w:val="both"/>
      </w:pPr>
      <w:r>
        <w:rPr>
          <w:rFonts w:ascii="Cambria" w:hAnsi="Cambria"/>
          <w:b/>
          <w:color w:val="1D4E5F"/>
          <w:sz w:val="22"/>
        </w:rPr>
        <w:t xml:space="preserve">8.5.1 </w:t>
      </w:r>
      <w:r>
        <w:rPr>
          <w:rFonts w:ascii="Cambria" w:hAnsi="Cambria"/>
          <w:color w:val="20262A"/>
          <w:sz w:val="22"/>
        </w:rPr>
        <w:t xml:space="preserve">Vessels keep to the outbound lane, observe the speed bands of Article 14, report at every reporting point, and maintain continuous Automatic Identification System transmission under Annex J.</w:t>
      </w:r>
    </w:p>
    <w:p>
      <w:pPr>
        <w:pStyle w:val="Heading2"/>
        <w:keepNext/>
        <w:keepLines/>
      </w:pPr>
      <w:bookmarkStart w:id="158" w:name="_Toc262100058"/>
      <w:r>
        <w:rPr>
          <w:rFonts w:ascii="Calibri" w:hAnsi="Calibri"/>
          <w:b/>
          <w:color w:val="1D4E5F"/>
          <w:sz w:val="27"/>
        </w:rPr>
        <w:t xml:space="preserve">Article 9: The Central Buffer Corridor</w:t>
      </w:r>
      <w:bookmarkEnd w:id="158"/>
    </w:p>
    <w:p>
      <w:pPr>
        <w:pStyle w:val="Heading3"/>
        <w:keepNext/>
        <w:keepLines/>
      </w:pPr>
      <w:bookmarkStart w:id="159" w:name="_Toc262100059"/>
      <w:r>
        <w:rPr>
          <w:rFonts w:ascii="Calibri" w:hAnsi="Calibri"/>
          <w:b/>
          <w:color w:val="37666F"/>
          <w:sz w:val="24"/>
        </w:rPr>
        <w:t xml:space="preserve">9.1 Position and Geometry</w:t>
      </w:r>
      <w:bookmarkEnd w:id="159"/>
    </w:p>
    <w:p>
      <w:pPr>
        <w:spacing w:after="110" w:line="340" w:lineRule="auto"/>
        <w:ind w:left="360" w:hanging="360"/>
        <w:jc w:val="both"/>
      </w:pPr>
      <w:r>
        <w:rPr>
          <w:rFonts w:ascii="Cambria" w:hAnsi="Cambria"/>
          <w:b/>
          <w:color w:val="1D4E5F"/>
          <w:sz w:val="22"/>
        </w:rPr>
        <w:t xml:space="preserve">9.1.1 </w:t>
      </w:r>
      <w:r>
        <w:rPr>
          <w:rFonts w:ascii="Cambria" w:hAnsi="Cambria"/>
          <w:color w:val="20262A"/>
          <w:sz w:val="22"/>
        </w:rPr>
        <w:t xml:space="preserve">The Central Buffer Corridor occupies the band between the two separation belts, as Annex A, Section A.4 defines. The corridor runs two nautical miles wide along the buffer centerline waypoints that Annex A lists.</w:t>
      </w:r>
    </w:p>
    <w:p>
      <w:pPr>
        <w:pStyle w:val="Heading3"/>
        <w:keepNext/>
        <w:keepLines/>
      </w:pPr>
      <w:bookmarkStart w:id="160" w:name="_Toc262100060"/>
      <w:r>
        <w:rPr>
          <w:rFonts w:ascii="Calibri" w:hAnsi="Calibri"/>
          <w:b/>
          <w:color w:val="37666F"/>
          <w:sz w:val="24"/>
        </w:rPr>
        <w:t xml:space="preserve">9.2 The Governing Rule: Notification, Not Permission</w:t>
      </w:r>
      <w:bookmarkEnd w:id="160"/>
    </w:p>
    <w:p>
      <w:pPr>
        <w:spacing w:after="110" w:line="340" w:lineRule="auto"/>
        <w:ind w:left="360" w:hanging="360"/>
        <w:jc w:val="both"/>
      </w:pPr>
      <w:r>
        <w:rPr>
          <w:rFonts w:ascii="Cambria" w:hAnsi="Cambria"/>
          <w:b/>
          <w:color w:val="1D4E5F"/>
          <w:sz w:val="22"/>
        </w:rPr>
        <w:t xml:space="preserve">9.2.1 </w:t>
      </w:r>
      <w:r>
        <w:rPr>
          <w:rFonts w:ascii="Cambria" w:hAnsi="Cambria"/>
          <w:color w:val="20262A"/>
          <w:sz w:val="22"/>
        </w:rPr>
        <w:t xml:space="preserve">A vessel enters the Central Buffer Corridor for emergency diversion, mine-risk avoidance, search and rescue routing, or authorized naval deconfliction, on notification to the watch floor. Notification informs the system. The architecture excludes any permission step, and the watch floor acknowledges every notification within three minutes.</w:t>
      </w:r>
    </w:p>
    <w:p>
      <w:pPr>
        <w:pStyle w:val="Heading3"/>
        <w:keepNext/>
        <w:keepLines/>
      </w:pPr>
      <w:bookmarkStart w:id="161" w:name="_Toc262100061"/>
      <w:r>
        <w:rPr>
          <w:rFonts w:ascii="Calibri" w:hAnsi="Calibri"/>
          <w:b/>
          <w:color w:val="37666F"/>
          <w:sz w:val="24"/>
        </w:rPr>
        <w:t xml:space="preserve">9.3 Joint Administration and the Standing Share</w:t>
      </w:r>
      <w:bookmarkEnd w:id="161"/>
    </w:p>
    <w:p>
      <w:pPr>
        <w:spacing w:after="110" w:line="340" w:lineRule="auto"/>
        <w:ind w:left="360" w:hanging="360"/>
        <w:jc w:val="both"/>
      </w:pPr>
      <w:r>
        <w:rPr>
          <w:rFonts w:ascii="Cambria" w:hAnsi="Cambria"/>
          <w:b/>
          <w:color w:val="1D4E5F"/>
          <w:sz w:val="22"/>
        </w:rPr>
        <w:t xml:space="preserve">9.3.1 </w:t>
      </w:r>
      <w:r>
        <w:rPr>
          <w:rFonts w:ascii="Cambria" w:hAnsi="Cambria"/>
          <w:color w:val="20262A"/>
          <w:sz w:val="22"/>
        </w:rPr>
        <w:t xml:space="preserve">The Buffer Corridor Management Board administers the corridor. Three share-holders seat the Board: the Islamic Republic of Iran, the Sultanate of Oman, and the Standing Share of the Center, which the Center holds on behalf of the Stakeholder Circle and the User Circle jointly.</w:t>
      </w:r>
    </w:p>
    <w:p>
      <w:pPr>
        <w:spacing w:after="110" w:line="340" w:lineRule="auto"/>
        <w:ind w:left="360" w:hanging="360"/>
        <w:jc w:val="both"/>
      </w:pPr>
      <w:r>
        <w:rPr>
          <w:rFonts w:ascii="Cambria" w:hAnsi="Cambria"/>
          <w:b/>
          <w:color w:val="1D4E5F"/>
          <w:sz w:val="22"/>
        </w:rPr>
        <w:t xml:space="preserve">9.3.2 </w:t>
      </w:r>
      <w:r>
        <w:rPr>
          <w:rFonts w:ascii="Cambria" w:hAnsi="Cambria"/>
          <w:color w:val="20262A"/>
          <w:sz w:val="22"/>
        </w:rPr>
        <w:t xml:space="preserve">At activation, the shares stand at one-sixth for Iran, one-half for Oman, and one-third for the Standing Share of the Center. The Accrual Ladder of Part III adjusts the Iranian and Omani shares toward the ceiling state of one-third, one-third, and one-third, while the Standing Share remains fixed at one-third throughout.</w:t>
      </w:r>
    </w:p>
    <w:p>
      <w:pPr>
        <w:pStyle w:val="Heading3"/>
        <w:keepNext/>
        <w:keepLines/>
      </w:pPr>
      <w:bookmarkStart w:id="162" w:name="_Toc262100062"/>
      <w:r>
        <w:rPr>
          <w:rFonts w:ascii="Calibri" w:hAnsi="Calibri"/>
          <w:b/>
          <w:color w:val="37666F"/>
          <w:sz w:val="24"/>
        </w:rPr>
        <w:t xml:space="preserve">9.4 Functions of the Corridor</w:t>
      </w:r>
      <w:bookmarkEnd w:id="162"/>
    </w:p>
    <w:p>
      <w:pPr>
        <w:spacing w:after="110" w:line="340" w:lineRule="auto"/>
        <w:ind w:left="360" w:hanging="360"/>
        <w:jc w:val="both"/>
      </w:pPr>
      <w:r>
        <w:rPr>
          <w:rFonts w:ascii="Cambria" w:hAnsi="Cambria"/>
          <w:b/>
          <w:color w:val="1D4E5F"/>
          <w:sz w:val="22"/>
        </w:rPr>
        <w:t xml:space="preserve">9.4.1 </w:t>
      </w:r>
      <w:r>
        <w:rPr>
          <w:rFonts w:ascii="Cambria" w:hAnsi="Cambria"/>
          <w:color w:val="20262A"/>
          <w:sz w:val="22"/>
        </w:rPr>
        <w:t xml:space="preserve">The corridor carries emergency diversion traffic, mine-risk avoidance routing, search and rescue routing, and naval deconfliction transit. The corridor carries no routine commercial flow in Flow State Green.</w:t>
      </w:r>
    </w:p>
    <w:p>
      <w:pPr>
        <w:spacing w:after="110" w:line="340" w:lineRule="auto"/>
        <w:ind w:left="360" w:hanging="360"/>
        <w:jc w:val="both"/>
      </w:pPr>
      <w:r>
        <w:rPr>
          <w:rFonts w:ascii="Cambria" w:hAnsi="Cambria"/>
          <w:b/>
          <w:color w:val="1D4E5F"/>
          <w:sz w:val="22"/>
        </w:rPr>
        <w:t xml:space="preserve">9.4.2 </w:t>
      </w:r>
      <w:r>
        <w:rPr>
          <w:rFonts w:ascii="Cambria" w:hAnsi="Cambria"/>
          <w:color w:val="20262A"/>
          <w:sz w:val="22"/>
        </w:rPr>
        <w:t xml:space="preserve">In Flow State Blue, the corridor assumes diverted commercial traffic under the convoy windows of Article 14, and the Board coordinates the diversion through the watch floor.</w:t>
      </w:r>
    </w:p>
    <w:p>
      <w:pPr>
        <w:pStyle w:val="Heading3"/>
        <w:keepNext/>
        <w:keepLines/>
      </w:pPr>
      <w:bookmarkStart w:id="163" w:name="_Toc262100063"/>
      <w:r>
        <w:rPr>
          <w:rFonts w:ascii="Calibri" w:hAnsi="Calibri"/>
          <w:b/>
          <w:color w:val="37666F"/>
          <w:sz w:val="24"/>
        </w:rPr>
        <w:t xml:space="preserve">9.5 Services in the Central Buffer Corridor</w:t>
      </w:r>
      <w:bookmarkEnd w:id="163"/>
    </w:p>
    <w:p>
      <w:pPr>
        <w:spacing w:after="110" w:line="340" w:lineRule="auto"/>
        <w:ind w:left="360" w:hanging="360"/>
        <w:jc w:val="both"/>
      </w:pPr>
      <w:r>
        <w:rPr>
          <w:rFonts w:ascii="Cambria" w:hAnsi="Cambria"/>
          <w:b/>
          <w:color w:val="1D4E5F"/>
          <w:sz w:val="22"/>
        </w:rPr>
        <w:t xml:space="preserve">9.5.1 </w:t>
      </w:r>
      <w:r>
        <w:rPr>
          <w:rFonts w:ascii="Cambria" w:hAnsi="Cambria"/>
          <w:color w:val="20262A"/>
          <w:sz w:val="22"/>
        </w:rPr>
        <w:t xml:space="preserve">The Board delivers the buffer data package, emergency diversion support, mine-risk escort windows, and search and rescue coordination, with each share-holder contributing assets in proportion to its share and the Fund reimbursing at catalog rates.</w:t>
      </w:r>
    </w:p>
    <w:p>
      <w:pPr>
        <w:pStyle w:val="Heading3"/>
        <w:keepNext/>
        <w:keepLines/>
      </w:pPr>
      <w:bookmarkStart w:id="164" w:name="_Toc262100064"/>
      <w:r>
        <w:rPr>
          <w:rFonts w:ascii="Calibri" w:hAnsi="Calibri"/>
          <w:b/>
          <w:color w:val="37666F"/>
          <w:sz w:val="24"/>
        </w:rPr>
        <w:t xml:space="preserve">9.6 Lane Discipline and the Phased Governance Review</w:t>
      </w:r>
      <w:bookmarkEnd w:id="164"/>
    </w:p>
    <w:p>
      <w:pPr>
        <w:spacing w:after="110" w:line="340" w:lineRule="auto"/>
        <w:ind w:left="360" w:hanging="360"/>
        <w:jc w:val="both"/>
      </w:pPr>
      <w:r>
        <w:rPr>
          <w:rFonts w:ascii="Cambria" w:hAnsi="Cambria"/>
          <w:b/>
          <w:color w:val="1D4E5F"/>
          <w:sz w:val="22"/>
        </w:rPr>
        <w:t xml:space="preserve">9.6.1 </w:t>
      </w:r>
      <w:r>
        <w:rPr>
          <w:rFonts w:ascii="Cambria" w:hAnsi="Cambria"/>
          <w:color w:val="20262A"/>
          <w:sz w:val="22"/>
        </w:rPr>
        <w:t xml:space="preserve">Vessels in the corridor observe the diversion routing, the speed bands, and the reporting points of Annex A and Annex J. The Board reviews corridor governance at every Council session, and the review feeds the Accrual Ladder of Part III.</w:t>
      </w:r>
    </w:p>
    <w:p>
      <w:pPr>
        <w:pStyle w:val="Heading2"/>
        <w:keepNext/>
        <w:keepLines/>
      </w:pPr>
      <w:bookmarkStart w:id="165" w:name="_Toc262100065"/>
      <w:r>
        <w:rPr>
          <w:rFonts w:ascii="Calibri" w:hAnsi="Calibri"/>
          <w:b/>
          <w:color w:val="1D4E5F"/>
          <w:sz w:val="27"/>
        </w:rPr>
        <w:t xml:space="preserve">Article 10: The One-Third Allocation Rule and the Stewardship Shares</w:t>
      </w:r>
      <w:bookmarkEnd w:id="165"/>
    </w:p>
    <w:p>
      <w:pPr>
        <w:pStyle w:val="Heading3"/>
        <w:keepNext/>
        <w:keepLines/>
      </w:pPr>
      <w:bookmarkStart w:id="166" w:name="_Toc262100066"/>
      <w:r>
        <w:rPr>
          <w:rFonts w:ascii="Calibri" w:hAnsi="Calibri"/>
          <w:b/>
          <w:color w:val="37666F"/>
          <w:sz w:val="24"/>
        </w:rPr>
        <w:t xml:space="preserve">10.1 The Rule</w:t>
      </w:r>
      <w:bookmarkEnd w:id="166"/>
    </w:p>
    <w:p>
      <w:pPr>
        <w:spacing w:after="110" w:line="340" w:lineRule="auto"/>
        <w:ind w:left="360" w:hanging="360"/>
        <w:jc w:val="both"/>
      </w:pPr>
      <w:r>
        <w:rPr>
          <w:rFonts w:ascii="Cambria" w:hAnsi="Cambria"/>
          <w:b/>
          <w:color w:val="1D4E5F"/>
          <w:sz w:val="22"/>
        </w:rPr>
        <w:t xml:space="preserve">10.1.1 </w:t>
      </w:r>
      <w:r>
        <w:rPr>
          <w:rFonts w:ascii="Cambria" w:hAnsi="Cambria"/>
          <w:color w:val="20262A"/>
          <w:sz w:val="22"/>
        </w:rPr>
        <w:t xml:space="preserve">At activation, the Islamic Republic of Iran holds primary functional administration of the Northern Coordination Corridor, the corridor closest to the Iranian coast. That corridor constitutes one of the three corridors of the system, and the allocation therefore seats Iran with one third of the corridor system from the first day of operation.</w:t>
      </w:r>
    </w:p>
    <w:p>
      <w:pPr>
        <w:spacing w:after="110" w:line="340" w:lineRule="auto"/>
        <w:ind w:left="360" w:hanging="360"/>
        <w:jc w:val="both"/>
      </w:pPr>
      <w:r>
        <w:rPr>
          <w:rFonts w:ascii="Cambria" w:hAnsi="Cambria"/>
          <w:b/>
          <w:color w:val="1D4E5F"/>
          <w:sz w:val="22"/>
        </w:rPr>
        <w:t xml:space="preserve">10.1.2 </w:t>
      </w:r>
      <w:r>
        <w:rPr>
          <w:rFonts w:ascii="Cambria" w:hAnsi="Cambria"/>
          <w:color w:val="20262A"/>
          <w:sz w:val="22"/>
        </w:rPr>
        <w:t xml:space="preserve">At activation, the Islamic Republic of Iran also holds a one-sixth Stewardship Share of the Central Buffer Corridor, the second corridor nearest the Iranian coast. The Accrual Ladder of Part III raises that share in gates to the permanent ceiling of one-third, at which point Iran holds one full corridor plus one third of the second corridor, the end state this Compact fixes in advance and delivers by evidence.</w:t>
      </w:r>
    </w:p>
    <w:tbl>
      <w:tblPr>
        <w:tblW w:w="5000" w:type="pct"/>
        <w:tblBorders>
          <w:top w:val="single" w:color="9C7A2E" w:sz="8"/>
          <w:left w:val="single" w:color="9C7A2E" w:sz="8"/>
          <w:bottom w:val="single" w:color="9C7A2E" w:sz="8"/>
          <w:right w:val="single" w:color="9C7A2E" w:sz="8"/>
          <w:insideH w:val="nil"/>
          <w:insideV w:val="nil"/>
        </w:tblBorders>
      </w:tblPr>
      <w:tblGrid>
        <w:gridCol w:w="10000"/>
      </w:tblGrid>
      <w:tr>
        <w:tc>
          <w:tcPr>
            <w:tcW w:w="10000" w:type="dxa"/>
            <w:shd w:val="clear" w:fill="F5F1E6"/>
            <w:tcMar>
              <w:top w:w="120" w:type="dxa"/>
              <w:left w:w="160" w:type="dxa"/>
              <w:bottom w:w="120" w:type="dxa"/>
              <w:right w:w="160" w:type="dxa"/>
            </w:tcMar>
          </w:tcPr>
          <w:p>
            <w:pPr>
              <w:spacing w:before="60" w:after="60" w:line="320" w:lineRule="auto"/>
              <w:jc w:val="both"/>
            </w:pPr>
            <w:r>
              <w:rPr>
                <w:rFonts w:ascii="Cambria" w:hAnsi="Cambria"/>
                <w:i/>
                <w:color w:val="26343A"/>
                <w:sz w:val="21"/>
              </w:rPr>
              <w:t xml:space="preserve">The allocation in one sentence: Iran begins with the corridor nearest its coast, one third of the system, plus one sixth of the buffer; verified conduct raises the buffer share in five gates to one third, the permanent ceiling, giving Iran one lane plus one third of the second lane, earned, banked, and irreversible.</w:t>
            </w:r>
          </w:p>
        </w:tc>
      </w:tr>
    </w:tbl>
    <w:p>
      <w:pPr>
        <w:spacing w:after="100"/>
      </w:pPr>
    </w:p>
    <w:p>
      <w:pPr>
        <w:pStyle w:val="Heading3"/>
        <w:keepNext/>
        <w:keepLines/>
      </w:pPr>
      <w:bookmarkStart w:id="167" w:name="_Toc262100067"/>
      <w:r>
        <w:rPr>
          <w:rFonts w:ascii="Calibri" w:hAnsi="Calibri"/>
          <w:b/>
          <w:color w:val="37666F"/>
          <w:sz w:val="24"/>
        </w:rPr>
        <w:t xml:space="preserve">10.2 The Three Dimensions of a Share</w:t>
      </w:r>
      <w:bookmarkEnd w:id="167"/>
    </w:p>
    <w:p>
      <w:pPr>
        <w:spacing w:after="110" w:line="340" w:lineRule="auto"/>
        <w:ind w:left="360" w:hanging="360"/>
        <w:jc w:val="both"/>
      </w:pPr>
      <w:r>
        <w:rPr>
          <w:rFonts w:ascii="Cambria" w:hAnsi="Cambria"/>
          <w:b/>
          <w:color w:val="1D4E5F"/>
          <w:sz w:val="22"/>
        </w:rPr>
        <w:t xml:space="preserve">10.2.1 </w:t>
      </w:r>
      <w:r>
        <w:rPr>
          <w:rFonts w:ascii="Cambria" w:hAnsi="Cambria"/>
          <w:color w:val="20262A"/>
          <w:sz w:val="22"/>
        </w:rPr>
        <w:t xml:space="preserve">A Stewardship Share carries identical weight in three dimensions: management authority, measured as the share of routine administration and asset contribution in the corridor; revenue apportionment, measured as the share of corridor service receipts after the Fund top-slice of Article 29; and concurrence weight, measured as the share of weighted votes on the Buffer Corridor Management Board.</w:t>
      </w:r>
    </w:p>
    <w:p>
      <w:pPr>
        <w:spacing w:after="110" w:line="340" w:lineRule="auto"/>
        <w:ind w:left="360" w:hanging="360"/>
        <w:jc w:val="both"/>
      </w:pPr>
      <w:r>
        <w:rPr>
          <w:rFonts w:ascii="Cambria" w:hAnsi="Cambria"/>
          <w:b/>
          <w:color w:val="1D4E5F"/>
          <w:sz w:val="22"/>
        </w:rPr>
        <w:t xml:space="preserve">10.2.2 </w:t>
      </w:r>
      <w:r>
        <w:rPr>
          <w:rFonts w:ascii="Cambria" w:hAnsi="Cambria"/>
          <w:color w:val="20262A"/>
          <w:sz w:val="22"/>
        </w:rPr>
        <w:t xml:space="preserve">The three dimensions move together. Every accrual adjusts all three simultaneously, and every step-back adjusts all three simultaneously. The architecture excludes any split of a share into partial dimensions.</w:t>
      </w:r>
    </w:p>
    <w:p>
      <w:pPr>
        <w:pStyle w:val="Heading3"/>
        <w:keepNext/>
        <w:keepLines/>
      </w:pPr>
      <w:bookmarkStart w:id="168" w:name="_Toc262100068"/>
      <w:r>
        <w:rPr>
          <w:rFonts w:ascii="Calibri" w:hAnsi="Calibri"/>
          <w:b/>
          <w:color w:val="37666F"/>
          <w:sz w:val="24"/>
        </w:rPr>
        <w:t xml:space="preserve">10.3 The Share Schedule</w:t>
      </w:r>
      <w:bookmarkEnd w:id="168"/>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400"/>
        <w:gridCol w:w="1800"/>
        <w:gridCol w:w="1800"/>
        <w:gridCol w:w="3000"/>
      </w:tblGrid>
      <w:tr>
        <w:trPr>
          <w:tblHeader/>
        </w:trPr>
        <w:tc>
          <w:tcPr>
            <w:tcW w:w="3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State</w:t>
            </w:r>
          </w:p>
        </w:tc>
        <w:tc>
          <w:tcPr>
            <w:tcW w:w="1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Iran share</w:t>
            </w:r>
          </w:p>
        </w:tc>
        <w:tc>
          <w:tcPr>
            <w:tcW w:w="1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Oman share</w:t>
            </w:r>
          </w:p>
        </w:tc>
        <w:tc>
          <w:tcPr>
            <w:tcW w:w="3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Standing Share of the Center</w:t>
            </w:r>
          </w:p>
        </w:tc>
      </w:tr>
      <w:tr>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Activation baseline</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1/6</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1/2</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1/3</w:t>
            </w:r>
          </w:p>
        </w:tc>
      </w:tr>
      <w:tr>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Gate One accrued</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1/5</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7/15</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1/3</w:t>
            </w:r>
          </w:p>
        </w:tc>
      </w:tr>
      <w:tr>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Gate Two accrued</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1/4</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5/12</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1/3</w:t>
            </w:r>
          </w:p>
        </w:tc>
      </w:tr>
      <w:tr>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Gate Three accrued</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3/10</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11/30</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1/3</w:t>
            </w:r>
          </w:p>
        </w:tc>
      </w:tr>
      <w:tr>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Gate Four accrued (ceiling)</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1/3</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1/3</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1/3</w:t>
            </w:r>
          </w:p>
        </w:tc>
      </w:tr>
    </w:tbl>
    <w:p>
      <w:pPr>
        <w:spacing w:after="100"/>
      </w:pPr>
    </w:p>
    <w:p>
      <w:pPr>
        <w:spacing w:after="110" w:line="340" w:lineRule="auto"/>
        <w:ind w:left="360" w:hanging="360"/>
        <w:jc w:val="both"/>
      </w:pPr>
      <w:r>
        <w:rPr>
          <w:rFonts w:ascii="Cambria" w:hAnsi="Cambria"/>
          <w:b/>
          <w:color w:val="1D4E5F"/>
          <w:sz w:val="22"/>
        </w:rPr>
        <w:t xml:space="preserve">10.3.1 </w:t>
      </w:r>
      <w:r>
        <w:rPr>
          <w:rFonts w:ascii="Cambria" w:hAnsi="Cambria"/>
          <w:color w:val="20262A"/>
          <w:sz w:val="22"/>
        </w:rPr>
        <w:t xml:space="preserve">The ceiling state seats the three share-holders in exact equality. The Compact treats that equality as the stable end state of the buffer, achieved by evidence over time, and then held permanently.</w:t>
      </w:r>
    </w:p>
    <w:p>
      <w:pPr>
        <w:pStyle w:val="Heading3"/>
        <w:keepNext/>
        <w:keepLines/>
      </w:pPr>
      <w:bookmarkStart w:id="169" w:name="_Toc262100069"/>
      <w:r>
        <w:rPr>
          <w:rFonts w:ascii="Calibri" w:hAnsi="Calibri"/>
          <w:b/>
          <w:color w:val="37666F"/>
          <w:sz w:val="24"/>
        </w:rPr>
        <w:t xml:space="preserve">10.4 What a Share Does Not Carry</w:t>
      </w:r>
      <w:bookmarkEnd w:id="169"/>
    </w:p>
    <w:p>
      <w:pPr>
        <w:spacing w:after="110" w:line="340" w:lineRule="auto"/>
        <w:ind w:left="360" w:hanging="360"/>
        <w:jc w:val="both"/>
      </w:pPr>
      <w:r>
        <w:rPr>
          <w:rFonts w:ascii="Cambria" w:hAnsi="Cambria"/>
          <w:b/>
          <w:color w:val="1D4E5F"/>
          <w:sz w:val="22"/>
        </w:rPr>
        <w:t xml:space="preserve">10.4.1 </w:t>
      </w:r>
      <w:r>
        <w:rPr>
          <w:rFonts w:ascii="Cambria" w:hAnsi="Cambria"/>
          <w:color w:val="20262A"/>
          <w:sz w:val="22"/>
        </w:rPr>
        <w:t xml:space="preserve">A share carries no territorial title, no sovereignty marker, no boundary implication, and no power over the other corridors. A share carries no power of refusal over any vessel. IPR-6 and the no-prejudice rule of Article 2.4 apply to every share at every gate.</w:t>
      </w:r>
    </w:p>
    <w:p>
      <w:pPr>
        <w:pStyle w:val="Heading3"/>
        <w:keepNext/>
        <w:keepLines/>
      </w:pPr>
      <w:bookmarkStart w:id="170" w:name="_Toc262100070"/>
      <w:r>
        <w:rPr>
          <w:rFonts w:ascii="Calibri" w:hAnsi="Calibri"/>
          <w:b/>
          <w:color w:val="37666F"/>
          <w:sz w:val="24"/>
        </w:rPr>
        <w:t xml:space="preserve">10.5 Symmetry of Opportunity</w:t>
      </w:r>
      <w:bookmarkEnd w:id="170"/>
    </w:p>
    <w:p>
      <w:pPr>
        <w:spacing w:after="110" w:line="340" w:lineRule="auto"/>
        <w:ind w:left="360" w:hanging="360"/>
        <w:jc w:val="both"/>
      </w:pPr>
      <w:r>
        <w:rPr>
          <w:rFonts w:ascii="Cambria" w:hAnsi="Cambria"/>
          <w:b/>
          <w:color w:val="1D4E5F"/>
          <w:sz w:val="22"/>
        </w:rPr>
        <w:t xml:space="preserve">10.5.1 </w:t>
      </w:r>
      <w:r>
        <w:rPr>
          <w:rFonts w:ascii="Cambria" w:hAnsi="Cambria"/>
          <w:color w:val="20262A"/>
          <w:sz w:val="22"/>
        </w:rPr>
        <w:t xml:space="preserve">The ladder of Part III stands open to every share-holder on identical terms. The Sultanate of Oman accrues recognition through the Stewardship Dividend of Article 19 for its own verified performance, and the Standing Share funds its operations from its fixed apportionment. The architecture grants no party a monopoly on advancement.</w:t>
      </w:r>
    </w:p>
    <w:p>
      <w:pPr>
        <w:pStyle w:val="Heading2"/>
        <w:keepNext/>
        <w:keepLines/>
      </w:pPr>
      <w:bookmarkStart w:id="171" w:name="_Toc262100071"/>
      <w:r>
        <w:rPr>
          <w:rFonts w:ascii="Calibri" w:hAnsi="Calibri"/>
          <w:b/>
          <w:color w:val="1D4E5F"/>
          <w:sz w:val="27"/>
        </w:rPr>
        <w:t xml:space="preserve">Article 11: Geometry, Coordinates, and Separation</w:t>
      </w:r>
      <w:bookmarkEnd w:id="171"/>
    </w:p>
    <w:p>
      <w:pPr>
        <w:pStyle w:val="Heading3"/>
        <w:keepNext/>
        <w:keepLines/>
      </w:pPr>
      <w:bookmarkStart w:id="172" w:name="_Toc262100072"/>
      <w:r>
        <w:rPr>
          <w:rFonts w:ascii="Calibri" w:hAnsi="Calibri"/>
          <w:b/>
          <w:color w:val="37666F"/>
          <w:sz w:val="24"/>
        </w:rPr>
        <w:t xml:space="preserve">11.1 Geodetic Reference</w:t>
      </w:r>
      <w:bookmarkEnd w:id="172"/>
    </w:p>
    <w:p>
      <w:pPr>
        <w:spacing w:after="110" w:line="340" w:lineRule="auto"/>
        <w:ind w:left="360" w:hanging="360"/>
        <w:jc w:val="both"/>
      </w:pPr>
      <w:r>
        <w:rPr>
          <w:rFonts w:ascii="Cambria" w:hAnsi="Cambria"/>
          <w:b/>
          <w:color w:val="1D4E5F"/>
          <w:sz w:val="22"/>
        </w:rPr>
        <w:t xml:space="preserve">11.1.1 </w:t>
      </w:r>
      <w:r>
        <w:rPr>
          <w:rFonts w:ascii="Cambria" w:hAnsi="Cambria"/>
          <w:color w:val="20262A"/>
          <w:sz w:val="22"/>
        </w:rPr>
        <w:t xml:space="preserve">All coordinates in this Compact reference the World Geodetic System 1984. Annex A states every boundary, centerline, belt, zone, anchorage, and reporting point in degrees, minutes, and decimal minutes.</w:t>
      </w:r>
    </w:p>
    <w:p>
      <w:pPr>
        <w:pStyle w:val="Heading3"/>
        <w:keepNext/>
        <w:keepLines/>
      </w:pPr>
      <w:bookmarkStart w:id="173" w:name="_Toc262100073"/>
      <w:r>
        <w:rPr>
          <w:rFonts w:ascii="Calibri" w:hAnsi="Calibri"/>
          <w:b/>
          <w:color w:val="37666F"/>
          <w:sz w:val="24"/>
        </w:rPr>
        <w:t xml:space="preserve">11.2 Publication Sequence</w:t>
      </w:r>
      <w:bookmarkEnd w:id="173"/>
    </w:p>
    <w:p>
      <w:pPr>
        <w:spacing w:after="110" w:line="340" w:lineRule="auto"/>
        <w:ind w:left="360" w:hanging="360"/>
        <w:jc w:val="both"/>
      </w:pPr>
      <w:r>
        <w:rPr>
          <w:rFonts w:ascii="Cambria" w:hAnsi="Cambria"/>
          <w:b/>
          <w:color w:val="1D4E5F"/>
          <w:sz w:val="22"/>
        </w:rPr>
        <w:t xml:space="preserve">11.2.1 </w:t>
      </w:r>
      <w:r>
        <w:rPr>
          <w:rFonts w:ascii="Cambria" w:hAnsi="Cambria"/>
          <w:color w:val="20262A"/>
          <w:sz w:val="22"/>
        </w:rPr>
        <w:t xml:space="preserve">The Center publishes provisional corridor guidance at Phase One, simplified routing lines and reporting points suitable for immediate use. The Council registers the final coordinate set with the International Maritime Organization at Phase Five, and the Center publishes the final set in the Open Water Bulletin on the day of registration.</w:t>
      </w:r>
    </w:p>
    <w:p>
      <w:pPr>
        <w:pStyle w:val="Heading3"/>
        <w:keepNext/>
        <w:keepLines/>
      </w:pPr>
      <w:bookmarkStart w:id="174" w:name="_Toc262100074"/>
      <w:r>
        <w:rPr>
          <w:rFonts w:ascii="Calibri" w:hAnsi="Calibri"/>
          <w:b/>
          <w:color w:val="37666F"/>
          <w:sz w:val="24"/>
        </w:rPr>
        <w:t xml:space="preserve">11.3 The Precautionary Zones</w:t>
      </w:r>
      <w:bookmarkEnd w:id="174"/>
    </w:p>
    <w:p>
      <w:pPr>
        <w:spacing w:after="110" w:line="340" w:lineRule="auto"/>
        <w:ind w:left="360" w:hanging="360"/>
        <w:jc w:val="both"/>
      </w:pPr>
      <w:r>
        <w:rPr>
          <w:rFonts w:ascii="Cambria" w:hAnsi="Cambria"/>
          <w:b/>
          <w:color w:val="1D4E5F"/>
          <w:sz w:val="22"/>
        </w:rPr>
        <w:t xml:space="preserve">11.3.1 </w:t>
      </w:r>
      <w:r>
        <w:rPr>
          <w:rFonts w:ascii="Cambria" w:hAnsi="Cambria"/>
          <w:color w:val="20262A"/>
          <w:sz w:val="22"/>
        </w:rPr>
        <w:t xml:space="preserve">The Eastern Precautionary Zone and the Western Precautionary Zone, as Annex A, Section A.5 defines, frame the approaches to the corridor system. Vessels navigate the zones with heightened caution, report on entry, and observe the approach speed bands.</w:t>
      </w:r>
    </w:p>
    <w:p>
      <w:pPr>
        <w:pStyle w:val="Heading3"/>
        <w:keepNext/>
        <w:keepLines/>
      </w:pPr>
      <w:bookmarkStart w:id="175" w:name="_Toc262100075"/>
      <w:r>
        <w:rPr>
          <w:rFonts w:ascii="Calibri" w:hAnsi="Calibri"/>
          <w:b/>
          <w:color w:val="37666F"/>
          <w:sz w:val="24"/>
        </w:rPr>
        <w:t xml:space="preserve">11.4 Holding Anchorages and Rendezvous Points</w:t>
      </w:r>
      <w:bookmarkEnd w:id="175"/>
    </w:p>
    <w:p>
      <w:pPr>
        <w:spacing w:after="110" w:line="340" w:lineRule="auto"/>
        <w:ind w:left="360" w:hanging="360"/>
        <w:jc w:val="both"/>
      </w:pPr>
      <w:r>
        <w:rPr>
          <w:rFonts w:ascii="Cambria" w:hAnsi="Cambria"/>
          <w:b/>
          <w:color w:val="1D4E5F"/>
          <w:sz w:val="22"/>
        </w:rPr>
        <w:t xml:space="preserve">11.4.1 </w:t>
      </w:r>
      <w:r>
        <w:rPr>
          <w:rFonts w:ascii="Cambria" w:hAnsi="Cambria"/>
          <w:color w:val="20262A"/>
          <w:sz w:val="22"/>
        </w:rPr>
        <w:t xml:space="preserve">Annex A, Section A.6 designates four holding anchorages, two western and two eastern, for vessels awaiting convoy windows, diversion clearance, or service delivery. Section A.8 designates the rendezvous points for escort windows and search and rescue marshalling.</w:t>
      </w:r>
    </w:p>
    <w:p>
      <w:pPr>
        <w:pStyle w:val="Heading3"/>
        <w:keepNext/>
        <w:keepLines/>
      </w:pPr>
      <w:bookmarkStart w:id="176" w:name="_Toc262100076"/>
      <w:r>
        <w:rPr>
          <w:rFonts w:ascii="Calibri" w:hAnsi="Calibri"/>
          <w:b/>
          <w:color w:val="37666F"/>
          <w:sz w:val="24"/>
        </w:rPr>
        <w:t xml:space="preserve">11.5 The Inshore Local Craft Bands</w:t>
      </w:r>
      <w:bookmarkEnd w:id="176"/>
    </w:p>
    <w:p>
      <w:pPr>
        <w:spacing w:after="110" w:line="340" w:lineRule="auto"/>
        <w:ind w:left="360" w:hanging="360"/>
        <w:jc w:val="both"/>
      </w:pPr>
      <w:r>
        <w:rPr>
          <w:rFonts w:ascii="Cambria" w:hAnsi="Cambria"/>
          <w:b/>
          <w:color w:val="1D4E5F"/>
          <w:sz w:val="22"/>
        </w:rPr>
        <w:t xml:space="preserve">11.5.1 </w:t>
      </w:r>
      <w:r>
        <w:rPr>
          <w:rFonts w:ascii="Cambria" w:hAnsi="Cambria"/>
          <w:color w:val="20262A"/>
          <w:sz w:val="22"/>
        </w:rPr>
        <w:t xml:space="preserve">The Inshore Local Craft Bands, as Annex A, Section A.9 defines, reserve the inshore waters for Class F local craft. The architecture excludes commercial transit traffic from the bands, and the bands carry their own reporting regime under Annex J.</w:t>
      </w:r>
    </w:p>
    <w:p>
      <w:pPr>
        <w:pStyle w:val="Heading3"/>
        <w:keepNext/>
        <w:keepLines/>
      </w:pPr>
      <w:bookmarkStart w:id="177" w:name="_Toc262100077"/>
      <w:r>
        <w:rPr>
          <w:rFonts w:ascii="Calibri" w:hAnsi="Calibri"/>
          <w:b/>
          <w:color w:val="37666F"/>
          <w:sz w:val="24"/>
        </w:rPr>
        <w:t xml:space="preserve">11.6 Survey and Charting</w:t>
      </w:r>
      <w:bookmarkEnd w:id="177"/>
    </w:p>
    <w:p>
      <w:pPr>
        <w:spacing w:after="110" w:line="340" w:lineRule="auto"/>
        <w:ind w:left="360" w:hanging="360"/>
        <w:jc w:val="both"/>
      </w:pPr>
      <w:r>
        <w:rPr>
          <w:rFonts w:ascii="Cambria" w:hAnsi="Cambria"/>
          <w:b/>
          <w:color w:val="1D4E5F"/>
          <w:sz w:val="22"/>
        </w:rPr>
        <w:t xml:space="preserve">11.6.1 </w:t>
      </w:r>
      <w:r>
        <w:rPr>
          <w:rFonts w:ascii="Cambria" w:hAnsi="Cambria"/>
          <w:color w:val="20262A"/>
          <w:sz w:val="22"/>
        </w:rPr>
        <w:t xml:space="preserve">The Center maintains the survey program for the corridor system, contracts hydrographic survey at documented cost through the Fund, and issues chart corrections through the Bulletin. Participant States route all charting changes that affect the Traffic Separation Scheme through the International Maritime Organization.</w:t>
      </w:r>
    </w:p>
    <w:p>
      <w:pPr>
        <w:pStyle w:val="Heading2"/>
        <w:keepNext/>
        <w:keepLines/>
      </w:pPr>
      <w:bookmarkStart w:id="178" w:name="_Toc262100078"/>
      <w:r>
        <w:rPr>
          <w:rFonts w:ascii="Calibri" w:hAnsi="Calibri"/>
          <w:b/>
          <w:color w:val="1D4E5F"/>
          <w:sz w:val="27"/>
        </w:rPr>
        <w:t xml:space="preserve">Article 12: Vessel Classification and Differentiated Treatment</w:t>
      </w:r>
      <w:bookmarkEnd w:id="178"/>
    </w:p>
    <w:p>
      <w:pPr>
        <w:pStyle w:val="Heading3"/>
        <w:keepNext/>
        <w:keepLines/>
      </w:pPr>
      <w:bookmarkStart w:id="179" w:name="_Toc262100079"/>
      <w:r>
        <w:rPr>
          <w:rFonts w:ascii="Calibri" w:hAnsi="Calibri"/>
          <w:b/>
          <w:color w:val="37666F"/>
          <w:sz w:val="24"/>
        </w:rPr>
        <w:t xml:space="preserve">12.1 Classification Method</w:t>
      </w:r>
      <w:bookmarkEnd w:id="179"/>
    </w:p>
    <w:p>
      <w:pPr>
        <w:spacing w:after="110" w:line="340" w:lineRule="auto"/>
        <w:ind w:left="360" w:hanging="360"/>
        <w:jc w:val="both"/>
      </w:pPr>
      <w:r>
        <w:rPr>
          <w:rFonts w:ascii="Cambria" w:hAnsi="Cambria"/>
          <w:b/>
          <w:color w:val="1D4E5F"/>
          <w:sz w:val="22"/>
        </w:rPr>
        <w:t xml:space="preserve">12.1.1 </w:t>
      </w:r>
      <w:r>
        <w:rPr>
          <w:rFonts w:ascii="Cambria" w:hAnsi="Cambria"/>
          <w:color w:val="20262A"/>
          <w:sz w:val="22"/>
        </w:rPr>
        <w:t xml:space="preserve">Every vessel in the Operating Area holds one of the nine classes of Annex B. The class follows from the vessel's type, cargo, and voyage purpose, and the registration process assigns the class automatically from the filing fields.</w:t>
      </w:r>
    </w:p>
    <w:p>
      <w:pPr>
        <w:pStyle w:val="Heading3"/>
        <w:keepNext/>
        <w:keepLines/>
      </w:pPr>
      <w:bookmarkStart w:id="180" w:name="_Toc262100080"/>
      <w:r>
        <w:rPr>
          <w:rFonts w:ascii="Calibri" w:hAnsi="Calibri"/>
          <w:b/>
          <w:color w:val="37666F"/>
          <w:sz w:val="24"/>
        </w:rPr>
        <w:t xml:space="preserve">12.2 The Nine Classes</w:t>
      </w:r>
      <w:bookmarkEnd w:id="180"/>
    </w:p>
    <w:p>
      <w:pPr>
        <w:spacing w:after="110" w:line="340" w:lineRule="auto"/>
        <w:ind w:left="360" w:hanging="360"/>
        <w:jc w:val="both"/>
      </w:pPr>
      <w:r>
        <w:rPr>
          <w:rFonts w:ascii="Cambria" w:hAnsi="Cambria"/>
          <w:b/>
          <w:color w:val="1D4E5F"/>
          <w:sz w:val="22"/>
        </w:rPr>
        <w:t xml:space="preserve">12.2.1 </w:t>
      </w:r>
      <w:r>
        <w:rPr>
          <w:rFonts w:ascii="Cambria" w:hAnsi="Cambria"/>
          <w:color w:val="20262A"/>
          <w:sz w:val="22"/>
        </w:rPr>
        <w:t xml:space="preserve">The classes run: Class A, laden very large crude carriers; Class B, liquefied gas carriers; Class C, product and chemical tankers; Class D, container vessels; Class E, bulk and general cargo vessels; Class F, local craft; Class G, government non-commercial vessels; Class H, humanitarian vessels; Class M, naval and auxiliary vessels in deconfliction transit. Annex B states the full definitions and the treatment matrix.</w:t>
      </w:r>
    </w:p>
    <w:p>
      <w:pPr>
        <w:pStyle w:val="Heading3"/>
        <w:keepNext/>
        <w:keepLines/>
      </w:pPr>
      <w:bookmarkStart w:id="181" w:name="_Toc262100081"/>
      <w:r>
        <w:rPr>
          <w:rFonts w:ascii="Calibri" w:hAnsi="Calibri"/>
          <w:b/>
          <w:color w:val="37666F"/>
          <w:sz w:val="24"/>
        </w:rPr>
        <w:t xml:space="preserve">12.3 Treatment Differentiators</w:t>
      </w:r>
      <w:bookmarkEnd w:id="181"/>
    </w:p>
    <w:p>
      <w:pPr>
        <w:spacing w:after="110" w:line="340" w:lineRule="auto"/>
        <w:ind w:left="360" w:hanging="360"/>
        <w:jc w:val="both"/>
      </w:pPr>
      <w:r>
        <w:rPr>
          <w:rFonts w:ascii="Cambria" w:hAnsi="Cambria"/>
          <w:b/>
          <w:color w:val="1D4E5F"/>
          <w:sz w:val="22"/>
        </w:rPr>
        <w:t xml:space="preserve">12.3.1 </w:t>
      </w:r>
      <w:r>
        <w:rPr>
          <w:rFonts w:ascii="Cambria" w:hAnsi="Cambria"/>
          <w:color w:val="20262A"/>
          <w:sz w:val="22"/>
        </w:rPr>
        <w:t xml:space="preserve">Treatment differs by class in corridor assignment, convoy window eligibility, reporting regime, service package, and data subscription band. No differentiator touches the right of passage itself, which every class holds unconditionally.</w:t>
      </w:r>
    </w:p>
    <w:p>
      <w:pPr>
        <w:pStyle w:val="Heading3"/>
        <w:keepNext/>
        <w:keepLines/>
      </w:pPr>
      <w:bookmarkStart w:id="182" w:name="_Toc262100082"/>
      <w:r>
        <w:rPr>
          <w:rFonts w:ascii="Calibri" w:hAnsi="Calibri"/>
          <w:b/>
          <w:color w:val="37666F"/>
          <w:sz w:val="24"/>
        </w:rPr>
        <w:t xml:space="preserve">12.4 Humanitarian Priority</w:t>
      </w:r>
      <w:bookmarkEnd w:id="182"/>
    </w:p>
    <w:p>
      <w:pPr>
        <w:spacing w:after="110" w:line="340" w:lineRule="auto"/>
        <w:ind w:left="360" w:hanging="360"/>
        <w:jc w:val="both"/>
      </w:pPr>
      <w:r>
        <w:rPr>
          <w:rFonts w:ascii="Cambria" w:hAnsi="Cambria"/>
          <w:b/>
          <w:color w:val="1D4E5F"/>
          <w:sz w:val="22"/>
        </w:rPr>
        <w:t xml:space="preserve">12.4.1 </w:t>
      </w:r>
      <w:r>
        <w:rPr>
          <w:rFonts w:ascii="Cambria" w:hAnsi="Cambria"/>
          <w:color w:val="20262A"/>
          <w:sz w:val="22"/>
        </w:rPr>
        <w:t xml:space="preserve">Class H vessels hold absolute priority under IPR-13: first position in every convoy window, immediate diversion clearance, and the fast-track filing form of Annex J. The Center waives every catalog charge for Class H transits and books the cost to the Fund's Humanitarian Line.</w:t>
      </w:r>
    </w:p>
    <w:p>
      <w:pPr>
        <w:pStyle w:val="Heading2"/>
        <w:keepNext/>
        <w:keepLines/>
      </w:pPr>
      <w:bookmarkStart w:id="183" w:name="_Toc262100083"/>
      <w:r>
        <w:rPr>
          <w:rFonts w:ascii="Calibri" w:hAnsi="Calibri"/>
          <w:b/>
          <w:color w:val="1D4E5F"/>
          <w:sz w:val="27"/>
        </w:rPr>
        <w:t xml:space="preserve">Article 13: Safe Passage Guarantees and the Non-Interdiction Protocol</w:t>
      </w:r>
      <w:bookmarkEnd w:id="183"/>
    </w:p>
    <w:p>
      <w:pPr>
        <w:pStyle w:val="Heading3"/>
        <w:keepNext/>
        <w:keepLines/>
      </w:pPr>
      <w:bookmarkStart w:id="184" w:name="_Toc262100084"/>
      <w:r>
        <w:rPr>
          <w:rFonts w:ascii="Calibri" w:hAnsi="Calibri"/>
          <w:b/>
          <w:color w:val="37666F"/>
          <w:sz w:val="24"/>
        </w:rPr>
        <w:t xml:space="preserve">13.1 The Guarantee</w:t>
      </w:r>
      <w:bookmarkEnd w:id="184"/>
    </w:p>
    <w:p>
      <w:pPr>
        <w:spacing w:after="110" w:line="340" w:lineRule="auto"/>
        <w:ind w:left="360" w:hanging="360"/>
        <w:jc w:val="both"/>
      </w:pPr>
      <w:r>
        <w:rPr>
          <w:rFonts w:ascii="Cambria" w:hAnsi="Cambria"/>
          <w:b/>
          <w:color w:val="1D4E5F"/>
          <w:sz w:val="22"/>
        </w:rPr>
        <w:t xml:space="preserve">13.1.1 </w:t>
      </w:r>
      <w:r>
        <w:rPr>
          <w:rFonts w:ascii="Cambria" w:hAnsi="Cambria"/>
          <w:color w:val="20262A"/>
          <w:sz w:val="22"/>
        </w:rPr>
        <w:t xml:space="preserve">The Compact guarantees safe, continuous, and expeditious transit through every corridor for every vessel that complies with the traffic rules of this Part. The guarantee binds every Participant State and every Compact Body.</w:t>
      </w:r>
    </w:p>
    <w:p>
      <w:pPr>
        <w:pStyle w:val="Heading3"/>
        <w:keepNext/>
        <w:keepLines/>
      </w:pPr>
      <w:bookmarkStart w:id="185" w:name="_Toc262100085"/>
      <w:r>
        <w:rPr>
          <w:rFonts w:ascii="Calibri" w:hAnsi="Calibri"/>
          <w:b/>
          <w:color w:val="37666F"/>
          <w:sz w:val="24"/>
        </w:rPr>
        <w:t xml:space="preserve">13.2 The Non-Interdiction Protocol</w:t>
      </w:r>
      <w:bookmarkEnd w:id="185"/>
    </w:p>
    <w:p>
      <w:pPr>
        <w:spacing w:after="110" w:line="340" w:lineRule="auto"/>
        <w:ind w:left="360" w:hanging="360"/>
        <w:jc w:val="both"/>
      </w:pPr>
      <w:r>
        <w:rPr>
          <w:rFonts w:ascii="Cambria" w:hAnsi="Cambria"/>
          <w:b/>
          <w:color w:val="1D4E5F"/>
          <w:sz w:val="22"/>
        </w:rPr>
        <w:t xml:space="preserve">13.2.1 </w:t>
      </w:r>
      <w:r>
        <w:rPr>
          <w:rFonts w:ascii="Cambria" w:hAnsi="Cambria"/>
          <w:color w:val="20262A"/>
          <w:sz w:val="22"/>
        </w:rPr>
        <w:t xml:space="preserve">Commercial transit operates under an absolute non-interdiction protocol within the framework. The architecture excludes boarding, detention, diversion, and delay of any commercial vessel inside the corridors, the separation belts, and the precautionary zones, by any actor, for any reason outside the Protected Hold Exception of Section 13.4.</w:t>
      </w:r>
    </w:p>
    <w:p>
      <w:pPr>
        <w:pStyle w:val="Heading3"/>
        <w:keepNext/>
        <w:keepLines/>
      </w:pPr>
      <w:bookmarkStart w:id="186" w:name="_Toc262100086"/>
      <w:r>
        <w:rPr>
          <w:rFonts w:ascii="Calibri" w:hAnsi="Calibri"/>
          <w:b/>
          <w:color w:val="37666F"/>
          <w:sz w:val="24"/>
        </w:rPr>
        <w:t xml:space="preserve">13.3 Excluded Measures</w:t>
      </w:r>
      <w:bookmarkEnd w:id="186"/>
    </w:p>
    <w:p>
      <w:pPr>
        <w:spacing w:after="110" w:line="340" w:lineRule="auto"/>
        <w:ind w:left="360" w:hanging="360"/>
        <w:jc w:val="both"/>
      </w:pPr>
      <w:r>
        <w:rPr>
          <w:rFonts w:ascii="Cambria" w:hAnsi="Cambria"/>
          <w:b/>
          <w:color w:val="1D4E5F"/>
          <w:sz w:val="22"/>
        </w:rPr>
        <w:t xml:space="preserve">13.3.1 </w:t>
      </w:r>
      <w:r>
        <w:rPr>
          <w:rFonts w:ascii="Cambria" w:hAnsi="Cambria"/>
          <w:color w:val="20262A"/>
          <w:sz w:val="22"/>
        </w:rPr>
        <w:t xml:space="preserve">The framework excludes, within the Operating Area: any boarding of a commercial vessel; any direction to heave to; any inspection regime applied afloat; any toll, fee, or charge as a condition of passage; any queue that functions as a permission; and any kinetic measure of any kind.</w:t>
      </w:r>
    </w:p>
    <w:p>
      <w:pPr>
        <w:pStyle w:val="Heading3"/>
        <w:keepNext/>
        <w:keepLines/>
      </w:pPr>
      <w:bookmarkStart w:id="187" w:name="_Toc262100087"/>
      <w:r>
        <w:rPr>
          <w:rFonts w:ascii="Calibri" w:hAnsi="Calibri"/>
          <w:b/>
          <w:color w:val="37666F"/>
          <w:sz w:val="24"/>
        </w:rPr>
        <w:t xml:space="preserve">13.4 The Protected Hold Exception</w:t>
      </w:r>
      <w:bookmarkEnd w:id="187"/>
    </w:p>
    <w:p>
      <w:pPr>
        <w:spacing w:after="110" w:line="340" w:lineRule="auto"/>
        <w:ind w:left="360" w:hanging="360"/>
        <w:jc w:val="both"/>
      </w:pPr>
      <w:r>
        <w:rPr>
          <w:rFonts w:ascii="Cambria" w:hAnsi="Cambria"/>
          <w:b/>
          <w:color w:val="1D4E5F"/>
          <w:sz w:val="22"/>
        </w:rPr>
        <w:t xml:space="preserve">13.4.1 </w:t>
      </w:r>
      <w:r>
        <w:rPr>
          <w:rFonts w:ascii="Cambria" w:hAnsi="Cambria"/>
          <w:color w:val="20262A"/>
          <w:sz w:val="22"/>
        </w:rPr>
        <w:t xml:space="preserve">A single exception operates: where a vessel presents an imminent threat of environmental catastrophe or an active distress situation, the watch floor directs the vessel to the nearest holding anchorage under a Protected Hold. A Protected Hold constitutes a Consequential Action under the Twin Key Rule, lasts no longer than seventy-two hours without Council confirmation, and generates a Class 2 incident report within one hour.</w:t>
      </w:r>
    </w:p>
    <w:p>
      <w:pPr>
        <w:pStyle w:val="Heading3"/>
        <w:keepNext/>
        <w:keepLines/>
      </w:pPr>
      <w:bookmarkStart w:id="188" w:name="_Toc262100088"/>
      <w:r>
        <w:rPr>
          <w:rFonts w:ascii="Calibri" w:hAnsi="Calibri"/>
          <w:b/>
          <w:color w:val="37666F"/>
          <w:sz w:val="24"/>
        </w:rPr>
        <w:t xml:space="preserve">13.5 Recourse</w:t>
      </w:r>
      <w:bookmarkEnd w:id="188"/>
    </w:p>
    <w:p>
      <w:pPr>
        <w:spacing w:after="110" w:line="340" w:lineRule="auto"/>
        <w:ind w:left="360" w:hanging="360"/>
        <w:jc w:val="both"/>
      </w:pPr>
      <w:r>
        <w:rPr>
          <w:rFonts w:ascii="Cambria" w:hAnsi="Cambria"/>
          <w:b/>
          <w:color w:val="1D4E5F"/>
          <w:sz w:val="22"/>
        </w:rPr>
        <w:t xml:space="preserve">13.5.1 </w:t>
      </w:r>
      <w:r>
        <w:rPr>
          <w:rFonts w:ascii="Cambria" w:hAnsi="Cambria"/>
          <w:color w:val="20262A"/>
          <w:sz w:val="22"/>
        </w:rPr>
        <w:t xml:space="preserve">A vessel that experiences any measure contrary to this Article reports to the Center through any channel. The report triggers the incident ladder of Article 36 automatically, and the compliance engine of Article 38 processes the event without prejudice to the vessel's continued transit.</w:t>
      </w:r>
    </w:p>
    <w:p>
      <w:pPr>
        <w:pStyle w:val="Heading3"/>
        <w:keepNext/>
        <w:keepLines/>
      </w:pPr>
      <w:bookmarkStart w:id="189" w:name="_Toc262100089"/>
      <w:r>
        <w:rPr>
          <w:rFonts w:ascii="Calibri" w:hAnsi="Calibri"/>
          <w:b/>
          <w:color w:val="37666F"/>
          <w:sz w:val="24"/>
        </w:rPr>
        <w:t xml:space="preserve">13.6 Mine Clearance and Hazard Removal</w:t>
      </w:r>
      <w:bookmarkEnd w:id="189"/>
    </w:p>
    <w:p>
      <w:pPr>
        <w:spacing w:after="110" w:line="340" w:lineRule="auto"/>
        <w:ind w:left="360" w:hanging="360"/>
        <w:jc w:val="both"/>
      </w:pPr>
      <w:r>
        <w:rPr>
          <w:rFonts w:ascii="Cambria" w:hAnsi="Cambria"/>
          <w:b/>
          <w:color w:val="1D4E5F"/>
          <w:sz w:val="22"/>
        </w:rPr>
        <w:t xml:space="preserve">13.6.1 </w:t>
      </w:r>
      <w:r>
        <w:rPr>
          <w:rFonts w:ascii="Cambria" w:hAnsi="Cambria"/>
          <w:color w:val="20262A"/>
          <w:sz w:val="22"/>
        </w:rPr>
        <w:t xml:space="preserve">Where a navigational hazard appears in any corridor, the Mine Risk Standing Cell of Article 33 coordinates survey and clearance, and the corridors reroute under Article 32 until the Cell certifies the affected water. Passage continues throughout; clearance never closes the system.</w:t>
      </w:r>
    </w:p>
    <w:p>
      <w:pPr>
        <w:pStyle w:val="Heading2"/>
        <w:keepNext/>
        <w:keepLines/>
      </w:pPr>
      <w:bookmarkStart w:id="190" w:name="_Toc262100090"/>
      <w:r>
        <w:rPr>
          <w:rFonts w:ascii="Calibri" w:hAnsi="Calibri"/>
          <w:b/>
          <w:color w:val="1D4E5F"/>
          <w:sz w:val="27"/>
        </w:rPr>
        <w:t xml:space="preserve">Article 14: Speed, Spacing, and Traffic Management</w:t>
      </w:r>
      <w:bookmarkEnd w:id="190"/>
    </w:p>
    <w:p>
      <w:pPr>
        <w:pStyle w:val="Heading3"/>
        <w:keepNext/>
        <w:keepLines/>
      </w:pPr>
      <w:bookmarkStart w:id="191" w:name="_Toc262100091"/>
      <w:r>
        <w:rPr>
          <w:rFonts w:ascii="Calibri" w:hAnsi="Calibri"/>
          <w:b/>
          <w:color w:val="37666F"/>
          <w:sz w:val="24"/>
        </w:rPr>
        <w:t xml:space="preserve">14.1 Speed Bands</w:t>
      </w:r>
      <w:bookmarkEnd w:id="191"/>
    </w:p>
    <w:p>
      <w:pPr>
        <w:spacing w:after="110" w:line="340" w:lineRule="auto"/>
        <w:ind w:left="360" w:hanging="360"/>
        <w:jc w:val="both"/>
      </w:pPr>
      <w:r>
        <w:rPr>
          <w:rFonts w:ascii="Cambria" w:hAnsi="Cambria"/>
          <w:b/>
          <w:color w:val="1D4E5F"/>
          <w:sz w:val="22"/>
        </w:rPr>
        <w:t xml:space="preserve">14.1.1 </w:t>
      </w:r>
      <w:r>
        <w:rPr>
          <w:rFonts w:ascii="Cambria" w:hAnsi="Cambria"/>
          <w:color w:val="20262A"/>
          <w:sz w:val="22"/>
        </w:rPr>
        <w:t xml:space="preserve">In Flow State Green, vessels observe a speed band of ten to fourteen knots in the corridors and eight to twelve knots in the precautionary zones. In Flow State Amber, the band narrows to eight to ten knots. In Flow State Blue, the convoy window commander sets the convoy speed between six and ten knots.</w:t>
      </w:r>
    </w:p>
    <w:p>
      <w:pPr>
        <w:pStyle w:val="Heading3"/>
        <w:keepNext/>
        <w:keepLines/>
      </w:pPr>
      <w:bookmarkStart w:id="192" w:name="_Toc262100092"/>
      <w:r>
        <w:rPr>
          <w:rFonts w:ascii="Calibri" w:hAnsi="Calibri"/>
          <w:b/>
          <w:color w:val="37666F"/>
          <w:sz w:val="24"/>
        </w:rPr>
        <w:t xml:space="preserve">14.2 Spacing and Convoy Windows</w:t>
      </w:r>
      <w:bookmarkEnd w:id="192"/>
    </w:p>
    <w:p>
      <w:pPr>
        <w:spacing w:after="110" w:line="340" w:lineRule="auto"/>
        <w:ind w:left="360" w:hanging="360"/>
        <w:jc w:val="both"/>
      </w:pPr>
      <w:r>
        <w:rPr>
          <w:rFonts w:ascii="Cambria" w:hAnsi="Cambria"/>
          <w:b/>
          <w:color w:val="1D4E5F"/>
          <w:sz w:val="22"/>
        </w:rPr>
        <w:t xml:space="preserve">14.2.1 </w:t>
      </w:r>
      <w:r>
        <w:rPr>
          <w:rFonts w:ascii="Cambria" w:hAnsi="Cambria"/>
          <w:color w:val="20262A"/>
          <w:sz w:val="22"/>
        </w:rPr>
        <w:t xml:space="preserve">Standard spacing holds at two nautical miles between vessels in the same lane. Convoy windows, published in the Bulletin, group Class A and Class B vessels in sets of not more than six, at three-nautical-mile spacing, with escort where Annex D lists it.</w:t>
      </w:r>
    </w:p>
    <w:p>
      <w:pPr>
        <w:pStyle w:val="Heading3"/>
        <w:keepNext/>
        <w:keepLines/>
      </w:pPr>
      <w:bookmarkStart w:id="193" w:name="_Toc262100093"/>
      <w:r>
        <w:rPr>
          <w:rFonts w:ascii="Calibri" w:hAnsi="Calibri"/>
          <w:b/>
          <w:color w:val="37666F"/>
          <w:sz w:val="24"/>
        </w:rPr>
        <w:t xml:space="preserve">14.3 Reporting Points</w:t>
      </w:r>
      <w:bookmarkEnd w:id="193"/>
    </w:p>
    <w:p>
      <w:pPr>
        <w:spacing w:after="110" w:line="340" w:lineRule="auto"/>
        <w:ind w:left="360" w:hanging="360"/>
        <w:jc w:val="both"/>
      </w:pPr>
      <w:r>
        <w:rPr>
          <w:rFonts w:ascii="Cambria" w:hAnsi="Cambria"/>
          <w:b/>
          <w:color w:val="1D4E5F"/>
          <w:sz w:val="22"/>
        </w:rPr>
        <w:t xml:space="preserve">14.3.1 </w:t>
      </w:r>
      <w:r>
        <w:rPr>
          <w:rFonts w:ascii="Cambria" w:hAnsi="Cambria"/>
          <w:color w:val="20262A"/>
          <w:sz w:val="22"/>
        </w:rPr>
        <w:t xml:space="preserve">Annex A, Section A.7 designates the voice reporting points for each corridor. A vessel reports at every point on the working channel, stating name, code, position, speed, and next point. The watch floor acknowledges every report within three minutes.</w:t>
      </w:r>
    </w:p>
    <w:p>
      <w:pPr>
        <w:pStyle w:val="Heading3"/>
        <w:keepNext/>
        <w:keepLines/>
      </w:pPr>
      <w:bookmarkStart w:id="194" w:name="_Toc262100094"/>
      <w:r>
        <w:rPr>
          <w:rFonts w:ascii="Calibri" w:hAnsi="Calibri"/>
          <w:b/>
          <w:color w:val="37666F"/>
          <w:sz w:val="24"/>
        </w:rPr>
        <w:t xml:space="preserve">14.4 Crossing and Meeting Rules</w:t>
      </w:r>
      <w:bookmarkEnd w:id="194"/>
    </w:p>
    <w:p>
      <w:pPr>
        <w:spacing w:after="110" w:line="340" w:lineRule="auto"/>
        <w:ind w:left="360" w:hanging="360"/>
        <w:jc w:val="both"/>
      </w:pPr>
      <w:r>
        <w:rPr>
          <w:rFonts w:ascii="Cambria" w:hAnsi="Cambria"/>
          <w:b/>
          <w:color w:val="1D4E5F"/>
          <w:sz w:val="22"/>
        </w:rPr>
        <w:t xml:space="preserve">14.4.1 </w:t>
      </w:r>
      <w:r>
        <w:rPr>
          <w:rFonts w:ascii="Cambria" w:hAnsi="Cambria"/>
          <w:color w:val="20262A"/>
          <w:sz w:val="22"/>
        </w:rPr>
        <w:t xml:space="preserve">Crossing traffic uses the designated crossing sectors of Annex A, Section A.7, at right angles to the flow, at the crossing speed band of six to eight knots, with prior notice on the working channel. Class F craft cross only at the Class F gates.</w:t>
      </w:r>
    </w:p>
    <w:p>
      <w:pPr>
        <w:pStyle w:val="Heading3"/>
        <w:keepNext/>
        <w:keepLines/>
      </w:pPr>
      <w:bookmarkStart w:id="195" w:name="_Toc262100095"/>
      <w:r>
        <w:rPr>
          <w:rFonts w:ascii="Calibri" w:hAnsi="Calibri"/>
          <w:b/>
          <w:color w:val="37666F"/>
          <w:sz w:val="24"/>
        </w:rPr>
        <w:t xml:space="preserve">14.5 Night and Low-Visibility Rules</w:t>
      </w:r>
      <w:bookmarkEnd w:id="195"/>
    </w:p>
    <w:p>
      <w:pPr>
        <w:spacing w:after="110" w:line="340" w:lineRule="auto"/>
        <w:ind w:left="360" w:hanging="360"/>
        <w:jc w:val="both"/>
      </w:pPr>
      <w:r>
        <w:rPr>
          <w:rFonts w:ascii="Cambria" w:hAnsi="Cambria"/>
          <w:b/>
          <w:color w:val="1D4E5F"/>
          <w:sz w:val="22"/>
        </w:rPr>
        <w:t xml:space="preserve">14.5.1 </w:t>
      </w:r>
      <w:r>
        <w:rPr>
          <w:rFonts w:ascii="Cambria" w:hAnsi="Cambria"/>
          <w:color w:val="20262A"/>
          <w:sz w:val="22"/>
        </w:rPr>
        <w:t xml:space="preserve">In visibility below two nautical miles, spacing doubles, speed falls to the lower half of the band, and the watch floor raises the reporting cadence to every fifteen minutes. Night operation follows the same rule set as day operation, with the low-visibility adjustments applied at the watch floor's declaration.</w:t>
      </w:r>
    </w:p>
    <w:p>
      <w:pPr>
        <w:pStyle w:val="Heading3"/>
        <w:keepNext/>
        <w:keepLines/>
      </w:pPr>
      <w:bookmarkStart w:id="196" w:name="_Toc262100096"/>
      <w:r>
        <w:rPr>
          <w:rFonts w:ascii="Calibri" w:hAnsi="Calibri"/>
          <w:b/>
          <w:color w:val="37666F"/>
          <w:sz w:val="24"/>
        </w:rPr>
        <w:t xml:space="preserve">14.6 The Working Channels and the Voice Discipline</w:t>
      </w:r>
      <w:bookmarkEnd w:id="196"/>
    </w:p>
    <w:p>
      <w:pPr>
        <w:spacing w:after="110" w:line="340" w:lineRule="auto"/>
        <w:ind w:left="360" w:hanging="360"/>
        <w:jc w:val="both"/>
      </w:pPr>
      <w:r>
        <w:rPr>
          <w:rFonts w:ascii="Cambria" w:hAnsi="Cambria"/>
          <w:b/>
          <w:color w:val="1D4E5F"/>
          <w:sz w:val="22"/>
        </w:rPr>
        <w:t xml:space="preserve">14.6.1 </w:t>
      </w:r>
      <w:r>
        <w:rPr>
          <w:rFonts w:ascii="Cambria" w:hAnsi="Cambria"/>
          <w:color w:val="20262A"/>
          <w:sz w:val="22"/>
        </w:rPr>
        <w:t xml:space="preserve">Annex J fixes the channel matrix: Channel 16 for distress and calling, Channel 72 for the northern desk, Channel 73 for the southern desk, Channel 74 for buffer coordination, and Channel 77 as the hotline backup. The voice discipline uses the Standard Marine Communication Phrases, and every report follows the five-element format of Section 14.3.</w:t>
      </w:r>
    </w:p>
    <w:p>
      <w:pPr>
        <w:pStyle w:val="Heading1"/>
        <w:keepNext/>
        <w:keepLines/>
        <w:pageBreakBefore/>
      </w:pPr>
      <w:bookmarkStart w:id="197" w:name="_Toc262100097"/>
      <w:r>
        <w:rPr>
          <w:rFonts w:ascii="Calibri" w:hAnsi="Calibri"/>
          <w:b/>
          <w:color w:val="1D4E5F"/>
          <w:sz w:val="34"/>
        </w:rPr>
        <w:t xml:space="preserve">Part III: The Good Conduct Accrual Architecture</w:t>
      </w:r>
      <w:bookmarkEnd w:id="197"/>
    </w:p>
    <w:p>
      <w:pPr>
        <w:pStyle w:val="Heading2"/>
        <w:keepNext/>
        <w:keepLines/>
      </w:pPr>
      <w:bookmarkStart w:id="198" w:name="_Toc262100098"/>
      <w:r>
        <w:rPr>
          <w:rFonts w:ascii="Calibri" w:hAnsi="Calibri"/>
          <w:b/>
          <w:color w:val="1D4E5F"/>
          <w:sz w:val="27"/>
        </w:rPr>
        <w:t xml:space="preserve">Article 15: Design Logic of Earned Stewardship</w:t>
      </w:r>
      <w:bookmarkEnd w:id="198"/>
    </w:p>
    <w:p>
      <w:pPr>
        <w:pStyle w:val="Heading3"/>
        <w:keepNext/>
        <w:keepLines/>
      </w:pPr>
      <w:bookmarkStart w:id="199" w:name="_Toc262100099"/>
      <w:r>
        <w:rPr>
          <w:rFonts w:ascii="Calibri" w:hAnsi="Calibri"/>
          <w:b/>
          <w:color w:val="37666F"/>
          <w:sz w:val="24"/>
        </w:rPr>
        <w:t xml:space="preserve">15.1 Why Accrual Beats Fixed Allocation</w:t>
      </w:r>
      <w:bookmarkEnd w:id="199"/>
    </w:p>
    <w:p>
      <w:pPr>
        <w:spacing w:after="110" w:line="340" w:lineRule="auto"/>
        <w:ind w:left="360" w:hanging="360"/>
        <w:jc w:val="both"/>
      </w:pPr>
      <w:r>
        <w:rPr>
          <w:rFonts w:ascii="Cambria" w:hAnsi="Cambria"/>
          <w:b/>
          <w:color w:val="1D4E5F"/>
          <w:sz w:val="22"/>
        </w:rPr>
        <w:t xml:space="preserve">15.1.1 </w:t>
      </w:r>
      <w:r>
        <w:rPr>
          <w:rFonts w:ascii="Cambria" w:hAnsi="Cambria"/>
          <w:color w:val="20262A"/>
          <w:sz w:val="22"/>
        </w:rPr>
        <w:t xml:space="preserve">A fixed allocation rewards position. An accrual architecture rewards performance. The Compact chooses performance, because performance creates the incentive structure that keeps the water safe after the signatures dry, and because a graduated system dissolves the binary contest over control that stalls the negotiation file.</w:t>
      </w:r>
    </w:p>
    <w:p>
      <w:pPr>
        <w:spacing w:after="110" w:line="340" w:lineRule="auto"/>
        <w:ind w:left="360" w:hanging="360"/>
        <w:jc w:val="both"/>
      </w:pPr>
      <w:r>
        <w:rPr>
          <w:rFonts w:ascii="Cambria" w:hAnsi="Cambria"/>
          <w:b/>
          <w:color w:val="1D4E5F"/>
          <w:sz w:val="22"/>
        </w:rPr>
        <w:t xml:space="preserve">15.1.2 </w:t>
      </w:r>
      <w:r>
        <w:rPr>
          <w:rFonts w:ascii="Cambria" w:hAnsi="Cambria"/>
          <w:color w:val="20262A"/>
          <w:sz w:val="22"/>
        </w:rPr>
        <w:t xml:space="preserve">The accrual architecture converts the corridor question from a zero-sum argument about who wins the strait into a proportional system about how the parties share the strait. Every share-holder holds defined, dignified, and permanent ground from the first day, and every expansion of that ground arrives as earned, audited, and banked achievement rather than as concession extracted under pressure.</w:t>
      </w:r>
    </w:p>
    <w:p>
      <w:pPr>
        <w:pStyle w:val="Heading3"/>
        <w:keepNext/>
        <w:keepLines/>
      </w:pPr>
      <w:bookmarkStart w:id="200" w:name="_Toc262100100"/>
      <w:r>
        <w:rPr>
          <w:rFonts w:ascii="Calibri" w:hAnsi="Calibri"/>
          <w:b/>
          <w:color w:val="37666F"/>
          <w:sz w:val="24"/>
        </w:rPr>
        <w:t xml:space="preserve">15.2 The Dignity Frame</w:t>
      </w:r>
      <w:bookmarkEnd w:id="200"/>
    </w:p>
    <w:p>
      <w:pPr>
        <w:spacing w:after="110" w:line="340" w:lineRule="auto"/>
        <w:ind w:left="360" w:hanging="360"/>
        <w:jc w:val="both"/>
      </w:pPr>
      <w:r>
        <w:rPr>
          <w:rFonts w:ascii="Cambria" w:hAnsi="Cambria"/>
          <w:b/>
          <w:color w:val="1D4E5F"/>
          <w:sz w:val="22"/>
        </w:rPr>
        <w:t xml:space="preserve">15.2.1 </w:t>
      </w:r>
      <w:r>
        <w:rPr>
          <w:rFonts w:ascii="Cambria" w:hAnsi="Cambria"/>
          <w:color w:val="20262A"/>
          <w:sz w:val="22"/>
        </w:rPr>
        <w:t xml:space="preserve">The Islamic Republic of Iran enters the system with primary administration of the corridor nearest its coast and a defined share of the Central Buffer Corridor, formal, continuous, and recognized in the operative text. Every later accrual enlarges an estate Iran already holds; nothing in the ladder grants a favor, and everything in the ladder records a verified fact.</w:t>
      </w:r>
    </w:p>
    <w:p>
      <w:pPr>
        <w:spacing w:after="110" w:line="340" w:lineRule="auto"/>
        <w:ind w:left="360" w:hanging="360"/>
        <w:jc w:val="both"/>
      </w:pPr>
      <w:r>
        <w:rPr>
          <w:rFonts w:ascii="Cambria" w:hAnsi="Cambria"/>
          <w:b/>
          <w:color w:val="1D4E5F"/>
          <w:sz w:val="22"/>
        </w:rPr>
        <w:t xml:space="preserve">15.2.2 </w:t>
      </w:r>
      <w:r>
        <w:rPr>
          <w:rFonts w:ascii="Cambria" w:hAnsi="Cambria"/>
          <w:color w:val="20262A"/>
          <w:sz w:val="22"/>
        </w:rPr>
        <w:t xml:space="preserve">The Sultanate of Oman enters the system with primary administration of the outbound corridor, the majority share of the buffer at activation, the seat of the Center, and the depositary function, formal, continuous, and recognized in the operative text. The ladder adjusts Oman's buffer share toward the ceiling state of equality, and the Stewardship Dividend of Article 19 records Oman's own verified performance in financial form.</w:t>
      </w:r>
    </w:p>
    <w:p>
      <w:pPr>
        <w:pStyle w:val="Heading3"/>
        <w:keepNext/>
        <w:keepLines/>
      </w:pPr>
      <w:bookmarkStart w:id="201" w:name="_Toc262100101"/>
      <w:r>
        <w:rPr>
          <w:rFonts w:ascii="Calibri" w:hAnsi="Calibri"/>
          <w:b/>
          <w:color w:val="37666F"/>
          <w:sz w:val="24"/>
        </w:rPr>
        <w:t xml:space="preserve">15.3 The Evidence Discipline</w:t>
      </w:r>
      <w:bookmarkEnd w:id="201"/>
    </w:p>
    <w:p>
      <w:pPr>
        <w:spacing w:after="110" w:line="340" w:lineRule="auto"/>
        <w:ind w:left="360" w:hanging="360"/>
        <w:jc w:val="both"/>
      </w:pPr>
      <w:r>
        <w:rPr>
          <w:rFonts w:ascii="Cambria" w:hAnsi="Cambria"/>
          <w:b/>
          <w:color w:val="1D4E5F"/>
          <w:sz w:val="22"/>
        </w:rPr>
        <w:t xml:space="preserve">15.3.1 </w:t>
      </w:r>
      <w:r>
        <w:rPr>
          <w:rFonts w:ascii="Cambria" w:hAnsi="Cambria"/>
          <w:color w:val="20262A"/>
          <w:sz w:val="22"/>
        </w:rPr>
        <w:t xml:space="preserve">Every movement on the ladder follows an audited score on the Stewardship Performance Index. Declarations move nothing. Promises move nothing. Pressure moves nothing. The Index moves the ladder, and the Meridian Verification Office moves nothing else.</w:t>
      </w:r>
    </w:p>
    <w:p>
      <w:pPr>
        <w:pStyle w:val="Heading2"/>
        <w:keepNext/>
        <w:keepLines/>
      </w:pPr>
      <w:bookmarkStart w:id="202" w:name="_Toc262100102"/>
      <w:r>
        <w:rPr>
          <w:rFonts w:ascii="Calibri" w:hAnsi="Calibri"/>
          <w:b/>
          <w:color w:val="1D4E5F"/>
          <w:sz w:val="27"/>
        </w:rPr>
        <w:t xml:space="preserve">Article 16: The Stewardship Performance Index</w:t>
      </w:r>
      <w:bookmarkEnd w:id="202"/>
    </w:p>
    <w:p>
      <w:pPr>
        <w:pStyle w:val="Heading3"/>
        <w:keepNext/>
        <w:keepLines/>
      </w:pPr>
      <w:bookmarkStart w:id="203" w:name="_Toc262100103"/>
      <w:r>
        <w:rPr>
          <w:rFonts w:ascii="Calibri" w:hAnsi="Calibri"/>
          <w:b/>
          <w:color w:val="37666F"/>
          <w:sz w:val="24"/>
        </w:rPr>
        <w:t xml:space="preserve">16.1 The Instrument</w:t>
      </w:r>
      <w:bookmarkEnd w:id="203"/>
    </w:p>
    <w:p>
      <w:pPr>
        <w:spacing w:after="110" w:line="340" w:lineRule="auto"/>
        <w:ind w:left="360" w:hanging="360"/>
        <w:jc w:val="both"/>
      </w:pPr>
      <w:r>
        <w:rPr>
          <w:rFonts w:ascii="Cambria" w:hAnsi="Cambria"/>
          <w:b/>
          <w:color w:val="1D4E5F"/>
          <w:sz w:val="22"/>
        </w:rPr>
        <w:t xml:space="preserve">16.1.1 </w:t>
      </w:r>
      <w:r>
        <w:rPr>
          <w:rFonts w:ascii="Cambria" w:hAnsi="Cambria"/>
          <w:color w:val="20262A"/>
          <w:sz w:val="22"/>
        </w:rPr>
        <w:t xml:space="preserve">The Stewardship Performance Index, abbreviated SPI, scores each Coastal State's stewardship conduct each quarter on a one-hundred-point scale across six domains. The Meridian Verification Office produces the score from the evidence rules of Annex C, Section C.3, and publishes the score, the domain breakdown, and the evidence summary on the fixed publication schedule of IPR-14.</w:t>
      </w:r>
    </w:p>
    <w:p>
      <w:pPr>
        <w:pStyle w:val="Heading3"/>
        <w:keepNext/>
        <w:keepLines/>
      </w:pPr>
      <w:bookmarkStart w:id="204" w:name="_Toc262100104"/>
      <w:r>
        <w:rPr>
          <w:rFonts w:ascii="Calibri" w:hAnsi="Calibri"/>
          <w:b/>
          <w:color w:val="37666F"/>
          <w:sz w:val="24"/>
        </w:rPr>
        <w:t xml:space="preserve">16.2 The Six Domains</w:t>
      </w:r>
      <w:bookmarkEnd w:id="204"/>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600"/>
        <w:gridCol w:w="1500"/>
        <w:gridCol w:w="5900"/>
      </w:tblGrid>
      <w:tr>
        <w:trPr>
          <w:tblHeader/>
        </w:trPr>
        <w:tc>
          <w:tcPr>
            <w:tcW w:w="2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Domain</w:t>
            </w:r>
          </w:p>
        </w:tc>
        <w:tc>
          <w:tcPr>
            <w:tcW w:w="15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Weight</w:t>
            </w:r>
          </w:p>
        </w:tc>
        <w:tc>
          <w:tcPr>
            <w:tcW w:w="5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What the domain measures</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D-1 Corridor discipline</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25 points</w:t>
            </w:r>
          </w:p>
        </w:tc>
        <w:tc>
          <w:tcPr>
            <w:tcW w:w="5900" w:type="dxa"/>
            <w:tcMar>
              <w:top w:w="60" w:type="dxa"/>
              <w:left w:w="100" w:type="dxa"/>
              <w:bottom w:w="60" w:type="dxa"/>
              <w:right w:w="100" w:type="dxa"/>
            </w:tcMar>
          </w:tcPr>
          <w:p>
            <w:pPr>
              <w:spacing w:after="20" w:line="290" w:lineRule="auto"/>
            </w:pPr>
            <w:r>
              <w:rPr>
                <w:rFonts w:ascii="Calibri" w:hAnsi="Calibri"/>
                <w:color w:val="20262A"/>
                <w:sz w:val="19"/>
              </w:rPr>
              <w:t xml:space="preserve">Lane discipline events, unauthorized deviations, reporting-point compliance, and adherence to flow-state procedures in the administered corridor.</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D-2 Incident record</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20 points</w:t>
            </w:r>
          </w:p>
        </w:tc>
        <w:tc>
          <w:tcPr>
            <w:tcW w:w="5900" w:type="dxa"/>
            <w:tcMar>
              <w:top w:w="60" w:type="dxa"/>
              <w:left w:w="100" w:type="dxa"/>
              <w:bottom w:w="60" w:type="dxa"/>
              <w:right w:w="100" w:type="dxa"/>
            </w:tcMar>
          </w:tcPr>
          <w:p>
            <w:pPr>
              <w:spacing w:after="20" w:line="290" w:lineRule="auto"/>
            </w:pPr>
            <w:r>
              <w:rPr>
                <w:rFonts w:ascii="Calibri" w:hAnsi="Calibri"/>
                <w:color w:val="20262A"/>
                <w:sz w:val="19"/>
              </w:rPr>
              <w:t xml:space="preserve">The number, class, and attribution of incidents under Article 36, weighted by class, with full credit for clean quarters.</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D-3 Reporting timeliness</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15 points</w:t>
            </w:r>
          </w:p>
        </w:tc>
        <w:tc>
          <w:tcPr>
            <w:tcW w:w="5900" w:type="dxa"/>
            <w:tcMar>
              <w:top w:w="60" w:type="dxa"/>
              <w:left w:w="100" w:type="dxa"/>
              <w:bottom w:w="60" w:type="dxa"/>
              <w:right w:w="100" w:type="dxa"/>
            </w:tcMar>
          </w:tcPr>
          <w:p>
            <w:pPr>
              <w:spacing w:after="20" w:line="290" w:lineRule="auto"/>
            </w:pPr>
            <w:r>
              <w:rPr>
                <w:rFonts w:ascii="Calibri" w:hAnsi="Calibri"/>
                <w:color w:val="20262A"/>
                <w:sz w:val="19"/>
              </w:rPr>
              <w:t xml:space="preserve">On-time delivery of incident reports, service evidence, data feeds, and Bulletin inputs against the timelines of Annex H and Annex J.</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D-4 Financial transparency</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15 points</w:t>
            </w:r>
          </w:p>
        </w:tc>
        <w:tc>
          <w:tcPr>
            <w:tcW w:w="5900" w:type="dxa"/>
            <w:tcMar>
              <w:top w:w="60" w:type="dxa"/>
              <w:left w:w="100" w:type="dxa"/>
              <w:bottom w:w="60" w:type="dxa"/>
              <w:right w:w="100" w:type="dxa"/>
            </w:tcMar>
          </w:tcPr>
          <w:p>
            <w:pPr>
              <w:spacing w:after="20" w:line="290" w:lineRule="auto"/>
            </w:pPr>
            <w:r>
              <w:rPr>
                <w:rFonts w:ascii="Calibri" w:hAnsi="Calibri"/>
                <w:color w:val="20262A"/>
                <w:sz w:val="19"/>
              </w:rPr>
              <w:t xml:space="preserve">Completeness and accuracy of service invoicing, evidence packages, and cooperation with the quarterly audit of Article 30.</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D-5 Environmental compliance</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15 points</w:t>
            </w:r>
          </w:p>
        </w:tc>
        <w:tc>
          <w:tcPr>
            <w:tcW w:w="5900" w:type="dxa"/>
            <w:tcMar>
              <w:top w:w="60" w:type="dxa"/>
              <w:left w:w="100" w:type="dxa"/>
              <w:bottom w:w="60" w:type="dxa"/>
              <w:right w:w="100" w:type="dxa"/>
            </w:tcMar>
          </w:tcPr>
          <w:p>
            <w:pPr>
              <w:spacing w:after="20" w:line="290" w:lineRule="auto"/>
            </w:pPr>
            <w:r>
              <w:rPr>
                <w:rFonts w:ascii="Calibri" w:hAnsi="Calibri"/>
                <w:color w:val="20262A"/>
                <w:sz w:val="19"/>
              </w:rPr>
              <w:t xml:space="preserve">Discharge events, response readiness, sensitive-area compliance, and participation in the environmental protocol of Annex K.</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D-6 Deconfliction conduct</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10 points</w:t>
            </w:r>
          </w:p>
        </w:tc>
        <w:tc>
          <w:tcPr>
            <w:tcW w:w="5900" w:type="dxa"/>
            <w:tcMar>
              <w:top w:w="60" w:type="dxa"/>
              <w:left w:w="100" w:type="dxa"/>
              <w:bottom w:w="60" w:type="dxa"/>
              <w:right w:w="100" w:type="dxa"/>
            </w:tcMar>
          </w:tcPr>
          <w:p>
            <w:pPr>
              <w:spacing w:after="20" w:line="290" w:lineRule="auto"/>
            </w:pPr>
            <w:r>
              <w:rPr>
                <w:rFonts w:ascii="Calibri" w:hAnsi="Calibri"/>
                <w:color w:val="20262A"/>
                <w:sz w:val="19"/>
              </w:rPr>
              <w:t xml:space="preserve">Hotline responsiveness, exercise notification compliance, mishap protocol adherence, and naval transit conduct under Article 32.</w:t>
            </w:r>
          </w:p>
        </w:tc>
      </w:tr>
    </w:tbl>
    <w:p>
      <w:pPr>
        <w:spacing w:after="100"/>
      </w:pPr>
    </w:p>
    <w:p>
      <w:pPr>
        <w:pStyle w:val="Heading3"/>
        <w:keepNext/>
        <w:keepLines/>
      </w:pPr>
      <w:bookmarkStart w:id="205" w:name="_Toc262100105"/>
      <w:r>
        <w:rPr>
          <w:rFonts w:ascii="Calibri" w:hAnsi="Calibri"/>
          <w:b/>
          <w:color w:val="37666F"/>
          <w:sz w:val="24"/>
        </w:rPr>
        <w:t xml:space="preserve">16.3 Scoring Rules</w:t>
      </w:r>
      <w:bookmarkEnd w:id="205"/>
    </w:p>
    <w:p>
      <w:pPr>
        <w:spacing w:after="110" w:line="340" w:lineRule="auto"/>
        <w:ind w:left="360" w:hanging="360"/>
        <w:jc w:val="both"/>
      </w:pPr>
      <w:r>
        <w:rPr>
          <w:rFonts w:ascii="Cambria" w:hAnsi="Cambria"/>
          <w:b/>
          <w:color w:val="1D4E5F"/>
          <w:sz w:val="22"/>
        </w:rPr>
        <w:t xml:space="preserve">16.3.1 </w:t>
      </w:r>
      <w:r>
        <w:rPr>
          <w:rFonts w:ascii="Cambria" w:hAnsi="Cambria"/>
          <w:color w:val="20262A"/>
          <w:sz w:val="22"/>
        </w:rPr>
        <w:t xml:space="preserve">Each domain scores independently on its Annex C rubric, and the six domain scores sum to the quarterly SPI. The Office scores facts, not intentions, and every deduction cites the underlying event by date, location, and evidence package number.</w:t>
      </w:r>
    </w:p>
    <w:p>
      <w:pPr>
        <w:spacing w:after="110" w:line="340" w:lineRule="auto"/>
        <w:ind w:left="360" w:hanging="360"/>
        <w:jc w:val="both"/>
      </w:pPr>
      <w:r>
        <w:rPr>
          <w:rFonts w:ascii="Cambria" w:hAnsi="Cambria"/>
          <w:b/>
          <w:color w:val="1D4E5F"/>
          <w:sz w:val="22"/>
        </w:rPr>
        <w:t xml:space="preserve">16.3.2 </w:t>
      </w:r>
      <w:r>
        <w:rPr>
          <w:rFonts w:ascii="Cambria" w:hAnsi="Cambria"/>
          <w:color w:val="20262A"/>
          <w:sz w:val="22"/>
        </w:rPr>
        <w:t xml:space="preserve">A disputed deduction enters the dispute ladder of Article 39, and the disputed points hold in suspense until the ladder resolves them. Suspense never delays publication: the Office publishes the score with the suspense noted.</w:t>
      </w:r>
    </w:p>
    <w:p>
      <w:pPr>
        <w:pStyle w:val="Heading3"/>
        <w:keepNext/>
        <w:keepLines/>
      </w:pPr>
      <w:bookmarkStart w:id="206" w:name="_Toc262100106"/>
      <w:r>
        <w:rPr>
          <w:rFonts w:ascii="Calibri" w:hAnsi="Calibri"/>
          <w:b/>
          <w:color w:val="37666F"/>
          <w:sz w:val="24"/>
        </w:rPr>
        <w:t xml:space="preserve">16.4 The Two Scores</w:t>
      </w:r>
      <w:bookmarkEnd w:id="206"/>
    </w:p>
    <w:p>
      <w:pPr>
        <w:spacing w:after="110" w:line="340" w:lineRule="auto"/>
        <w:ind w:left="360" w:hanging="360"/>
        <w:jc w:val="both"/>
      </w:pPr>
      <w:r>
        <w:rPr>
          <w:rFonts w:ascii="Cambria" w:hAnsi="Cambria"/>
          <w:b/>
          <w:color w:val="1D4E5F"/>
          <w:sz w:val="22"/>
        </w:rPr>
        <w:t xml:space="preserve">16.4.1 </w:t>
      </w:r>
      <w:r>
        <w:rPr>
          <w:rFonts w:ascii="Cambria" w:hAnsi="Cambria"/>
          <w:color w:val="20262A"/>
          <w:sz w:val="22"/>
        </w:rPr>
        <w:t xml:space="preserve">The Office produces one SPI for the Islamic Republic of Iran and one SPI for the Sultanate of Oman each quarter, on the same rubric, from the same evidence discipline. The Iranian SPI drives the Accrual Ladder of Article 17. The Omani SPI drives the Stewardship Dividend of Article 19. Symmetry of measurement protects both scores from politics.</w:t>
      </w:r>
    </w:p>
    <w:p>
      <w:pPr>
        <w:pStyle w:val="Heading2"/>
        <w:keepNext/>
        <w:keepLines/>
      </w:pPr>
      <w:bookmarkStart w:id="207" w:name="_Toc262100107"/>
      <w:r>
        <w:rPr>
          <w:rFonts w:ascii="Calibri" w:hAnsi="Calibri"/>
          <w:b/>
          <w:color w:val="1D4E5F"/>
          <w:sz w:val="27"/>
        </w:rPr>
        <w:t xml:space="preserve">Article 17: The Accrual Ladder</w:t>
      </w:r>
      <w:bookmarkEnd w:id="207"/>
    </w:p>
    <w:p>
      <w:pPr>
        <w:pStyle w:val="Heading3"/>
        <w:keepNext/>
        <w:keepLines/>
      </w:pPr>
      <w:bookmarkStart w:id="208" w:name="_Toc262100108"/>
      <w:r>
        <w:rPr>
          <w:rFonts w:ascii="Calibri" w:hAnsi="Calibri"/>
          <w:b/>
          <w:color w:val="37666F"/>
          <w:sz w:val="24"/>
        </w:rPr>
        <w:t xml:space="preserve">17.1 The Five Gates</w:t>
      </w:r>
      <w:bookmarkEnd w:id="208"/>
    </w:p>
    <w:p>
      <w:pPr>
        <w:spacing w:after="110" w:line="340" w:lineRule="auto"/>
        <w:ind w:left="360" w:hanging="360"/>
        <w:jc w:val="both"/>
      </w:pPr>
      <w:r>
        <w:rPr>
          <w:rFonts w:ascii="Cambria" w:hAnsi="Cambria"/>
          <w:b/>
          <w:color w:val="1D4E5F"/>
          <w:sz w:val="22"/>
        </w:rPr>
        <w:t xml:space="preserve">17.1.1 </w:t>
      </w:r>
      <w:r>
        <w:rPr>
          <w:rFonts w:ascii="Cambria" w:hAnsi="Cambria"/>
          <w:color w:val="20262A"/>
          <w:sz w:val="22"/>
        </w:rPr>
        <w:t xml:space="preserve">The ladder carries a baseline and four gates. The baseline seats the Iranian Stewardship Share at one-sixth from activation. Gates One through Four raise the share to one-fifth, one-fourth, three-tenths, and one-third respectively, with the Omani share adjusting complementarily and the Standing Share fixed at one-third, as the schedule of Article 10.3 states.</w:t>
      </w:r>
    </w:p>
    <w:p>
      <w:pPr>
        <w:pStyle w:val="Heading3"/>
        <w:keepNext/>
        <w:keepLines/>
      </w:pPr>
      <w:bookmarkStart w:id="209" w:name="_Toc262100109"/>
      <w:r>
        <w:rPr>
          <w:rFonts w:ascii="Calibri" w:hAnsi="Calibri"/>
          <w:b/>
          <w:color w:val="37666F"/>
          <w:sz w:val="24"/>
        </w:rPr>
        <w:t xml:space="preserve">17.2 Gate Criteria</w:t>
      </w:r>
      <w:bookmarkEnd w:id="209"/>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500"/>
        <w:gridCol w:w="1800"/>
        <w:gridCol w:w="6700"/>
      </w:tblGrid>
      <w:tr>
        <w:trPr>
          <w:tblHeader/>
        </w:trPr>
        <w:tc>
          <w:tcPr>
            <w:tcW w:w="15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Gate</w:t>
            </w:r>
          </w:p>
        </w:tc>
        <w:tc>
          <w:tcPr>
            <w:tcW w:w="1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Share after gate</w:t>
            </w:r>
          </w:p>
        </w:tc>
        <w:tc>
          <w:tcPr>
            <w:tcW w:w="6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Criteria</w:t>
            </w:r>
          </w:p>
        </w:tc>
      </w:tr>
      <w:tr>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Baseline</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1/6</w:t>
            </w:r>
          </w:p>
        </w:tc>
        <w:tc>
          <w:tcPr>
            <w:tcW w:w="6700" w:type="dxa"/>
            <w:tcMar>
              <w:top w:w="60" w:type="dxa"/>
              <w:left w:w="100" w:type="dxa"/>
              <w:bottom w:w="60" w:type="dxa"/>
              <w:right w:w="100" w:type="dxa"/>
            </w:tcMar>
          </w:tcPr>
          <w:p>
            <w:pPr>
              <w:spacing w:after="20" w:line="290" w:lineRule="auto"/>
            </w:pPr>
            <w:r>
              <w:rPr>
                <w:rFonts w:ascii="Calibri" w:hAnsi="Calibri"/>
                <w:color w:val="20262A"/>
                <w:sz w:val="19"/>
              </w:rPr>
              <w:t xml:space="preserve">Activation of Phase Two. No criterion: the baseline seats at activation.</w:t>
            </w:r>
          </w:p>
        </w:tc>
      </w:tr>
      <w:tr>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Gate One</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1/5</w:t>
            </w:r>
          </w:p>
        </w:tc>
        <w:tc>
          <w:tcPr>
            <w:tcW w:w="6700" w:type="dxa"/>
            <w:tcMar>
              <w:top w:w="60" w:type="dxa"/>
              <w:left w:w="100" w:type="dxa"/>
              <w:bottom w:w="60" w:type="dxa"/>
              <w:right w:w="100" w:type="dxa"/>
            </w:tcMar>
          </w:tcPr>
          <w:p>
            <w:pPr>
              <w:spacing w:after="20" w:line="290" w:lineRule="auto"/>
            </w:pPr>
            <w:r>
              <w:rPr>
                <w:rFonts w:ascii="Calibri" w:hAnsi="Calibri"/>
                <w:color w:val="20262A"/>
                <w:sz w:val="19"/>
              </w:rPr>
              <w:t xml:space="preserve">Two consecutive quarters with SPI of 85 or higher, and zero Class 1 or Class 2 incidents attributed in the period.</w:t>
            </w:r>
          </w:p>
        </w:tc>
      </w:tr>
      <w:tr>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Gate Two</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1/4</w:t>
            </w:r>
          </w:p>
        </w:tc>
        <w:tc>
          <w:tcPr>
            <w:tcW w:w="6700" w:type="dxa"/>
            <w:tcMar>
              <w:top w:w="60" w:type="dxa"/>
              <w:left w:w="100" w:type="dxa"/>
              <w:bottom w:w="60" w:type="dxa"/>
              <w:right w:w="100" w:type="dxa"/>
            </w:tcMar>
          </w:tcPr>
          <w:p>
            <w:pPr>
              <w:spacing w:after="20" w:line="290" w:lineRule="auto"/>
            </w:pPr>
            <w:r>
              <w:rPr>
                <w:rFonts w:ascii="Calibri" w:hAnsi="Calibri"/>
                <w:color w:val="20262A"/>
                <w:sz w:val="19"/>
              </w:rPr>
              <w:t xml:space="preserve">Four consecutive quarters with SPI averaging 88 or higher, no single quarter below 84, and a clean financial transparency domain in three of the four quarters.</w:t>
            </w:r>
          </w:p>
        </w:tc>
      </w:tr>
      <w:tr>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Gate Three</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3/10</w:t>
            </w:r>
          </w:p>
        </w:tc>
        <w:tc>
          <w:tcPr>
            <w:tcW w:w="6700" w:type="dxa"/>
            <w:tcMar>
              <w:top w:w="60" w:type="dxa"/>
              <w:left w:w="100" w:type="dxa"/>
              <w:bottom w:w="60" w:type="dxa"/>
              <w:right w:w="100" w:type="dxa"/>
            </w:tcMar>
          </w:tcPr>
          <w:p>
            <w:pPr>
              <w:spacing w:after="20" w:line="290" w:lineRule="auto"/>
            </w:pPr>
            <w:r>
              <w:rPr>
                <w:rFonts w:ascii="Calibri" w:hAnsi="Calibri"/>
                <w:color w:val="20262A"/>
                <w:sz w:val="19"/>
              </w:rPr>
              <w:t xml:space="preserve">Eight consecutive quarters with SPI averaging 90 or higher, no single quarter below 85, zero Class 1 incidents in the period, and completion of the mid-ladder systems audit of Annex C.</w:t>
            </w:r>
          </w:p>
        </w:tc>
      </w:tr>
      <w:tr>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Gate Four</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1/3 (ceiling)</w:t>
            </w:r>
          </w:p>
        </w:tc>
        <w:tc>
          <w:tcPr>
            <w:tcW w:w="6700" w:type="dxa"/>
            <w:tcMar>
              <w:top w:w="60" w:type="dxa"/>
              <w:left w:w="100" w:type="dxa"/>
              <w:bottom w:w="60" w:type="dxa"/>
              <w:right w:w="100" w:type="dxa"/>
            </w:tcMar>
          </w:tcPr>
          <w:p>
            <w:pPr>
              <w:spacing w:after="20" w:line="290" w:lineRule="auto"/>
            </w:pPr>
            <w:r>
              <w:rPr>
                <w:rFonts w:ascii="Calibri" w:hAnsi="Calibri"/>
                <w:color w:val="20262A"/>
                <w:sz w:val="19"/>
              </w:rPr>
              <w:t xml:space="preserve">Twelve consecutive quarters with SPI averaging 90 or higher, no single quarter below 86, zero Class 1 incidents in the period, completion of the full verification audit of Annex C, and Council confirmation under the Twin Key Rule.</w:t>
            </w:r>
          </w:p>
        </w:tc>
      </w:tr>
    </w:tbl>
    <w:p>
      <w:pPr>
        <w:spacing w:after="100"/>
      </w:pPr>
    </w:p>
    <w:p>
      <w:pPr>
        <w:pStyle w:val="Heading3"/>
        <w:keepNext/>
        <w:keepLines/>
      </w:pPr>
      <w:bookmarkStart w:id="210" w:name="_Toc262100110"/>
      <w:r>
        <w:rPr>
          <w:rFonts w:ascii="Calibri" w:hAnsi="Calibri"/>
          <w:b/>
          <w:color w:val="37666F"/>
          <w:sz w:val="24"/>
        </w:rPr>
        <w:t xml:space="preserve">17.3 The Accrual Act</w:t>
      </w:r>
      <w:bookmarkEnd w:id="210"/>
    </w:p>
    <w:p>
      <w:pPr>
        <w:spacing w:after="110" w:line="340" w:lineRule="auto"/>
        <w:ind w:left="360" w:hanging="360"/>
        <w:jc w:val="both"/>
      </w:pPr>
      <w:r>
        <w:rPr>
          <w:rFonts w:ascii="Cambria" w:hAnsi="Cambria"/>
          <w:b/>
          <w:color w:val="1D4E5F"/>
          <w:sz w:val="22"/>
        </w:rPr>
        <w:t xml:space="preserve">17.3.1 </w:t>
      </w:r>
      <w:r>
        <w:rPr>
          <w:rFonts w:ascii="Cambria" w:hAnsi="Cambria"/>
          <w:color w:val="20262A"/>
          <w:sz w:val="22"/>
        </w:rPr>
        <w:t xml:space="preserve">When a quarter closes and the criteria for the next gate stand complete, the Office issues a Gate Recommendation within fourteen days. The recommendation states the criteria, the evidence, and the effective date. The Council records the recommendation at its next session, and the share accrues on the first day of the following quarter. Recording registers a fact; recording never grants a discretion.</w:t>
      </w:r>
    </w:p>
    <w:p>
      <w:pPr>
        <w:spacing w:after="110" w:line="340" w:lineRule="auto"/>
        <w:ind w:left="360" w:hanging="360"/>
        <w:jc w:val="both"/>
      </w:pPr>
      <w:r>
        <w:rPr>
          <w:rFonts w:ascii="Cambria" w:hAnsi="Cambria"/>
          <w:b/>
          <w:color w:val="1D4E5F"/>
          <w:sz w:val="22"/>
        </w:rPr>
        <w:t xml:space="preserve">17.3.2 </w:t>
      </w:r>
      <w:r>
        <w:rPr>
          <w:rFonts w:ascii="Cambria" w:hAnsi="Cambria"/>
          <w:color w:val="20262A"/>
          <w:sz w:val="22"/>
        </w:rPr>
        <w:t xml:space="preserve">The accrual adjusts the three dimensions of Article 10.2 simultaneously: management authority, revenue apportionment, and concurrence weight move together on the same effective date.</w:t>
      </w:r>
    </w:p>
    <w:p>
      <w:pPr>
        <w:pStyle w:val="Heading3"/>
        <w:keepNext/>
        <w:keepLines/>
      </w:pPr>
      <w:bookmarkStart w:id="211" w:name="_Toc262100111"/>
      <w:r>
        <w:rPr>
          <w:rFonts w:ascii="Calibri" w:hAnsi="Calibri"/>
          <w:b/>
          <w:color w:val="37666F"/>
          <w:sz w:val="24"/>
        </w:rPr>
        <w:t xml:space="preserve">17.4 No Acceleration, No Bargaining</w:t>
      </w:r>
      <w:bookmarkEnd w:id="211"/>
    </w:p>
    <w:p>
      <w:pPr>
        <w:spacing w:after="110" w:line="340" w:lineRule="auto"/>
        <w:ind w:left="360" w:hanging="360"/>
        <w:jc w:val="both"/>
      </w:pPr>
      <w:r>
        <w:rPr>
          <w:rFonts w:ascii="Cambria" w:hAnsi="Cambria"/>
          <w:b/>
          <w:color w:val="1D4E5F"/>
          <w:sz w:val="22"/>
        </w:rPr>
        <w:t xml:space="preserve">17.4.1 </w:t>
      </w:r>
      <w:r>
        <w:rPr>
          <w:rFonts w:ascii="Cambria" w:hAnsi="Cambria"/>
          <w:color w:val="20262A"/>
          <w:sz w:val="22"/>
        </w:rPr>
        <w:t xml:space="preserve">The framework excludes accelerated gates, double gates, and gate trades. Time and evidence open gates, and nothing else opens them. IPR-8 and IPR-15 apply to every gate without exception.</w:t>
      </w:r>
    </w:p>
    <w:p>
      <w:pPr>
        <w:pStyle w:val="Heading2"/>
        <w:keepNext/>
        <w:keepLines/>
      </w:pPr>
      <w:bookmarkStart w:id="212" w:name="_Toc262100112"/>
      <w:r>
        <w:rPr>
          <w:rFonts w:ascii="Calibri" w:hAnsi="Calibri"/>
          <w:b/>
          <w:color w:val="1D4E5F"/>
          <w:sz w:val="27"/>
        </w:rPr>
        <w:t xml:space="preserve">Article 18: Step-Back and Earn-Back</w:t>
      </w:r>
      <w:bookmarkEnd w:id="212"/>
    </w:p>
    <w:p>
      <w:pPr>
        <w:pStyle w:val="Heading3"/>
        <w:keepNext/>
        <w:keepLines/>
      </w:pPr>
      <w:bookmarkStart w:id="213" w:name="_Toc262100113"/>
      <w:r>
        <w:rPr>
          <w:rFonts w:ascii="Calibri" w:hAnsi="Calibri"/>
          <w:b/>
          <w:color w:val="37666F"/>
          <w:sz w:val="24"/>
        </w:rPr>
        <w:t xml:space="preserve">18.1 The Step-Back Rule</w:t>
      </w:r>
      <w:bookmarkEnd w:id="213"/>
    </w:p>
    <w:p>
      <w:pPr>
        <w:spacing w:after="110" w:line="340" w:lineRule="auto"/>
        <w:ind w:left="360" w:hanging="360"/>
        <w:jc w:val="both"/>
      </w:pPr>
      <w:r>
        <w:rPr>
          <w:rFonts w:ascii="Cambria" w:hAnsi="Cambria"/>
          <w:b/>
          <w:color w:val="1D4E5F"/>
          <w:sz w:val="22"/>
        </w:rPr>
        <w:t xml:space="preserve">18.1.1 </w:t>
      </w:r>
      <w:r>
        <w:rPr>
          <w:rFonts w:ascii="Cambria" w:hAnsi="Cambria"/>
          <w:color w:val="20262A"/>
          <w:sz w:val="22"/>
        </w:rPr>
        <w:t xml:space="preserve">A Material compliance finding under Article 38 steps the share back one gate for one quarter. A Critical compliance finding steps the share back one gate for two consecutive quarters. The step-back adjusts all three dimensions simultaneously, on the first day of the quarter following the finding.</w:t>
      </w:r>
    </w:p>
    <w:p>
      <w:pPr>
        <w:spacing w:after="110" w:line="340" w:lineRule="auto"/>
        <w:ind w:left="360" w:hanging="360"/>
        <w:jc w:val="both"/>
      </w:pPr>
      <w:r>
        <w:rPr>
          <w:rFonts w:ascii="Cambria" w:hAnsi="Cambria"/>
          <w:b/>
          <w:color w:val="1D4E5F"/>
          <w:sz w:val="22"/>
        </w:rPr>
        <w:t xml:space="preserve">18.1.2 </w:t>
      </w:r>
      <w:r>
        <w:rPr>
          <w:rFonts w:ascii="Cambria" w:hAnsi="Cambria"/>
          <w:color w:val="20262A"/>
          <w:sz w:val="22"/>
        </w:rPr>
        <w:t xml:space="preserve">A step-back never descends below the Floor of one-sixth. The Floor holds under every circumstance, including any number of successive findings.</w:t>
      </w:r>
    </w:p>
    <w:p>
      <w:pPr>
        <w:pStyle w:val="Heading3"/>
        <w:keepNext/>
        <w:keepLines/>
      </w:pPr>
      <w:bookmarkStart w:id="214" w:name="_Toc262100114"/>
      <w:r>
        <w:rPr>
          <w:rFonts w:ascii="Calibri" w:hAnsi="Calibri"/>
          <w:b/>
          <w:color w:val="37666F"/>
          <w:sz w:val="24"/>
        </w:rPr>
        <w:t xml:space="preserve">18.2 The Pause Rule</w:t>
      </w:r>
      <w:bookmarkEnd w:id="214"/>
    </w:p>
    <w:p>
      <w:pPr>
        <w:spacing w:after="110" w:line="340" w:lineRule="auto"/>
        <w:ind w:left="360" w:hanging="360"/>
        <w:jc w:val="both"/>
      </w:pPr>
      <w:r>
        <w:rPr>
          <w:rFonts w:ascii="Cambria" w:hAnsi="Cambria"/>
          <w:b/>
          <w:color w:val="1D4E5F"/>
          <w:sz w:val="22"/>
        </w:rPr>
        <w:t xml:space="preserve">18.2.1 </w:t>
      </w:r>
      <w:r>
        <w:rPr>
          <w:rFonts w:ascii="Cambria" w:hAnsi="Cambria"/>
          <w:color w:val="20262A"/>
          <w:sz w:val="22"/>
        </w:rPr>
        <w:t xml:space="preserve">A Minor finding pauses the gate clock for one quarter without moving the share. A Technical finding pauses nothing and enters the record only. Pauses never erase completed quarters; the gate count resumes where it stopped.</w:t>
      </w:r>
    </w:p>
    <w:p>
      <w:pPr>
        <w:pStyle w:val="Heading3"/>
        <w:keepNext/>
        <w:keepLines/>
      </w:pPr>
      <w:bookmarkStart w:id="215" w:name="_Toc262100115"/>
      <w:r>
        <w:rPr>
          <w:rFonts w:ascii="Calibri" w:hAnsi="Calibri"/>
          <w:b/>
          <w:color w:val="37666F"/>
          <w:sz w:val="24"/>
        </w:rPr>
        <w:t xml:space="preserve">18.3 Earn-Back</w:t>
      </w:r>
      <w:bookmarkEnd w:id="215"/>
    </w:p>
    <w:p>
      <w:pPr>
        <w:spacing w:after="110" w:line="340" w:lineRule="auto"/>
        <w:ind w:left="360" w:hanging="360"/>
        <w:jc w:val="both"/>
      </w:pPr>
      <w:r>
        <w:rPr>
          <w:rFonts w:ascii="Cambria" w:hAnsi="Cambria"/>
          <w:b/>
          <w:color w:val="1D4E5F"/>
          <w:sz w:val="22"/>
        </w:rPr>
        <w:t xml:space="preserve">18.3.1 </w:t>
      </w:r>
      <w:r>
        <w:rPr>
          <w:rFonts w:ascii="Cambria" w:hAnsi="Cambria"/>
          <w:color w:val="20262A"/>
          <w:sz w:val="22"/>
        </w:rPr>
        <w:t xml:space="preserve">Two consecutive clean quarters after a step-back restore the share to its pre-step-back gate on the first day of the following quarter. A clean quarter carries an SPI of 85 or higher and zero findings at Minor level or above. Earn-back operates automatically on the evidence, without negotiation.</w:t>
      </w:r>
    </w:p>
    <w:p>
      <w:pPr>
        <w:pStyle w:val="Heading3"/>
        <w:keepNext/>
        <w:keepLines/>
      </w:pPr>
      <w:bookmarkStart w:id="216" w:name="_Toc262100116"/>
      <w:r>
        <w:rPr>
          <w:rFonts w:ascii="Calibri" w:hAnsi="Calibri"/>
          <w:b/>
          <w:color w:val="37666F"/>
          <w:sz w:val="24"/>
        </w:rPr>
        <w:t xml:space="preserve">18.4 No Double Jeopardy</w:t>
      </w:r>
      <w:bookmarkEnd w:id="216"/>
    </w:p>
    <w:p>
      <w:pPr>
        <w:spacing w:after="110" w:line="340" w:lineRule="auto"/>
        <w:ind w:left="360" w:hanging="360"/>
        <w:jc w:val="both"/>
      </w:pPr>
      <w:r>
        <w:rPr>
          <w:rFonts w:ascii="Cambria" w:hAnsi="Cambria"/>
          <w:b/>
          <w:color w:val="1D4E5F"/>
          <w:sz w:val="22"/>
        </w:rPr>
        <w:t xml:space="preserve">18.4.1 </w:t>
      </w:r>
      <w:r>
        <w:rPr>
          <w:rFonts w:ascii="Cambria" w:hAnsi="Cambria"/>
          <w:color w:val="20262A"/>
          <w:sz w:val="22"/>
        </w:rPr>
        <w:t xml:space="preserve">One event produces one finding, and one finding produces one consequence. The framework excludes the stacking of a step-back, a pause, and a financial measure on a single event, and the compliance engine assigns every event its single calibrated response under Article 38.</w:t>
      </w:r>
    </w:p>
    <w:p>
      <w:pPr>
        <w:pStyle w:val="Heading2"/>
        <w:keepNext/>
        <w:keepLines/>
      </w:pPr>
      <w:bookmarkStart w:id="217" w:name="_Toc262100117"/>
      <w:r>
        <w:rPr>
          <w:rFonts w:ascii="Calibri" w:hAnsi="Calibri"/>
          <w:b/>
          <w:color w:val="1D4E5F"/>
          <w:sz w:val="27"/>
        </w:rPr>
        <w:t xml:space="preserve">Article 19: Banking, the Ceiling, and the Stewardship Dividend</w:t>
      </w:r>
      <w:bookmarkEnd w:id="217"/>
    </w:p>
    <w:p>
      <w:pPr>
        <w:pStyle w:val="Heading3"/>
        <w:keepNext/>
        <w:keepLines/>
      </w:pPr>
      <w:bookmarkStart w:id="218" w:name="_Toc262100118"/>
      <w:r>
        <w:rPr>
          <w:rFonts w:ascii="Calibri" w:hAnsi="Calibri"/>
          <w:b/>
          <w:color w:val="37666F"/>
          <w:sz w:val="24"/>
        </w:rPr>
        <w:t xml:space="preserve">19.1 Banking</w:t>
      </w:r>
      <w:bookmarkEnd w:id="218"/>
    </w:p>
    <w:p>
      <w:pPr>
        <w:spacing w:after="110" w:line="340" w:lineRule="auto"/>
        <w:ind w:left="360" w:hanging="360"/>
        <w:jc w:val="both"/>
      </w:pPr>
      <w:r>
        <w:rPr>
          <w:rFonts w:ascii="Cambria" w:hAnsi="Cambria"/>
          <w:b/>
          <w:color w:val="1D4E5F"/>
          <w:sz w:val="22"/>
        </w:rPr>
        <w:t xml:space="preserve">19.1.1 </w:t>
      </w:r>
      <w:r>
        <w:rPr>
          <w:rFonts w:ascii="Cambria" w:hAnsi="Cambria"/>
          <w:color w:val="20262A"/>
          <w:sz w:val="22"/>
        </w:rPr>
        <w:t xml:space="preserve">An accrued share banks permanently. Banking survives every extension of a phase, every suspension of another Compact element, every amendment, every change of government in any Participant State, and every review cycle. IPR-9 states the principle; this clause states the mechanics: the Share Register of Annex C records every accrual with its effective date, and no procedure deletes a register entry.</w:t>
      </w:r>
    </w:p>
    <w:p>
      <w:pPr>
        <w:pStyle w:val="Heading3"/>
        <w:keepNext/>
        <w:keepLines/>
      </w:pPr>
      <w:bookmarkStart w:id="219" w:name="_Toc262100119"/>
      <w:r>
        <w:rPr>
          <w:rFonts w:ascii="Calibri" w:hAnsi="Calibri"/>
          <w:b/>
          <w:color w:val="37666F"/>
          <w:sz w:val="24"/>
        </w:rPr>
        <w:t xml:space="preserve">19.2 The Ceiling</w:t>
      </w:r>
      <w:bookmarkEnd w:id="219"/>
    </w:p>
    <w:p>
      <w:pPr>
        <w:spacing w:after="110" w:line="340" w:lineRule="auto"/>
        <w:ind w:left="360" w:hanging="360"/>
        <w:jc w:val="both"/>
      </w:pPr>
      <w:r>
        <w:rPr>
          <w:rFonts w:ascii="Cambria" w:hAnsi="Cambria"/>
          <w:b/>
          <w:color w:val="1D4E5F"/>
          <w:sz w:val="22"/>
        </w:rPr>
        <w:t xml:space="preserve">19.2.1 </w:t>
      </w:r>
      <w:r>
        <w:rPr>
          <w:rFonts w:ascii="Cambria" w:hAnsi="Cambria"/>
          <w:color w:val="20262A"/>
          <w:sz w:val="22"/>
        </w:rPr>
        <w:t xml:space="preserve">The Iranian Stewardship Share caps at one-third. The cap is structural, not provisional: the ceiling state of exact triadic equality constitutes the designed end state of the buffer, and the architecture excludes accrual beyond it in either direction.</w:t>
      </w:r>
    </w:p>
    <w:p>
      <w:pPr>
        <w:pStyle w:val="Heading3"/>
        <w:keepNext/>
        <w:keepLines/>
      </w:pPr>
      <w:bookmarkStart w:id="220" w:name="_Toc262100120"/>
      <w:r>
        <w:rPr>
          <w:rFonts w:ascii="Calibri" w:hAnsi="Calibri"/>
          <w:b/>
          <w:color w:val="37666F"/>
          <w:sz w:val="24"/>
        </w:rPr>
        <w:t xml:space="preserve">19.3 Over-Performance and the Stewardship Dividend</w:t>
      </w:r>
      <w:bookmarkEnd w:id="220"/>
    </w:p>
    <w:p>
      <w:pPr>
        <w:spacing w:after="110" w:line="340" w:lineRule="auto"/>
        <w:ind w:left="360" w:hanging="360"/>
        <w:jc w:val="both"/>
      </w:pPr>
      <w:r>
        <w:rPr>
          <w:rFonts w:ascii="Cambria" w:hAnsi="Cambria"/>
          <w:b/>
          <w:color w:val="1D4E5F"/>
          <w:sz w:val="22"/>
        </w:rPr>
        <w:t xml:space="preserve">19.3.1 </w:t>
      </w:r>
      <w:r>
        <w:rPr>
          <w:rFonts w:ascii="Cambria" w:hAnsi="Cambria"/>
          <w:color w:val="20262A"/>
          <w:sz w:val="22"/>
        </w:rPr>
        <w:t xml:space="preserve">Performance beyond the ceiling converts into money, not share. Where a share-holder at the ceiling posts four consecutive quarters with SPI of 92 or higher, the Fund pays a Stewardship Dividend equal to two percent of that share-holder's annual service receipts, drawn from the Fund's Performance Reserve, for each such year. The same rule rewards the Sultanate of Oman for sustained performance at any share level, paid annually whenever its SPI averages 92 or higher across four consecutive quarters.</w:t>
      </w:r>
    </w:p>
    <w:p>
      <w:pPr>
        <w:pStyle w:val="Heading3"/>
        <w:keepNext/>
        <w:keepLines/>
      </w:pPr>
      <w:bookmarkStart w:id="221" w:name="_Toc262100121"/>
      <w:r>
        <w:rPr>
          <w:rFonts w:ascii="Calibri" w:hAnsi="Calibri"/>
          <w:b/>
          <w:color w:val="37666F"/>
          <w:sz w:val="24"/>
        </w:rPr>
        <w:t xml:space="preserve">19.4 No-Fade</w:t>
      </w:r>
      <w:bookmarkEnd w:id="221"/>
    </w:p>
    <w:p>
      <w:pPr>
        <w:spacing w:after="110" w:line="340" w:lineRule="auto"/>
        <w:ind w:left="360" w:hanging="360"/>
        <w:jc w:val="both"/>
      </w:pPr>
      <w:r>
        <w:rPr>
          <w:rFonts w:ascii="Cambria" w:hAnsi="Cambria"/>
          <w:b/>
          <w:color w:val="1D4E5F"/>
          <w:sz w:val="22"/>
        </w:rPr>
        <w:t xml:space="preserve">19.4.1 </w:t>
      </w:r>
      <w:r>
        <w:rPr>
          <w:rFonts w:ascii="Cambria" w:hAnsi="Cambria"/>
          <w:color w:val="20262A"/>
          <w:sz w:val="22"/>
        </w:rPr>
        <w:t xml:space="preserve">Nothing in this Part fades. The ladder, the Floor, the ceiling, the dividend, and the register operate without expiry under the continuity rule of Article 43.</w:t>
      </w:r>
    </w:p>
    <w:p>
      <w:pPr>
        <w:pStyle w:val="Heading1"/>
        <w:keepNext/>
        <w:keepLines/>
        <w:pageBreakBefore/>
      </w:pPr>
      <w:bookmarkStart w:id="222" w:name="_Toc262100122"/>
      <w:r>
        <w:rPr>
          <w:rFonts w:ascii="Calibri" w:hAnsi="Calibri"/>
          <w:b/>
          <w:color w:val="1D4E5F"/>
          <w:sz w:val="34"/>
        </w:rPr>
        <w:t xml:space="preserve">Part IV: Institutional Architecture</w:t>
      </w:r>
      <w:bookmarkEnd w:id="222"/>
    </w:p>
    <w:p>
      <w:pPr>
        <w:pStyle w:val="Heading2"/>
        <w:keepNext/>
        <w:keepLines/>
      </w:pPr>
      <w:bookmarkStart w:id="223" w:name="_Toc262100123"/>
      <w:r>
        <w:rPr>
          <w:rFonts w:ascii="Calibri" w:hAnsi="Calibri"/>
          <w:b/>
          <w:color w:val="1D4E5F"/>
          <w:sz w:val="27"/>
        </w:rPr>
        <w:t xml:space="preserve">Article 20: The Triadic Council</w:t>
      </w:r>
      <w:bookmarkEnd w:id="223"/>
    </w:p>
    <w:p>
      <w:pPr>
        <w:pStyle w:val="Heading3"/>
        <w:keepNext/>
        <w:keepLines/>
      </w:pPr>
      <w:bookmarkStart w:id="224" w:name="_Toc262100124"/>
      <w:r>
        <w:rPr>
          <w:rFonts w:ascii="Calibri" w:hAnsi="Calibri"/>
          <w:b/>
          <w:color w:val="37666F"/>
          <w:sz w:val="24"/>
        </w:rPr>
        <w:t xml:space="preserve">20.1 Composition</w:t>
      </w:r>
      <w:bookmarkEnd w:id="224"/>
    </w:p>
    <w:p>
      <w:pPr>
        <w:spacing w:after="110" w:line="340" w:lineRule="auto"/>
        <w:ind w:left="360" w:hanging="360"/>
        <w:jc w:val="both"/>
      </w:pPr>
      <w:r>
        <w:rPr>
          <w:rFonts w:ascii="Cambria" w:hAnsi="Cambria"/>
          <w:b/>
          <w:color w:val="1D4E5F"/>
          <w:sz w:val="22"/>
        </w:rPr>
        <w:t xml:space="preserve">20.1.1 </w:t>
      </w:r>
      <w:r>
        <w:rPr>
          <w:rFonts w:ascii="Cambria" w:hAnsi="Cambria"/>
          <w:color w:val="20262A"/>
          <w:sz w:val="22"/>
        </w:rPr>
        <w:t xml:space="preserve">The Triadic Council seats ten voting members: four for the Coastal Circle, two nominated by each Coastal State; three for the Stakeholder Circle, nominated by rotation among the participating Gulf Cooperation Council states; and three for the User Circle, nominated by rotation among the participating user states. The International Maritime Organization seats one non-voting technical adviser.</w:t>
      </w:r>
    </w:p>
    <w:p>
      <w:pPr>
        <w:pStyle w:val="Heading3"/>
        <w:keepNext/>
        <w:keepLines/>
      </w:pPr>
      <w:bookmarkStart w:id="225" w:name="_Toc262100125"/>
      <w:r>
        <w:rPr>
          <w:rFonts w:ascii="Calibri" w:hAnsi="Calibri"/>
          <w:b/>
          <w:color w:val="37666F"/>
          <w:sz w:val="24"/>
        </w:rPr>
        <w:t xml:space="preserve">20.2 The Qualified Majority Rule</w:t>
      </w:r>
      <w:bookmarkEnd w:id="225"/>
    </w:p>
    <w:p>
      <w:pPr>
        <w:spacing w:after="110" w:line="340" w:lineRule="auto"/>
        <w:ind w:left="360" w:hanging="360"/>
        <w:jc w:val="both"/>
      </w:pPr>
      <w:r>
        <w:rPr>
          <w:rFonts w:ascii="Cambria" w:hAnsi="Cambria"/>
          <w:b/>
          <w:color w:val="1D4E5F"/>
          <w:sz w:val="22"/>
        </w:rPr>
        <w:t xml:space="preserve">20.2.1 </w:t>
      </w:r>
      <w:r>
        <w:rPr>
          <w:rFonts w:ascii="Cambria" w:hAnsi="Cambria"/>
          <w:color w:val="20262A"/>
          <w:sz w:val="22"/>
        </w:rPr>
        <w:t xml:space="preserve">The Council decides by qualified majority: seven of ten votes, including at least two of the four Coastal Circle votes. A decision that amends a Register entry follows the Perimeter Test of Article 5.3. A decision on a Gate Recommendation follows the recording rule of Article 17.3 and carries no discretion.</w:t>
      </w:r>
    </w:p>
    <w:p>
      <w:pPr>
        <w:pStyle w:val="Heading3"/>
        <w:keepNext/>
        <w:keepLines/>
      </w:pPr>
      <w:bookmarkStart w:id="226" w:name="_Toc262100126"/>
      <w:r>
        <w:rPr>
          <w:rFonts w:ascii="Calibri" w:hAnsi="Calibri"/>
          <w:b/>
          <w:color w:val="37666F"/>
          <w:sz w:val="24"/>
        </w:rPr>
        <w:t xml:space="preserve">20.3 Functions</w:t>
      </w:r>
      <w:bookmarkEnd w:id="226"/>
    </w:p>
    <w:p>
      <w:pPr>
        <w:spacing w:after="110" w:line="340" w:lineRule="auto"/>
        <w:ind w:left="360" w:hanging="360"/>
        <w:jc w:val="both"/>
      </w:pPr>
      <w:r>
        <w:rPr>
          <w:rFonts w:ascii="Cambria" w:hAnsi="Cambria"/>
          <w:b/>
          <w:color w:val="1D4E5F"/>
          <w:sz w:val="22"/>
        </w:rPr>
        <w:t xml:space="preserve">20.3.1 </w:t>
      </w:r>
      <w:r>
        <w:rPr>
          <w:rFonts w:ascii="Cambria" w:hAnsi="Cambria"/>
          <w:color w:val="20262A"/>
          <w:sz w:val="22"/>
        </w:rPr>
        <w:t xml:space="preserve">The Council adopts the annual envelope, confirms the final coordinate set, registers accruals, declares Flow State Blue confirmations beyond seventy-two hours, adopts the protocol annexes, convenes the review conference, and supervises the other Compact Bodies. Annex M fixes the annual calendar.</w:t>
      </w:r>
    </w:p>
    <w:p>
      <w:pPr>
        <w:pStyle w:val="Heading3"/>
        <w:keepNext/>
        <w:keepLines/>
      </w:pPr>
      <w:bookmarkStart w:id="227" w:name="_Toc262100127"/>
      <w:r>
        <w:rPr>
          <w:rFonts w:ascii="Calibri" w:hAnsi="Calibri"/>
          <w:b/>
          <w:color w:val="37666F"/>
          <w:sz w:val="24"/>
        </w:rPr>
        <w:t xml:space="preserve">20.4 Meetings and Cadence</w:t>
      </w:r>
      <w:bookmarkEnd w:id="227"/>
    </w:p>
    <w:p>
      <w:pPr>
        <w:spacing w:after="110" w:line="340" w:lineRule="auto"/>
        <w:ind w:left="360" w:hanging="360"/>
        <w:jc w:val="both"/>
      </w:pPr>
      <w:r>
        <w:rPr>
          <w:rFonts w:ascii="Cambria" w:hAnsi="Cambria"/>
          <w:b/>
          <w:color w:val="1D4E5F"/>
          <w:sz w:val="22"/>
        </w:rPr>
        <w:t xml:space="preserve">20.4.1 </w:t>
      </w:r>
      <w:r>
        <w:rPr>
          <w:rFonts w:ascii="Cambria" w:hAnsi="Cambria"/>
          <w:color w:val="20262A"/>
          <w:sz w:val="22"/>
        </w:rPr>
        <w:t xml:space="preserve">The Council convenes in ordinary session monthly and in extraordinary session within forty-eight hours at the call of any three members or of the watch floor under the incident ladder. Sessions alternate between Muscat and Bandar Abbas, with secure video attendance carrying full voting effect.</w:t>
      </w:r>
    </w:p>
    <w:p>
      <w:pPr>
        <w:pStyle w:val="Heading3"/>
        <w:keepNext/>
        <w:keepLines/>
      </w:pPr>
      <w:bookmarkStart w:id="228" w:name="_Toc262100128"/>
      <w:r>
        <w:rPr>
          <w:rFonts w:ascii="Calibri" w:hAnsi="Calibri"/>
          <w:b/>
          <w:color w:val="37666F"/>
          <w:sz w:val="24"/>
        </w:rPr>
        <w:t xml:space="preserve">20.5 The Rotating Chair</w:t>
      </w:r>
      <w:bookmarkEnd w:id="228"/>
    </w:p>
    <w:p>
      <w:pPr>
        <w:spacing w:after="110" w:line="340" w:lineRule="auto"/>
        <w:ind w:left="360" w:hanging="360"/>
        <w:jc w:val="both"/>
      </w:pPr>
      <w:r>
        <w:rPr>
          <w:rFonts w:ascii="Cambria" w:hAnsi="Cambria"/>
          <w:b/>
          <w:color w:val="1D4E5F"/>
          <w:sz w:val="22"/>
        </w:rPr>
        <w:t xml:space="preserve">20.5.1 </w:t>
      </w:r>
      <w:r>
        <w:rPr>
          <w:rFonts w:ascii="Cambria" w:hAnsi="Cambria"/>
          <w:color w:val="20262A"/>
          <w:sz w:val="22"/>
        </w:rPr>
        <w:t xml:space="preserve">The chair rotates quarterly among the three circles in fixed sequence: Coastal, Stakeholder, User. The chair sets the agenda, convenes sessions, and speaks for the Council. The chair holds no casting vote and no veto.</w:t>
      </w:r>
    </w:p>
    <w:p>
      <w:pPr>
        <w:pStyle w:val="Heading2"/>
        <w:keepNext/>
        <w:keepLines/>
      </w:pPr>
      <w:bookmarkStart w:id="229" w:name="_Toc262100129"/>
      <w:r>
        <w:rPr>
          <w:rFonts w:ascii="Calibri" w:hAnsi="Calibri"/>
          <w:b/>
          <w:color w:val="1D4E5F"/>
          <w:sz w:val="27"/>
        </w:rPr>
        <w:t xml:space="preserve">Article 21: The Triadic Stewardship Center</w:t>
      </w:r>
      <w:bookmarkEnd w:id="229"/>
    </w:p>
    <w:p>
      <w:pPr>
        <w:pStyle w:val="Heading3"/>
        <w:keepNext/>
        <w:keepLines/>
      </w:pPr>
      <w:bookmarkStart w:id="230" w:name="_Toc262100130"/>
      <w:r>
        <w:rPr>
          <w:rFonts w:ascii="Calibri" w:hAnsi="Calibri"/>
          <w:b/>
          <w:color w:val="37666F"/>
          <w:sz w:val="24"/>
        </w:rPr>
        <w:t xml:space="preserve">21.1 Seat and Mirror Office</w:t>
      </w:r>
      <w:bookmarkEnd w:id="230"/>
    </w:p>
    <w:p>
      <w:pPr>
        <w:spacing w:after="110" w:line="340" w:lineRule="auto"/>
        <w:ind w:left="360" w:hanging="360"/>
        <w:jc w:val="both"/>
      </w:pPr>
      <w:r>
        <w:rPr>
          <w:rFonts w:ascii="Cambria" w:hAnsi="Cambria"/>
          <w:b/>
          <w:color w:val="1D4E5F"/>
          <w:sz w:val="22"/>
        </w:rPr>
        <w:t xml:space="preserve">21.1.1 </w:t>
      </w:r>
      <w:r>
        <w:rPr>
          <w:rFonts w:ascii="Cambria" w:hAnsi="Cambria"/>
          <w:color w:val="20262A"/>
          <w:sz w:val="22"/>
        </w:rPr>
        <w:t xml:space="preserve">The Center seats in Muscat, and the Mirror Office in Bandar Abbas maintains full operational redundancy: every system, every feed, and every file exists in both places, and either site runs the whole system alone for thirty days without degradation.</w:t>
      </w:r>
    </w:p>
    <w:p>
      <w:pPr>
        <w:pStyle w:val="Heading3"/>
        <w:keepNext/>
        <w:keepLines/>
      </w:pPr>
      <w:bookmarkStart w:id="231" w:name="_Toc262100131"/>
      <w:r>
        <w:rPr>
          <w:rFonts w:ascii="Calibri" w:hAnsi="Calibri"/>
          <w:b/>
          <w:color w:val="37666F"/>
          <w:sz w:val="24"/>
        </w:rPr>
        <w:t xml:space="preserve">21.2 Internationally Representative Staffing</w:t>
      </w:r>
      <w:bookmarkEnd w:id="231"/>
    </w:p>
    <w:p>
      <w:pPr>
        <w:spacing w:after="110" w:line="340" w:lineRule="auto"/>
        <w:ind w:left="360" w:hanging="360"/>
        <w:jc w:val="both"/>
      </w:pPr>
      <w:r>
        <w:rPr>
          <w:rFonts w:ascii="Cambria" w:hAnsi="Cambria"/>
          <w:b/>
          <w:color w:val="1D4E5F"/>
          <w:sz w:val="22"/>
        </w:rPr>
        <w:t xml:space="preserve">21.2.1 </w:t>
      </w:r>
      <w:r>
        <w:rPr>
          <w:rFonts w:ascii="Cambria" w:hAnsi="Cambria"/>
          <w:color w:val="20262A"/>
          <w:sz w:val="22"/>
        </w:rPr>
        <w:t xml:space="preserve">The Center staffs fifty-eight posts under the establishment table of Annex M. Iranian and Omani nationals each fill at least forty percent of operational posts, and the remaining posts fill by open international competition. The director rotates between the two Coastal States every two years, and the deputy director always carries the other nationality.</w:t>
      </w:r>
    </w:p>
    <w:p>
      <w:pPr>
        <w:pStyle w:val="Heading3"/>
        <w:keepNext/>
        <w:keepLines/>
      </w:pPr>
      <w:bookmarkStart w:id="232" w:name="_Toc262100132"/>
      <w:r>
        <w:rPr>
          <w:rFonts w:ascii="Calibri" w:hAnsi="Calibri"/>
          <w:b/>
          <w:color w:val="37666F"/>
          <w:sz w:val="24"/>
        </w:rPr>
        <w:t xml:space="preserve">21.3 The Watch Floor</w:t>
      </w:r>
      <w:bookmarkEnd w:id="232"/>
    </w:p>
    <w:p>
      <w:pPr>
        <w:spacing w:after="110" w:line="340" w:lineRule="auto"/>
        <w:ind w:left="360" w:hanging="360"/>
        <w:jc w:val="both"/>
      </w:pPr>
      <w:r>
        <w:rPr>
          <w:rFonts w:ascii="Cambria" w:hAnsi="Cambria"/>
          <w:b/>
          <w:color w:val="1D4E5F"/>
          <w:sz w:val="22"/>
        </w:rPr>
        <w:t xml:space="preserve">21.3.1 </w:t>
      </w:r>
      <w:r>
        <w:rPr>
          <w:rFonts w:ascii="Cambria" w:hAnsi="Cambria"/>
          <w:color w:val="20262A"/>
          <w:sz w:val="22"/>
        </w:rPr>
        <w:t xml:space="preserve">The watch floor operates continuously, staffs three desks, northern, southern, and buffer, fuses the radar and Automatic Identification System picture from both Coastal States into one shared display, and answers the incident hotline within sixty seconds. The shared picture feeds the Open Water Bulletin, the Data Service, and the Meridian Verification Office simultaneously.</w:t>
      </w:r>
    </w:p>
    <w:p>
      <w:pPr>
        <w:pStyle w:val="Heading3"/>
        <w:keepNext/>
        <w:keepLines/>
      </w:pPr>
      <w:bookmarkStart w:id="233" w:name="_Toc262100133"/>
      <w:r>
        <w:rPr>
          <w:rFonts w:ascii="Calibri" w:hAnsi="Calibri"/>
          <w:b/>
          <w:color w:val="37666F"/>
          <w:sz w:val="24"/>
        </w:rPr>
        <w:t xml:space="preserve">21.4 Functions</w:t>
      </w:r>
      <w:bookmarkEnd w:id="233"/>
    </w:p>
    <w:p>
      <w:pPr>
        <w:spacing w:after="110" w:line="340" w:lineRule="auto"/>
        <w:ind w:left="360" w:hanging="360"/>
        <w:jc w:val="both"/>
      </w:pPr>
      <w:r>
        <w:rPr>
          <w:rFonts w:ascii="Cambria" w:hAnsi="Cambria"/>
          <w:b/>
          <w:color w:val="1D4E5F"/>
          <w:sz w:val="22"/>
        </w:rPr>
        <w:t xml:space="preserve">21.4.1 </w:t>
      </w:r>
      <w:r>
        <w:rPr>
          <w:rFonts w:ascii="Cambria" w:hAnsi="Cambria"/>
          <w:color w:val="20262A"/>
          <w:sz w:val="22"/>
        </w:rPr>
        <w:t xml:space="preserve">The Center issues the Bulletin, administers registrations and the Multilateral Transit Code, coordinates convoy windows and diversions, maintains the survey program, operates the Data Service platform, and keeps the Share Register, the Incident Archive, and the official record of every Compact act.</w:t>
      </w:r>
    </w:p>
    <w:p>
      <w:pPr>
        <w:pStyle w:val="Heading3"/>
        <w:keepNext/>
        <w:keepLines/>
      </w:pPr>
      <w:bookmarkStart w:id="234" w:name="_Toc262100134"/>
      <w:r>
        <w:rPr>
          <w:rFonts w:ascii="Calibri" w:hAnsi="Calibri"/>
          <w:b/>
          <w:color w:val="37666F"/>
          <w:sz w:val="24"/>
        </w:rPr>
        <w:t xml:space="preserve">21.5 The Civilian Character Clause</w:t>
      </w:r>
      <w:bookmarkEnd w:id="234"/>
    </w:p>
    <w:p>
      <w:pPr>
        <w:spacing w:after="110" w:line="340" w:lineRule="auto"/>
        <w:ind w:left="360" w:hanging="360"/>
        <w:jc w:val="both"/>
      </w:pPr>
      <w:r>
        <w:rPr>
          <w:rFonts w:ascii="Cambria" w:hAnsi="Cambria"/>
          <w:b/>
          <w:color w:val="1D4E5F"/>
          <w:sz w:val="22"/>
        </w:rPr>
        <w:t xml:space="preserve">21.5.1 </w:t>
      </w:r>
      <w:r>
        <w:rPr>
          <w:rFonts w:ascii="Cambria" w:hAnsi="Cambria"/>
          <w:color w:val="20262A"/>
          <w:sz w:val="22"/>
        </w:rPr>
        <w:t xml:space="preserve">The Center is a civilian institution. It staffs no military personnel, holds no weapons, issues no military direction, and classifies no information on military grounds. Naval liaison officers of the Participant States attend the liaison room as guests of the Center, under the deconfliction protocol of Article 32, and hold no Center authority.</w:t>
      </w:r>
    </w:p>
    <w:p>
      <w:pPr>
        <w:pStyle w:val="Heading2"/>
        <w:keepNext/>
        <w:keepLines/>
      </w:pPr>
      <w:bookmarkStart w:id="235" w:name="_Toc262100135"/>
      <w:r>
        <w:rPr>
          <w:rFonts w:ascii="Calibri" w:hAnsi="Calibri"/>
          <w:b/>
          <w:color w:val="1D4E5F"/>
          <w:sz w:val="27"/>
        </w:rPr>
        <w:t xml:space="preserve">Article 22: The Buffer Corridor Management Board</w:t>
      </w:r>
      <w:bookmarkEnd w:id="235"/>
    </w:p>
    <w:p>
      <w:pPr>
        <w:pStyle w:val="Heading3"/>
        <w:keepNext/>
        <w:keepLines/>
      </w:pPr>
      <w:bookmarkStart w:id="236" w:name="_Toc262100136"/>
      <w:r>
        <w:rPr>
          <w:rFonts w:ascii="Calibri" w:hAnsi="Calibri"/>
          <w:b/>
          <w:color w:val="37666F"/>
          <w:sz w:val="24"/>
        </w:rPr>
        <w:t xml:space="preserve">22.1 Composition and Voting Weight</w:t>
      </w:r>
      <w:bookmarkEnd w:id="236"/>
    </w:p>
    <w:p>
      <w:pPr>
        <w:spacing w:after="110" w:line="340" w:lineRule="auto"/>
        <w:ind w:left="360" w:hanging="360"/>
        <w:jc w:val="both"/>
      </w:pPr>
      <w:r>
        <w:rPr>
          <w:rFonts w:ascii="Cambria" w:hAnsi="Cambria"/>
          <w:b/>
          <w:color w:val="1D4E5F"/>
          <w:sz w:val="22"/>
        </w:rPr>
        <w:t xml:space="preserve">22.1.1 </w:t>
      </w:r>
      <w:r>
        <w:rPr>
          <w:rFonts w:ascii="Cambria" w:hAnsi="Cambria"/>
          <w:color w:val="20262A"/>
          <w:sz w:val="22"/>
        </w:rPr>
        <w:t xml:space="preserve">The Board seats three members, one per share-holder: the nominee of Iran, the nominee of Oman, and the director of the Center for the Standing Share. Each member votes with the weight of its current share as the Share Register records it: at activation one-sixth, one-half, and one-third; at the ceiling one-third, one-third, and one-third.</w:t>
      </w:r>
    </w:p>
    <w:p>
      <w:pPr>
        <w:pStyle w:val="Heading3"/>
        <w:keepNext/>
        <w:keepLines/>
      </w:pPr>
      <w:bookmarkStart w:id="237" w:name="_Toc262100137"/>
      <w:r>
        <w:rPr>
          <w:rFonts w:ascii="Calibri" w:hAnsi="Calibri"/>
          <w:b/>
          <w:color w:val="37666F"/>
          <w:sz w:val="24"/>
        </w:rPr>
        <w:t xml:space="preserve">22.2 The Two-Thirds Rule</w:t>
      </w:r>
      <w:bookmarkEnd w:id="237"/>
    </w:p>
    <w:p>
      <w:pPr>
        <w:spacing w:after="110" w:line="340" w:lineRule="auto"/>
        <w:ind w:left="360" w:hanging="360"/>
        <w:jc w:val="both"/>
      </w:pPr>
      <w:r>
        <w:rPr>
          <w:rFonts w:ascii="Cambria" w:hAnsi="Cambria"/>
          <w:b/>
          <w:color w:val="1D4E5F"/>
          <w:sz w:val="22"/>
        </w:rPr>
        <w:t xml:space="preserve">22.2.1 </w:t>
      </w:r>
      <w:r>
        <w:rPr>
          <w:rFonts w:ascii="Cambria" w:hAnsi="Cambria"/>
          <w:color w:val="20262A"/>
          <w:sz w:val="22"/>
        </w:rPr>
        <w:t xml:space="preserve">Board decisions on Routine Actions proceed by simple weighted majority. Board decisions on Consequential Actions require a weighted concurrence of two-thirds or more, which at every point on the ladder demands at least two members in agreement. The two-thirds rule embodies the Twin Key Rule inside the buffer: no member carries a Consequential Action alone, at any share level.</w:t>
      </w:r>
    </w:p>
    <w:p>
      <w:pPr>
        <w:pStyle w:val="Heading3"/>
        <w:keepNext/>
        <w:keepLines/>
      </w:pPr>
      <w:bookmarkStart w:id="238" w:name="_Toc262100138"/>
      <w:r>
        <w:rPr>
          <w:rFonts w:ascii="Calibri" w:hAnsi="Calibri"/>
          <w:b/>
          <w:color w:val="37666F"/>
          <w:sz w:val="24"/>
        </w:rPr>
        <w:t xml:space="preserve">22.3 Functions</w:t>
      </w:r>
      <w:bookmarkEnd w:id="238"/>
    </w:p>
    <w:p>
      <w:pPr>
        <w:spacing w:after="110" w:line="340" w:lineRule="auto"/>
        <w:ind w:left="360" w:hanging="360"/>
        <w:jc w:val="both"/>
      </w:pPr>
      <w:r>
        <w:rPr>
          <w:rFonts w:ascii="Cambria" w:hAnsi="Cambria"/>
          <w:b/>
          <w:color w:val="1D4E5F"/>
          <w:sz w:val="22"/>
        </w:rPr>
        <w:t xml:space="preserve">22.3.1 </w:t>
      </w:r>
      <w:r>
        <w:rPr>
          <w:rFonts w:ascii="Cambria" w:hAnsi="Cambria"/>
          <w:color w:val="20262A"/>
          <w:sz w:val="22"/>
        </w:rPr>
        <w:t xml:space="preserve">The Board administers the Central Buffer Corridor: diversion routing, escort windows, mine-risk avoidance routing, search and rescue marshalling, buffer service delivery, and buffer input to the Bulletin. The Board meets weekly and maintains a permanent channel to the watch floor.</w:t>
      </w:r>
    </w:p>
    <w:p>
      <w:pPr>
        <w:pStyle w:val="Heading3"/>
        <w:keepNext/>
        <w:keepLines/>
      </w:pPr>
      <w:bookmarkStart w:id="239" w:name="_Toc262100139"/>
      <w:r>
        <w:rPr>
          <w:rFonts w:ascii="Calibri" w:hAnsi="Calibri"/>
          <w:b/>
          <w:color w:val="37666F"/>
          <w:sz w:val="24"/>
        </w:rPr>
        <w:t xml:space="preserve">22.4 Asset Contribution</w:t>
      </w:r>
      <w:bookmarkEnd w:id="239"/>
    </w:p>
    <w:p>
      <w:pPr>
        <w:spacing w:after="110" w:line="340" w:lineRule="auto"/>
        <w:ind w:left="360" w:hanging="360"/>
        <w:jc w:val="both"/>
      </w:pPr>
      <w:r>
        <w:rPr>
          <w:rFonts w:ascii="Cambria" w:hAnsi="Cambria"/>
          <w:b/>
          <w:color w:val="1D4E5F"/>
          <w:sz w:val="22"/>
        </w:rPr>
        <w:t xml:space="preserve">22.4.1 </w:t>
      </w:r>
      <w:r>
        <w:rPr>
          <w:rFonts w:ascii="Cambria" w:hAnsi="Cambria"/>
          <w:color w:val="20262A"/>
          <w:sz w:val="22"/>
        </w:rPr>
        <w:t xml:space="preserve">Each share-holder contributes patrol craft, survey capacity, and crews to buffer operations in proportion to its current share. The Fund reimburses documented asset contributions at the catalog rates of Annex D, so contribution earns and non-contribution shows in the ledger.</w:t>
      </w:r>
    </w:p>
    <w:p>
      <w:pPr>
        <w:pStyle w:val="Heading2"/>
        <w:keepNext/>
        <w:keepLines/>
      </w:pPr>
      <w:bookmarkStart w:id="240" w:name="_Toc262100140"/>
      <w:r>
        <w:rPr>
          <w:rFonts w:ascii="Calibri" w:hAnsi="Calibri"/>
          <w:b/>
          <w:color w:val="1D4E5F"/>
          <w:sz w:val="27"/>
        </w:rPr>
        <w:t xml:space="preserve">Article 23: The Meridian Verification Office</w:t>
      </w:r>
      <w:bookmarkEnd w:id="240"/>
    </w:p>
    <w:p>
      <w:pPr>
        <w:pStyle w:val="Heading3"/>
        <w:keepNext/>
        <w:keepLines/>
      </w:pPr>
      <w:bookmarkStart w:id="241" w:name="_Toc262100141"/>
      <w:r>
        <w:rPr>
          <w:rFonts w:ascii="Calibri" w:hAnsi="Calibri"/>
          <w:b/>
          <w:color w:val="37666F"/>
          <w:sz w:val="24"/>
        </w:rPr>
        <w:t xml:space="preserve">23.1 Mandate</w:t>
      </w:r>
      <w:bookmarkEnd w:id="241"/>
    </w:p>
    <w:p>
      <w:pPr>
        <w:spacing w:after="110" w:line="340" w:lineRule="auto"/>
        <w:ind w:left="360" w:hanging="360"/>
        <w:jc w:val="both"/>
      </w:pPr>
      <w:r>
        <w:rPr>
          <w:rFonts w:ascii="Cambria" w:hAnsi="Cambria"/>
          <w:b/>
          <w:color w:val="1D4E5F"/>
          <w:sz w:val="22"/>
        </w:rPr>
        <w:t xml:space="preserve">23.1.1 </w:t>
      </w:r>
      <w:r>
        <w:rPr>
          <w:rFonts w:ascii="Cambria" w:hAnsi="Cambria"/>
          <w:color w:val="20262A"/>
          <w:sz w:val="22"/>
        </w:rPr>
        <w:t xml:space="preserve">The Meridian Verification Office verifies. It scores the SPI, audits the service evidence of the Fund, observes corridor operations, certifies the gates, and reports. It administers nothing, commands nothing, and collects nothing.</w:t>
      </w:r>
    </w:p>
    <w:p>
      <w:pPr>
        <w:pStyle w:val="Heading3"/>
        <w:keepNext/>
        <w:keepLines/>
      </w:pPr>
      <w:bookmarkStart w:id="242" w:name="_Toc262100142"/>
      <w:r>
        <w:rPr>
          <w:rFonts w:ascii="Calibri" w:hAnsi="Calibri"/>
          <w:b/>
          <w:color w:val="37666F"/>
          <w:sz w:val="24"/>
        </w:rPr>
        <w:t xml:space="preserve">23.2 Composition</w:t>
      </w:r>
      <w:bookmarkEnd w:id="242"/>
    </w:p>
    <w:p>
      <w:pPr>
        <w:spacing w:after="110" w:line="340" w:lineRule="auto"/>
        <w:ind w:left="360" w:hanging="360"/>
        <w:jc w:val="both"/>
      </w:pPr>
      <w:r>
        <w:rPr>
          <w:rFonts w:ascii="Cambria" w:hAnsi="Cambria"/>
          <w:b/>
          <w:color w:val="1D4E5F"/>
          <w:sz w:val="22"/>
        </w:rPr>
        <w:t xml:space="preserve">23.2.1 </w:t>
      </w:r>
      <w:r>
        <w:rPr>
          <w:rFonts w:ascii="Cambria" w:hAnsi="Cambria"/>
          <w:color w:val="20262A"/>
          <w:sz w:val="22"/>
        </w:rPr>
        <w:t xml:space="preserve">The Office comprises twenty-four verification professionals: hydrographers, master mariners, marine engineers, environmental scientists, and auditors, recruited by open international competition. The Swiss Confederation nominates the Director of Verification for a non-renewable four-year term. No nationality fills more than one quarter of the posts.</w:t>
      </w:r>
    </w:p>
    <w:p>
      <w:pPr>
        <w:pStyle w:val="Heading3"/>
        <w:keepNext/>
        <w:keepLines/>
      </w:pPr>
      <w:bookmarkStart w:id="243" w:name="_Toc262100143"/>
      <w:r>
        <w:rPr>
          <w:rFonts w:ascii="Calibri" w:hAnsi="Calibri"/>
          <w:b/>
          <w:color w:val="37666F"/>
          <w:sz w:val="24"/>
        </w:rPr>
        <w:t xml:space="preserve">23.3 Embarked Observers</w:t>
      </w:r>
      <w:bookmarkEnd w:id="243"/>
    </w:p>
    <w:p>
      <w:pPr>
        <w:spacing w:after="110" w:line="340" w:lineRule="auto"/>
        <w:ind w:left="360" w:hanging="360"/>
        <w:jc w:val="both"/>
      </w:pPr>
      <w:r>
        <w:rPr>
          <w:rFonts w:ascii="Cambria" w:hAnsi="Cambria"/>
          <w:b/>
          <w:color w:val="1D4E5F"/>
          <w:sz w:val="22"/>
        </w:rPr>
        <w:t xml:space="preserve">23.3.1 </w:t>
      </w:r>
      <w:r>
        <w:rPr>
          <w:rFonts w:ascii="Cambria" w:hAnsi="Cambria"/>
          <w:color w:val="20262A"/>
          <w:sz w:val="22"/>
        </w:rPr>
        <w:t xml:space="preserve">Office observers embark on corridor service craft, escort vessels, and survey vessels by rotation, and ride the watch floor in both Muscat and Bandar Abbas. Embarkation follows the observer protocol of Annex L, Form O-1, and the architecture excludes any obstruction of an observer's access, presence, or reporting.</w:t>
      </w:r>
    </w:p>
    <w:p>
      <w:pPr>
        <w:pStyle w:val="Heading3"/>
        <w:keepNext/>
        <w:keepLines/>
      </w:pPr>
      <w:bookmarkStart w:id="244" w:name="_Toc262100144"/>
      <w:r>
        <w:rPr>
          <w:rFonts w:ascii="Calibri" w:hAnsi="Calibri"/>
          <w:b/>
          <w:color w:val="37666F"/>
          <w:sz w:val="24"/>
        </w:rPr>
        <w:t xml:space="preserve">23.4 Reporting</w:t>
      </w:r>
      <w:bookmarkEnd w:id="244"/>
    </w:p>
    <w:p>
      <w:pPr>
        <w:spacing w:after="110" w:line="340" w:lineRule="auto"/>
        <w:ind w:left="360" w:hanging="360"/>
        <w:jc w:val="both"/>
      </w:pPr>
      <w:r>
        <w:rPr>
          <w:rFonts w:ascii="Cambria" w:hAnsi="Cambria"/>
          <w:b/>
          <w:color w:val="1D4E5F"/>
          <w:sz w:val="22"/>
        </w:rPr>
        <w:t xml:space="preserve">23.4.1 </w:t>
      </w:r>
      <w:r>
        <w:rPr>
          <w:rFonts w:ascii="Cambria" w:hAnsi="Cambria"/>
          <w:color w:val="20262A"/>
          <w:sz w:val="22"/>
        </w:rPr>
        <w:t xml:space="preserve">The Office publishes the weekly observation summary, the quarterly SPI report with domain breakdown and evidence citations, the quarterly Fund audit opinion, and every Gate Recommendation. Reports go to the Council, the Bulletin, and the public record simultaneously.</w:t>
      </w:r>
    </w:p>
    <w:p>
      <w:pPr>
        <w:pStyle w:val="Heading3"/>
        <w:keepNext/>
        <w:keepLines/>
      </w:pPr>
      <w:bookmarkStart w:id="245" w:name="_Toc262100145"/>
      <w:r>
        <w:rPr>
          <w:rFonts w:ascii="Calibri" w:hAnsi="Calibri"/>
          <w:b/>
          <w:color w:val="37666F"/>
          <w:sz w:val="24"/>
        </w:rPr>
        <w:t xml:space="preserve">23.5 Independence Safeguards</w:t>
      </w:r>
      <w:bookmarkEnd w:id="245"/>
    </w:p>
    <w:p>
      <w:pPr>
        <w:spacing w:after="110" w:line="340" w:lineRule="auto"/>
        <w:ind w:left="360" w:hanging="360"/>
        <w:jc w:val="both"/>
      </w:pPr>
      <w:r>
        <w:rPr>
          <w:rFonts w:ascii="Cambria" w:hAnsi="Cambria"/>
          <w:b/>
          <w:color w:val="1D4E5F"/>
          <w:sz w:val="22"/>
        </w:rPr>
        <w:t xml:space="preserve">23.5.1 </w:t>
      </w:r>
      <w:r>
        <w:rPr>
          <w:rFonts w:ascii="Cambria" w:hAnsi="Cambria"/>
          <w:color w:val="20262A"/>
          <w:sz w:val="22"/>
        </w:rPr>
        <w:t xml:space="preserve">Office staff serve fixed terms, draw salaries from the Fund's Verification Line, report through no national channel, and accept no instruction from any Participant State. Removal of the Director requires a unanimous Coastal Circle vote plus a two-thirds Council vote, stated reasons, and a public record.</w:t>
      </w:r>
    </w:p>
    <w:p>
      <w:pPr>
        <w:pStyle w:val="Heading2"/>
        <w:keepNext/>
        <w:keepLines/>
      </w:pPr>
      <w:bookmarkStart w:id="246" w:name="_Toc262100146"/>
      <w:r>
        <w:rPr>
          <w:rFonts w:ascii="Calibri" w:hAnsi="Calibri"/>
          <w:b/>
          <w:color w:val="1D4E5F"/>
          <w:sz w:val="27"/>
        </w:rPr>
        <w:t xml:space="preserve">Article 24: Decision Rules, the Twin Key Rule, and the Role Registry</w:t>
      </w:r>
      <w:bookmarkEnd w:id="246"/>
    </w:p>
    <w:p>
      <w:pPr>
        <w:pStyle w:val="Heading3"/>
        <w:keepNext/>
        <w:keepLines/>
      </w:pPr>
      <w:bookmarkStart w:id="247" w:name="_Toc262100147"/>
      <w:r>
        <w:rPr>
          <w:rFonts w:ascii="Calibri" w:hAnsi="Calibri"/>
          <w:b/>
          <w:color w:val="37666F"/>
          <w:sz w:val="24"/>
        </w:rPr>
        <w:t xml:space="preserve">24.1 The Twin Key Rule</w:t>
      </w:r>
      <w:bookmarkEnd w:id="247"/>
    </w:p>
    <w:p>
      <w:pPr>
        <w:spacing w:after="110" w:line="340" w:lineRule="auto"/>
        <w:ind w:left="360" w:hanging="360"/>
        <w:jc w:val="both"/>
      </w:pPr>
      <w:r>
        <w:rPr>
          <w:rFonts w:ascii="Cambria" w:hAnsi="Cambria"/>
          <w:b/>
          <w:color w:val="1D4E5F"/>
          <w:sz w:val="22"/>
        </w:rPr>
        <w:t xml:space="preserve">24.1.1 </w:t>
      </w:r>
      <w:r>
        <w:rPr>
          <w:rFonts w:ascii="Cambria" w:hAnsi="Cambria"/>
          <w:color w:val="20262A"/>
          <w:sz w:val="22"/>
        </w:rPr>
        <w:t xml:space="preserve">Every Consequential Action requires two keys: the key of the initiating administrator or body, and the concurring key of an administrator or body from a different circle. One key initiates, one key concurs, the act proceeds. No single key acts consequentially alone, at any share level, in any corridor, at any phase.</w:t>
      </w:r>
    </w:p>
    <w:tbl>
      <w:tblPr>
        <w:tblW w:w="5000" w:type="pct"/>
        <w:tblBorders>
          <w:top w:val="single" w:color="9C7A2E" w:sz="8"/>
          <w:left w:val="single" w:color="9C7A2E" w:sz="8"/>
          <w:bottom w:val="single" w:color="9C7A2E" w:sz="8"/>
          <w:right w:val="single" w:color="9C7A2E" w:sz="8"/>
          <w:insideH w:val="nil"/>
          <w:insideV w:val="nil"/>
        </w:tblBorders>
      </w:tblPr>
      <w:tblGrid>
        <w:gridCol w:w="10000"/>
      </w:tblGrid>
      <w:tr>
        <w:tc>
          <w:tcPr>
            <w:tcW w:w="10000" w:type="dxa"/>
            <w:shd w:val="clear" w:fill="F5F1E6"/>
            <w:tcMar>
              <w:top w:w="120" w:type="dxa"/>
              <w:left w:w="160" w:type="dxa"/>
              <w:bottom w:w="120" w:type="dxa"/>
              <w:right w:w="160" w:type="dxa"/>
            </w:tcMar>
          </w:tcPr>
          <w:p>
            <w:pPr>
              <w:spacing w:before="60" w:after="60" w:line="320" w:lineRule="auto"/>
              <w:jc w:val="both"/>
            </w:pPr>
            <w:r>
              <w:rPr>
                <w:rFonts w:ascii="Cambria" w:hAnsi="Cambria"/>
                <w:i/>
                <w:color w:val="26343A"/>
                <w:sz w:val="21"/>
              </w:rPr>
              <w:t xml:space="preserve">The Twin Key Rule: one key initiates, one key concurs, the act proceeds. The rule converts every contest over control into a shared administrative function, and it holds in the northern corridor, the southern corridor, the buffer, the Council, and the Fund alike.</w:t>
            </w:r>
          </w:p>
        </w:tc>
      </w:tr>
    </w:tbl>
    <w:p>
      <w:pPr>
        <w:spacing w:after="100"/>
      </w:pPr>
    </w:p>
    <w:p>
      <w:pPr>
        <w:pStyle w:val="Heading3"/>
        <w:keepNext/>
        <w:keepLines/>
      </w:pPr>
      <w:bookmarkStart w:id="248" w:name="_Toc262100148"/>
      <w:r>
        <w:rPr>
          <w:rFonts w:ascii="Calibri" w:hAnsi="Calibri"/>
          <w:b/>
          <w:color w:val="37666F"/>
          <w:sz w:val="24"/>
        </w:rPr>
        <w:t xml:space="preserve">24.2 The Consequential Actions Register</w:t>
      </w:r>
      <w:bookmarkEnd w:id="248"/>
    </w:p>
    <w:p>
      <w:pPr>
        <w:spacing w:after="110" w:line="340" w:lineRule="auto"/>
        <w:ind w:left="360" w:hanging="360"/>
        <w:jc w:val="both"/>
      </w:pPr>
      <w:r>
        <w:rPr>
          <w:rFonts w:ascii="Cambria" w:hAnsi="Cambria"/>
          <w:b/>
          <w:color w:val="1D4E5F"/>
          <w:sz w:val="22"/>
        </w:rPr>
        <w:t xml:space="preserve">24.2.1 </w:t>
      </w:r>
      <w:r>
        <w:rPr>
          <w:rFonts w:ascii="Cambria" w:hAnsi="Cambria"/>
          <w:color w:val="20262A"/>
          <w:sz w:val="22"/>
        </w:rPr>
        <w:t xml:space="preserve">Annex G lists every Consequential Action and its assigned key pair. The list includes: declaration of Flow State Blue; a Protected Hold; activation of diversion routing; an escort window in the buffer; suspension of a service line; distribution of the Performance Reserve; confirmation of a Gate Four accrual; and adoption or deactivation of a protocol annex. Every act not on the list is a Routine Action and proceeds without concurrence under the Routine Actions Register of the same annex.</w:t>
      </w:r>
    </w:p>
    <w:p>
      <w:pPr>
        <w:pStyle w:val="Heading3"/>
        <w:keepNext/>
        <w:keepLines/>
      </w:pPr>
      <w:bookmarkStart w:id="249" w:name="_Toc262100149"/>
      <w:r>
        <w:rPr>
          <w:rFonts w:ascii="Calibri" w:hAnsi="Calibri"/>
          <w:b/>
          <w:color w:val="37666F"/>
          <w:sz w:val="24"/>
        </w:rPr>
        <w:t xml:space="preserve">24.3 The Anti-Cascade Firewall</w:t>
      </w:r>
      <w:bookmarkEnd w:id="249"/>
    </w:p>
    <w:p>
      <w:pPr>
        <w:spacing w:after="110" w:line="340" w:lineRule="auto"/>
        <w:ind w:left="360" w:hanging="360"/>
        <w:jc w:val="both"/>
      </w:pPr>
      <w:r>
        <w:rPr>
          <w:rFonts w:ascii="Cambria" w:hAnsi="Cambria"/>
          <w:b/>
          <w:color w:val="1D4E5F"/>
          <w:sz w:val="22"/>
        </w:rPr>
        <w:t xml:space="preserve">24.3.1 </w:t>
      </w:r>
      <w:r>
        <w:rPr>
          <w:rFonts w:ascii="Cambria" w:hAnsi="Cambria"/>
          <w:color w:val="20262A"/>
          <w:sz w:val="22"/>
        </w:rPr>
        <w:t xml:space="preserve">A failure of one Compact element never cascades. A fee dispute never touches transit. An incident finding never touches the fee ledger. A gate dispute never touches the corridors. Each element operates, pauses, or resumes on its own rules, and the architecture contains no general suspension lever.</w:t>
      </w:r>
    </w:p>
    <w:p>
      <w:pPr>
        <w:pStyle w:val="Heading3"/>
        <w:keepNext/>
        <w:keepLines/>
      </w:pPr>
      <w:bookmarkStart w:id="250" w:name="_Toc262100150"/>
      <w:r>
        <w:rPr>
          <w:rFonts w:ascii="Calibri" w:hAnsi="Calibri"/>
          <w:b/>
          <w:color w:val="37666F"/>
          <w:sz w:val="24"/>
        </w:rPr>
        <w:t xml:space="preserve">24.4 The Dignified Deactivation Protocol</w:t>
      </w:r>
      <w:bookmarkEnd w:id="250"/>
    </w:p>
    <w:p>
      <w:pPr>
        <w:spacing w:after="110" w:line="340" w:lineRule="auto"/>
        <w:ind w:left="360" w:hanging="360"/>
        <w:jc w:val="both"/>
      </w:pPr>
      <w:r>
        <w:rPr>
          <w:rFonts w:ascii="Cambria" w:hAnsi="Cambria"/>
          <w:b/>
          <w:color w:val="1D4E5F"/>
          <w:sz w:val="22"/>
        </w:rPr>
        <w:t xml:space="preserve">24.4.1 </w:t>
      </w:r>
      <w:r>
        <w:rPr>
          <w:rFonts w:ascii="Cambria" w:hAnsi="Cambria"/>
          <w:color w:val="20262A"/>
          <w:sz w:val="22"/>
        </w:rPr>
        <w:t xml:space="preserve">Deactivation of any protocol annex proceeds only by Council decision, on thirty days notice, with the deactivating module's functions mapped to their fallback module before the notice runs. Banked shares, published accounts, and archived records survive every deactivation.</w:t>
      </w:r>
    </w:p>
    <w:p>
      <w:pPr>
        <w:pStyle w:val="Heading3"/>
        <w:keepNext/>
        <w:keepLines/>
      </w:pPr>
      <w:bookmarkStart w:id="251" w:name="_Toc262100151"/>
      <w:r>
        <w:rPr>
          <w:rFonts w:ascii="Calibri" w:hAnsi="Calibri"/>
          <w:b/>
          <w:color w:val="37666F"/>
          <w:sz w:val="24"/>
        </w:rPr>
        <w:t xml:space="preserve">24.5 Observers and the International Maritime Organization Interface</w:t>
      </w:r>
      <w:bookmarkEnd w:id="251"/>
    </w:p>
    <w:p>
      <w:pPr>
        <w:spacing w:after="110" w:line="340" w:lineRule="auto"/>
        <w:ind w:left="360" w:hanging="360"/>
        <w:jc w:val="both"/>
      </w:pPr>
      <w:r>
        <w:rPr>
          <w:rFonts w:ascii="Cambria" w:hAnsi="Cambria"/>
          <w:b/>
          <w:color w:val="1D4E5F"/>
          <w:sz w:val="22"/>
        </w:rPr>
        <w:t xml:space="preserve">24.5.1 </w:t>
      </w:r>
      <w:r>
        <w:rPr>
          <w:rFonts w:ascii="Cambria" w:hAnsi="Cambria"/>
          <w:color w:val="20262A"/>
          <w:sz w:val="22"/>
        </w:rPr>
        <w:t xml:space="preserve">The International Maritime Organization holds the technical interface: it receives the coordinate registrations, attends the Council as technical adviser, and reviews the audit program annually. The Stakeholder Panel seats one liaison per participating state with voice and no vote. No external body commands any Compact Body, and IPR-2 applies to every interface.</w:t>
      </w:r>
    </w:p>
    <w:p>
      <w:pPr>
        <w:pStyle w:val="Heading3"/>
        <w:keepNext/>
        <w:keepLines/>
      </w:pPr>
      <w:bookmarkStart w:id="252" w:name="_Toc262100152"/>
      <w:r>
        <w:rPr>
          <w:rFonts w:ascii="Calibri" w:hAnsi="Calibri"/>
          <w:b/>
          <w:color w:val="37666F"/>
          <w:sz w:val="24"/>
        </w:rPr>
        <w:t xml:space="preserve">24.6 The Role Registry</w:t>
      </w:r>
      <w:bookmarkEnd w:id="252"/>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100"/>
        <w:gridCol w:w="3300"/>
        <w:gridCol w:w="5600"/>
      </w:tblGrid>
      <w:tr>
        <w:trPr>
          <w:tblHeader/>
        </w:trPr>
        <w:tc>
          <w:tcPr>
            <w:tcW w:w="11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Role</w:t>
            </w:r>
          </w:p>
        </w:tc>
        <w:tc>
          <w:tcPr>
            <w:tcW w:w="3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Holder</w:t>
            </w:r>
          </w:p>
        </w:tc>
        <w:tc>
          <w:tcPr>
            <w:tcW w:w="5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Function</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R-1</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Islamic Republic of Iran</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Northern Corridor Administrator: operates the inbound corridor under Article 7.</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R-2</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Sultanate of Oman</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Southern Corridor Administrator: operates the outbound corridor under Article 8.</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R-3</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Buffer Corridor Management Board</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Joint buffer administrator: the three share-holders under Article 22.</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R-4</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Meridian Verification Office</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Neutral verifier: scores, audits, certifies under Article 23.</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R-5</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Neutral fiduciary agent, Geneva</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Fund administrator: collects, holds, distributes under Article 27.</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R-6</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Triadic Council chair</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Convening function, rotating quarterly under Article 20.</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R-7</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Triadic Stewardship Center</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System operator: watch floor, Bulletin, records under Article 21.</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R-8</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Mine Risk Standing Cell</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Hazard survey and clearance coordination under Article 33.</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R-9</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Technical Arbitration Panel</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Dispute adjudication under Article 39.</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R-10</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Depositary</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Instrument custody and reconciliation under Article 45.</w:t>
            </w:r>
          </w:p>
        </w:tc>
      </w:tr>
    </w:tbl>
    <w:p>
      <w:pPr>
        <w:spacing w:after="100"/>
      </w:pPr>
    </w:p>
    <w:p>
      <w:pPr>
        <w:pStyle w:val="Heading1"/>
        <w:keepNext/>
        <w:keepLines/>
        <w:pageBreakBefore/>
      </w:pPr>
      <w:bookmarkStart w:id="253" w:name="_Toc262100153"/>
      <w:r>
        <w:rPr>
          <w:rFonts w:ascii="Calibri" w:hAnsi="Calibri"/>
          <w:b/>
          <w:color w:val="1D4E5F"/>
          <w:sz w:val="34"/>
        </w:rPr>
        <w:t xml:space="preserve">Part V: Financial Architecture: The Settlement of the Fee Question</w:t>
      </w:r>
      <w:bookmarkEnd w:id="253"/>
    </w:p>
    <w:p>
      <w:pPr>
        <w:pStyle w:val="Heading2"/>
        <w:keepNext/>
        <w:keepLines/>
      </w:pPr>
      <w:bookmarkStart w:id="254" w:name="_Toc262100154"/>
      <w:r>
        <w:rPr>
          <w:rFonts w:ascii="Calibri" w:hAnsi="Calibri"/>
          <w:b/>
          <w:color w:val="1D4E5F"/>
          <w:sz w:val="27"/>
        </w:rPr>
        <w:t xml:space="preserve">Article 25: The Settlement at a Glance</w:t>
      </w:r>
      <w:bookmarkEnd w:id="254"/>
    </w:p>
    <w:p>
      <w:pPr>
        <w:pStyle w:val="Heading3"/>
        <w:keepNext/>
        <w:keepLines/>
      </w:pPr>
      <w:bookmarkStart w:id="255" w:name="_Toc262100155"/>
      <w:r>
        <w:rPr>
          <w:rFonts w:ascii="Calibri" w:hAnsi="Calibri"/>
          <w:b/>
          <w:color w:val="37666F"/>
          <w:sz w:val="24"/>
        </w:rPr>
        <w:t xml:space="preserve">25.1 Design Logic</w:t>
      </w:r>
      <w:bookmarkEnd w:id="255"/>
    </w:p>
    <w:p>
      <w:pPr>
        <w:spacing w:after="110" w:line="340" w:lineRule="auto"/>
        <w:ind w:left="360" w:hanging="360"/>
        <w:jc w:val="both"/>
      </w:pPr>
      <w:r>
        <w:rPr>
          <w:rFonts w:ascii="Cambria" w:hAnsi="Cambria"/>
          <w:b/>
          <w:color w:val="1D4E5F"/>
          <w:sz w:val="22"/>
        </w:rPr>
        <w:t xml:space="preserve">25.1.1 </w:t>
      </w:r>
      <w:r>
        <w:rPr>
          <w:rFonts w:ascii="Cambria" w:hAnsi="Cambria"/>
          <w:color w:val="20262A"/>
          <w:sz w:val="22"/>
        </w:rPr>
        <w:t xml:space="preserve">The fee question dissolves when the parties stop pricing passage and start pricing services and data. The Compact settles the question with a pair of instruments drawn from the negotiation file and hardened into operative form: the Neutral Escrow Fund, which makes every payment politically neutral by routing it through a neutral fiduciary, and the Route Assurance Data Service, which makes the principal revenue stream a commercial product rather than a charge on the water.</w:t>
      </w:r>
    </w:p>
    <w:p>
      <w:pPr>
        <w:pStyle w:val="Heading3"/>
        <w:keepNext/>
        <w:keepLines/>
      </w:pPr>
      <w:bookmarkStart w:id="256" w:name="_Toc262100156"/>
      <w:r>
        <w:rPr>
          <w:rFonts w:ascii="Calibri" w:hAnsi="Calibri"/>
          <w:b/>
          <w:color w:val="37666F"/>
          <w:sz w:val="24"/>
        </w:rPr>
        <w:t xml:space="preserve">25.2 The Settlement Pair</w:t>
      </w:r>
      <w:bookmarkEnd w:id="256"/>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400"/>
        <w:gridCol w:w="4200"/>
        <w:gridCol w:w="3400"/>
      </w:tblGrid>
      <w:tr>
        <w:trPr>
          <w:tblHeader/>
        </w:trPr>
        <w:tc>
          <w:tcPr>
            <w:tcW w:w="2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Instrument</w:t>
            </w:r>
          </w:p>
        </w:tc>
        <w:tc>
          <w:tcPr>
            <w:tcW w:w="4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What it does</w:t>
            </w:r>
          </w:p>
        </w:tc>
        <w:tc>
          <w:tcPr>
            <w:tcW w:w="3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What it settles</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Neutral Escrow Fund</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Collects every service reimbursement, subscription payment, and contribution into neutral custody in Geneva; distributes to the share-holders and cost centers on a fixed calendar.</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The politics of payment: shippers pay a fund, never a state; states receive from a fund, never from shippers; sanctions friction dies at the firewall.</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Route Assurance Data Service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Sells verified corridor safety data as a subscription product: premium bulletin feeds, mine-risk overlays, convoy window booking data, and the insurer interface.</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The legitimacy of revenue: the principal stream prices a genuine product with a market test, not passage with a legal problem.</w:t>
            </w:r>
          </w:p>
        </w:tc>
      </w:tr>
    </w:tbl>
    <w:p>
      <w:pPr>
        <w:spacing w:after="100"/>
      </w:pPr>
    </w:p>
    <w:p>
      <w:pPr>
        <w:pStyle w:val="Heading3"/>
        <w:keepNext/>
        <w:keepLines/>
      </w:pPr>
      <w:bookmarkStart w:id="257" w:name="_Toc262100157"/>
      <w:r>
        <w:rPr>
          <w:rFonts w:ascii="Calibri" w:hAnsi="Calibri"/>
          <w:b/>
          <w:color w:val="37666F"/>
          <w:sz w:val="24"/>
        </w:rPr>
        <w:t xml:space="preserve">25.3 The Four Streams</w:t>
      </w:r>
      <w:bookmarkEnd w:id="257"/>
    </w:p>
    <w:p>
      <w:pPr>
        <w:spacing w:after="110" w:line="340" w:lineRule="auto"/>
        <w:ind w:left="360" w:hanging="360"/>
        <w:jc w:val="both"/>
      </w:pPr>
      <w:r>
        <w:rPr>
          <w:rFonts w:ascii="Cambria" w:hAnsi="Cambria"/>
          <w:b/>
          <w:color w:val="1D4E5F"/>
          <w:sz w:val="22"/>
        </w:rPr>
        <w:t xml:space="preserve">25.3.1 </w:t>
      </w:r>
      <w:r>
        <w:rPr>
          <w:rFonts w:ascii="Cambria" w:hAnsi="Cambria"/>
          <w:color w:val="20262A"/>
          <w:sz w:val="22"/>
        </w:rPr>
        <w:t xml:space="preserve">Four streams feed the Fund: Data Service subscriptions; Verified Services Catalog reimbursements; the Port Processing Add-On of Article 30.4; and voluntary contributions from states and industry. Every stream enters the same custody, follows the same audit, and distributes on the same calendar.</w:t>
      </w:r>
    </w:p>
    <w:p>
      <w:pPr>
        <w:pStyle w:val="Heading2"/>
        <w:keepNext/>
        <w:keepLines/>
      </w:pPr>
      <w:bookmarkStart w:id="258" w:name="_Toc262100158"/>
      <w:r>
        <w:rPr>
          <w:rFonts w:ascii="Calibri" w:hAnsi="Calibri"/>
          <w:b/>
          <w:color w:val="1D4E5F"/>
          <w:sz w:val="27"/>
        </w:rPr>
        <w:t xml:space="preserve">Article 26: The Zero-Toll Rule and the Service Boundary</w:t>
      </w:r>
      <w:bookmarkEnd w:id="258"/>
    </w:p>
    <w:p>
      <w:pPr>
        <w:pStyle w:val="Heading3"/>
        <w:keepNext/>
        <w:keepLines/>
      </w:pPr>
      <w:bookmarkStart w:id="259" w:name="_Toc262100159"/>
      <w:r>
        <w:rPr>
          <w:rFonts w:ascii="Calibri" w:hAnsi="Calibri"/>
          <w:b/>
          <w:color w:val="37666F"/>
          <w:sz w:val="24"/>
        </w:rPr>
        <w:t xml:space="preserve">26.1 The Rule</w:t>
      </w:r>
      <w:bookmarkEnd w:id="259"/>
    </w:p>
    <w:p>
      <w:pPr>
        <w:spacing w:after="110" w:line="340" w:lineRule="auto"/>
        <w:ind w:left="360" w:hanging="360"/>
        <w:jc w:val="both"/>
      </w:pPr>
      <w:r>
        <w:rPr>
          <w:rFonts w:ascii="Cambria" w:hAnsi="Cambria"/>
          <w:b/>
          <w:color w:val="1D4E5F"/>
          <w:sz w:val="22"/>
        </w:rPr>
        <w:t xml:space="preserve">26.1.1 </w:t>
      </w:r>
      <w:r>
        <w:rPr>
          <w:rFonts w:ascii="Cambria" w:hAnsi="Cambria"/>
          <w:color w:val="20262A"/>
          <w:sz w:val="22"/>
        </w:rPr>
        <w:t xml:space="preserve">Passage carries no charge. No vessel pays anything as a condition of transit through any corridor, belt, zone, or anchorage of the Operating Area, at any phase, under any flow state. IPR-1 states the principle; this Article states the enforcement.</w:t>
      </w:r>
    </w:p>
    <w:p>
      <w:pPr>
        <w:pStyle w:val="Heading3"/>
        <w:keepNext/>
        <w:keepLines/>
      </w:pPr>
      <w:bookmarkStart w:id="260" w:name="_Toc262100160"/>
      <w:r>
        <w:rPr>
          <w:rFonts w:ascii="Calibri" w:hAnsi="Calibri"/>
          <w:b/>
          <w:color w:val="37666F"/>
          <w:sz w:val="24"/>
        </w:rPr>
        <w:t xml:space="preserve">26.2 The Service Boundary</w:t>
      </w:r>
      <w:bookmarkEnd w:id="260"/>
    </w:p>
    <w:p>
      <w:pPr>
        <w:spacing w:after="110" w:line="340" w:lineRule="auto"/>
        <w:ind w:left="360" w:hanging="360"/>
        <w:jc w:val="both"/>
      </w:pPr>
      <w:r>
        <w:rPr>
          <w:rFonts w:ascii="Cambria" w:hAnsi="Cambria"/>
          <w:b/>
          <w:color w:val="1D4E5F"/>
          <w:sz w:val="22"/>
        </w:rPr>
        <w:t xml:space="preserve">26.2.1 </w:t>
      </w:r>
      <w:r>
        <w:rPr>
          <w:rFonts w:ascii="Cambria" w:hAnsi="Cambria"/>
          <w:color w:val="20262A"/>
          <w:sz w:val="22"/>
        </w:rPr>
        <w:t xml:space="preserve">The architecture draws one bright line and holds it everywhere: a charge attaches to a specific, requested, documented service or to a commercial data product, and never to the act of passage. The line follows the distinction the law of the sea draws between a charge on passage, which the framework excludes absolutely, and a charge for a specific service rendered, which the Fund reimburses at documented cost.</w:t>
      </w:r>
    </w:p>
    <w:p>
      <w:pPr>
        <w:spacing w:after="110" w:line="340" w:lineRule="auto"/>
        <w:ind w:left="360" w:hanging="360"/>
        <w:jc w:val="both"/>
      </w:pPr>
      <w:r>
        <w:rPr>
          <w:rFonts w:ascii="Cambria" w:hAnsi="Cambria"/>
          <w:b/>
          <w:color w:val="1D4E5F"/>
          <w:sz w:val="22"/>
        </w:rPr>
        <w:t xml:space="preserve">26.2.2 </w:t>
      </w:r>
      <w:r>
        <w:rPr>
          <w:rFonts w:ascii="Cambria" w:hAnsi="Cambria"/>
          <w:color w:val="20262A"/>
          <w:sz w:val="22"/>
        </w:rPr>
        <w:t xml:space="preserve">Every catalog entry states the service, the evidence of delivery, and the rate. An entry that prices passage fails the boundary and dies on review. The Meridian Verification Office audits the boundary quarterly, and its audit opinion states the boundary result in one sentence.</w:t>
      </w:r>
    </w:p>
    <w:p>
      <w:pPr>
        <w:pStyle w:val="Heading3"/>
        <w:keepNext/>
        <w:keepLines/>
      </w:pPr>
      <w:bookmarkStart w:id="261" w:name="_Toc262100161"/>
      <w:r>
        <w:rPr>
          <w:rFonts w:ascii="Calibri" w:hAnsi="Calibri"/>
          <w:b/>
          <w:color w:val="37666F"/>
          <w:sz w:val="24"/>
        </w:rPr>
        <w:t xml:space="preserve">26.3 The Prohibited Instruments List</w:t>
      </w:r>
      <w:bookmarkEnd w:id="261"/>
    </w:p>
    <w:p>
      <w:pPr>
        <w:spacing w:after="110" w:line="340" w:lineRule="auto"/>
        <w:ind w:left="360" w:hanging="360"/>
        <w:jc w:val="both"/>
      </w:pPr>
      <w:r>
        <w:rPr>
          <w:rFonts w:ascii="Cambria" w:hAnsi="Cambria"/>
          <w:b/>
          <w:color w:val="1D4E5F"/>
          <w:sz w:val="22"/>
        </w:rPr>
        <w:t xml:space="preserve">26.3.1 </w:t>
      </w:r>
      <w:r>
        <w:rPr>
          <w:rFonts w:ascii="Cambria" w:hAnsi="Cambria"/>
          <w:color w:val="20262A"/>
          <w:sz w:val="22"/>
        </w:rPr>
        <w:t xml:space="preserve">The framework excludes, within the Operating Area and everywhere in the Compact: tolls; per-transit passage charges; fees conditioned on flag, cargo, origin, or destination; mandatory insurance tied to any provider; clearance fees; queue fees; and any instrument whose economic effect prices the act of passage. The Council maintains the list as a standing annex entry, and additions to the list follow the ordinary decision rule while removals follow the Perimeter Test.</w:t>
      </w:r>
    </w:p>
    <w:p>
      <w:pPr>
        <w:pStyle w:val="Heading2"/>
        <w:keepNext/>
        <w:keepLines/>
      </w:pPr>
      <w:bookmarkStart w:id="262" w:name="_Toc262100162"/>
      <w:r>
        <w:rPr>
          <w:rFonts w:ascii="Calibri" w:hAnsi="Calibri"/>
          <w:b/>
          <w:color w:val="1D4E5F"/>
          <w:sz w:val="27"/>
        </w:rPr>
        <w:t xml:space="preserve">Article 27: The Hormuz Neutral Escrow Fund</w:t>
      </w:r>
      <w:bookmarkEnd w:id="262"/>
    </w:p>
    <w:p>
      <w:pPr>
        <w:pStyle w:val="Heading3"/>
        <w:keepNext/>
        <w:keepLines/>
      </w:pPr>
      <w:bookmarkStart w:id="263" w:name="_Toc262100163"/>
      <w:r>
        <w:rPr>
          <w:rFonts w:ascii="Calibri" w:hAnsi="Calibri"/>
          <w:b/>
          <w:color w:val="37666F"/>
          <w:sz w:val="24"/>
        </w:rPr>
        <w:t xml:space="preserve">27.1 Establishment and Legal Personality</w:t>
      </w:r>
      <w:bookmarkEnd w:id="263"/>
    </w:p>
    <w:p>
      <w:pPr>
        <w:spacing w:after="110" w:line="340" w:lineRule="auto"/>
        <w:ind w:left="360" w:hanging="360"/>
        <w:jc w:val="both"/>
      </w:pPr>
      <w:r>
        <w:rPr>
          <w:rFonts w:ascii="Cambria" w:hAnsi="Cambria"/>
          <w:b/>
          <w:color w:val="1D4E5F"/>
          <w:sz w:val="22"/>
        </w:rPr>
        <w:t xml:space="preserve">27.1.1 </w:t>
      </w:r>
      <w:r>
        <w:rPr>
          <w:rFonts w:ascii="Cambria" w:hAnsi="Cambria"/>
          <w:color w:val="20262A"/>
          <w:sz w:val="22"/>
        </w:rPr>
        <w:t xml:space="preserve">The Participant States establish the Hormuz Neutral Escrow Fund as a fiduciary structure with legal personality under Swiss law, seated in Geneva, administered by the neutral fiduciary agent appointed under Section 27.2. The Fund holds every Compact payment, and no Compact payment exists outside the Fund.</w:t>
      </w:r>
    </w:p>
    <w:p>
      <w:pPr>
        <w:pStyle w:val="Heading3"/>
        <w:keepNext/>
        <w:keepLines/>
      </w:pPr>
      <w:bookmarkStart w:id="264" w:name="_Toc262100164"/>
      <w:r>
        <w:rPr>
          <w:rFonts w:ascii="Calibri" w:hAnsi="Calibri"/>
          <w:b/>
          <w:color w:val="37666F"/>
          <w:sz w:val="24"/>
        </w:rPr>
        <w:t xml:space="preserve">27.2 The Fiduciary Administrator</w:t>
      </w:r>
      <w:bookmarkEnd w:id="264"/>
    </w:p>
    <w:p>
      <w:pPr>
        <w:spacing w:after="110" w:line="340" w:lineRule="auto"/>
        <w:ind w:left="360" w:hanging="360"/>
        <w:jc w:val="both"/>
      </w:pPr>
      <w:r>
        <w:rPr>
          <w:rFonts w:ascii="Cambria" w:hAnsi="Cambria"/>
          <w:b/>
          <w:color w:val="1D4E5F"/>
          <w:sz w:val="22"/>
        </w:rPr>
        <w:t xml:space="preserve">27.2.1 </w:t>
      </w:r>
      <w:r>
        <w:rPr>
          <w:rFonts w:ascii="Cambria" w:hAnsi="Cambria"/>
          <w:color w:val="20262A"/>
          <w:sz w:val="22"/>
        </w:rPr>
        <w:t xml:space="preserve">The Fund Board appoints the neutral fiduciary agent, a Swiss-regulated fiduciary institution, for a five-year term renewable once. The agent collects, holds, converts, and distributes; the agent never decides policy, never holds a vote, and never touches the corridors.</w:t>
      </w:r>
    </w:p>
    <w:p>
      <w:pPr>
        <w:pStyle w:val="Heading3"/>
        <w:keepNext/>
        <w:keepLines/>
      </w:pPr>
      <w:bookmarkStart w:id="265" w:name="_Toc262100165"/>
      <w:r>
        <w:rPr>
          <w:rFonts w:ascii="Calibri" w:hAnsi="Calibri"/>
          <w:b/>
          <w:color w:val="37666F"/>
          <w:sz w:val="24"/>
        </w:rPr>
        <w:t xml:space="preserve">27.3 The Fund Board</w:t>
      </w:r>
      <w:bookmarkEnd w:id="265"/>
    </w:p>
    <w:p>
      <w:pPr>
        <w:spacing w:after="110" w:line="340" w:lineRule="auto"/>
        <w:ind w:left="360" w:hanging="360"/>
        <w:jc w:val="both"/>
      </w:pPr>
      <w:r>
        <w:rPr>
          <w:rFonts w:ascii="Cambria" w:hAnsi="Cambria"/>
          <w:b/>
          <w:color w:val="1D4E5F"/>
          <w:sz w:val="22"/>
        </w:rPr>
        <w:t xml:space="preserve">27.3.1 </w:t>
      </w:r>
      <w:r>
        <w:rPr>
          <w:rFonts w:ascii="Cambria" w:hAnsi="Cambria"/>
          <w:color w:val="20262A"/>
          <w:sz w:val="22"/>
        </w:rPr>
        <w:t xml:space="preserve">The Fund Board seats seven: two nominees of each Coastal State, one nominee of the Stakeholder Circle, one nominee of the User Circle, and one independent chair selected by the other six from a roster the facilitating states maintain. The Board sets the annual envelope with the Council, supervises the agent, approves distributions, and publishes the accounts.</w:t>
      </w:r>
    </w:p>
    <w:p>
      <w:pPr>
        <w:pStyle w:val="Heading3"/>
        <w:keepNext/>
        <w:keepLines/>
      </w:pPr>
      <w:bookmarkStart w:id="266" w:name="_Toc262100166"/>
      <w:r>
        <w:rPr>
          <w:rFonts w:ascii="Calibri" w:hAnsi="Calibri"/>
          <w:b/>
          <w:color w:val="37666F"/>
          <w:sz w:val="24"/>
        </w:rPr>
        <w:t xml:space="preserve">27.4 The Account Structure</w:t>
      </w:r>
      <w:bookmarkEnd w:id="266"/>
    </w:p>
    <w:p>
      <w:pPr>
        <w:spacing w:after="110" w:line="340" w:lineRule="auto"/>
        <w:ind w:left="360" w:hanging="360"/>
        <w:jc w:val="both"/>
      </w:pPr>
      <w:r>
        <w:rPr>
          <w:rFonts w:ascii="Cambria" w:hAnsi="Cambria"/>
          <w:b/>
          <w:color w:val="1D4E5F"/>
          <w:sz w:val="22"/>
        </w:rPr>
        <w:t xml:space="preserve">27.4.1 </w:t>
      </w:r>
      <w:r>
        <w:rPr>
          <w:rFonts w:ascii="Cambria" w:hAnsi="Cambria"/>
          <w:color w:val="20262A"/>
          <w:sz w:val="22"/>
        </w:rPr>
        <w:t xml:space="preserve">The Fund operates the account structure of Annex F: the Master Account; four Service Accounts, one per corridor plus one for system-wide services; the Performance Reserve; the Environmental Reserve; the Humanitarian Line; and the Verification Line. Every dollar enters the Master Account and moves to its destination account on the allocation table of Annex F, Section F.2.</w:t>
      </w:r>
    </w:p>
    <w:p>
      <w:pPr>
        <w:pStyle w:val="Heading3"/>
        <w:keepNext/>
        <w:keepLines/>
      </w:pPr>
      <w:bookmarkStart w:id="267" w:name="_Toc262100167"/>
      <w:r>
        <w:rPr>
          <w:rFonts w:ascii="Calibri" w:hAnsi="Calibri"/>
          <w:b/>
          <w:color w:val="37666F"/>
          <w:sz w:val="24"/>
        </w:rPr>
        <w:t xml:space="preserve">27.5 Collection Mechanics</w:t>
      </w:r>
      <w:bookmarkEnd w:id="267"/>
    </w:p>
    <w:p>
      <w:pPr>
        <w:spacing w:after="110" w:line="340" w:lineRule="auto"/>
        <w:ind w:left="360" w:hanging="360"/>
        <w:jc w:val="both"/>
      </w:pPr>
      <w:r>
        <w:rPr>
          <w:rFonts w:ascii="Cambria" w:hAnsi="Cambria"/>
          <w:b/>
          <w:color w:val="1D4E5F"/>
          <w:sz w:val="22"/>
        </w:rPr>
        <w:t xml:space="preserve">27.5.1 </w:t>
      </w:r>
      <w:r>
        <w:rPr>
          <w:rFonts w:ascii="Cambria" w:hAnsi="Cambria"/>
          <w:color w:val="20262A"/>
          <w:sz w:val="22"/>
        </w:rPr>
        <w:t xml:space="preserve">Subscribers pay the Fund directly under their Data Service agreements. Service users pay the Fund against catalog invoices. Ports collect the Port Processing Add-On as agents of the Fund. No vessel, insurer, or flag state pays any Participant State directly, and no Participant State collects from any vessel, insurer, or flag state. IPR-7 states the principle; this clause states the mechanics.</w:t>
      </w:r>
    </w:p>
    <w:p>
      <w:pPr>
        <w:pStyle w:val="Heading3"/>
        <w:keepNext/>
        <w:keepLines/>
      </w:pPr>
      <w:bookmarkStart w:id="268" w:name="_Toc262100168"/>
      <w:r>
        <w:rPr>
          <w:rFonts w:ascii="Calibri" w:hAnsi="Calibri"/>
          <w:b/>
          <w:color w:val="37666F"/>
          <w:sz w:val="24"/>
        </w:rPr>
        <w:t xml:space="preserve">27.6 The Distribution Calendar</w:t>
      </w:r>
      <w:bookmarkEnd w:id="268"/>
    </w:p>
    <w:p>
      <w:pPr>
        <w:spacing w:after="110" w:line="340" w:lineRule="auto"/>
        <w:ind w:left="360" w:hanging="360"/>
        <w:jc w:val="both"/>
      </w:pPr>
      <w:r>
        <w:rPr>
          <w:rFonts w:ascii="Cambria" w:hAnsi="Cambria"/>
          <w:b/>
          <w:color w:val="1D4E5F"/>
          <w:sz w:val="22"/>
        </w:rPr>
        <w:t xml:space="preserve">27.6.1 </w:t>
      </w:r>
      <w:r>
        <w:rPr>
          <w:rFonts w:ascii="Cambria" w:hAnsi="Cambria"/>
          <w:color w:val="20262A"/>
          <w:sz w:val="22"/>
        </w:rPr>
        <w:t xml:space="preserve">The agent distributes quarterly, forty-five days after quarter close, against the Office's audit opinion: service reimbursements to the delivering parties at catalog rates; share apportionments to the share-holders under Article 29; reserve allocations at the standing rates; and the Stewardship Dividend annually under Article 19.3.</w:t>
      </w:r>
    </w:p>
    <w:p>
      <w:pPr>
        <w:pStyle w:val="Heading3"/>
        <w:keepNext/>
        <w:keepLines/>
      </w:pPr>
      <w:bookmarkStart w:id="269" w:name="_Toc262100169"/>
      <w:r>
        <w:rPr>
          <w:rFonts w:ascii="Calibri" w:hAnsi="Calibri"/>
          <w:b/>
          <w:color w:val="37666F"/>
          <w:sz w:val="24"/>
        </w:rPr>
        <w:t xml:space="preserve">27.7 The Sanctions-Compliance Firewall</w:t>
      </w:r>
      <w:bookmarkEnd w:id="269"/>
    </w:p>
    <w:p>
      <w:pPr>
        <w:spacing w:after="110" w:line="340" w:lineRule="auto"/>
        <w:ind w:left="360" w:hanging="360"/>
        <w:jc w:val="both"/>
      </w:pPr>
      <w:r>
        <w:rPr>
          <w:rFonts w:ascii="Cambria" w:hAnsi="Cambria"/>
          <w:b/>
          <w:color w:val="1D4E5F"/>
          <w:sz w:val="22"/>
        </w:rPr>
        <w:t xml:space="preserve">27.7.1 </w:t>
      </w:r>
      <w:r>
        <w:rPr>
          <w:rFonts w:ascii="Cambria" w:hAnsi="Cambria"/>
          <w:color w:val="20262A"/>
          <w:sz w:val="22"/>
        </w:rPr>
        <w:t xml:space="preserve">The Fund operates the firewall of Annex F, Section F.5: dual-currency accounting in Swiss francs and United States dollars; clearing through neutral institutions; a payment surety structure under which every payment arrives as a subscription or invoice settlement to a Swiss fiduciary and never as a transfer to a sanctioned party; legal opinions refreshed annually in three jurisdictions; and a continuity protocol under which a sanctions change in any jurisdiction reroutes flows through the alternate currency and the alternate clearing house within thirty days, without any interruption to corridor operations. The water never waits for the lawyers.</w:t>
      </w:r>
    </w:p>
    <w:p>
      <w:pPr>
        <w:pStyle w:val="Heading2"/>
        <w:keepNext/>
        <w:keepLines/>
      </w:pPr>
      <w:bookmarkStart w:id="270" w:name="_Toc262100170"/>
      <w:r>
        <w:rPr>
          <w:rFonts w:ascii="Calibri" w:hAnsi="Calibri"/>
          <w:b/>
          <w:color w:val="1D4E5F"/>
          <w:sz w:val="27"/>
        </w:rPr>
        <w:t xml:space="preserve">Article 28: The Route Assurance Data Service</w:t>
      </w:r>
      <w:bookmarkEnd w:id="270"/>
    </w:p>
    <w:p>
      <w:pPr>
        <w:pStyle w:val="Heading3"/>
        <w:keepNext/>
        <w:keepLines/>
      </w:pPr>
      <w:bookmarkStart w:id="271" w:name="_Toc262100171"/>
      <w:r>
        <w:rPr>
          <w:rFonts w:ascii="Calibri" w:hAnsi="Calibri"/>
          <w:b/>
          <w:color w:val="37666F"/>
          <w:sz w:val="24"/>
        </w:rPr>
        <w:t xml:space="preserve">28.1 The Product</w:t>
      </w:r>
      <w:bookmarkEnd w:id="271"/>
    </w:p>
    <w:p>
      <w:pPr>
        <w:spacing w:after="110" w:line="340" w:lineRule="auto"/>
        <w:ind w:left="360" w:hanging="360"/>
        <w:jc w:val="both"/>
      </w:pPr>
      <w:r>
        <w:rPr>
          <w:rFonts w:ascii="Cambria" w:hAnsi="Cambria"/>
          <w:b/>
          <w:color w:val="1D4E5F"/>
          <w:sz w:val="22"/>
        </w:rPr>
        <w:t xml:space="preserve">28.1.1 </w:t>
      </w:r>
      <w:r>
        <w:rPr>
          <w:rFonts w:ascii="Cambria" w:hAnsi="Cambria"/>
          <w:color w:val="20262A"/>
          <w:sz w:val="22"/>
        </w:rPr>
        <w:t xml:space="preserve">The Route Assurance Data Service sells certainty. The Center operates the platform, and the product packages the verified outputs of the corridor system into four subscriber offers: the Standard Subscription, the Premium Subscription, the Insurer Interface, and the Convoy Data Window. Annex E states the full catalog, the service levels, and the subscription bands.</w:t>
      </w:r>
    </w:p>
    <w:p>
      <w:pPr>
        <w:spacing w:after="110" w:line="340" w:lineRule="auto"/>
        <w:ind w:left="360" w:hanging="360"/>
        <w:jc w:val="both"/>
      </w:pPr>
      <w:r>
        <w:rPr>
          <w:rFonts w:ascii="Cambria" w:hAnsi="Cambria"/>
          <w:b/>
          <w:color w:val="1D4E5F"/>
          <w:sz w:val="22"/>
        </w:rPr>
        <w:t xml:space="preserve">28.1.2 </w:t>
      </w:r>
      <w:r>
        <w:rPr>
          <w:rFonts w:ascii="Cambria" w:hAnsi="Cambria"/>
          <w:color w:val="20262A"/>
          <w:sz w:val="22"/>
        </w:rPr>
        <w:t xml:space="preserve">The public layer remains free forever: the daily Bulletin, the corridor status, and the safety notices. Subscribers buy speed, depth, machine-readability, and assurance documentation, never safety itself. The architecture excludes any two-tier safety regime.</w:t>
      </w:r>
    </w:p>
    <w:p>
      <w:pPr>
        <w:pStyle w:val="Heading3"/>
        <w:keepNext/>
        <w:keepLines/>
      </w:pPr>
      <w:bookmarkStart w:id="272" w:name="_Toc262100172"/>
      <w:r>
        <w:rPr>
          <w:rFonts w:ascii="Calibri" w:hAnsi="Calibri"/>
          <w:b/>
          <w:color w:val="37666F"/>
          <w:sz w:val="24"/>
        </w:rPr>
        <w:t xml:space="preserve">28.2 Pricing</w:t>
      </w:r>
      <w:bookmarkEnd w:id="272"/>
    </w:p>
    <w:p>
      <w:pPr>
        <w:spacing w:after="110" w:line="340" w:lineRule="auto"/>
        <w:ind w:left="360" w:hanging="360"/>
        <w:jc w:val="both"/>
      </w:pPr>
      <w:r>
        <w:rPr>
          <w:rFonts w:ascii="Cambria" w:hAnsi="Cambria"/>
          <w:b/>
          <w:color w:val="1D4E5F"/>
          <w:sz w:val="22"/>
        </w:rPr>
        <w:t xml:space="preserve">28.2.1 </w:t>
      </w:r>
      <w:r>
        <w:rPr>
          <w:rFonts w:ascii="Cambria" w:hAnsi="Cambria"/>
          <w:color w:val="20262A"/>
          <w:sz w:val="22"/>
        </w:rPr>
        <w:t xml:space="preserve">Subscription bands follow vessel class and fleet size, as Annex E, Table E-1 states, with a heavy-user cap that holds any single operator's annual subscription below the cap line of that table. Day passes price occasional transits. Pricing reviews annually against the cost envelope, and every price change publishes ninety days in advance.</w:t>
      </w:r>
    </w:p>
    <w:p>
      <w:pPr>
        <w:pStyle w:val="Heading3"/>
        <w:keepNext/>
        <w:keepLines/>
      </w:pPr>
      <w:bookmarkStart w:id="273" w:name="_Toc262100173"/>
      <w:r>
        <w:rPr>
          <w:rFonts w:ascii="Calibri" w:hAnsi="Calibri"/>
          <w:b/>
          <w:color w:val="37666F"/>
          <w:sz w:val="24"/>
        </w:rPr>
        <w:t xml:space="preserve">28.3 The Premium Dividend</w:t>
      </w:r>
      <w:bookmarkEnd w:id="273"/>
    </w:p>
    <w:p>
      <w:pPr>
        <w:spacing w:after="110" w:line="340" w:lineRule="auto"/>
        <w:ind w:left="360" w:hanging="360"/>
        <w:jc w:val="both"/>
      </w:pPr>
      <w:r>
        <w:rPr>
          <w:rFonts w:ascii="Cambria" w:hAnsi="Cambria"/>
          <w:b/>
          <w:color w:val="1D4E5F"/>
          <w:sz w:val="22"/>
        </w:rPr>
        <w:t xml:space="preserve">28.3.1 </w:t>
      </w:r>
      <w:r>
        <w:rPr>
          <w:rFonts w:ascii="Cambria" w:hAnsi="Cambria"/>
          <w:color w:val="20262A"/>
          <w:sz w:val="22"/>
        </w:rPr>
        <w:t xml:space="preserve">The Data Service maintains the Insurer Interface: a documented feed through which war-risk underwriters verify corridor status, incident rates, and vessel compliance. Where the Interface measurably reduces a fleet's war-risk premium below the baseline of Annex E, Section E.5, the fleet's subscription includes a Premium Dividend equal to fifteen percent of the documented reduction, capped at one hundred percent of that fleet's subscription. The dividend aligns everyone: safer water, cheaper insurance, stronger revenue, all from the same facts.</w:t>
      </w:r>
    </w:p>
    <w:p>
      <w:pPr>
        <w:pStyle w:val="Heading3"/>
        <w:keepNext/>
        <w:keepLines/>
      </w:pPr>
      <w:bookmarkStart w:id="274" w:name="_Toc262100174"/>
      <w:r>
        <w:rPr>
          <w:rFonts w:ascii="Calibri" w:hAnsi="Calibri"/>
          <w:b/>
          <w:color w:val="37666F"/>
          <w:sz w:val="24"/>
        </w:rPr>
        <w:t xml:space="preserve">28.4 Voluntary by Design</w:t>
      </w:r>
      <w:bookmarkEnd w:id="274"/>
    </w:p>
    <w:p>
      <w:pPr>
        <w:spacing w:after="110" w:line="340" w:lineRule="auto"/>
        <w:ind w:left="360" w:hanging="360"/>
        <w:jc w:val="both"/>
      </w:pPr>
      <w:r>
        <w:rPr>
          <w:rFonts w:ascii="Cambria" w:hAnsi="Cambria"/>
          <w:b/>
          <w:color w:val="1D4E5F"/>
          <w:sz w:val="22"/>
        </w:rPr>
        <w:t xml:space="preserve">28.4.1 </w:t>
      </w:r>
      <w:r>
        <w:rPr>
          <w:rFonts w:ascii="Cambria" w:hAnsi="Cambria"/>
          <w:color w:val="20262A"/>
          <w:sz w:val="22"/>
        </w:rPr>
        <w:t xml:space="preserve">No vessel subscribes under any compulsion. The product sells because it pays: through insurance arithmetic, convoy priority data, and fuel-saving routing windows. The architecture rejects the fiction of a voluntary toll and delivers instead a genuinely optional product with a genuine market test.</w:t>
      </w:r>
    </w:p>
    <w:p>
      <w:pPr>
        <w:pStyle w:val="Heading2"/>
        <w:keepNext/>
        <w:keepLines/>
      </w:pPr>
      <w:bookmarkStart w:id="275" w:name="_Toc262100175"/>
      <w:r>
        <w:rPr>
          <w:rFonts w:ascii="Calibri" w:hAnsi="Calibri"/>
          <w:b/>
          <w:color w:val="1D4E5F"/>
          <w:sz w:val="27"/>
        </w:rPr>
        <w:t xml:space="preserve">Article 29: Revenue Apportionment by Share</w:t>
      </w:r>
      <w:bookmarkEnd w:id="275"/>
    </w:p>
    <w:p>
      <w:pPr>
        <w:pStyle w:val="Heading3"/>
        <w:keepNext/>
        <w:keepLines/>
      </w:pPr>
      <w:bookmarkStart w:id="276" w:name="_Toc262100176"/>
      <w:r>
        <w:rPr>
          <w:rFonts w:ascii="Calibri" w:hAnsi="Calibri"/>
          <w:b/>
          <w:color w:val="37666F"/>
          <w:sz w:val="24"/>
        </w:rPr>
        <w:t xml:space="preserve">29.1 The Top-Slice</w:t>
      </w:r>
      <w:bookmarkEnd w:id="276"/>
    </w:p>
    <w:p>
      <w:pPr>
        <w:spacing w:after="110" w:line="340" w:lineRule="auto"/>
        <w:ind w:left="360" w:hanging="360"/>
        <w:jc w:val="both"/>
      </w:pPr>
      <w:r>
        <w:rPr>
          <w:rFonts w:ascii="Cambria" w:hAnsi="Cambria"/>
          <w:b/>
          <w:color w:val="1D4E5F"/>
          <w:sz w:val="22"/>
        </w:rPr>
        <w:t xml:space="preserve">29.1.1 </w:t>
      </w:r>
      <w:r>
        <w:rPr>
          <w:rFonts w:ascii="Cambria" w:hAnsi="Cambria"/>
          <w:color w:val="20262A"/>
          <w:sz w:val="22"/>
        </w:rPr>
        <w:t xml:space="preserve">Twelve percent of every receipt enters the Fund's system accounts before any apportionment: six percent to the operations budget of the Center, three percent to the Performance Reserve, two percent to the Environmental Reserve, and one percent to the Humanitarian Line. The top-slice funds the system itself, so the system never competes with the share-holders for money.</w:t>
      </w:r>
    </w:p>
    <w:p>
      <w:pPr>
        <w:pStyle w:val="Heading3"/>
        <w:keepNext/>
        <w:keepLines/>
      </w:pPr>
      <w:bookmarkStart w:id="277" w:name="_Toc262100177"/>
      <w:r>
        <w:rPr>
          <w:rFonts w:ascii="Calibri" w:hAnsi="Calibri"/>
          <w:b/>
          <w:color w:val="37666F"/>
          <w:sz w:val="24"/>
        </w:rPr>
        <w:t xml:space="preserve">29.2 The Corridor Rule</w:t>
      </w:r>
      <w:bookmarkEnd w:id="277"/>
    </w:p>
    <w:p>
      <w:pPr>
        <w:spacing w:after="110" w:line="340" w:lineRule="auto"/>
        <w:ind w:left="360" w:hanging="360"/>
        <w:jc w:val="both"/>
      </w:pPr>
      <w:r>
        <w:rPr>
          <w:rFonts w:ascii="Cambria" w:hAnsi="Cambria"/>
          <w:b/>
          <w:color w:val="1D4E5F"/>
          <w:sz w:val="22"/>
        </w:rPr>
        <w:t xml:space="preserve">29.2.1 </w:t>
      </w:r>
      <w:r>
        <w:rPr>
          <w:rFonts w:ascii="Cambria" w:hAnsi="Cambria"/>
          <w:color w:val="20262A"/>
          <w:sz w:val="22"/>
        </w:rPr>
        <w:t xml:space="preserve">Of the remainder: Northern Coordination Corridor receipts apportion to the Islamic Republic of Iran; Southern Assurance Corridor receipts apportion to the Sultanate of Oman; Central Buffer Corridor receipts apportion pro-rata to the three share-holders at their current shares as the Share Register records them on the last day of the quarter.</w:t>
      </w:r>
    </w:p>
    <w:p>
      <w:pPr>
        <w:pStyle w:val="Heading3"/>
        <w:keepNext/>
        <w:keepLines/>
      </w:pPr>
      <w:bookmarkStart w:id="278" w:name="_Toc262100178"/>
      <w:r>
        <w:rPr>
          <w:rFonts w:ascii="Calibri" w:hAnsi="Calibri"/>
          <w:b/>
          <w:color w:val="37666F"/>
          <w:sz w:val="24"/>
        </w:rPr>
        <w:t xml:space="preserve">29.3 The System-Wide Rule</w:t>
      </w:r>
      <w:bookmarkEnd w:id="278"/>
    </w:p>
    <w:p>
      <w:pPr>
        <w:spacing w:after="110" w:line="340" w:lineRule="auto"/>
        <w:ind w:left="360" w:hanging="360"/>
        <w:jc w:val="both"/>
      </w:pPr>
      <w:r>
        <w:rPr>
          <w:rFonts w:ascii="Cambria" w:hAnsi="Cambria"/>
          <w:b/>
          <w:color w:val="1D4E5F"/>
          <w:sz w:val="22"/>
        </w:rPr>
        <w:t xml:space="preserve">29.3.1 </w:t>
      </w:r>
      <w:r>
        <w:rPr>
          <w:rFonts w:ascii="Cambria" w:hAnsi="Cambria"/>
          <w:color w:val="20262A"/>
          <w:sz w:val="22"/>
        </w:rPr>
        <w:t xml:space="preserve">System-wide receipts, meaning Data Service subscriptions not attributable to a single corridor, Port Processing Add-On receipts, and voluntary contributions, apportion: forty percent to Iran, forty percent to Oman, and twenty percent to the Standing Share, which funds Center operations, verification, and the review machinery.</w:t>
      </w:r>
    </w:p>
    <w:p>
      <w:pPr>
        <w:pStyle w:val="Heading3"/>
        <w:keepNext/>
        <w:keepLines/>
      </w:pPr>
      <w:bookmarkStart w:id="279" w:name="_Toc262100179"/>
      <w:r>
        <w:rPr>
          <w:rFonts w:ascii="Calibri" w:hAnsi="Calibri"/>
          <w:b/>
          <w:color w:val="37666F"/>
          <w:sz w:val="24"/>
        </w:rPr>
        <w:t xml:space="preserve">29.4 Worked Example</w:t>
      </w:r>
      <w:bookmarkEnd w:id="279"/>
    </w:p>
    <w:p>
      <w:pPr>
        <w:spacing w:after="110" w:line="340" w:lineRule="auto"/>
        <w:ind w:left="360" w:hanging="360"/>
        <w:jc w:val="both"/>
      </w:pPr>
      <w:r>
        <w:rPr>
          <w:rFonts w:ascii="Cambria" w:hAnsi="Cambria"/>
          <w:b/>
          <w:color w:val="1D4E5F"/>
          <w:sz w:val="22"/>
        </w:rPr>
        <w:t xml:space="preserve">29.4.1 </w:t>
      </w:r>
      <w:r>
        <w:rPr>
          <w:rFonts w:ascii="Cambria" w:hAnsi="Cambria"/>
          <w:color w:val="20262A"/>
          <w:sz w:val="22"/>
        </w:rPr>
        <w:t xml:space="preserve">Annex F, Section F.7 works the arithmetic on a full illustrative year: vessel-level invoices, fund-level flows, the top-slice, the corridor apportionments, the buffer pro-rata at baseline and at the ceiling, and the dividend. The example uses illustrative volumes and rates, and the Council adopts actual opening volumes at Phase Five.</w:t>
      </w:r>
    </w:p>
    <w:p>
      <w:pPr>
        <w:pStyle w:val="Heading2"/>
        <w:keepNext/>
        <w:keepLines/>
      </w:pPr>
      <w:bookmarkStart w:id="280" w:name="_Toc262100180"/>
      <w:r>
        <w:rPr>
          <w:rFonts w:ascii="Calibri" w:hAnsi="Calibri"/>
          <w:b/>
          <w:color w:val="1D4E5F"/>
          <w:sz w:val="27"/>
        </w:rPr>
        <w:t xml:space="preserve">Article 30: Budget, Audit, and Transparency</w:t>
      </w:r>
      <w:bookmarkEnd w:id="280"/>
    </w:p>
    <w:p>
      <w:pPr>
        <w:pStyle w:val="Heading3"/>
        <w:keepNext/>
        <w:keepLines/>
      </w:pPr>
      <w:bookmarkStart w:id="281" w:name="_Toc262100181"/>
      <w:r>
        <w:rPr>
          <w:rFonts w:ascii="Calibri" w:hAnsi="Calibri"/>
          <w:b/>
          <w:color w:val="37666F"/>
          <w:sz w:val="24"/>
        </w:rPr>
        <w:t xml:space="preserve">30.1 The Annual Envelope</w:t>
      </w:r>
      <w:bookmarkEnd w:id="281"/>
    </w:p>
    <w:p>
      <w:pPr>
        <w:spacing w:after="110" w:line="340" w:lineRule="auto"/>
        <w:ind w:left="360" w:hanging="360"/>
        <w:jc w:val="both"/>
      </w:pPr>
      <w:r>
        <w:rPr>
          <w:rFonts w:ascii="Cambria" w:hAnsi="Cambria"/>
          <w:b/>
          <w:color w:val="1D4E5F"/>
          <w:sz w:val="22"/>
        </w:rPr>
        <w:t xml:space="preserve">30.1.1 </w:t>
      </w:r>
      <w:r>
        <w:rPr>
          <w:rFonts w:ascii="Cambria" w:hAnsi="Cambria"/>
          <w:color w:val="20262A"/>
          <w:sz w:val="22"/>
        </w:rPr>
        <w:t xml:space="preserve">The Council adopts the annual envelope each year at the October session: operations budget, service reimbursement ceiling, reserve rates, and the verification budget. Annex M states the standing envelope for the first operating year. Spending beyond an envelope line requires a Council decision under the Qualified Majority Rule, published with reasons.</w:t>
      </w:r>
    </w:p>
    <w:p>
      <w:pPr>
        <w:pStyle w:val="Heading3"/>
        <w:keepNext/>
        <w:keepLines/>
      </w:pPr>
      <w:bookmarkStart w:id="282" w:name="_Toc262100182"/>
      <w:r>
        <w:rPr>
          <w:rFonts w:ascii="Calibri" w:hAnsi="Calibri"/>
          <w:b/>
          <w:color w:val="37666F"/>
          <w:sz w:val="24"/>
        </w:rPr>
        <w:t xml:space="preserve">30.2 Cost Discipline Rules</w:t>
      </w:r>
      <w:bookmarkEnd w:id="282"/>
    </w:p>
    <w:p>
      <w:pPr>
        <w:spacing w:after="110" w:line="340" w:lineRule="auto"/>
        <w:ind w:left="360" w:hanging="360"/>
        <w:jc w:val="both"/>
      </w:pPr>
      <w:r>
        <w:rPr>
          <w:rFonts w:ascii="Cambria" w:hAnsi="Cambria"/>
          <w:b/>
          <w:color w:val="1D4E5F"/>
          <w:sz w:val="22"/>
        </w:rPr>
        <w:t xml:space="preserve">30.2.1 </w:t>
      </w:r>
      <w:r>
        <w:rPr>
          <w:rFonts w:ascii="Cambria" w:hAnsi="Cambria"/>
          <w:color w:val="20262A"/>
          <w:sz w:val="22"/>
        </w:rPr>
        <w:t xml:space="preserve">Services reimburse at documented cost plus the fixed administrative margin of twelve percent, and nothing more. Procurement above one hundred thousand dollars follows open tender through the fiduciary agent. The Fund Board publishes variance against every envelope line each quarter.</w:t>
      </w:r>
    </w:p>
    <w:p>
      <w:pPr>
        <w:pStyle w:val="Heading3"/>
        <w:keepNext/>
        <w:keepLines/>
      </w:pPr>
      <w:bookmarkStart w:id="283" w:name="_Toc262100183"/>
      <w:r>
        <w:rPr>
          <w:rFonts w:ascii="Calibri" w:hAnsi="Calibri"/>
          <w:b/>
          <w:color w:val="37666F"/>
          <w:sz w:val="24"/>
        </w:rPr>
        <w:t xml:space="preserve">30.3 The Audit Chain</w:t>
      </w:r>
      <w:bookmarkEnd w:id="283"/>
    </w:p>
    <w:p>
      <w:pPr>
        <w:spacing w:after="110" w:line="340" w:lineRule="auto"/>
        <w:ind w:left="360" w:hanging="360"/>
        <w:jc w:val="both"/>
      </w:pPr>
      <w:r>
        <w:rPr>
          <w:rFonts w:ascii="Cambria" w:hAnsi="Cambria"/>
          <w:b/>
          <w:color w:val="1D4E5F"/>
          <w:sz w:val="22"/>
        </w:rPr>
        <w:t xml:space="preserve">30.3.1 </w:t>
      </w:r>
      <w:r>
        <w:rPr>
          <w:rFonts w:ascii="Cambria" w:hAnsi="Cambria"/>
          <w:color w:val="20262A"/>
          <w:sz w:val="22"/>
        </w:rPr>
        <w:t xml:space="preserve">The audit chain runs three links: the fiduciary agent reconciles daily; the Meridian Verification Office audits quarterly and issues the opinion that unlocks distribution; and an external audit firm of international standing, appointed by the Fund Board for a three-year term, audits annually and publishes in full. Every opinion states the boundary result of Article 26.2 in one sentence.</w:t>
      </w:r>
    </w:p>
    <w:p>
      <w:pPr>
        <w:pStyle w:val="Heading3"/>
        <w:keepNext/>
        <w:keepLines/>
      </w:pPr>
      <w:bookmarkStart w:id="284" w:name="_Toc262100184"/>
      <w:r>
        <w:rPr>
          <w:rFonts w:ascii="Calibri" w:hAnsi="Calibri"/>
          <w:b/>
          <w:color w:val="37666F"/>
          <w:sz w:val="24"/>
        </w:rPr>
        <w:t xml:space="preserve">30.4 The Port Processing Add-On</w:t>
      </w:r>
      <w:bookmarkEnd w:id="284"/>
    </w:p>
    <w:p>
      <w:pPr>
        <w:spacing w:after="110" w:line="340" w:lineRule="auto"/>
        <w:ind w:left="360" w:hanging="360"/>
        <w:jc w:val="both"/>
      </w:pPr>
      <w:r>
        <w:rPr>
          <w:rFonts w:ascii="Cambria" w:hAnsi="Cambria"/>
          <w:b/>
          <w:color w:val="1D4E5F"/>
          <w:sz w:val="22"/>
        </w:rPr>
        <w:t xml:space="preserve">30.4.1 </w:t>
      </w:r>
      <w:r>
        <w:rPr>
          <w:rFonts w:ascii="Cambria" w:hAnsi="Cambria"/>
          <w:color w:val="20262A"/>
          <w:sz w:val="22"/>
        </w:rPr>
        <w:t xml:space="preserve">Ports serving the corridor system collect the Port Processing Add-On, a fixed documentation charge of Annex D, Table D-3, as agents of the Fund, at the port of origin or destination outside the strait. The Add-On prices port documentation work, reinforces the Service Boundary by moving the transaction away from the point of passage, and never touches the act of transit.</w:t>
      </w:r>
    </w:p>
    <w:p>
      <w:pPr>
        <w:pStyle w:val="Heading3"/>
        <w:keepNext/>
        <w:keepLines/>
      </w:pPr>
      <w:bookmarkStart w:id="285" w:name="_Toc262100185"/>
      <w:r>
        <w:rPr>
          <w:rFonts w:ascii="Calibri" w:hAnsi="Calibri"/>
          <w:b/>
          <w:color w:val="37666F"/>
          <w:sz w:val="24"/>
        </w:rPr>
        <w:t xml:space="preserve">30.5 The Global Compliance Firewall</w:t>
      </w:r>
      <w:bookmarkEnd w:id="285"/>
    </w:p>
    <w:p>
      <w:pPr>
        <w:spacing w:after="110" w:line="340" w:lineRule="auto"/>
        <w:ind w:left="360" w:hanging="360"/>
        <w:jc w:val="both"/>
      </w:pPr>
      <w:r>
        <w:rPr>
          <w:rFonts w:ascii="Cambria" w:hAnsi="Cambria"/>
          <w:b/>
          <w:color w:val="1D4E5F"/>
          <w:sz w:val="22"/>
        </w:rPr>
        <w:t xml:space="preserve">30.5.1 </w:t>
      </w:r>
      <w:r>
        <w:rPr>
          <w:rFonts w:ascii="Cambria" w:hAnsi="Cambria"/>
          <w:color w:val="20262A"/>
          <w:sz w:val="22"/>
        </w:rPr>
        <w:t xml:space="preserve">Fund money buys services, verification, data, and stewardship, and nothing else. The framework excludes any use of Fund money for military procurement, and the annual audit states the exclusion result in one sentence.</w:t>
      </w:r>
    </w:p>
    <w:p>
      <w:pPr>
        <w:pStyle w:val="Heading3"/>
        <w:keepNext/>
        <w:keepLines/>
      </w:pPr>
      <w:bookmarkStart w:id="286" w:name="_Toc262100186"/>
      <w:r>
        <w:rPr>
          <w:rFonts w:ascii="Calibri" w:hAnsi="Calibri"/>
          <w:b/>
          <w:color w:val="37666F"/>
          <w:sz w:val="24"/>
        </w:rPr>
        <w:t xml:space="preserve">30.6 Transparency</w:t>
      </w:r>
      <w:bookmarkEnd w:id="286"/>
    </w:p>
    <w:p>
      <w:pPr>
        <w:spacing w:after="110" w:line="340" w:lineRule="auto"/>
        <w:ind w:left="360" w:hanging="360"/>
        <w:jc w:val="both"/>
      </w:pPr>
      <w:r>
        <w:rPr>
          <w:rFonts w:ascii="Cambria" w:hAnsi="Cambria"/>
          <w:b/>
          <w:color w:val="1D4E5F"/>
          <w:sz w:val="22"/>
        </w:rPr>
        <w:t xml:space="preserve">30.6.1 </w:t>
      </w:r>
      <w:r>
        <w:rPr>
          <w:rFonts w:ascii="Cambria" w:hAnsi="Cambria"/>
          <w:color w:val="20262A"/>
          <w:sz w:val="22"/>
        </w:rPr>
        <w:t xml:space="preserve">The Fund publishes its accounts quarterly in full: every receipt by stream, every reimbursement by catalog line, every apportionment by share, every reserve movement, and every fee paid to the fiduciary agent. Publication follows IPR-14 on the fixed calendar, and nothing in the accounts carries a classification.</w:t>
      </w:r>
    </w:p>
    <w:p>
      <w:pPr>
        <w:pStyle w:val="Heading1"/>
        <w:keepNext/>
        <w:keepLines/>
        <w:pageBreakBefore/>
      </w:pPr>
      <w:bookmarkStart w:id="287" w:name="_Toc262100187"/>
      <w:r>
        <w:rPr>
          <w:rFonts w:ascii="Calibri" w:hAnsi="Calibri"/>
          <w:b/>
          <w:color w:val="1D4E5F"/>
          <w:sz w:val="34"/>
        </w:rPr>
        <w:t xml:space="preserve">Part VI: Safety, Security, and Environmental Protection</w:t>
      </w:r>
      <w:bookmarkEnd w:id="287"/>
    </w:p>
    <w:p>
      <w:pPr>
        <w:pStyle w:val="Heading2"/>
        <w:keepNext/>
        <w:keepLines/>
      </w:pPr>
      <w:bookmarkStart w:id="288" w:name="_Toc262100188"/>
      <w:r>
        <w:rPr>
          <w:rFonts w:ascii="Calibri" w:hAnsi="Calibri"/>
          <w:b/>
          <w:color w:val="1D4E5F"/>
          <w:sz w:val="27"/>
        </w:rPr>
        <w:t xml:space="preserve">Article 31: Verification Philosophy: The Human Anchor Method</w:t>
      </w:r>
      <w:bookmarkEnd w:id="288"/>
    </w:p>
    <w:p>
      <w:pPr>
        <w:pStyle w:val="Heading3"/>
        <w:keepNext/>
        <w:keepLines/>
      </w:pPr>
      <w:bookmarkStart w:id="289" w:name="_Toc262100189"/>
      <w:r>
        <w:rPr>
          <w:rFonts w:ascii="Calibri" w:hAnsi="Calibri"/>
          <w:b/>
          <w:color w:val="37666F"/>
          <w:sz w:val="24"/>
        </w:rPr>
        <w:t xml:space="preserve">31.1 Layered Inputs</w:t>
      </w:r>
      <w:bookmarkEnd w:id="289"/>
    </w:p>
    <w:p>
      <w:pPr>
        <w:spacing w:after="110" w:line="340" w:lineRule="auto"/>
        <w:ind w:left="360" w:hanging="360"/>
        <w:jc w:val="both"/>
      </w:pPr>
      <w:r>
        <w:rPr>
          <w:rFonts w:ascii="Cambria" w:hAnsi="Cambria"/>
          <w:b/>
          <w:color w:val="1D4E5F"/>
          <w:sz w:val="22"/>
        </w:rPr>
        <w:t xml:space="preserve">31.1.1 </w:t>
      </w:r>
      <w:r>
        <w:rPr>
          <w:rFonts w:ascii="Cambria" w:hAnsi="Cambria"/>
          <w:color w:val="20262A"/>
          <w:sz w:val="22"/>
        </w:rPr>
        <w:t xml:space="preserve">Verification draws on four layers: automated feeds, radar, Automatic Identification System, and platform telemetry; embarked observers; shore-based observation at the watch floors; and document evidence, invoices, logs, and filings. No single layer decides anything consequential alone.</w:t>
      </w:r>
    </w:p>
    <w:p>
      <w:pPr>
        <w:pStyle w:val="Heading3"/>
        <w:keepNext/>
        <w:keepLines/>
      </w:pPr>
      <w:bookmarkStart w:id="290" w:name="_Toc262100190"/>
      <w:r>
        <w:rPr>
          <w:rFonts w:ascii="Calibri" w:hAnsi="Calibri"/>
          <w:b/>
          <w:color w:val="37666F"/>
          <w:sz w:val="24"/>
        </w:rPr>
        <w:t xml:space="preserve">31.2 The Convergence Standard</w:t>
      </w:r>
      <w:bookmarkEnd w:id="290"/>
    </w:p>
    <w:p>
      <w:pPr>
        <w:spacing w:after="110" w:line="340" w:lineRule="auto"/>
        <w:ind w:left="360" w:hanging="360"/>
        <w:jc w:val="both"/>
      </w:pPr>
      <w:r>
        <w:rPr>
          <w:rFonts w:ascii="Cambria" w:hAnsi="Cambria"/>
          <w:b/>
          <w:color w:val="1D4E5F"/>
          <w:sz w:val="22"/>
        </w:rPr>
        <w:t xml:space="preserve">31.2.1 </w:t>
      </w:r>
      <w:r>
        <w:rPr>
          <w:rFonts w:ascii="Cambria" w:hAnsi="Cambria"/>
          <w:color w:val="20262A"/>
          <w:sz w:val="22"/>
        </w:rPr>
        <w:t xml:space="preserve">A finding issues when at least two independent layers converge on the same fact. A score deduction issues on a finding. A gate recommendation issues on the quarterly record of findings and scores. Convergence protects every party from sensor error, spoofing, and haste.</w:t>
      </w:r>
    </w:p>
    <w:p>
      <w:pPr>
        <w:pStyle w:val="Heading3"/>
        <w:keepNext/>
        <w:keepLines/>
      </w:pPr>
      <w:bookmarkStart w:id="291" w:name="_Toc262100191"/>
      <w:r>
        <w:rPr>
          <w:rFonts w:ascii="Calibri" w:hAnsi="Calibri"/>
          <w:b/>
          <w:color w:val="37666F"/>
          <w:sz w:val="24"/>
        </w:rPr>
        <w:t xml:space="preserve">31.3 Human-in-the-Loop</w:t>
      </w:r>
      <w:bookmarkEnd w:id="291"/>
    </w:p>
    <w:p>
      <w:pPr>
        <w:spacing w:after="110" w:line="340" w:lineRule="auto"/>
        <w:ind w:left="360" w:hanging="360"/>
        <w:jc w:val="both"/>
      </w:pPr>
      <w:r>
        <w:rPr>
          <w:rFonts w:ascii="Cambria" w:hAnsi="Cambria"/>
          <w:b/>
          <w:color w:val="1D4E5F"/>
          <w:sz w:val="22"/>
        </w:rPr>
        <w:t xml:space="preserve">31.3.1 </w:t>
      </w:r>
      <w:r>
        <w:rPr>
          <w:rFonts w:ascii="Cambria" w:hAnsi="Cambria"/>
          <w:color w:val="20262A"/>
          <w:sz w:val="22"/>
        </w:rPr>
        <w:t xml:space="preserve">Every automated indicator passes through a human analyst before it enters the record. The Office staffs the analyst desk around the clock in both Muscat and Bandar Abbas, and the analyst's name attaches to every entry the desk certifies.</w:t>
      </w:r>
    </w:p>
    <w:p>
      <w:pPr>
        <w:pStyle w:val="Heading3"/>
        <w:keepNext/>
        <w:keepLines/>
      </w:pPr>
      <w:bookmarkStart w:id="292" w:name="_Toc262100192"/>
      <w:r>
        <w:rPr>
          <w:rFonts w:ascii="Calibri" w:hAnsi="Calibri"/>
          <w:b/>
          <w:color w:val="37666F"/>
          <w:sz w:val="24"/>
        </w:rPr>
        <w:t xml:space="preserve">31.4 Data Sovereignty</w:t>
      </w:r>
      <w:bookmarkEnd w:id="292"/>
    </w:p>
    <w:p>
      <w:pPr>
        <w:spacing w:after="110" w:line="340" w:lineRule="auto"/>
        <w:ind w:left="360" w:hanging="360"/>
        <w:jc w:val="both"/>
      </w:pPr>
      <w:r>
        <w:rPr>
          <w:rFonts w:ascii="Cambria" w:hAnsi="Cambria"/>
          <w:b/>
          <w:color w:val="1D4E5F"/>
          <w:sz w:val="22"/>
        </w:rPr>
        <w:t xml:space="preserve">31.4.1 </w:t>
      </w:r>
      <w:r>
        <w:rPr>
          <w:rFonts w:ascii="Cambria" w:hAnsi="Cambria"/>
          <w:color w:val="20262A"/>
          <w:sz w:val="22"/>
        </w:rPr>
        <w:t xml:space="preserve">Raw national sensor data remains the property of the state that generates it. The Center and the Office hold licenses to fuse, display, and analyze, and the licenses exclude any onward transfer of raw feeds outside the Compact Bodies. Published products contain derived information only.</w:t>
      </w:r>
    </w:p>
    <w:p>
      <w:pPr>
        <w:pStyle w:val="Heading2"/>
        <w:keepNext/>
        <w:keepLines/>
      </w:pPr>
      <w:bookmarkStart w:id="293" w:name="_Toc262100193"/>
      <w:r>
        <w:rPr>
          <w:rFonts w:ascii="Calibri" w:hAnsi="Calibri"/>
          <w:b/>
          <w:color w:val="1D4E5F"/>
          <w:sz w:val="27"/>
        </w:rPr>
        <w:t xml:space="preserve">Article 32: Maritime Security and Deconfliction</w:t>
      </w:r>
      <w:bookmarkEnd w:id="293"/>
    </w:p>
    <w:p>
      <w:pPr>
        <w:pStyle w:val="Heading3"/>
        <w:keepNext/>
        <w:keepLines/>
      </w:pPr>
      <w:bookmarkStart w:id="294" w:name="_Toc262100194"/>
      <w:r>
        <w:rPr>
          <w:rFonts w:ascii="Calibri" w:hAnsi="Calibri"/>
          <w:b/>
          <w:color w:val="37666F"/>
          <w:sz w:val="24"/>
        </w:rPr>
        <w:t xml:space="preserve">32.1 The Quiet Water Windows</w:t>
      </w:r>
      <w:bookmarkEnd w:id="294"/>
    </w:p>
    <w:p>
      <w:pPr>
        <w:spacing w:after="110" w:line="340" w:lineRule="auto"/>
        <w:ind w:left="360" w:hanging="360"/>
        <w:jc w:val="both"/>
      </w:pPr>
      <w:r>
        <w:rPr>
          <w:rFonts w:ascii="Cambria" w:hAnsi="Cambria"/>
          <w:b/>
          <w:color w:val="1D4E5F"/>
          <w:sz w:val="22"/>
        </w:rPr>
        <w:t xml:space="preserve">32.1.1 </w:t>
      </w:r>
      <w:r>
        <w:rPr>
          <w:rFonts w:ascii="Cambria" w:hAnsi="Cambria"/>
          <w:color w:val="20262A"/>
          <w:sz w:val="22"/>
        </w:rPr>
        <w:t xml:space="preserve">The architecture reserves two Quiet Water Windows each day, 02:00 to 05:00 and 14:00 to 16:00 Gulf Standard Time, during which naval transits of the corridors take place under the deconfliction protocol. The Bulletin publishes each day's windows and the booked naval transits in sanitized form: window, corridor, direction, and vessel class, and nothing more.</w:t>
      </w:r>
    </w:p>
    <w:p>
      <w:pPr>
        <w:pStyle w:val="Heading3"/>
        <w:keepNext/>
        <w:keepLines/>
      </w:pPr>
      <w:bookmarkStart w:id="295" w:name="_Toc262100195"/>
      <w:r>
        <w:rPr>
          <w:rFonts w:ascii="Calibri" w:hAnsi="Calibri"/>
          <w:b/>
          <w:color w:val="37666F"/>
          <w:sz w:val="24"/>
        </w:rPr>
        <w:t xml:space="preserve">32.2 Exercise Notification</w:t>
      </w:r>
      <w:bookmarkEnd w:id="295"/>
    </w:p>
    <w:p>
      <w:pPr>
        <w:spacing w:after="110" w:line="340" w:lineRule="auto"/>
        <w:ind w:left="360" w:hanging="360"/>
        <w:jc w:val="both"/>
      </w:pPr>
      <w:r>
        <w:rPr>
          <w:rFonts w:ascii="Cambria" w:hAnsi="Cambria"/>
          <w:b/>
          <w:color w:val="1D4E5F"/>
          <w:sz w:val="22"/>
        </w:rPr>
        <w:t xml:space="preserve">32.2.1 </w:t>
      </w:r>
      <w:r>
        <w:rPr>
          <w:rFonts w:ascii="Cambria" w:hAnsi="Cambria"/>
          <w:color w:val="20262A"/>
          <w:sz w:val="22"/>
        </w:rPr>
        <w:t xml:space="preserve">Any naval exercise within one hundred nautical miles of the Operating Area enters the Exercise Register seventy-two hours in advance: area, period, forces by type, and live-fire status. The watch floor issues a Bulletin notice, and the architecture excludes live-fire exercise activity inside the Operating Area at all times.</w:t>
      </w:r>
    </w:p>
    <w:p>
      <w:pPr>
        <w:pStyle w:val="Heading3"/>
        <w:keepNext/>
        <w:keepLines/>
      </w:pPr>
      <w:bookmarkStart w:id="296" w:name="_Toc262100196"/>
      <w:r>
        <w:rPr>
          <w:rFonts w:ascii="Calibri" w:hAnsi="Calibri"/>
          <w:b/>
          <w:color w:val="37666F"/>
          <w:sz w:val="24"/>
        </w:rPr>
        <w:t xml:space="preserve">32.3 The Incident Hotline</w:t>
      </w:r>
      <w:bookmarkEnd w:id="296"/>
    </w:p>
    <w:p>
      <w:pPr>
        <w:spacing w:after="110" w:line="340" w:lineRule="auto"/>
        <w:ind w:left="360" w:hanging="360"/>
        <w:jc w:val="both"/>
      </w:pPr>
      <w:r>
        <w:rPr>
          <w:rFonts w:ascii="Cambria" w:hAnsi="Cambria"/>
          <w:b/>
          <w:color w:val="1D4E5F"/>
          <w:sz w:val="22"/>
        </w:rPr>
        <w:t xml:space="preserve">32.3.1 </w:t>
      </w:r>
      <w:r>
        <w:rPr>
          <w:rFonts w:ascii="Cambria" w:hAnsi="Cambria"/>
          <w:color w:val="20262A"/>
          <w:sz w:val="22"/>
        </w:rPr>
        <w:t xml:space="preserve">The hotline links the watch floor, the two corridor administrators, and the naval liaison rooms of the Participant States, continuously staffed, answered within sixty seconds, recorded, and tested daily. A hotline call that reports an unfolding event automatically opens an incident file and starts the response clock of Annex H.</w:t>
      </w:r>
    </w:p>
    <w:p>
      <w:pPr>
        <w:pStyle w:val="Heading3"/>
        <w:keepNext/>
        <w:keepLines/>
      </w:pPr>
      <w:bookmarkStart w:id="297" w:name="_Toc262100197"/>
      <w:r>
        <w:rPr>
          <w:rFonts w:ascii="Calibri" w:hAnsi="Calibri"/>
          <w:b/>
          <w:color w:val="37666F"/>
          <w:sz w:val="24"/>
        </w:rPr>
        <w:t xml:space="preserve">32.4 The Mishap Protocol</w:t>
      </w:r>
      <w:bookmarkEnd w:id="297"/>
    </w:p>
    <w:p>
      <w:pPr>
        <w:spacing w:after="110" w:line="340" w:lineRule="auto"/>
        <w:ind w:left="360" w:hanging="360"/>
        <w:jc w:val="both"/>
      </w:pPr>
      <w:r>
        <w:rPr>
          <w:rFonts w:ascii="Cambria" w:hAnsi="Cambria"/>
          <w:b/>
          <w:color w:val="1D4E5F"/>
          <w:sz w:val="22"/>
        </w:rPr>
        <w:t xml:space="preserve">32.4.1 </w:t>
      </w:r>
      <w:r>
        <w:rPr>
          <w:rFonts w:ascii="Cambria" w:hAnsi="Cambria"/>
          <w:color w:val="20262A"/>
          <w:sz w:val="22"/>
        </w:rPr>
        <w:t xml:space="preserve">On any collision, near-miss, or interference event involving a state vessel, the protocol runs: immediate hotline notice; mutual stand-down to five nautical miles separation; exchange of position and intent through the watch floor; a joint factual record within six hours; and the incident ladder of Article 36. The protocol treats every event as a mishap until the ladder classifies it, and the neutral incident language of Annex H applies from the first notice.</w:t>
      </w:r>
    </w:p>
    <w:p>
      <w:pPr>
        <w:pStyle w:val="Heading3"/>
        <w:keepNext/>
        <w:keepLines/>
      </w:pPr>
      <w:bookmarkStart w:id="298" w:name="_Toc262100198"/>
      <w:r>
        <w:rPr>
          <w:rFonts w:ascii="Calibri" w:hAnsi="Calibri"/>
          <w:b/>
          <w:color w:val="37666F"/>
          <w:sz w:val="24"/>
        </w:rPr>
        <w:t xml:space="preserve">32.5 The Rogue Actor and False-Flag Pathway</w:t>
      </w:r>
      <w:bookmarkEnd w:id="298"/>
    </w:p>
    <w:p>
      <w:pPr>
        <w:spacing w:after="110" w:line="340" w:lineRule="auto"/>
        <w:ind w:left="360" w:hanging="360"/>
        <w:jc w:val="both"/>
      </w:pPr>
      <w:r>
        <w:rPr>
          <w:rFonts w:ascii="Cambria" w:hAnsi="Cambria"/>
          <w:b/>
          <w:color w:val="1D4E5F"/>
          <w:sz w:val="22"/>
        </w:rPr>
        <w:t xml:space="preserve">32.5.1 </w:t>
      </w:r>
      <w:r>
        <w:rPr>
          <w:rFonts w:ascii="Cambria" w:hAnsi="Cambria"/>
          <w:color w:val="20262A"/>
          <w:sz w:val="22"/>
        </w:rPr>
        <w:t xml:space="preserve">Where an event bears the marks of a rogue actor or a false-flag attempt, the Office convenes a three-member attribution cell within twelve hours: one nominee of each Coastal State and the Director of Verification. The cell works from the convergence standard, publishes its factual findings within seven days, and the compliance engine of Article 38 acts on attribution, not allegation. The pathway exists so that no third party writes the region's script with someone else's flag.</w:t>
      </w:r>
    </w:p>
    <w:p>
      <w:pPr>
        <w:pStyle w:val="Heading2"/>
        <w:keepNext/>
        <w:keepLines/>
      </w:pPr>
      <w:bookmarkStart w:id="299" w:name="_Toc262100199"/>
      <w:r>
        <w:rPr>
          <w:rFonts w:ascii="Calibri" w:hAnsi="Calibri"/>
          <w:b/>
          <w:color w:val="1D4E5F"/>
          <w:sz w:val="27"/>
        </w:rPr>
        <w:t xml:space="preserve">Article 33: Mine-Risk Response</w:t>
      </w:r>
      <w:bookmarkEnd w:id="299"/>
    </w:p>
    <w:p>
      <w:pPr>
        <w:pStyle w:val="Heading3"/>
        <w:keepNext/>
        <w:keepLines/>
      </w:pPr>
      <w:bookmarkStart w:id="300" w:name="_Toc262100200"/>
      <w:r>
        <w:rPr>
          <w:rFonts w:ascii="Calibri" w:hAnsi="Calibri"/>
          <w:b/>
          <w:color w:val="37666F"/>
          <w:sz w:val="24"/>
        </w:rPr>
        <w:t xml:space="preserve">33.1 The Mine Risk Standing Cell</w:t>
      </w:r>
      <w:bookmarkEnd w:id="300"/>
    </w:p>
    <w:p>
      <w:pPr>
        <w:spacing w:after="110" w:line="340" w:lineRule="auto"/>
        <w:ind w:left="360" w:hanging="360"/>
        <w:jc w:val="both"/>
      </w:pPr>
      <w:r>
        <w:rPr>
          <w:rFonts w:ascii="Cambria" w:hAnsi="Cambria"/>
          <w:b/>
          <w:color w:val="1D4E5F"/>
          <w:sz w:val="22"/>
        </w:rPr>
        <w:t xml:space="preserve">33.1.1 </w:t>
      </w:r>
      <w:r>
        <w:rPr>
          <w:rFonts w:ascii="Cambria" w:hAnsi="Cambria"/>
          <w:color w:val="20262A"/>
          <w:sz w:val="22"/>
        </w:rPr>
        <w:t xml:space="preserve">The Mine Risk Standing Cell coordinates every mine-risk function: survey, clearance, certification, and advisory. The Cell seats one officer of each Coastal State, one officer of the Stakeholder Circle by rotation, and the Center's mine-risk coordinator as chair. The Cell holds no weapons and contracts clearance to certified commercial and naval contributors at catalog rates.</w:t>
      </w:r>
    </w:p>
    <w:p>
      <w:pPr>
        <w:pStyle w:val="Heading3"/>
        <w:keepNext/>
        <w:keepLines/>
      </w:pPr>
      <w:bookmarkStart w:id="301" w:name="_Toc262100201"/>
      <w:r>
        <w:rPr>
          <w:rFonts w:ascii="Calibri" w:hAnsi="Calibri"/>
          <w:b/>
          <w:color w:val="37666F"/>
          <w:sz w:val="24"/>
        </w:rPr>
        <w:t xml:space="preserve">33.2 The Lost-Ordnance Protocol</w:t>
      </w:r>
      <w:bookmarkEnd w:id="301"/>
    </w:p>
    <w:p>
      <w:pPr>
        <w:spacing w:after="110" w:line="340" w:lineRule="auto"/>
        <w:ind w:left="360" w:hanging="360"/>
        <w:jc w:val="both"/>
      </w:pPr>
      <w:r>
        <w:rPr>
          <w:rFonts w:ascii="Cambria" w:hAnsi="Cambria"/>
          <w:b/>
          <w:color w:val="1D4E5F"/>
          <w:sz w:val="22"/>
        </w:rPr>
        <w:t xml:space="preserve">33.2.1 </w:t>
      </w:r>
      <w:r>
        <w:rPr>
          <w:rFonts w:ascii="Cambria" w:hAnsi="Cambria"/>
          <w:color w:val="20262A"/>
          <w:sz w:val="22"/>
        </w:rPr>
        <w:t xml:space="preserve">Any state that loses track of ordnance it placed in or near the Operating Area declares the fact to the Cell within twenty-four hours of discovery: type, quantity, last known position area, and drift estimate. The declaration carries no penalty, enters no score, and triggers the survey response at Fund cost. The protocol prices honesty at zero and concealment at the full compliance ladder, because the water forgives disclosure and never forgives silence.</w:t>
      </w:r>
    </w:p>
    <w:p>
      <w:pPr>
        <w:pStyle w:val="Heading3"/>
        <w:keepNext/>
        <w:keepLines/>
      </w:pPr>
      <w:bookmarkStart w:id="302" w:name="_Toc262100202"/>
      <w:r>
        <w:rPr>
          <w:rFonts w:ascii="Calibri" w:hAnsi="Calibri"/>
          <w:b/>
          <w:color w:val="37666F"/>
          <w:sz w:val="24"/>
        </w:rPr>
        <w:t xml:space="preserve">33.3 Survey, Clearance, and Certification</w:t>
      </w:r>
      <w:bookmarkEnd w:id="302"/>
    </w:p>
    <w:p>
      <w:pPr>
        <w:spacing w:after="110" w:line="340" w:lineRule="auto"/>
        <w:ind w:left="360" w:hanging="360"/>
        <w:jc w:val="both"/>
      </w:pPr>
      <w:r>
        <w:rPr>
          <w:rFonts w:ascii="Cambria" w:hAnsi="Cambria"/>
          <w:b/>
          <w:color w:val="1D4E5F"/>
          <w:sz w:val="22"/>
        </w:rPr>
        <w:t xml:space="preserve">33.3.1 </w:t>
      </w:r>
      <w:r>
        <w:rPr>
          <w:rFonts w:ascii="Cambria" w:hAnsi="Cambria"/>
          <w:color w:val="20262A"/>
          <w:sz w:val="22"/>
        </w:rPr>
        <w:t xml:space="preserve">The Cell maintains the rolling survey program of Annex K, Section K.4: every corridor resurveyed on a ninety-day cycle, every reported hazard investigated within forty-eight hours, every cleared sector certified against the certification standard, and every certification published in the Bulletin. Corridor operation continues around a hazard under diversion routing; clearance never closes the system.</w:t>
      </w:r>
    </w:p>
    <w:p>
      <w:pPr>
        <w:pStyle w:val="Heading3"/>
        <w:keepNext/>
        <w:keepLines/>
      </w:pPr>
      <w:bookmarkStart w:id="303" w:name="_Toc262100203"/>
      <w:r>
        <w:rPr>
          <w:rFonts w:ascii="Calibri" w:hAnsi="Calibri"/>
          <w:b/>
          <w:color w:val="37666F"/>
          <w:sz w:val="24"/>
        </w:rPr>
        <w:t xml:space="preserve">33.4 The Mine-Risk Overlay</w:t>
      </w:r>
      <w:bookmarkEnd w:id="303"/>
    </w:p>
    <w:p>
      <w:pPr>
        <w:spacing w:after="110" w:line="340" w:lineRule="auto"/>
        <w:ind w:left="360" w:hanging="360"/>
        <w:jc w:val="both"/>
      </w:pPr>
      <w:r>
        <w:rPr>
          <w:rFonts w:ascii="Cambria" w:hAnsi="Cambria"/>
          <w:b/>
          <w:color w:val="1D4E5F"/>
          <w:sz w:val="22"/>
        </w:rPr>
        <w:t xml:space="preserve">33.4.1 </w:t>
      </w:r>
      <w:r>
        <w:rPr>
          <w:rFonts w:ascii="Cambria" w:hAnsi="Cambria"/>
          <w:color w:val="20262A"/>
          <w:sz w:val="22"/>
        </w:rPr>
        <w:t xml:space="preserve">The Data Service distributes the mine-risk overlay to subscribers in real time: surveyed status by sector, active advisories, and certification dates. The overlay carries the same facts the Bulletin carries, in machine-readable form, ninety seconds after every update.</w:t>
      </w:r>
    </w:p>
    <w:p>
      <w:pPr>
        <w:pStyle w:val="Heading2"/>
        <w:keepNext/>
        <w:keepLines/>
      </w:pPr>
      <w:bookmarkStart w:id="304" w:name="_Toc262100204"/>
      <w:r>
        <w:rPr>
          <w:rFonts w:ascii="Calibri" w:hAnsi="Calibri"/>
          <w:b/>
          <w:color w:val="1D4E5F"/>
          <w:sz w:val="27"/>
        </w:rPr>
        <w:t xml:space="preserve">Article 34: Search and Rescue</w:t>
      </w:r>
      <w:bookmarkEnd w:id="304"/>
    </w:p>
    <w:p>
      <w:pPr>
        <w:pStyle w:val="Heading3"/>
        <w:keepNext/>
        <w:keepLines/>
      </w:pPr>
      <w:bookmarkStart w:id="305" w:name="_Toc262100205"/>
      <w:r>
        <w:rPr>
          <w:rFonts w:ascii="Calibri" w:hAnsi="Calibri"/>
          <w:b/>
          <w:color w:val="37666F"/>
          <w:sz w:val="24"/>
        </w:rPr>
        <w:t xml:space="preserve">34.1 The Shared Grid</w:t>
      </w:r>
      <w:bookmarkEnd w:id="305"/>
    </w:p>
    <w:p>
      <w:pPr>
        <w:spacing w:after="110" w:line="340" w:lineRule="auto"/>
        <w:ind w:left="360" w:hanging="360"/>
        <w:jc w:val="both"/>
      </w:pPr>
      <w:r>
        <w:rPr>
          <w:rFonts w:ascii="Cambria" w:hAnsi="Cambria"/>
          <w:b/>
          <w:color w:val="1D4E5F"/>
          <w:sz w:val="22"/>
        </w:rPr>
        <w:t xml:space="preserve">34.1.1 </w:t>
      </w:r>
      <w:r>
        <w:rPr>
          <w:rFonts w:ascii="Cambria" w:hAnsi="Cambria"/>
          <w:color w:val="20262A"/>
          <w:sz w:val="22"/>
        </w:rPr>
        <w:t xml:space="preserve">The Operating Area divides into the nine search and rescue grid sectors of Annex A, Section A.10. Each sector holds a designated on-scene coordinator by rota, drawn from the corridor service craft of both Coastal States and the buffer contribution vessels.</w:t>
      </w:r>
    </w:p>
    <w:p>
      <w:pPr>
        <w:pStyle w:val="Heading3"/>
        <w:keepNext/>
        <w:keepLines/>
      </w:pPr>
      <w:bookmarkStart w:id="306" w:name="_Toc262100206"/>
      <w:r>
        <w:rPr>
          <w:rFonts w:ascii="Calibri" w:hAnsi="Calibri"/>
          <w:b/>
          <w:color w:val="37666F"/>
          <w:sz w:val="24"/>
        </w:rPr>
        <w:t xml:space="preserve">34.2 The SAR Rota</w:t>
      </w:r>
      <w:bookmarkEnd w:id="306"/>
    </w:p>
    <w:p>
      <w:pPr>
        <w:spacing w:after="110" w:line="340" w:lineRule="auto"/>
        <w:ind w:left="360" w:hanging="360"/>
        <w:jc w:val="both"/>
      </w:pPr>
      <w:r>
        <w:rPr>
          <w:rFonts w:ascii="Cambria" w:hAnsi="Cambria"/>
          <w:b/>
          <w:color w:val="1D4E5F"/>
          <w:sz w:val="22"/>
        </w:rPr>
        <w:t xml:space="preserve">34.2.1 </w:t>
      </w:r>
      <w:r>
        <w:rPr>
          <w:rFonts w:ascii="Cambria" w:hAnsi="Cambria"/>
          <w:color w:val="20262A"/>
          <w:sz w:val="22"/>
        </w:rPr>
        <w:t xml:space="preserve">The rota assigns every sector a primary and a secondary coordinator, published monthly in the Bulletin. Response standards: a coordinator acknowledges a distress call within five minutes, proceeds at best speed, and reaches any point in its sector within ninety minutes in prevailing conditions.</w:t>
      </w:r>
    </w:p>
    <w:p>
      <w:pPr>
        <w:pStyle w:val="Heading3"/>
        <w:keepNext/>
        <w:keepLines/>
      </w:pPr>
      <w:bookmarkStart w:id="307" w:name="_Toc262100207"/>
      <w:r>
        <w:rPr>
          <w:rFonts w:ascii="Calibri" w:hAnsi="Calibri"/>
          <w:b/>
          <w:color w:val="37666F"/>
          <w:sz w:val="24"/>
        </w:rPr>
        <w:t xml:space="preserve">34.3 Humanitarian Priority</w:t>
      </w:r>
      <w:bookmarkEnd w:id="307"/>
    </w:p>
    <w:p>
      <w:pPr>
        <w:spacing w:after="110" w:line="340" w:lineRule="auto"/>
        <w:ind w:left="360" w:hanging="360"/>
        <w:jc w:val="both"/>
      </w:pPr>
      <w:r>
        <w:rPr>
          <w:rFonts w:ascii="Cambria" w:hAnsi="Cambria"/>
          <w:b/>
          <w:color w:val="1D4E5F"/>
          <w:sz w:val="22"/>
        </w:rPr>
        <w:t xml:space="preserve">34.3.1 </w:t>
      </w:r>
      <w:r>
        <w:rPr>
          <w:rFonts w:ascii="Cambria" w:hAnsi="Cambria"/>
          <w:color w:val="20262A"/>
          <w:sz w:val="22"/>
        </w:rPr>
        <w:t xml:space="preserve">Search and rescue overrides every other operation, every flow state, every convoy window, and every fee line. The Fund books all search and rescue costs to the Humanitarian Line, and no survivor, rescuer, or flag state ever sees an invoice for a rescue.</w:t>
      </w:r>
    </w:p>
    <w:p>
      <w:pPr>
        <w:pStyle w:val="Heading2"/>
        <w:keepNext/>
        <w:keepLines/>
      </w:pPr>
      <w:bookmarkStart w:id="308" w:name="_Toc262100208"/>
      <w:r>
        <w:rPr>
          <w:rFonts w:ascii="Calibri" w:hAnsi="Calibri"/>
          <w:b/>
          <w:color w:val="1D4E5F"/>
          <w:sz w:val="27"/>
        </w:rPr>
        <w:t xml:space="preserve">Article 35: Environmental Protection</w:t>
      </w:r>
      <w:bookmarkEnd w:id="308"/>
    </w:p>
    <w:p>
      <w:pPr>
        <w:pStyle w:val="Heading3"/>
        <w:keepNext/>
        <w:keepLines/>
      </w:pPr>
      <w:bookmarkStart w:id="309" w:name="_Toc262100209"/>
      <w:r>
        <w:rPr>
          <w:rFonts w:ascii="Calibri" w:hAnsi="Calibri"/>
          <w:b/>
          <w:color w:val="37666F"/>
          <w:sz w:val="24"/>
        </w:rPr>
        <w:t xml:space="preserve">35.1 The Pollution Response Readiness Service</w:t>
      </w:r>
      <w:bookmarkEnd w:id="309"/>
    </w:p>
    <w:p>
      <w:pPr>
        <w:spacing w:after="110" w:line="340" w:lineRule="auto"/>
        <w:ind w:left="360" w:hanging="360"/>
        <w:jc w:val="both"/>
      </w:pPr>
      <w:r>
        <w:rPr>
          <w:rFonts w:ascii="Cambria" w:hAnsi="Cambria"/>
          <w:b/>
          <w:color w:val="1D4E5F"/>
          <w:sz w:val="22"/>
        </w:rPr>
        <w:t xml:space="preserve">35.1.1 </w:t>
      </w:r>
      <w:r>
        <w:rPr>
          <w:rFonts w:ascii="Cambria" w:hAnsi="Cambria"/>
          <w:color w:val="20262A"/>
          <w:sz w:val="22"/>
        </w:rPr>
        <w:t xml:space="preserve">The Center maintains the pollution response readiness service: dedicated response vessels at the two ends of the system, containment and recovery equipment at the readiness levels of Annex K, and a contracted salvage interface. The Environmental Reserve funds readiness, and response costs recover from the liable party through the insurance interface.</w:t>
      </w:r>
    </w:p>
    <w:p>
      <w:pPr>
        <w:pStyle w:val="Heading3"/>
        <w:keepNext/>
        <w:keepLines/>
      </w:pPr>
      <w:bookmarkStart w:id="310" w:name="_Toc262100210"/>
      <w:r>
        <w:rPr>
          <w:rFonts w:ascii="Calibri" w:hAnsi="Calibri"/>
          <w:b/>
          <w:color w:val="37666F"/>
          <w:sz w:val="24"/>
        </w:rPr>
        <w:t xml:space="preserve">35.2 The Environmental Liability Coverage Rule</w:t>
      </w:r>
      <w:bookmarkEnd w:id="310"/>
    </w:p>
    <w:p>
      <w:pPr>
        <w:spacing w:after="110" w:line="340" w:lineRule="auto"/>
        <w:ind w:left="360" w:hanging="360"/>
        <w:jc w:val="both"/>
      </w:pPr>
      <w:r>
        <w:rPr>
          <w:rFonts w:ascii="Cambria" w:hAnsi="Cambria"/>
          <w:b/>
          <w:color w:val="1D4E5F"/>
          <w:sz w:val="22"/>
        </w:rPr>
        <w:t xml:space="preserve">35.2.1 </w:t>
      </w:r>
      <w:r>
        <w:rPr>
          <w:rFonts w:ascii="Cambria" w:hAnsi="Cambria"/>
          <w:color w:val="20262A"/>
          <w:sz w:val="22"/>
        </w:rPr>
        <w:t xml:space="preserve">Every Class A, B, or C vessel carries pollution liability coverage from a recognized provider and files the certificate reference in its registration. Filing informs the system; coverage never conditions passage, and the architecture excludes any coverage check at the waterline.</w:t>
      </w:r>
    </w:p>
    <w:p>
      <w:pPr>
        <w:pStyle w:val="Heading3"/>
        <w:keepNext/>
        <w:keepLines/>
      </w:pPr>
      <w:bookmarkStart w:id="311" w:name="_Toc262100211"/>
      <w:r>
        <w:rPr>
          <w:rFonts w:ascii="Calibri" w:hAnsi="Calibri"/>
          <w:b/>
          <w:color w:val="37666F"/>
          <w:sz w:val="24"/>
        </w:rPr>
        <w:t xml:space="preserve">35.3 Sensitive Areas</w:t>
      </w:r>
      <w:bookmarkEnd w:id="311"/>
    </w:p>
    <w:p>
      <w:pPr>
        <w:spacing w:after="110" w:line="340" w:lineRule="auto"/>
        <w:ind w:left="360" w:hanging="360"/>
        <w:jc w:val="both"/>
      </w:pPr>
      <w:r>
        <w:rPr>
          <w:rFonts w:ascii="Cambria" w:hAnsi="Cambria"/>
          <w:b/>
          <w:color w:val="1D4E5F"/>
          <w:sz w:val="22"/>
        </w:rPr>
        <w:t xml:space="preserve">35.3.1 </w:t>
      </w:r>
      <w:r>
        <w:rPr>
          <w:rFonts w:ascii="Cambria" w:hAnsi="Cambria"/>
          <w:color w:val="20262A"/>
          <w:sz w:val="22"/>
        </w:rPr>
        <w:t xml:space="preserve">Annex A, Section A.10 designates the Particularly Sensitive Areas: the Larak bank shallows, the Musandam coral terraces, and the two spawning closures, each with seasonal restrictions the Bulletin publishes. In a closure window, the affected corridor segment shifts to its alternate routing of Annex A, and transit continues.</w:t>
      </w:r>
    </w:p>
    <w:p>
      <w:pPr>
        <w:pStyle w:val="Heading3"/>
        <w:keepNext/>
        <w:keepLines/>
      </w:pPr>
      <w:bookmarkStart w:id="312" w:name="_Toc262100212"/>
      <w:r>
        <w:rPr>
          <w:rFonts w:ascii="Calibri" w:hAnsi="Calibri"/>
          <w:b/>
          <w:color w:val="37666F"/>
          <w:sz w:val="24"/>
        </w:rPr>
        <w:t xml:space="preserve">35.4 The Green Discount</w:t>
      </w:r>
      <w:bookmarkEnd w:id="312"/>
    </w:p>
    <w:p>
      <w:pPr>
        <w:spacing w:after="110" w:line="340" w:lineRule="auto"/>
        <w:ind w:left="360" w:hanging="360"/>
        <w:jc w:val="both"/>
      </w:pPr>
      <w:r>
        <w:rPr>
          <w:rFonts w:ascii="Cambria" w:hAnsi="Cambria"/>
          <w:b/>
          <w:color w:val="1D4E5F"/>
          <w:sz w:val="22"/>
        </w:rPr>
        <w:t xml:space="preserve">35.4.1 </w:t>
      </w:r>
      <w:r>
        <w:rPr>
          <w:rFonts w:ascii="Cambria" w:hAnsi="Cambria"/>
          <w:color w:val="20262A"/>
          <w:sz w:val="22"/>
        </w:rPr>
        <w:t xml:space="preserve">The Data Service applies the Green Discount of Annex E, Section E.6: vessels certified to the efficiency tiers of that section pay subscription rates reduced by five, ten, or fifteen percent. The discount prices the environmental standing of IPR-10 into the one place where pricing is legitimate, the commercial product, and costs the passage guarantee nothing.</w:t>
      </w:r>
    </w:p>
    <w:p>
      <w:pPr>
        <w:pStyle w:val="Heading2"/>
        <w:keepNext/>
        <w:keepLines/>
      </w:pPr>
      <w:bookmarkStart w:id="313" w:name="_Toc262100213"/>
      <w:r>
        <w:rPr>
          <w:rFonts w:ascii="Calibri" w:hAnsi="Calibri"/>
          <w:b/>
          <w:color w:val="1D4E5F"/>
          <w:sz w:val="27"/>
        </w:rPr>
        <w:t xml:space="preserve">Article 36: Incident Classification and Reporting</w:t>
      </w:r>
      <w:bookmarkEnd w:id="313"/>
    </w:p>
    <w:p>
      <w:pPr>
        <w:pStyle w:val="Heading3"/>
        <w:keepNext/>
        <w:keepLines/>
      </w:pPr>
      <w:bookmarkStart w:id="314" w:name="_Toc262100214"/>
      <w:r>
        <w:rPr>
          <w:rFonts w:ascii="Calibri" w:hAnsi="Calibri"/>
          <w:b/>
          <w:color w:val="37666F"/>
          <w:sz w:val="24"/>
        </w:rPr>
        <w:t xml:space="preserve">36.1 The Classification Ladder</w:t>
      </w:r>
      <w:bookmarkEnd w:id="314"/>
    </w:p>
    <w:p>
      <w:pPr>
        <w:spacing w:after="110" w:line="340" w:lineRule="auto"/>
        <w:ind w:left="360" w:hanging="360"/>
        <w:jc w:val="both"/>
      </w:pPr>
      <w:r>
        <w:rPr>
          <w:rFonts w:ascii="Cambria" w:hAnsi="Cambria"/>
          <w:b/>
          <w:color w:val="1D4E5F"/>
          <w:sz w:val="22"/>
        </w:rPr>
        <w:t xml:space="preserve">36.1.1 </w:t>
      </w:r>
      <w:r>
        <w:rPr>
          <w:rFonts w:ascii="Cambria" w:hAnsi="Cambria"/>
          <w:color w:val="20262A"/>
          <w:sz w:val="22"/>
        </w:rPr>
        <w:t xml:space="preserve">Every event in the Operating Area classifies on the five-class ladder of Annex H: Class 1, a critical safety or security event; Class 2, a material breach of a Compact rule; Class 3, a significant operational deviation; Class 4, a minor irregularity; Class 5, a near-miss or observation of record. The watch floor classifies provisionally within one hour, and the Office confirms classification within seventy-two hours under the convergence standard.</w:t>
      </w:r>
    </w:p>
    <w:p>
      <w:pPr>
        <w:pStyle w:val="Heading3"/>
        <w:keepNext/>
        <w:keepLines/>
      </w:pPr>
      <w:bookmarkStart w:id="315" w:name="_Toc262100215"/>
      <w:r>
        <w:rPr>
          <w:rFonts w:ascii="Calibri" w:hAnsi="Calibri"/>
          <w:b/>
          <w:color w:val="37666F"/>
          <w:sz w:val="24"/>
        </w:rPr>
        <w:t xml:space="preserve">36.2 Reporting Obligations and Timelines</w:t>
      </w:r>
      <w:bookmarkEnd w:id="315"/>
    </w:p>
    <w:p>
      <w:pPr>
        <w:spacing w:after="110" w:line="340" w:lineRule="auto"/>
        <w:ind w:left="360" w:hanging="360"/>
        <w:jc w:val="both"/>
      </w:pPr>
      <w:r>
        <w:rPr>
          <w:rFonts w:ascii="Cambria" w:hAnsi="Cambria"/>
          <w:b/>
          <w:color w:val="1D4E5F"/>
          <w:sz w:val="22"/>
        </w:rPr>
        <w:t xml:space="preserve">36.2.1 </w:t>
      </w:r>
      <w:r>
        <w:rPr>
          <w:rFonts w:ascii="Cambria" w:hAnsi="Cambria"/>
          <w:color w:val="20262A"/>
          <w:sz w:val="22"/>
        </w:rPr>
        <w:t xml:space="preserve">Every incident generates an initial report within one hour, a factual record within six hours, and a sealed incident file within seventy-two hours, on the forms and channels of Annex J. The Office publishes the incident summary weekly, in the neutral incident language of Annex H, with attribution stated only where the convergence standard supports it.</w:t>
      </w:r>
    </w:p>
    <w:p>
      <w:pPr>
        <w:pStyle w:val="Heading3"/>
        <w:keepNext/>
        <w:keepLines/>
      </w:pPr>
      <w:bookmarkStart w:id="316" w:name="_Toc262100216"/>
      <w:r>
        <w:rPr>
          <w:rFonts w:ascii="Calibri" w:hAnsi="Calibri"/>
          <w:b/>
          <w:color w:val="37666F"/>
          <w:sz w:val="24"/>
        </w:rPr>
        <w:t xml:space="preserve">36.3 The Statistics Feed</w:t>
      </w:r>
      <w:bookmarkEnd w:id="316"/>
    </w:p>
    <w:p>
      <w:pPr>
        <w:spacing w:after="110" w:line="340" w:lineRule="auto"/>
        <w:ind w:left="360" w:hanging="360"/>
        <w:jc w:val="both"/>
      </w:pPr>
      <w:r>
        <w:rPr>
          <w:rFonts w:ascii="Cambria" w:hAnsi="Cambria"/>
          <w:b/>
          <w:color w:val="1D4E5F"/>
          <w:sz w:val="22"/>
        </w:rPr>
        <w:t xml:space="preserve">36.3.1 </w:t>
      </w:r>
      <w:r>
        <w:rPr>
          <w:rFonts w:ascii="Cambria" w:hAnsi="Cambria"/>
          <w:color w:val="20262A"/>
          <w:sz w:val="22"/>
        </w:rPr>
        <w:t xml:space="preserve">The Center publishes the incident statistics feed: counts by class, corridor, vessel class, and cause category, monthly and annual, machine-readable, free to every party and every underwriter. The feed tells the truth about the water, and the water's reputation prices itself from the feed.</w:t>
      </w:r>
    </w:p>
    <w:p>
      <w:pPr>
        <w:pStyle w:val="Heading3"/>
        <w:keepNext/>
        <w:keepLines/>
      </w:pPr>
      <w:bookmarkStart w:id="317" w:name="_Toc262100217"/>
      <w:r>
        <w:rPr>
          <w:rFonts w:ascii="Calibri" w:hAnsi="Calibri"/>
          <w:b/>
          <w:color w:val="37666F"/>
          <w:sz w:val="24"/>
        </w:rPr>
        <w:t xml:space="preserve">36.4 The Incident Archive and the Lessons Cycle</w:t>
      </w:r>
      <w:bookmarkEnd w:id="317"/>
    </w:p>
    <w:p>
      <w:pPr>
        <w:spacing w:after="110" w:line="340" w:lineRule="auto"/>
        <w:ind w:left="360" w:hanging="360"/>
        <w:jc w:val="both"/>
      </w:pPr>
      <w:r>
        <w:rPr>
          <w:rFonts w:ascii="Cambria" w:hAnsi="Cambria"/>
          <w:b/>
          <w:color w:val="1D4E5F"/>
          <w:sz w:val="22"/>
        </w:rPr>
        <w:t xml:space="preserve">36.4.1 </w:t>
      </w:r>
      <w:r>
        <w:rPr>
          <w:rFonts w:ascii="Cambria" w:hAnsi="Cambria"/>
          <w:color w:val="20262A"/>
          <w:sz w:val="22"/>
        </w:rPr>
        <w:t xml:space="preserve">Every sealed file enters the Incident Archive. The Office runs the lessons cycle each quarter: pattern analysis, repeat-event review, and recommendations to the Council. A recommendation that touches a Register entry follows the Perimeter Test; every other recommendation follows the ordinary decision rule, and the Council publishes its disposition of every recommendation within sixty days.</w:t>
      </w:r>
    </w:p>
    <w:p>
      <w:pPr>
        <w:pStyle w:val="Heading1"/>
        <w:keepNext/>
        <w:keepLines/>
        <w:pageBreakBefore/>
      </w:pPr>
      <w:bookmarkStart w:id="318" w:name="_Toc262100218"/>
      <w:r>
        <w:rPr>
          <w:rFonts w:ascii="Calibri" w:hAnsi="Calibri"/>
          <w:b/>
          <w:color w:val="1D4E5F"/>
          <w:sz w:val="34"/>
        </w:rPr>
        <w:t xml:space="preserve">Part VII: The Nuclear Firewall</w:t>
      </w:r>
      <w:bookmarkEnd w:id="318"/>
    </w:p>
    <w:p>
      <w:pPr>
        <w:pStyle w:val="Heading2"/>
        <w:keepNext/>
        <w:keepLines/>
      </w:pPr>
      <w:bookmarkStart w:id="319" w:name="_Toc262100219"/>
      <w:r>
        <w:rPr>
          <w:rFonts w:ascii="Calibri" w:hAnsi="Calibri"/>
          <w:b/>
          <w:color w:val="1D4E5F"/>
          <w:sz w:val="27"/>
        </w:rPr>
        <w:t xml:space="preserve">Article 37: The Firewall Clause</w:t>
      </w:r>
      <w:bookmarkEnd w:id="319"/>
    </w:p>
    <w:p>
      <w:pPr>
        <w:pStyle w:val="Heading3"/>
        <w:keepNext/>
        <w:keepLines/>
      </w:pPr>
      <w:bookmarkStart w:id="320" w:name="_Toc262100220"/>
      <w:r>
        <w:rPr>
          <w:rFonts w:ascii="Calibri" w:hAnsi="Calibri"/>
          <w:b/>
          <w:color w:val="37666F"/>
          <w:sz w:val="24"/>
        </w:rPr>
        <w:t xml:space="preserve">37.1 Scope Exclusion</w:t>
      </w:r>
      <w:bookmarkEnd w:id="320"/>
    </w:p>
    <w:p>
      <w:pPr>
        <w:spacing w:after="110" w:line="340" w:lineRule="auto"/>
        <w:ind w:left="360" w:hanging="360"/>
        <w:jc w:val="both"/>
      </w:pPr>
      <w:r>
        <w:rPr>
          <w:rFonts w:ascii="Cambria" w:hAnsi="Cambria"/>
          <w:b/>
          <w:color w:val="1D4E5F"/>
          <w:sz w:val="22"/>
        </w:rPr>
        <w:t xml:space="preserve">37.1.1 </w:t>
      </w:r>
      <w:r>
        <w:rPr>
          <w:rFonts w:ascii="Cambria" w:hAnsi="Cambria"/>
          <w:color w:val="20262A"/>
          <w:sz w:val="22"/>
        </w:rPr>
        <w:t xml:space="preserve">The Compact governs movement, services, stewardship, and verification on the water, and nothing else. The nuclear file, including enrichment, stockpiles, facilities, safeguards, and every negotiation conducted about them, stands outside the Compact's scope, outside its institutions, and outside its vocabulary. IPR-11 and IPR-16 state the principle; this Article builds the wall in operative form.</w:t>
      </w:r>
    </w:p>
    <w:tbl>
      <w:tblPr>
        <w:tblW w:w="5000" w:type="pct"/>
        <w:tblBorders>
          <w:top w:val="single" w:color="9C7A2E" w:sz="8"/>
          <w:left w:val="single" w:color="9C7A2E" w:sz="8"/>
          <w:bottom w:val="single" w:color="9C7A2E" w:sz="8"/>
          <w:right w:val="single" w:color="9C7A2E" w:sz="8"/>
          <w:insideH w:val="nil"/>
          <w:insideV w:val="nil"/>
        </w:tblBorders>
      </w:tblPr>
      <w:tblGrid>
        <w:gridCol w:w="10000"/>
      </w:tblGrid>
      <w:tr>
        <w:tc>
          <w:tcPr>
            <w:tcW w:w="10000" w:type="dxa"/>
            <w:shd w:val="clear" w:fill="F5F1E6"/>
            <w:tcMar>
              <w:top w:w="120" w:type="dxa"/>
              <w:left w:w="160" w:type="dxa"/>
              <w:bottom w:w="120" w:type="dxa"/>
              <w:right w:w="160" w:type="dxa"/>
            </w:tcMar>
          </w:tcPr>
          <w:p>
            <w:pPr>
              <w:spacing w:before="60" w:after="60" w:line="320" w:lineRule="auto"/>
              <w:jc w:val="both"/>
            </w:pPr>
            <w:r>
              <w:rPr>
                <w:rFonts w:ascii="Cambria" w:hAnsi="Cambria"/>
                <w:i/>
                <w:color w:val="26343A"/>
                <w:sz w:val="21"/>
              </w:rPr>
              <w:t xml:space="preserve">The Firewall in one sentence: the Compact and the nuclear track share no clause, no condition, no metric, no calendar, and no lever, in either direction, at any phase, under any circumstance.</w:t>
            </w:r>
          </w:p>
        </w:tc>
      </w:tr>
    </w:tbl>
    <w:p>
      <w:pPr>
        <w:spacing w:after="100"/>
      </w:pPr>
    </w:p>
    <w:p>
      <w:pPr>
        <w:pStyle w:val="Heading3"/>
        <w:keepNext/>
        <w:keepLines/>
      </w:pPr>
      <w:bookmarkStart w:id="321" w:name="_Toc262100221"/>
      <w:r>
        <w:rPr>
          <w:rFonts w:ascii="Calibri" w:hAnsi="Calibri"/>
          <w:b/>
          <w:color w:val="37666F"/>
          <w:sz w:val="24"/>
        </w:rPr>
        <w:t xml:space="preserve">37.2 Anti-Linkage, Both Directions</w:t>
      </w:r>
      <w:bookmarkEnd w:id="321"/>
    </w:p>
    <w:p>
      <w:pPr>
        <w:spacing w:after="110" w:line="340" w:lineRule="auto"/>
        <w:ind w:left="360" w:hanging="360"/>
        <w:jc w:val="both"/>
      </w:pPr>
      <w:r>
        <w:rPr>
          <w:rFonts w:ascii="Cambria" w:hAnsi="Cambria"/>
          <w:b/>
          <w:color w:val="1D4E5F"/>
          <w:sz w:val="22"/>
        </w:rPr>
        <w:t xml:space="preserve">37.2.1 </w:t>
      </w:r>
      <w:r>
        <w:rPr>
          <w:rFonts w:ascii="Cambria" w:hAnsi="Cambria"/>
          <w:color w:val="20262A"/>
          <w:sz w:val="22"/>
        </w:rPr>
        <w:t xml:space="preserve">No Compact right, share, gate, phase, fee, or privilege conditions on any nuclear development, negotiation, or outcome. The Accrual Ladder moves on maritime evidence alone; the corridors open on maritime facts alone; the Fund distributes on maritime accounts alone.</w:t>
      </w:r>
    </w:p>
    <w:p>
      <w:pPr>
        <w:spacing w:after="110" w:line="340" w:lineRule="auto"/>
        <w:ind w:left="360" w:hanging="360"/>
        <w:jc w:val="both"/>
      </w:pPr>
      <w:r>
        <w:rPr>
          <w:rFonts w:ascii="Cambria" w:hAnsi="Cambria"/>
          <w:b/>
          <w:color w:val="1D4E5F"/>
          <w:sz w:val="22"/>
        </w:rPr>
        <w:t xml:space="preserve">37.2.2 </w:t>
      </w:r>
      <w:r>
        <w:rPr>
          <w:rFonts w:ascii="Cambria" w:hAnsi="Cambria"/>
          <w:color w:val="20262A"/>
          <w:sz w:val="22"/>
        </w:rPr>
        <w:t xml:space="preserve">No nuclear development, negotiation, or outcome suspends, slows, accelerates, or conditions any Compact operation. A breakdown on the nuclear track leaves the water exactly where the water stood; a breakthrough on the nuclear track changes nothing on the water either. The framework contains no lever by which any party reaches from one track into the other.</w:t>
      </w:r>
    </w:p>
    <w:p>
      <w:pPr>
        <w:pStyle w:val="Heading3"/>
        <w:keepNext/>
        <w:keepLines/>
      </w:pPr>
      <w:bookmarkStart w:id="322" w:name="_Toc262100222"/>
      <w:r>
        <w:rPr>
          <w:rFonts w:ascii="Calibri" w:hAnsi="Calibri"/>
          <w:b/>
          <w:color w:val="37666F"/>
          <w:sz w:val="24"/>
        </w:rPr>
        <w:t xml:space="preserve">37.3 Data Segregation</w:t>
      </w:r>
      <w:bookmarkEnd w:id="322"/>
    </w:p>
    <w:p>
      <w:pPr>
        <w:spacing w:after="110" w:line="340" w:lineRule="auto"/>
        <w:ind w:left="360" w:hanging="360"/>
        <w:jc w:val="both"/>
      </w:pPr>
      <w:r>
        <w:rPr>
          <w:rFonts w:ascii="Cambria" w:hAnsi="Cambria"/>
          <w:b/>
          <w:color w:val="1D4E5F"/>
          <w:sz w:val="22"/>
        </w:rPr>
        <w:t xml:space="preserve">37.3.1 </w:t>
      </w:r>
      <w:r>
        <w:rPr>
          <w:rFonts w:ascii="Cambria" w:hAnsi="Cambria"/>
          <w:color w:val="20262A"/>
          <w:sz w:val="22"/>
        </w:rPr>
        <w:t xml:space="preserve">Compact systems collect maritime data only: positions, movements, services, incidents, and accounts. The architecture excludes any collection, storage, or analysis of nuclear-related information within any Compact system, and the annual audit states the segregation result in one sentence.</w:t>
      </w:r>
    </w:p>
    <w:p>
      <w:pPr>
        <w:pStyle w:val="Heading3"/>
        <w:keepNext/>
        <w:keepLines/>
      </w:pPr>
      <w:bookmarkStart w:id="323" w:name="_Toc262100223"/>
      <w:r>
        <w:rPr>
          <w:rFonts w:ascii="Calibri" w:hAnsi="Calibri"/>
          <w:b/>
          <w:color w:val="37666F"/>
          <w:sz w:val="24"/>
        </w:rPr>
        <w:t xml:space="preserve">37.4 No Nuclear Verification Role</w:t>
      </w:r>
      <w:bookmarkEnd w:id="323"/>
    </w:p>
    <w:p>
      <w:pPr>
        <w:spacing w:after="110" w:line="340" w:lineRule="auto"/>
        <w:ind w:left="360" w:hanging="360"/>
        <w:jc w:val="both"/>
      </w:pPr>
      <w:r>
        <w:rPr>
          <w:rFonts w:ascii="Cambria" w:hAnsi="Cambria"/>
          <w:b/>
          <w:color w:val="1D4E5F"/>
          <w:sz w:val="22"/>
        </w:rPr>
        <w:t xml:space="preserve">37.4.1 </w:t>
      </w:r>
      <w:r>
        <w:rPr>
          <w:rFonts w:ascii="Cambria" w:hAnsi="Cambria"/>
          <w:color w:val="20262A"/>
          <w:sz w:val="22"/>
        </w:rPr>
        <w:t xml:space="preserve">The Meridian Verification Office holds no nuclear mandate, no nuclear access, and no nuclear reporting line. Nuclear verification proceeds through the International Atomic Energy Agency under instruments entirely separate from this Compact, and no Compact Body requests, receives, or transmits Agency information.</w:t>
      </w:r>
    </w:p>
    <w:p>
      <w:pPr>
        <w:pStyle w:val="Heading3"/>
        <w:keepNext/>
        <w:keepLines/>
      </w:pPr>
      <w:bookmarkStart w:id="324" w:name="_Toc262100224"/>
      <w:r>
        <w:rPr>
          <w:rFonts w:ascii="Calibri" w:hAnsi="Calibri"/>
          <w:b/>
          <w:color w:val="37666F"/>
          <w:sz w:val="24"/>
        </w:rPr>
        <w:t xml:space="preserve">37.5 Non-Suspension</w:t>
      </w:r>
      <w:bookmarkEnd w:id="324"/>
    </w:p>
    <w:p>
      <w:pPr>
        <w:spacing w:after="110" w:line="340" w:lineRule="auto"/>
        <w:ind w:left="360" w:hanging="360"/>
        <w:jc w:val="both"/>
      </w:pPr>
      <w:r>
        <w:rPr>
          <w:rFonts w:ascii="Cambria" w:hAnsi="Cambria"/>
          <w:b/>
          <w:color w:val="1D4E5F"/>
          <w:sz w:val="22"/>
        </w:rPr>
        <w:t xml:space="preserve">37.5.1 </w:t>
      </w:r>
      <w:r>
        <w:rPr>
          <w:rFonts w:ascii="Cambria" w:hAnsi="Cambria"/>
          <w:color w:val="20262A"/>
          <w:sz w:val="22"/>
        </w:rPr>
        <w:t xml:space="preserve">The compliance engine of Article 38 contains no nuclear trigger. No classification, no step-back, no pause, and no protective measure cites a nuclear fact. The engine classifies maritime events, and only maritime events.</w:t>
      </w:r>
    </w:p>
    <w:p>
      <w:pPr>
        <w:pStyle w:val="Heading3"/>
        <w:keepNext/>
        <w:keepLines/>
      </w:pPr>
      <w:bookmarkStart w:id="325" w:name="_Toc262100225"/>
      <w:r>
        <w:rPr>
          <w:rFonts w:ascii="Calibri" w:hAnsi="Calibri"/>
          <w:b/>
          <w:color w:val="37666F"/>
          <w:sz w:val="24"/>
        </w:rPr>
        <w:t xml:space="preserve">37.6 Firewall Breach Procedure</w:t>
      </w:r>
      <w:bookmarkEnd w:id="325"/>
    </w:p>
    <w:p>
      <w:pPr>
        <w:spacing w:after="110" w:line="340" w:lineRule="auto"/>
        <w:ind w:left="360" w:hanging="360"/>
        <w:jc w:val="both"/>
      </w:pPr>
      <w:r>
        <w:rPr>
          <w:rFonts w:ascii="Cambria" w:hAnsi="Cambria"/>
          <w:b/>
          <w:color w:val="1D4E5F"/>
          <w:sz w:val="22"/>
        </w:rPr>
        <w:t xml:space="preserve">37.6.1 </w:t>
      </w:r>
      <w:r>
        <w:rPr>
          <w:rFonts w:ascii="Cambria" w:hAnsi="Cambria"/>
          <w:color w:val="20262A"/>
          <w:sz w:val="22"/>
        </w:rPr>
        <w:t xml:space="preserve">Where any party or Compact Body introduces a nuclear linkage into any Compact process, the chair of the Council declares a firewall breach, the linkage dies on the spot without debate, and the process resumes from the point of interruption. The declaration enters the record, and a repeated pattern of breaches by any party enters its SPI under domain D-6 as a deconfliction conduct event. The wall polices itself, quietly, every time.</w:t>
      </w:r>
    </w:p>
    <w:p>
      <w:pPr>
        <w:pStyle w:val="Heading3"/>
        <w:keepNext/>
        <w:keepLines/>
      </w:pPr>
      <w:bookmarkStart w:id="326" w:name="_Toc262100226"/>
      <w:r>
        <w:rPr>
          <w:rFonts w:ascii="Calibri" w:hAnsi="Calibri"/>
          <w:b/>
          <w:color w:val="37666F"/>
          <w:sz w:val="24"/>
        </w:rPr>
        <w:t xml:space="preserve">37.7 Relationship to the Separate Track</w:t>
      </w:r>
      <w:bookmarkEnd w:id="326"/>
    </w:p>
    <w:p>
      <w:pPr>
        <w:spacing w:after="110" w:line="340" w:lineRule="auto"/>
        <w:ind w:left="360" w:hanging="360"/>
        <w:jc w:val="both"/>
      </w:pPr>
      <w:r>
        <w:rPr>
          <w:rFonts w:ascii="Cambria" w:hAnsi="Cambria"/>
          <w:b/>
          <w:color w:val="1D4E5F"/>
          <w:sz w:val="22"/>
        </w:rPr>
        <w:t xml:space="preserve">37.7.1 </w:t>
      </w:r>
      <w:r>
        <w:rPr>
          <w:rFonts w:ascii="Cambria" w:hAnsi="Cambria"/>
          <w:color w:val="20262A"/>
          <w:sz w:val="22"/>
        </w:rPr>
        <w:t xml:space="preserve">Nuclear questions proceed in their own channel, including the sixty-day negotiation track of the Islamabad Memorandum of Understanding of 17 June 2026 and any successor arrangements. The Compact takes no position on that channel's content, calendar, or outcome, and asks the same in return: the water runs on the water's facts.</w:t>
      </w:r>
    </w:p>
    <w:p>
      <w:pPr>
        <w:pStyle w:val="Heading1"/>
        <w:keepNext/>
        <w:keepLines/>
        <w:pageBreakBefore/>
      </w:pPr>
      <w:bookmarkStart w:id="327" w:name="_Toc262100227"/>
      <w:r>
        <w:rPr>
          <w:rFonts w:ascii="Calibri" w:hAnsi="Calibri"/>
          <w:b/>
          <w:color w:val="1D4E5F"/>
          <w:sz w:val="34"/>
        </w:rPr>
        <w:t xml:space="preserve">Part VIII: Compliance and Dispute Resolution</w:t>
      </w:r>
      <w:bookmarkEnd w:id="327"/>
    </w:p>
    <w:p>
      <w:pPr>
        <w:pStyle w:val="Heading2"/>
        <w:keepNext/>
        <w:keepLines/>
      </w:pPr>
      <w:bookmarkStart w:id="328" w:name="_Toc262100228"/>
      <w:r>
        <w:rPr>
          <w:rFonts w:ascii="Calibri" w:hAnsi="Calibri"/>
          <w:b/>
          <w:color w:val="1D4E5F"/>
          <w:sz w:val="27"/>
        </w:rPr>
        <w:t xml:space="preserve">Article 38: The Compliance Engine</w:t>
      </w:r>
      <w:bookmarkEnd w:id="328"/>
    </w:p>
    <w:p>
      <w:pPr>
        <w:pStyle w:val="Heading3"/>
        <w:keepNext/>
        <w:keepLines/>
      </w:pPr>
      <w:bookmarkStart w:id="329" w:name="_Toc262100229"/>
      <w:r>
        <w:rPr>
          <w:rFonts w:ascii="Calibri" w:hAnsi="Calibri"/>
          <w:b/>
          <w:color w:val="37666F"/>
          <w:sz w:val="24"/>
        </w:rPr>
        <w:t xml:space="preserve">38.1 The Four-Category Classification</w:t>
      </w:r>
      <w:bookmarkEnd w:id="329"/>
    </w:p>
    <w:p>
      <w:pPr>
        <w:spacing w:after="110" w:line="340" w:lineRule="auto"/>
        <w:ind w:left="360" w:hanging="360"/>
        <w:jc w:val="both"/>
      </w:pPr>
      <w:r>
        <w:rPr>
          <w:rFonts w:ascii="Cambria" w:hAnsi="Cambria"/>
          <w:b/>
          <w:color w:val="1D4E5F"/>
          <w:sz w:val="22"/>
        </w:rPr>
        <w:t xml:space="preserve">38.1.1 </w:t>
      </w:r>
      <w:r>
        <w:rPr>
          <w:rFonts w:ascii="Cambria" w:hAnsi="Cambria"/>
          <w:color w:val="20262A"/>
          <w:sz w:val="22"/>
        </w:rPr>
        <w:t xml:space="preserve">The engine classifies every confirmed non-compliance into four categories. Technical: a procedural irregularity without operational effect, answered by quiet correction. Minor: a rule deviation with limited operational effect, answered by a pause of the gate clock under Article 18.2. Material: a breach with real operational, financial, or safety effect, answered by a one-gate step-back for one quarter under Article 18.1. Critical: a breach of a safe passage guarantee, the Zero-Toll Rule, the Non-Interdiction Protocol, or the Nuclear Firewall with operational effect, answered by a one-gate step-back for two quarters and a Council extraordinary session.</w:t>
      </w:r>
    </w:p>
    <w:p>
      <w:pPr>
        <w:pStyle w:val="Heading3"/>
        <w:keepNext/>
        <w:keepLines/>
      </w:pPr>
      <w:bookmarkStart w:id="330" w:name="_Toc262100230"/>
      <w:r>
        <w:rPr>
          <w:rFonts w:ascii="Calibri" w:hAnsi="Calibri"/>
          <w:b/>
          <w:color w:val="37666F"/>
          <w:sz w:val="24"/>
        </w:rPr>
        <w:t xml:space="preserve">38.2 The Graduated Response Ladder</w:t>
      </w:r>
      <w:bookmarkEnd w:id="330"/>
    </w:p>
    <w:p>
      <w:pPr>
        <w:spacing w:after="110" w:line="340" w:lineRule="auto"/>
        <w:ind w:left="360" w:hanging="360"/>
        <w:jc w:val="both"/>
      </w:pPr>
      <w:r>
        <w:rPr>
          <w:rFonts w:ascii="Cambria" w:hAnsi="Cambria"/>
          <w:b/>
          <w:color w:val="1D4E5F"/>
          <w:sz w:val="22"/>
        </w:rPr>
        <w:t xml:space="preserve">38.2.1 </w:t>
      </w:r>
      <w:r>
        <w:rPr>
          <w:rFonts w:ascii="Cambria" w:hAnsi="Cambria"/>
          <w:color w:val="20262A"/>
          <w:sz w:val="22"/>
        </w:rPr>
        <w:t xml:space="preserve">The ladder runs five rungs: quiet remediation between the Office and the party; formal notice with a fourteen-day cure window; Council session with a published finding; step-back or the calibrated financial measure of Section 38.3; and referral to the Technical Arbitration Panel. The engine assigns every event its single calibrated response, and IPR-15 bars any benefit from an attributed event.</w:t>
      </w:r>
    </w:p>
    <w:p>
      <w:pPr>
        <w:pStyle w:val="Heading3"/>
        <w:keepNext/>
        <w:keepLines/>
      </w:pPr>
      <w:bookmarkStart w:id="331" w:name="_Toc262100231"/>
      <w:r>
        <w:rPr>
          <w:rFonts w:ascii="Calibri" w:hAnsi="Calibri"/>
          <w:b/>
          <w:color w:val="37666F"/>
          <w:sz w:val="24"/>
        </w:rPr>
        <w:t xml:space="preserve">38.3 The Performance Reserve</w:t>
      </w:r>
      <w:bookmarkEnd w:id="331"/>
    </w:p>
    <w:p>
      <w:pPr>
        <w:spacing w:after="110" w:line="340" w:lineRule="auto"/>
        <w:ind w:left="360" w:hanging="360"/>
        <w:jc w:val="both"/>
      </w:pPr>
      <w:r>
        <w:rPr>
          <w:rFonts w:ascii="Cambria" w:hAnsi="Cambria"/>
          <w:b/>
          <w:color w:val="1D4E5F"/>
          <w:sz w:val="22"/>
        </w:rPr>
        <w:t xml:space="preserve">38.3.1 </w:t>
      </w:r>
      <w:r>
        <w:rPr>
          <w:rFonts w:ascii="Cambria" w:hAnsi="Cambria"/>
          <w:color w:val="20262A"/>
          <w:sz w:val="22"/>
        </w:rPr>
        <w:t xml:space="preserve">Financial findings settle against the Performance Reserve: the engine deducts the documented amount from the responsible party's next distribution, books it to the Performance Reserve, and the Reserve funds remediation, not punishment. Every deduction cites the finding number, and the accounts publish it like every other line.</w:t>
      </w:r>
    </w:p>
    <w:p>
      <w:pPr>
        <w:pStyle w:val="Heading3"/>
        <w:keepNext/>
        <w:keepLines/>
      </w:pPr>
      <w:bookmarkStart w:id="332" w:name="_Toc262100232"/>
      <w:r>
        <w:rPr>
          <w:rFonts w:ascii="Calibri" w:hAnsi="Calibri"/>
          <w:b/>
          <w:color w:val="37666F"/>
          <w:sz w:val="24"/>
        </w:rPr>
        <w:t xml:space="preserve">38.4 The Humanitarian Firewall</w:t>
      </w:r>
      <w:bookmarkEnd w:id="332"/>
    </w:p>
    <w:p>
      <w:pPr>
        <w:spacing w:after="110" w:line="340" w:lineRule="auto"/>
        <w:ind w:left="360" w:hanging="360"/>
        <w:jc w:val="both"/>
      </w:pPr>
      <w:r>
        <w:rPr>
          <w:rFonts w:ascii="Cambria" w:hAnsi="Cambria"/>
          <w:b/>
          <w:color w:val="1D4E5F"/>
          <w:sz w:val="22"/>
        </w:rPr>
        <w:t xml:space="preserve">38.4.1 </w:t>
      </w:r>
      <w:r>
        <w:rPr>
          <w:rFonts w:ascii="Cambria" w:hAnsi="Cambria"/>
          <w:color w:val="20262A"/>
          <w:sz w:val="22"/>
        </w:rPr>
        <w:t xml:space="preserve">No finding, no step-back, no financial measure, and no dispute touches Class H traffic, search and rescue, or the Humanitarian Line. The humanitarian channel runs under every circumstance, and the architecture contains no exception to this clause.</w:t>
      </w:r>
    </w:p>
    <w:p>
      <w:pPr>
        <w:pStyle w:val="Heading3"/>
        <w:keepNext/>
        <w:keepLines/>
      </w:pPr>
      <w:bookmarkStart w:id="333" w:name="_Toc262100233"/>
      <w:r>
        <w:rPr>
          <w:rFonts w:ascii="Calibri" w:hAnsi="Calibri"/>
          <w:b/>
          <w:color w:val="37666F"/>
          <w:sz w:val="24"/>
        </w:rPr>
        <w:t xml:space="preserve">38.5 No Automatic Snapback</w:t>
      </w:r>
      <w:bookmarkEnd w:id="333"/>
    </w:p>
    <w:p>
      <w:pPr>
        <w:spacing w:after="110" w:line="340" w:lineRule="auto"/>
        <w:ind w:left="360" w:hanging="360"/>
        <w:jc w:val="both"/>
      </w:pPr>
      <w:r>
        <w:rPr>
          <w:rFonts w:ascii="Cambria" w:hAnsi="Cambria"/>
          <w:b/>
          <w:color w:val="1D4E5F"/>
          <w:sz w:val="22"/>
        </w:rPr>
        <w:t xml:space="preserve">38.5.1 </w:t>
      </w:r>
      <w:r>
        <w:rPr>
          <w:rFonts w:ascii="Cambria" w:hAnsi="Cambria"/>
          <w:color w:val="20262A"/>
          <w:sz w:val="22"/>
        </w:rPr>
        <w:t xml:space="preserve">The framework excludes automatic snapback of any kind. Every consequence follows a confirmed classification, a stated finding, and the ladder, and every consequence carries its earn-back path in the same clause that imposes it.</w:t>
      </w:r>
    </w:p>
    <w:p>
      <w:pPr>
        <w:pStyle w:val="Heading3"/>
        <w:keepNext/>
        <w:keepLines/>
      </w:pPr>
      <w:bookmarkStart w:id="334" w:name="_Toc262100234"/>
      <w:r>
        <w:rPr>
          <w:rFonts w:ascii="Calibri" w:hAnsi="Calibri"/>
          <w:b/>
          <w:color w:val="37666F"/>
          <w:sz w:val="24"/>
        </w:rPr>
        <w:t xml:space="preserve">38.6 The Good Faith Reset</w:t>
      </w:r>
      <w:bookmarkEnd w:id="334"/>
    </w:p>
    <w:p>
      <w:pPr>
        <w:spacing w:after="110" w:line="340" w:lineRule="auto"/>
        <w:ind w:left="360" w:hanging="360"/>
        <w:jc w:val="both"/>
      </w:pPr>
      <w:r>
        <w:rPr>
          <w:rFonts w:ascii="Cambria" w:hAnsi="Cambria"/>
          <w:b/>
          <w:color w:val="1D4E5F"/>
          <w:sz w:val="22"/>
        </w:rPr>
        <w:t xml:space="preserve">38.6.1 </w:t>
      </w:r>
      <w:r>
        <w:rPr>
          <w:rFonts w:ascii="Cambria" w:hAnsi="Cambria"/>
          <w:color w:val="20262A"/>
          <w:sz w:val="22"/>
        </w:rPr>
        <w:t xml:space="preserve">Any party resets the ladder between itself and the engine by completing the cure window of its lowest open rung. On completion, the finding closes, the record marks it cured, and the gate clock resumes. The engine rewards the cure, not the delay.</w:t>
      </w:r>
    </w:p>
    <w:p>
      <w:pPr>
        <w:pStyle w:val="Heading3"/>
        <w:keepNext/>
        <w:keepLines/>
      </w:pPr>
      <w:bookmarkStart w:id="335" w:name="_Toc262100235"/>
      <w:r>
        <w:rPr>
          <w:rFonts w:ascii="Calibri" w:hAnsi="Calibri"/>
          <w:b/>
          <w:color w:val="37666F"/>
          <w:sz w:val="24"/>
        </w:rPr>
        <w:t xml:space="preserve">38.7 The Still Water Clause</w:t>
      </w:r>
      <w:bookmarkEnd w:id="335"/>
    </w:p>
    <w:p>
      <w:pPr>
        <w:spacing w:after="110" w:line="340" w:lineRule="auto"/>
        <w:ind w:left="360" w:hanging="360"/>
        <w:jc w:val="both"/>
      </w:pPr>
      <w:r>
        <w:rPr>
          <w:rFonts w:ascii="Cambria" w:hAnsi="Cambria"/>
          <w:b/>
          <w:color w:val="1D4E5F"/>
          <w:sz w:val="22"/>
        </w:rPr>
        <w:t xml:space="preserve">38.7.1 </w:t>
      </w:r>
      <w:r>
        <w:rPr>
          <w:rFonts w:ascii="Cambria" w:hAnsi="Cambria"/>
          <w:color w:val="20262A"/>
          <w:sz w:val="22"/>
        </w:rPr>
        <w:t xml:space="preserve">Operations continue during every dispute and every ladder process. Transit runs, services run, distributions run, and the Bulletin publishes, while the ladder climbs. The water stays still while the lawyers talk.</w:t>
      </w:r>
    </w:p>
    <w:p>
      <w:pPr>
        <w:pStyle w:val="Heading2"/>
        <w:keepNext/>
        <w:keepLines/>
      </w:pPr>
      <w:bookmarkStart w:id="336" w:name="_Toc262100236"/>
      <w:r>
        <w:rPr>
          <w:rFonts w:ascii="Calibri" w:hAnsi="Calibri"/>
          <w:b/>
          <w:color w:val="1D4E5F"/>
          <w:sz w:val="27"/>
        </w:rPr>
        <w:t xml:space="preserve">Article 39: Dispute Resolution</w:t>
      </w:r>
      <w:bookmarkEnd w:id="336"/>
    </w:p>
    <w:p>
      <w:pPr>
        <w:pStyle w:val="Heading3"/>
        <w:keepNext/>
        <w:keepLines/>
      </w:pPr>
      <w:bookmarkStart w:id="337" w:name="_Toc262100237"/>
      <w:r>
        <w:rPr>
          <w:rFonts w:ascii="Calibri" w:hAnsi="Calibri"/>
          <w:b/>
          <w:color w:val="37666F"/>
          <w:sz w:val="24"/>
        </w:rPr>
        <w:t xml:space="preserve">39.1 The Ladder</w:t>
      </w:r>
      <w:bookmarkEnd w:id="337"/>
    </w:p>
    <w:p>
      <w:pPr>
        <w:spacing w:after="110" w:line="340" w:lineRule="auto"/>
        <w:ind w:left="360" w:hanging="360"/>
        <w:jc w:val="both"/>
      </w:pPr>
      <w:r>
        <w:rPr>
          <w:rFonts w:ascii="Cambria" w:hAnsi="Cambria"/>
          <w:b/>
          <w:color w:val="1D4E5F"/>
          <w:sz w:val="22"/>
        </w:rPr>
        <w:t xml:space="preserve">39.1.1 </w:t>
      </w:r>
      <w:r>
        <w:rPr>
          <w:rFonts w:ascii="Cambria" w:hAnsi="Cambria"/>
          <w:color w:val="20262A"/>
          <w:sz w:val="22"/>
        </w:rPr>
        <w:t xml:space="preserve">Disputes climb a four-rung ladder: watch floor consultation within twenty-four hours; technical consultation between the affected administrators within seven days; mediation by a mediator from the facilitating states' roster within thirty days; and the Technical Arbitration Panel within ninety days. A party enters at any rung and exits at any rung by settlement, and time keeps running while the ladder climbs.</w:t>
      </w:r>
    </w:p>
    <w:p>
      <w:pPr>
        <w:pStyle w:val="Heading3"/>
        <w:keepNext/>
        <w:keepLines/>
      </w:pPr>
      <w:bookmarkStart w:id="338" w:name="_Toc262100238"/>
      <w:r>
        <w:rPr>
          <w:rFonts w:ascii="Calibri" w:hAnsi="Calibri"/>
          <w:b/>
          <w:color w:val="37666F"/>
          <w:sz w:val="24"/>
        </w:rPr>
        <w:t xml:space="preserve">39.2 The Technical Arbitration Panel</w:t>
      </w:r>
      <w:bookmarkEnd w:id="338"/>
    </w:p>
    <w:p>
      <w:pPr>
        <w:spacing w:after="110" w:line="340" w:lineRule="auto"/>
        <w:ind w:left="360" w:hanging="360"/>
        <w:jc w:val="both"/>
      </w:pPr>
      <w:r>
        <w:rPr>
          <w:rFonts w:ascii="Cambria" w:hAnsi="Cambria"/>
          <w:b/>
          <w:color w:val="1D4E5F"/>
          <w:sz w:val="22"/>
        </w:rPr>
        <w:t xml:space="preserve">39.2.1 </w:t>
      </w:r>
      <w:r>
        <w:rPr>
          <w:rFonts w:ascii="Cambria" w:hAnsi="Cambria"/>
          <w:color w:val="20262A"/>
          <w:sz w:val="22"/>
        </w:rPr>
        <w:t xml:space="preserve">The Panel sits in five: one arbitrator nominated by each Coastal State, one by the Stakeholder Circle, one by the User Circle, and a neutral chair from the roster of the Permanent Court of Arbitration. The Panel decides on the Compact text, the evidence record, and the convergence standard, by majority, with reasons, within sixty days of constitution. Panel decisions bind the parties to the dispute, and the Council records and publishes every decision.</w:t>
      </w:r>
    </w:p>
    <w:p>
      <w:pPr>
        <w:pStyle w:val="Heading3"/>
        <w:keepNext/>
        <w:keepLines/>
      </w:pPr>
      <w:bookmarkStart w:id="339" w:name="_Toc262100239"/>
      <w:r>
        <w:rPr>
          <w:rFonts w:ascii="Calibri" w:hAnsi="Calibri"/>
          <w:b/>
          <w:color w:val="37666F"/>
          <w:sz w:val="24"/>
        </w:rPr>
        <w:t xml:space="preserve">39.3 Time Limits and Interim Operation</w:t>
      </w:r>
      <w:bookmarkEnd w:id="339"/>
    </w:p>
    <w:p>
      <w:pPr>
        <w:spacing w:after="110" w:line="340" w:lineRule="auto"/>
        <w:ind w:left="360" w:hanging="360"/>
        <w:jc w:val="both"/>
      </w:pPr>
      <w:r>
        <w:rPr>
          <w:rFonts w:ascii="Cambria" w:hAnsi="Cambria"/>
          <w:b/>
          <w:color w:val="1D4E5F"/>
          <w:sz w:val="22"/>
        </w:rPr>
        <w:t xml:space="preserve">39.3.1 </w:t>
      </w:r>
      <w:r>
        <w:rPr>
          <w:rFonts w:ascii="Cambria" w:hAnsi="Cambria"/>
          <w:color w:val="20262A"/>
          <w:sz w:val="22"/>
        </w:rPr>
        <w:t xml:space="preserve">During any dispute, the status quo ante operates: shares, flows, distributions, and procedures continue as they stood before the disputed act, and the disputed act holds in suspense. Suspense never suspends transit, services, or the humanitarian channel, under the Still Water Clause.</w:t>
      </w:r>
    </w:p>
    <w:p>
      <w:pPr>
        <w:pStyle w:val="Heading3"/>
        <w:keepNext/>
        <w:keepLines/>
      </w:pPr>
      <w:bookmarkStart w:id="340" w:name="_Toc262100240"/>
      <w:r>
        <w:rPr>
          <w:rFonts w:ascii="Calibri" w:hAnsi="Calibri"/>
          <w:b/>
          <w:color w:val="37666F"/>
          <w:sz w:val="24"/>
        </w:rPr>
        <w:t xml:space="preserve">39.4 Decoupling from Force</w:t>
      </w:r>
      <w:bookmarkEnd w:id="340"/>
    </w:p>
    <w:p>
      <w:pPr>
        <w:spacing w:after="110" w:line="340" w:lineRule="auto"/>
        <w:ind w:left="360" w:hanging="360"/>
        <w:jc w:val="both"/>
      </w:pPr>
      <w:r>
        <w:rPr>
          <w:rFonts w:ascii="Cambria" w:hAnsi="Cambria"/>
          <w:b/>
          <w:color w:val="1D4E5F"/>
          <w:sz w:val="22"/>
        </w:rPr>
        <w:t xml:space="preserve">39.4.1 </w:t>
      </w:r>
      <w:r>
        <w:rPr>
          <w:rFonts w:ascii="Cambria" w:hAnsi="Cambria"/>
          <w:color w:val="20262A"/>
          <w:sz w:val="22"/>
        </w:rPr>
        <w:t xml:space="preserve">The framework excludes force as a dispute instrument. Every dispute travels the ladder, and the ladder travels to a published decision. IPR-5 applies to every stage, and a threat of force from any quarter enters the record as a Class 2 incident and a domain D-6 event, whoever utters it.</w:t>
      </w:r>
    </w:p>
    <w:p>
      <w:pPr>
        <w:pStyle w:val="Heading1"/>
        <w:keepNext/>
        <w:keepLines/>
        <w:pageBreakBefore/>
      </w:pPr>
      <w:bookmarkStart w:id="341" w:name="_Toc262100241"/>
      <w:r>
        <w:rPr>
          <w:rFonts w:ascii="Calibri" w:hAnsi="Calibri"/>
          <w:b/>
          <w:color w:val="1D4E5F"/>
          <w:sz w:val="34"/>
        </w:rPr>
        <w:t xml:space="preserve">Part IX: The Phased Reopening and Activation</w:t>
      </w:r>
      <w:bookmarkEnd w:id="341"/>
    </w:p>
    <w:p>
      <w:pPr>
        <w:pStyle w:val="Heading2"/>
        <w:keepNext/>
        <w:keepLines/>
      </w:pPr>
      <w:bookmarkStart w:id="342" w:name="_Toc262100242"/>
      <w:r>
        <w:rPr>
          <w:rFonts w:ascii="Calibri" w:hAnsi="Calibri"/>
          <w:b/>
          <w:color w:val="1D4E5F"/>
          <w:sz w:val="27"/>
        </w:rPr>
        <w:t xml:space="preserve">Article 40: The Six Phases</w:t>
      </w:r>
      <w:bookmarkEnd w:id="342"/>
    </w:p>
    <w:p>
      <w:pPr>
        <w:pStyle w:val="Heading3"/>
        <w:keepNext/>
        <w:keepLines/>
      </w:pPr>
      <w:bookmarkStart w:id="343" w:name="_Toc262100243"/>
      <w:r>
        <w:rPr>
          <w:rFonts w:ascii="Calibri" w:hAnsi="Calibri"/>
          <w:b/>
          <w:color w:val="37666F"/>
          <w:sz w:val="24"/>
        </w:rPr>
        <w:t xml:space="preserve">40.1 The Sequence at a Glance</w:t>
      </w:r>
      <w:bookmarkEnd w:id="343"/>
    </w:p>
    <w:p>
      <w:pPr>
        <w:spacing w:after="110" w:line="340" w:lineRule="auto"/>
        <w:ind w:left="360" w:hanging="360"/>
        <w:jc w:val="both"/>
      </w:pPr>
      <w:r>
        <w:rPr>
          <w:rFonts w:ascii="Cambria" w:hAnsi="Cambria"/>
          <w:b/>
          <w:color w:val="1D4E5F"/>
          <w:sz w:val="22"/>
        </w:rPr>
        <w:t xml:space="preserve">40.1.1 </w:t>
      </w:r>
      <w:r>
        <w:rPr>
          <w:rFonts w:ascii="Cambria" w:hAnsi="Cambria"/>
          <w:color w:val="20262A"/>
          <w:sz w:val="22"/>
        </w:rPr>
        <w:t xml:space="preserve">The Compact activates in six phases across one hundred and twenty days from signature. Each phase has fixed content, fixed gates, and a fixed calendar. The sequence moves the strait from wartime routing to full triadic operation without a single unguarded seam, and Annex I states the day-by-day activation checklist.</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300"/>
        <w:gridCol w:w="1400"/>
        <w:gridCol w:w="4300"/>
        <w:gridCol w:w="2000"/>
      </w:tblGrid>
      <w:tr>
        <w:trPr>
          <w:tblHeader/>
        </w:trPr>
        <w:tc>
          <w:tcPr>
            <w:tcW w:w="2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Phase</w:t>
            </w:r>
          </w:p>
        </w:tc>
        <w:tc>
          <w:tcPr>
            <w:tcW w:w="1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Calendar</w:t>
            </w:r>
          </w:p>
        </w:tc>
        <w:tc>
          <w:tcPr>
            <w:tcW w:w="4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Content</w:t>
            </w:r>
          </w:p>
        </w:tc>
        <w:tc>
          <w:tcPr>
            <w:tcW w:w="2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Gate to next phase</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Phase Zero: Minimal Viable Activation</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Days 0 to 10</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Signature; corridor geometry locked; functional security roles seated; temporary service rate card adopted; joint monitoring rules live; hotline tested.</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Gate G-0: hotline answer standard met on five consecutive daily tests; both desks staffed.</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Phase One: Pilot Declaration</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Days 10 to 20</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Public declaration of the pilot; provisional corridor guidance published; shipping and insurance industry notified; pre-routing instructions begin.</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Gate G-1: provisional guidance published in three languages; filing channels live.</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Phase Two: Sequential Corridor Activation</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Days 20 to 40</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Central Buffer Corridor activates Days 20 to 25; Southern Assurance Corridor Days 25 to 35; Northern Coordination Corridor Days 35 to 40.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Gate G-2: all three corridors live under pilot rules; AIS adherence at 95 percent or higher for five consecutive days.</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Phase Three: Money Goes Live</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Days 40 to 55</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Escrow accounts open; fiduciary agent operational; Data Service opens at pilot rates; Port Processing Add-On begins at designated ports.</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Gate G-3: first distribution cycle completed end-to-end; firewall continuity protocol tested.</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Phase Four: The Stability Audit</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Days 55 to 90</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Thirty-five-day audit of corridor adherence, incidents, reporting, finance, and deconfliction against the audit metrics of Article 41.</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Gate G-4: audit metrics met; Office certifies stability; Council records certification.</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Phase Five: Full Activation</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Days 90 to 120</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Final coordinates registered and published; full rate card; joint patrols and Twin Key security live; wartime lanes sunset; quarterly SPI cycle begins.</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Steady state: the Compact runs.</w:t>
            </w:r>
          </w:p>
        </w:tc>
      </w:tr>
    </w:tbl>
    <w:p>
      <w:pPr>
        <w:spacing w:after="100"/>
      </w:pPr>
    </w:p>
    <w:p>
      <w:pPr>
        <w:pStyle w:val="Heading3"/>
        <w:keepNext/>
        <w:keepLines/>
      </w:pPr>
      <w:bookmarkStart w:id="344" w:name="_Toc262100244"/>
      <w:r>
        <w:rPr>
          <w:rFonts w:ascii="Calibri" w:hAnsi="Calibri"/>
          <w:b/>
          <w:color w:val="37666F"/>
          <w:sz w:val="24"/>
        </w:rPr>
        <w:t xml:space="preserve">40.2 Why the Buffer Opens First</w:t>
      </w:r>
      <w:bookmarkEnd w:id="344"/>
    </w:p>
    <w:p>
      <w:pPr>
        <w:spacing w:after="110" w:line="340" w:lineRule="auto"/>
        <w:ind w:left="360" w:hanging="360"/>
        <w:jc w:val="both"/>
      </w:pPr>
      <w:r>
        <w:rPr>
          <w:rFonts w:ascii="Cambria" w:hAnsi="Cambria"/>
          <w:b/>
          <w:color w:val="1D4E5F"/>
          <w:sz w:val="22"/>
        </w:rPr>
        <w:t xml:space="preserve">40.2.1 </w:t>
      </w:r>
      <w:r>
        <w:rPr>
          <w:rFonts w:ascii="Cambria" w:hAnsi="Cambria"/>
          <w:color w:val="20262A"/>
          <w:sz w:val="22"/>
        </w:rPr>
        <w:t xml:space="preserve">The Central Buffer Corridor activates first because it creates the separation that makes everything else safe: diversion capacity, search and rescue routing, and naval deconfliction stand ready before commercial density returns. The Southern Assurance Corridor activates second because outbound administration carries the lowest political friction. The Northern Coordination Corridor activates third, complete, verified, and calm, with the registration machinery already rehearsed on the other two.</w:t>
      </w:r>
    </w:p>
    <w:p>
      <w:pPr>
        <w:pStyle w:val="Heading3"/>
        <w:keepNext/>
        <w:keepLines/>
      </w:pPr>
      <w:bookmarkStart w:id="345" w:name="_Toc262100245"/>
      <w:r>
        <w:rPr>
          <w:rFonts w:ascii="Calibri" w:hAnsi="Calibri"/>
          <w:b/>
          <w:color w:val="37666F"/>
          <w:sz w:val="24"/>
        </w:rPr>
        <w:t xml:space="preserve">40.3 Pilot Rates and Pilot Rules</w:t>
      </w:r>
      <w:bookmarkEnd w:id="345"/>
    </w:p>
    <w:p>
      <w:pPr>
        <w:spacing w:after="110" w:line="340" w:lineRule="auto"/>
        <w:ind w:left="360" w:hanging="360"/>
        <w:jc w:val="both"/>
      </w:pPr>
      <w:r>
        <w:rPr>
          <w:rFonts w:ascii="Cambria" w:hAnsi="Cambria"/>
          <w:b/>
          <w:color w:val="1D4E5F"/>
          <w:sz w:val="22"/>
        </w:rPr>
        <w:t xml:space="preserve">40.3.1 </w:t>
      </w:r>
      <w:r>
        <w:rPr>
          <w:rFonts w:ascii="Cambria" w:hAnsi="Cambria"/>
          <w:color w:val="20262A"/>
          <w:sz w:val="22"/>
        </w:rPr>
        <w:t xml:space="preserve">During Phases Two through Four, services bill at the pilot rates of Annex D, Table D-2, set at sixty percent of catalog, and Data Service subscriptions bill at the pilot bands of Annex E. Pilot rates end on the day Phase Five begins, and the full rate card takes effect without further action.</w:t>
      </w:r>
    </w:p>
    <w:p>
      <w:pPr>
        <w:pStyle w:val="Heading2"/>
        <w:keepNext/>
        <w:keepLines/>
      </w:pPr>
      <w:bookmarkStart w:id="346" w:name="_Toc262100246"/>
      <w:r>
        <w:rPr>
          <w:rFonts w:ascii="Calibri" w:hAnsi="Calibri"/>
          <w:b/>
          <w:color w:val="1D4E5F"/>
          <w:sz w:val="27"/>
        </w:rPr>
        <w:t xml:space="preserve">Article 41: Phase Gates and the Stability Audit</w:t>
      </w:r>
      <w:bookmarkEnd w:id="346"/>
    </w:p>
    <w:p>
      <w:pPr>
        <w:pStyle w:val="Heading3"/>
        <w:keepNext/>
        <w:keepLines/>
      </w:pPr>
      <w:bookmarkStart w:id="347" w:name="_Toc262100247"/>
      <w:r>
        <w:rPr>
          <w:rFonts w:ascii="Calibri" w:hAnsi="Calibri"/>
          <w:b/>
          <w:color w:val="37666F"/>
          <w:sz w:val="24"/>
        </w:rPr>
        <w:t xml:space="preserve">41.1 Gate Mechanics</w:t>
      </w:r>
      <w:bookmarkEnd w:id="347"/>
    </w:p>
    <w:p>
      <w:pPr>
        <w:spacing w:after="110" w:line="340" w:lineRule="auto"/>
        <w:ind w:left="360" w:hanging="360"/>
        <w:jc w:val="both"/>
      </w:pPr>
      <w:r>
        <w:rPr>
          <w:rFonts w:ascii="Cambria" w:hAnsi="Cambria"/>
          <w:b/>
          <w:color w:val="1D4E5F"/>
          <w:sz w:val="22"/>
        </w:rPr>
        <w:t xml:space="preserve">41.1.1 </w:t>
      </w:r>
      <w:r>
        <w:rPr>
          <w:rFonts w:ascii="Cambria" w:hAnsi="Cambria"/>
          <w:color w:val="20262A"/>
          <w:sz w:val="22"/>
        </w:rPr>
        <w:t xml:space="preserve">A phase gate opens when its criteria stand complete on the evidence. The Office certifies each gate within seventy-two hours of completion, the Council records the certification, and the next phase begins on schedule. Where a criterion stands incomplete on the scheduled day, the phase extends by up to thirty days, once, and the extension publishes with reasons in the Bulletin.</w:t>
      </w:r>
    </w:p>
    <w:p>
      <w:pPr>
        <w:pStyle w:val="Heading3"/>
        <w:keepNext/>
        <w:keepLines/>
      </w:pPr>
      <w:bookmarkStart w:id="348" w:name="_Toc262100248"/>
      <w:r>
        <w:rPr>
          <w:rFonts w:ascii="Calibri" w:hAnsi="Calibri"/>
          <w:b/>
          <w:color w:val="37666F"/>
          <w:sz w:val="24"/>
        </w:rPr>
        <w:t xml:space="preserve">41.2 The Extension Discipline</w:t>
      </w:r>
      <w:bookmarkEnd w:id="348"/>
    </w:p>
    <w:p>
      <w:pPr>
        <w:spacing w:after="110" w:line="340" w:lineRule="auto"/>
        <w:ind w:left="360" w:hanging="360"/>
        <w:jc w:val="both"/>
      </w:pPr>
      <w:r>
        <w:rPr>
          <w:rFonts w:ascii="Cambria" w:hAnsi="Cambria"/>
          <w:b/>
          <w:color w:val="1D4E5F"/>
          <w:sz w:val="22"/>
        </w:rPr>
        <w:t xml:space="preserve">41.2.1 </w:t>
      </w:r>
      <w:r>
        <w:rPr>
          <w:rFonts w:ascii="Cambria" w:hAnsi="Cambria"/>
          <w:color w:val="20262A"/>
          <w:sz w:val="22"/>
        </w:rPr>
        <w:t xml:space="preserve">One extension per phase, never two. Where a phase exhausts its extension, the Council convenes in extraordinary session within seven days, diagnoses the gap on the Office's evidence, and adopts a revised gate with a revised date. The architecture contains no collapse path: every road leads forward or sideways, never back to wartime routing.</w:t>
      </w:r>
    </w:p>
    <w:p>
      <w:pPr>
        <w:pStyle w:val="Heading3"/>
        <w:keepNext/>
        <w:keepLines/>
      </w:pPr>
      <w:bookmarkStart w:id="349" w:name="_Toc262100249"/>
      <w:r>
        <w:rPr>
          <w:rFonts w:ascii="Calibri" w:hAnsi="Calibri"/>
          <w:b/>
          <w:color w:val="37666F"/>
          <w:sz w:val="24"/>
        </w:rPr>
        <w:t xml:space="preserve">41.3 The Stability Audit Metrics</w:t>
      </w:r>
      <w:bookmarkEnd w:id="349"/>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4200"/>
        <w:gridCol w:w="5800"/>
      </w:tblGrid>
      <w:tr>
        <w:trPr>
          <w:tblHeader/>
        </w:trPr>
        <w:tc>
          <w:tcPr>
            <w:tcW w:w="4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Metric</w:t>
            </w:r>
          </w:p>
        </w:tc>
        <w:tc>
          <w:tcPr>
            <w:tcW w:w="5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Standard</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AIS and reporting adherence</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98 percent or higher across the audit period.</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1 incidents</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Zero.</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2 incidents</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Not more than one, cured within its ladder window.</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Hotline answer standard</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Sixty seconds or better on 99 percent of calls.</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Invoice evidence completeness</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97 percent or higher of service invoices with full evidence packages.</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Fee dispute rate</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Below two percent of invoices, all within the ladder.</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Diversion drill</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One full Flow State Blue drill completed within parameters.</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Environmental events</w:t>
            </w:r>
          </w:p>
        </w:tc>
        <w:tc>
          <w:tcPr>
            <w:tcW w:w="5800" w:type="dxa"/>
            <w:tcMar>
              <w:top w:w="60" w:type="dxa"/>
              <w:left w:w="100" w:type="dxa"/>
              <w:bottom w:w="60" w:type="dxa"/>
              <w:right w:w="100" w:type="dxa"/>
            </w:tcMar>
          </w:tcPr>
          <w:p>
            <w:pPr>
              <w:spacing w:after="20" w:line="290" w:lineRule="auto"/>
            </w:pPr>
            <w:r>
              <w:rPr>
                <w:rFonts w:ascii="Calibri" w:hAnsi="Calibri"/>
                <w:color w:val="20262A"/>
                <w:sz w:val="19"/>
              </w:rPr>
              <w:t xml:space="preserve">Zero unreported discharge events.</w:t>
            </w:r>
          </w:p>
        </w:tc>
      </w:tr>
    </w:tbl>
    <w:p>
      <w:pPr>
        <w:spacing w:after="100"/>
      </w:pPr>
    </w:p>
    <w:p>
      <w:pPr>
        <w:pStyle w:val="Heading3"/>
        <w:keepNext/>
        <w:keepLines/>
      </w:pPr>
      <w:bookmarkStart w:id="350" w:name="_Toc262100250"/>
      <w:r>
        <w:rPr>
          <w:rFonts w:ascii="Calibri" w:hAnsi="Calibri"/>
          <w:b/>
          <w:color w:val="37666F"/>
          <w:sz w:val="24"/>
        </w:rPr>
        <w:t xml:space="preserve">41.4 Audit Failure</w:t>
      </w:r>
      <w:bookmarkEnd w:id="350"/>
    </w:p>
    <w:p>
      <w:pPr>
        <w:spacing w:after="110" w:line="340" w:lineRule="auto"/>
        <w:ind w:left="360" w:hanging="360"/>
        <w:jc w:val="both"/>
      </w:pPr>
      <w:r>
        <w:rPr>
          <w:rFonts w:ascii="Cambria" w:hAnsi="Cambria"/>
          <w:b/>
          <w:color w:val="1D4E5F"/>
          <w:sz w:val="22"/>
        </w:rPr>
        <w:t xml:space="preserve">41.4.1 </w:t>
      </w:r>
      <w:r>
        <w:rPr>
          <w:rFonts w:ascii="Cambria" w:hAnsi="Cambria"/>
          <w:color w:val="20262A"/>
          <w:sz w:val="22"/>
        </w:rPr>
        <w:t xml:space="preserve">Where the audit fails a metric, Phase Four extends by thirty days, once, against a published remediation plan. Where the extended audit fails, the Council adopts the revised-gate procedure of Section 41.2. The audit never blocks in silence: every failure produces a plan, a date, and a public record.</w:t>
      </w:r>
    </w:p>
    <w:p>
      <w:pPr>
        <w:pStyle w:val="Heading2"/>
        <w:keepNext/>
        <w:keepLines/>
      </w:pPr>
      <w:bookmarkStart w:id="351" w:name="_Toc262100251"/>
      <w:r>
        <w:rPr>
          <w:rFonts w:ascii="Calibri" w:hAnsi="Calibri"/>
          <w:b/>
          <w:color w:val="1D4E5F"/>
          <w:sz w:val="27"/>
        </w:rPr>
        <w:t xml:space="preserve">Article 42: Sunset of the Wartime Lanes</w:t>
      </w:r>
      <w:bookmarkEnd w:id="351"/>
    </w:p>
    <w:p>
      <w:pPr>
        <w:pStyle w:val="Heading3"/>
        <w:keepNext/>
        <w:keepLines/>
      </w:pPr>
      <w:bookmarkStart w:id="352" w:name="_Toc262100252"/>
      <w:r>
        <w:rPr>
          <w:rFonts w:ascii="Calibri" w:hAnsi="Calibri"/>
          <w:b/>
          <w:color w:val="37666F"/>
          <w:sz w:val="24"/>
        </w:rPr>
        <w:t xml:space="preserve">42.1 The Transition Rule</w:t>
      </w:r>
      <w:bookmarkEnd w:id="352"/>
    </w:p>
    <w:p>
      <w:pPr>
        <w:spacing w:after="110" w:line="340" w:lineRule="auto"/>
        <w:ind w:left="360" w:hanging="360"/>
        <w:jc w:val="both"/>
      </w:pPr>
      <w:r>
        <w:rPr>
          <w:rFonts w:ascii="Cambria" w:hAnsi="Cambria"/>
          <w:b/>
          <w:color w:val="1D4E5F"/>
          <w:sz w:val="22"/>
        </w:rPr>
        <w:t xml:space="preserve">42.1.1 </w:t>
      </w:r>
      <w:r>
        <w:rPr>
          <w:rFonts w:ascii="Cambria" w:hAnsi="Cambria"/>
          <w:color w:val="20262A"/>
          <w:sz w:val="22"/>
        </w:rPr>
        <w:t xml:space="preserve">From Phase Two, every new registration routes through the corridor system. Legacy traffic already at sea completes its voyage on the wartime lanes, and the wartime lanes accept no new entries after Day 40.</w:t>
      </w:r>
    </w:p>
    <w:p>
      <w:pPr>
        <w:pStyle w:val="Heading3"/>
        <w:keepNext/>
        <w:keepLines/>
      </w:pPr>
      <w:bookmarkStart w:id="353" w:name="_Toc262100253"/>
      <w:r>
        <w:rPr>
          <w:rFonts w:ascii="Calibri" w:hAnsi="Calibri"/>
          <w:b/>
          <w:color w:val="37666F"/>
          <w:sz w:val="24"/>
        </w:rPr>
        <w:t xml:space="preserve">42.2 The Sunset Declaration</w:t>
      </w:r>
      <w:bookmarkEnd w:id="353"/>
    </w:p>
    <w:p>
      <w:pPr>
        <w:spacing w:after="110" w:line="340" w:lineRule="auto"/>
        <w:ind w:left="360" w:hanging="360"/>
        <w:jc w:val="both"/>
      </w:pPr>
      <w:r>
        <w:rPr>
          <w:rFonts w:ascii="Cambria" w:hAnsi="Cambria"/>
          <w:b/>
          <w:color w:val="1D4E5F"/>
          <w:sz w:val="22"/>
        </w:rPr>
        <w:t xml:space="preserve">42.2.1 </w:t>
      </w:r>
      <w:r>
        <w:rPr>
          <w:rFonts w:ascii="Cambria" w:hAnsi="Cambria"/>
          <w:color w:val="20262A"/>
          <w:sz w:val="22"/>
        </w:rPr>
        <w:t xml:space="preserve">On the first day of Phase Five, the Council issues the Sunset Declaration: the wartime lanes close, the corridor system carries every flow, and the temporary instruments of the wartime period stand recorded in the archive and discharged. The declaration publishes in the Bulletin, in the three languages, on the same day.</w:t>
      </w:r>
    </w:p>
    <w:p>
      <w:pPr>
        <w:spacing w:after="110" w:line="340" w:lineRule="auto"/>
        <w:ind w:left="360" w:hanging="360"/>
        <w:jc w:val="both"/>
      </w:pPr>
      <w:r>
        <w:rPr>
          <w:rFonts w:ascii="Cambria" w:hAnsi="Cambria"/>
          <w:b/>
          <w:color w:val="1D4E5F"/>
          <w:sz w:val="22"/>
        </w:rPr>
        <w:t xml:space="preserve">42.2.2 </w:t>
      </w:r>
      <w:r>
        <w:rPr>
          <w:rFonts w:ascii="Cambria" w:hAnsi="Cambria"/>
          <w:color w:val="20262A"/>
          <w:sz w:val="22"/>
        </w:rPr>
        <w:t xml:space="preserve">The Center keeps the full record of the wartime routing period in the archive: the lanes, the notices, the incidents, and the closures, so that no future negotiation starts again from a blank page.</w:t>
      </w:r>
    </w:p>
    <w:p>
      <w:pPr>
        <w:pStyle w:val="Heading1"/>
        <w:keepNext/>
        <w:keepLines/>
        <w:pageBreakBefore/>
      </w:pPr>
      <w:bookmarkStart w:id="354" w:name="_Toc262100254"/>
      <w:r>
        <w:rPr>
          <w:rFonts w:ascii="Calibri" w:hAnsi="Calibri"/>
          <w:b/>
          <w:color w:val="1D4E5F"/>
          <w:sz w:val="34"/>
        </w:rPr>
        <w:t xml:space="preserve">Part X: Continuity, Amendment, and Final Provisions</w:t>
      </w:r>
      <w:bookmarkEnd w:id="354"/>
    </w:p>
    <w:p>
      <w:pPr>
        <w:pStyle w:val="Heading2"/>
        <w:keepNext/>
        <w:keepLines/>
      </w:pPr>
      <w:bookmarkStart w:id="355" w:name="_Toc262100255"/>
      <w:r>
        <w:rPr>
          <w:rFonts w:ascii="Calibri" w:hAnsi="Calibri"/>
          <w:b/>
          <w:color w:val="1D4E5F"/>
          <w:sz w:val="27"/>
        </w:rPr>
        <w:t xml:space="preserve">Article 43: No-Fade Continuity and the Rolling Horizon</w:t>
      </w:r>
      <w:bookmarkEnd w:id="355"/>
    </w:p>
    <w:p>
      <w:pPr>
        <w:pStyle w:val="Heading3"/>
        <w:keepNext/>
        <w:keepLines/>
      </w:pPr>
      <w:bookmarkStart w:id="356" w:name="_Toc262100256"/>
      <w:r>
        <w:rPr>
          <w:rFonts w:ascii="Calibri" w:hAnsi="Calibri"/>
          <w:b/>
          <w:color w:val="37666F"/>
          <w:sz w:val="24"/>
        </w:rPr>
        <w:t xml:space="preserve">43.1 The Rule</w:t>
      </w:r>
      <w:bookmarkEnd w:id="356"/>
    </w:p>
    <w:p>
      <w:pPr>
        <w:spacing w:after="110" w:line="340" w:lineRule="auto"/>
        <w:ind w:left="360" w:hanging="360"/>
        <w:jc w:val="both"/>
      </w:pPr>
      <w:r>
        <w:rPr>
          <w:rFonts w:ascii="Cambria" w:hAnsi="Cambria"/>
          <w:b/>
          <w:color w:val="1D4E5F"/>
          <w:sz w:val="22"/>
        </w:rPr>
        <w:t xml:space="preserve">43.1.1 </w:t>
      </w:r>
      <w:r>
        <w:rPr>
          <w:rFonts w:ascii="Cambria" w:hAnsi="Cambria"/>
          <w:color w:val="20262A"/>
          <w:sz w:val="22"/>
        </w:rPr>
        <w:t xml:space="preserve">No element of this Compact expires, sunsets, or lapses. Every review point treats continuation as the default, and any ending proceeds only through the Dignified Deactivation Protocol of Article 24.4.</w:t>
      </w:r>
    </w:p>
    <w:p>
      <w:pPr>
        <w:pStyle w:val="Heading3"/>
        <w:keepNext/>
        <w:keepLines/>
      </w:pPr>
      <w:bookmarkStart w:id="357" w:name="_Toc262100257"/>
      <w:r>
        <w:rPr>
          <w:rFonts w:ascii="Calibri" w:hAnsi="Calibri"/>
          <w:b/>
          <w:color w:val="37666F"/>
          <w:sz w:val="24"/>
        </w:rPr>
        <w:t xml:space="preserve">43.2 The Rolling Horizon</w:t>
      </w:r>
      <w:bookmarkEnd w:id="357"/>
    </w:p>
    <w:p>
      <w:pPr>
        <w:spacing w:after="110" w:line="340" w:lineRule="auto"/>
        <w:ind w:left="360" w:hanging="360"/>
        <w:jc w:val="both"/>
      </w:pPr>
      <w:r>
        <w:rPr>
          <w:rFonts w:ascii="Cambria" w:hAnsi="Cambria"/>
          <w:b/>
          <w:color w:val="1D4E5F"/>
          <w:sz w:val="22"/>
        </w:rPr>
        <w:t xml:space="preserve">43.2.1 </w:t>
      </w:r>
      <w:r>
        <w:rPr>
          <w:rFonts w:ascii="Cambria" w:hAnsi="Cambria"/>
          <w:color w:val="20262A"/>
          <w:sz w:val="22"/>
        </w:rPr>
        <w:t xml:space="preserve">At every annual review conference, the Council confirms the rolling horizon: the Compact stands confirmed for the following twenty-four months by the act of confirmation itself. A conference that takes no decision confirms by default. The horizon never shortens, and the architecture contains no cliff.</w:t>
      </w:r>
    </w:p>
    <w:p>
      <w:pPr>
        <w:pStyle w:val="Heading3"/>
        <w:keepNext/>
        <w:keepLines/>
      </w:pPr>
      <w:bookmarkStart w:id="358" w:name="_Toc262100258"/>
      <w:r>
        <w:rPr>
          <w:rFonts w:ascii="Calibri" w:hAnsi="Calibri"/>
          <w:b/>
          <w:color w:val="37666F"/>
          <w:sz w:val="24"/>
        </w:rPr>
        <w:t xml:space="preserve">43.3 Banked Performance Survival</w:t>
      </w:r>
      <w:bookmarkEnd w:id="358"/>
    </w:p>
    <w:p>
      <w:pPr>
        <w:spacing w:after="110" w:line="340" w:lineRule="auto"/>
        <w:ind w:left="360" w:hanging="360"/>
        <w:jc w:val="both"/>
      </w:pPr>
      <w:r>
        <w:rPr>
          <w:rFonts w:ascii="Cambria" w:hAnsi="Cambria"/>
          <w:b/>
          <w:color w:val="1D4E5F"/>
          <w:sz w:val="22"/>
        </w:rPr>
        <w:t xml:space="preserve">43.3.1 </w:t>
      </w:r>
      <w:r>
        <w:rPr>
          <w:rFonts w:ascii="Cambria" w:hAnsi="Cambria"/>
          <w:color w:val="20262A"/>
          <w:sz w:val="22"/>
        </w:rPr>
        <w:t xml:space="preserve">Banked shares, banked gate history, published accounts, archived files, and the Share Register survive every review, every amendment, every deactivation of any module, and every change in any Participant State's government. The record is the record.</w:t>
      </w:r>
    </w:p>
    <w:p>
      <w:pPr>
        <w:pStyle w:val="Heading2"/>
        <w:keepNext/>
        <w:keepLines/>
      </w:pPr>
      <w:bookmarkStart w:id="359" w:name="_Toc262100259"/>
      <w:r>
        <w:rPr>
          <w:rFonts w:ascii="Calibri" w:hAnsi="Calibri"/>
          <w:b/>
          <w:color w:val="1D4E5F"/>
          <w:sz w:val="27"/>
        </w:rPr>
        <w:t xml:space="preserve">Article 44: Amendment, Review, and Accession</w:t>
      </w:r>
      <w:bookmarkEnd w:id="359"/>
    </w:p>
    <w:p>
      <w:pPr>
        <w:pStyle w:val="Heading3"/>
        <w:keepNext/>
        <w:keepLines/>
      </w:pPr>
      <w:bookmarkStart w:id="360" w:name="_Toc262100260"/>
      <w:r>
        <w:rPr>
          <w:rFonts w:ascii="Calibri" w:hAnsi="Calibri"/>
          <w:b/>
          <w:color w:val="37666F"/>
          <w:sz w:val="24"/>
        </w:rPr>
        <w:t xml:space="preserve">44.1 The Open Water Review Conference</w:t>
      </w:r>
      <w:bookmarkEnd w:id="360"/>
    </w:p>
    <w:p>
      <w:pPr>
        <w:spacing w:after="110" w:line="340" w:lineRule="auto"/>
        <w:ind w:left="360" w:hanging="360"/>
        <w:jc w:val="both"/>
      </w:pPr>
      <w:r>
        <w:rPr>
          <w:rFonts w:ascii="Cambria" w:hAnsi="Cambria"/>
          <w:b/>
          <w:color w:val="1D4E5F"/>
          <w:sz w:val="22"/>
        </w:rPr>
        <w:t xml:space="preserve">44.1.1 </w:t>
      </w:r>
      <w:r>
        <w:rPr>
          <w:rFonts w:ascii="Cambria" w:hAnsi="Cambria"/>
          <w:color w:val="20262A"/>
          <w:sz w:val="22"/>
        </w:rPr>
        <w:t xml:space="preserve">The Council convenes the Open Water Review Conference annually, in Muscat and Bandar Abbas in alternation, open to every Participant State, the International Maritime Organization, and registered industry observers. The conference reviews the SPI record, the audit record, the Routine Standard of Article 3.10, and the envelope, and confirms the rolling horizon.</w:t>
      </w:r>
    </w:p>
    <w:p>
      <w:pPr>
        <w:pStyle w:val="Heading3"/>
        <w:keepNext/>
        <w:keepLines/>
      </w:pPr>
      <w:bookmarkStart w:id="361" w:name="_Toc262100261"/>
      <w:r>
        <w:rPr>
          <w:rFonts w:ascii="Calibri" w:hAnsi="Calibri"/>
          <w:b/>
          <w:color w:val="37666F"/>
          <w:sz w:val="24"/>
        </w:rPr>
        <w:t xml:space="preserve">44.2 Amendment Rules</w:t>
      </w:r>
      <w:bookmarkEnd w:id="361"/>
    </w:p>
    <w:p>
      <w:pPr>
        <w:spacing w:after="110" w:line="340" w:lineRule="auto"/>
        <w:ind w:left="360" w:hanging="360"/>
        <w:jc w:val="both"/>
      </w:pPr>
      <w:r>
        <w:rPr>
          <w:rFonts w:ascii="Cambria" w:hAnsi="Cambria"/>
          <w:b/>
          <w:color w:val="1D4E5F"/>
          <w:sz w:val="22"/>
        </w:rPr>
        <w:t xml:space="preserve">44.2.1 </w:t>
      </w:r>
      <w:r>
        <w:rPr>
          <w:rFonts w:ascii="Cambria" w:hAnsi="Cambria"/>
          <w:color w:val="20262A"/>
          <w:sz w:val="22"/>
        </w:rPr>
        <w:t xml:space="preserve">Amendments to articles require consensus of the Coastal Circle plus a two-thirds Council vote. Amendments to annexes follow the Qualified Majority Rule, except where an annex entry sits on the Prohibited Instruments List or inside the Register, in which case the Perimeter Test of Article 5.3 governs. Every amendment publishes ninety days before effect.</w:t>
      </w:r>
    </w:p>
    <w:p>
      <w:pPr>
        <w:pStyle w:val="Heading3"/>
        <w:keepNext/>
        <w:keepLines/>
      </w:pPr>
      <w:bookmarkStart w:id="362" w:name="_Toc262100262"/>
      <w:r>
        <w:rPr>
          <w:rFonts w:ascii="Calibri" w:hAnsi="Calibri"/>
          <w:b/>
          <w:color w:val="37666F"/>
          <w:sz w:val="24"/>
        </w:rPr>
        <w:t xml:space="preserve">44.3 Categories of Participation</w:t>
      </w:r>
      <w:bookmarkEnd w:id="362"/>
    </w:p>
    <w:p>
      <w:pPr>
        <w:spacing w:after="110" w:line="340" w:lineRule="auto"/>
        <w:ind w:left="360" w:hanging="360"/>
        <w:jc w:val="both"/>
      </w:pPr>
      <w:r>
        <w:rPr>
          <w:rFonts w:ascii="Cambria" w:hAnsi="Cambria"/>
          <w:b/>
          <w:color w:val="1D4E5F"/>
          <w:sz w:val="22"/>
        </w:rPr>
        <w:t xml:space="preserve">44.3.1 </w:t>
      </w:r>
      <w:r>
        <w:rPr>
          <w:rFonts w:ascii="Cambria" w:hAnsi="Cambria"/>
          <w:color w:val="20262A"/>
          <w:sz w:val="22"/>
        </w:rPr>
        <w:t xml:space="preserve">Participation stands in five categories. Category I, Coastal States: Iran and Oman, full members with administrator roles. Category II, Stakeholder Circle: Gulf Cooperation Council states, Council members by rotation, Buffer observer seats, and contribution access. Category III, User Circle: major transit and flag states, advisory Council seats by rotation and Stakeholder Panel seats. Category IV, Observers: states and bodies admitted by the Council for defined observation mandates. Category V, the International Maritime Organization technical interface, standing and sui generis.</w:t>
      </w:r>
    </w:p>
    <w:p>
      <w:pPr>
        <w:spacing w:after="110" w:line="340" w:lineRule="auto"/>
        <w:ind w:left="360" w:hanging="360"/>
        <w:jc w:val="both"/>
      </w:pPr>
      <w:r>
        <w:rPr>
          <w:rFonts w:ascii="Cambria" w:hAnsi="Cambria"/>
          <w:b/>
          <w:color w:val="1D4E5F"/>
          <w:sz w:val="22"/>
        </w:rPr>
        <w:t xml:space="preserve">44.3.2 </w:t>
      </w:r>
      <w:r>
        <w:rPr>
          <w:rFonts w:ascii="Cambria" w:hAnsi="Cambria"/>
          <w:color w:val="20262A"/>
          <w:sz w:val="22"/>
        </w:rPr>
        <w:t xml:space="preserve">Accession to Categories II, III, and IV proceeds by instrument of accession on the model of Annex L, Form A-1, deposited with the Depositary, effective thirty days after deposit, on acceptance of the Compact as it stands, shares and ladder included. The framework excludes accession bargaining: the architecture admits, it does not negotiate twice.</w:t>
      </w:r>
    </w:p>
    <w:p>
      <w:pPr>
        <w:pStyle w:val="Heading2"/>
        <w:keepNext/>
        <w:keepLines/>
      </w:pPr>
      <w:bookmarkStart w:id="363" w:name="_Toc262100263"/>
      <w:r>
        <w:rPr>
          <w:rFonts w:ascii="Calibri" w:hAnsi="Calibri"/>
          <w:b/>
          <w:color w:val="1D4E5F"/>
          <w:sz w:val="27"/>
        </w:rPr>
        <w:t xml:space="preserve">Article 45: Final Provisions</w:t>
      </w:r>
      <w:bookmarkEnd w:id="363"/>
    </w:p>
    <w:p>
      <w:pPr>
        <w:pStyle w:val="Heading3"/>
        <w:keepNext/>
        <w:keepLines/>
      </w:pPr>
      <w:bookmarkStart w:id="364" w:name="_Toc262100264"/>
      <w:r>
        <w:rPr>
          <w:rFonts w:ascii="Calibri" w:hAnsi="Calibri"/>
          <w:b/>
          <w:color w:val="37666F"/>
          <w:sz w:val="24"/>
        </w:rPr>
        <w:t xml:space="preserve">45.1 Entry into Operation</w:t>
      </w:r>
      <w:bookmarkEnd w:id="364"/>
    </w:p>
    <w:p>
      <w:pPr>
        <w:spacing w:after="110" w:line="340" w:lineRule="auto"/>
        <w:ind w:left="360" w:hanging="360"/>
        <w:jc w:val="both"/>
      </w:pPr>
      <w:r>
        <w:rPr>
          <w:rFonts w:ascii="Cambria" w:hAnsi="Cambria"/>
          <w:b/>
          <w:color w:val="1D4E5F"/>
          <w:sz w:val="22"/>
        </w:rPr>
        <w:t xml:space="preserve">45.1.1 </w:t>
      </w:r>
      <w:r>
        <w:rPr>
          <w:rFonts w:ascii="Cambria" w:hAnsi="Cambria"/>
          <w:color w:val="20262A"/>
          <w:sz w:val="22"/>
        </w:rPr>
        <w:t xml:space="preserve">The Compact enters into operation on the day of signature by both Coastal States, and Phase Zero begins on that day. Signature by Category II and III states follows the accession track of Article 44 and never delays operation.</w:t>
      </w:r>
    </w:p>
    <w:p>
      <w:pPr>
        <w:pStyle w:val="Heading3"/>
        <w:keepNext/>
        <w:keepLines/>
      </w:pPr>
      <w:bookmarkStart w:id="365" w:name="_Toc262100265"/>
      <w:r>
        <w:rPr>
          <w:rFonts w:ascii="Calibri" w:hAnsi="Calibri"/>
          <w:b/>
          <w:color w:val="37666F"/>
          <w:sz w:val="24"/>
        </w:rPr>
        <w:t xml:space="preserve">45.2 Depositary, Languages, and Authentic Texts</w:t>
      </w:r>
      <w:bookmarkEnd w:id="365"/>
    </w:p>
    <w:p>
      <w:pPr>
        <w:spacing w:after="110" w:line="340" w:lineRule="auto"/>
        <w:ind w:left="360" w:hanging="360"/>
        <w:jc w:val="both"/>
      </w:pPr>
      <w:r>
        <w:rPr>
          <w:rFonts w:ascii="Cambria" w:hAnsi="Cambria"/>
          <w:b/>
          <w:color w:val="1D4E5F"/>
          <w:sz w:val="22"/>
        </w:rPr>
        <w:t xml:space="preserve">45.2.1 </w:t>
      </w:r>
      <w:r>
        <w:rPr>
          <w:rFonts w:ascii="Cambria" w:hAnsi="Cambria"/>
          <w:color w:val="20262A"/>
          <w:sz w:val="22"/>
        </w:rPr>
        <w:t xml:space="preserve">The Ministry of Foreign Affairs of the Sultanate of Oman serves as Depositary. The Compact is concluded in Persian, Arabic, and English, the three texts equally authentic, and the linguistic reconciliation procedure of Article 4.2 resolves any divergence.</w:t>
      </w:r>
    </w:p>
    <w:p>
      <w:pPr>
        <w:pStyle w:val="Heading3"/>
        <w:keepNext/>
        <w:keepLines/>
      </w:pPr>
      <w:bookmarkStart w:id="366" w:name="_Toc262100266"/>
      <w:r>
        <w:rPr>
          <w:rFonts w:ascii="Calibri" w:hAnsi="Calibri"/>
          <w:b/>
          <w:color w:val="37666F"/>
          <w:sz w:val="24"/>
        </w:rPr>
        <w:t xml:space="preserve">45.3 Severability and Modularity</w:t>
      </w:r>
      <w:bookmarkEnd w:id="366"/>
    </w:p>
    <w:p>
      <w:pPr>
        <w:spacing w:after="110" w:line="340" w:lineRule="auto"/>
        <w:ind w:left="360" w:hanging="360"/>
        <w:jc w:val="both"/>
      </w:pPr>
      <w:r>
        <w:rPr>
          <w:rFonts w:ascii="Cambria" w:hAnsi="Cambria"/>
          <w:b/>
          <w:color w:val="1D4E5F"/>
          <w:sz w:val="22"/>
        </w:rPr>
        <w:t xml:space="preserve">45.3.1 </w:t>
      </w:r>
      <w:r>
        <w:rPr>
          <w:rFonts w:ascii="Cambria" w:hAnsi="Cambria"/>
          <w:color w:val="20262A"/>
          <w:sz w:val="22"/>
        </w:rPr>
        <w:t xml:space="preserve">Every article and every annex stands alone. The failure, suspension, or deactivation of any element leaves every other element fully operative, under the Anti-Cascade Firewall of Article 24.3.</w:t>
      </w:r>
    </w:p>
    <w:p>
      <w:pPr>
        <w:pStyle w:val="Heading3"/>
        <w:keepNext/>
        <w:keepLines/>
      </w:pPr>
      <w:bookmarkStart w:id="367" w:name="_Toc262100267"/>
      <w:r>
        <w:rPr>
          <w:rFonts w:ascii="Calibri" w:hAnsi="Calibri"/>
          <w:b/>
          <w:color w:val="37666F"/>
          <w:sz w:val="24"/>
        </w:rPr>
        <w:t xml:space="preserve">45.4 No Precedent</w:t>
      </w:r>
      <w:bookmarkEnd w:id="367"/>
    </w:p>
    <w:p>
      <w:pPr>
        <w:spacing w:after="110" w:line="340" w:lineRule="auto"/>
        <w:ind w:left="360" w:hanging="360"/>
        <w:jc w:val="both"/>
      </w:pPr>
      <w:r>
        <w:rPr>
          <w:rFonts w:ascii="Cambria" w:hAnsi="Cambria"/>
          <w:b/>
          <w:color w:val="1D4E5F"/>
          <w:sz w:val="22"/>
        </w:rPr>
        <w:t xml:space="preserve">45.4.1 </w:t>
      </w:r>
      <w:r>
        <w:rPr>
          <w:rFonts w:ascii="Cambria" w:hAnsi="Cambria"/>
          <w:color w:val="20262A"/>
          <w:sz w:val="22"/>
        </w:rPr>
        <w:t xml:space="preserve">This Compact governs the Strait of Hormuz and nothing else. No provision prefigures, implies, or invites any arrangement for any other waterway, boundary, or dispute, and every Participant State's acceptance stands without prejudice to its positions everywhere else.</w:t>
      </w:r>
    </w:p>
    <w:p>
      <w:pPr>
        <w:pStyle w:val="Heading3"/>
        <w:keepNext/>
        <w:keepLines/>
      </w:pPr>
      <w:bookmarkStart w:id="368" w:name="_Toc262100268"/>
      <w:r>
        <w:rPr>
          <w:rFonts w:ascii="Calibri" w:hAnsi="Calibri"/>
          <w:b/>
          <w:color w:val="37666F"/>
          <w:sz w:val="24"/>
        </w:rPr>
        <w:t xml:space="preserve">45.5 Good Faith and Non-Weaponization</w:t>
      </w:r>
      <w:bookmarkEnd w:id="368"/>
    </w:p>
    <w:p>
      <w:pPr>
        <w:spacing w:after="110" w:line="340" w:lineRule="auto"/>
        <w:ind w:left="360" w:hanging="360"/>
        <w:jc w:val="both"/>
      </w:pPr>
      <w:r>
        <w:rPr>
          <w:rFonts w:ascii="Cambria" w:hAnsi="Cambria"/>
          <w:b/>
          <w:color w:val="1D4E5F"/>
          <w:sz w:val="22"/>
        </w:rPr>
        <w:t xml:space="preserve">45.5.1 </w:t>
      </w:r>
      <w:r>
        <w:rPr>
          <w:rFonts w:ascii="Cambria" w:hAnsi="Cambria"/>
          <w:color w:val="20262A"/>
          <w:sz w:val="22"/>
        </w:rPr>
        <w:t xml:space="preserve">Every Participant State applies this Compact in good faith, and the framework excludes the use of any Compact mechanism as a weapon: no procedural ambush, no engineered incident, no strategic withholding, and no linkage to any other file. The firewall of Part VII and the Register of Article 5 carry the full weight of this clause, and the compliance engine treats weaponization as a Critical event.</w:t>
      </w:r>
    </w:p>
    <w:p>
      <w:pPr>
        <w:pStyle w:val="Heading1"/>
        <w:keepNext/>
        <w:keepLines/>
        <w:pageBreakBefore/>
      </w:pPr>
      <w:bookmarkStart w:id="369" w:name="_Toc262100269"/>
      <w:r>
        <w:rPr>
          <w:rFonts w:ascii="Calibri" w:hAnsi="Calibri"/>
          <w:b/>
          <w:color w:val="1D4E5F"/>
          <w:sz w:val="34"/>
        </w:rPr>
        <w:t xml:space="preserve">Annex A: Corridor Coordinates and Geodetic Definitions</w:t>
      </w:r>
      <w:bookmarkEnd w:id="369"/>
    </w:p>
    <w:p>
      <w:pPr>
        <w:spacing w:before="60" w:after="140" w:line="320" w:lineRule="auto"/>
        <w:jc w:val="both"/>
      </w:pPr>
      <w:r>
        <w:rPr>
          <w:rFonts w:ascii="Cambria" w:hAnsi="Cambria"/>
          <w:i/>
          <w:color w:val="6E838A"/>
          <w:sz w:val="20"/>
        </w:rPr>
        <w:t xml:space="preserve">All coordinates reference WGS-84, stated in degrees, minutes, and decimal minutes. Values are provisional register values under Article 11.2: they operate from Phase One as published guidance, and the Council registers the final set with the International Maritime Organization at Phase Five after the technical table confirms the survey.</w:t>
      </w:r>
    </w:p>
    <w:p>
      <w:pPr>
        <w:pStyle w:val="Heading2"/>
        <w:keepNext/>
        <w:keepLines/>
      </w:pPr>
      <w:bookmarkStart w:id="370" w:name="_Toc262100270"/>
      <w:r>
        <w:rPr>
          <w:rFonts w:ascii="Calibri" w:hAnsi="Calibri"/>
          <w:b/>
          <w:color w:val="1D4E5F"/>
          <w:sz w:val="27"/>
        </w:rPr>
        <w:t xml:space="preserve">A.1 Operating Area Boundary</w:t>
      </w:r>
      <w:bookmarkEnd w:id="370"/>
    </w:p>
    <w:p>
      <w:pPr>
        <w:spacing w:after="130" w:line="340" w:lineRule="auto"/>
        <w:jc w:val="both"/>
      </w:pPr>
      <w:r>
        <w:rPr>
          <w:rFonts w:ascii="Cambria" w:hAnsi="Cambria"/>
          <w:color w:val="20262A"/>
          <w:sz w:val="22"/>
        </w:rPr>
        <w:t xml:space="preserve">The Strait of Hormuz Operating Area comprises the waters enclosed by straight lines connecting the following points in sequence, returning to point OA-1:</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300"/>
        <w:gridCol w:w="2200"/>
        <w:gridCol w:w="2300"/>
        <w:gridCol w:w="4200"/>
      </w:tblGrid>
      <w:tr>
        <w:trPr>
          <w:tblHeader/>
        </w:trPr>
        <w:tc>
          <w:tcPr>
            <w:tcW w:w="1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Point</w:t>
            </w:r>
          </w:p>
        </w:tc>
        <w:tc>
          <w:tcPr>
            <w:tcW w:w="2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Latitude</w:t>
            </w:r>
          </w:p>
        </w:tc>
        <w:tc>
          <w:tcPr>
            <w:tcW w:w="2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Longitude</w:t>
            </w:r>
          </w:p>
        </w:tc>
        <w:tc>
          <w:tcPr>
            <w:tcW w:w="4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Chart reference note</w:t>
            </w:r>
          </w:p>
        </w:tc>
      </w:tr>
      <w:tr>
        <w:tc>
          <w:tcPr>
            <w:tcW w:w="1300" w:type="dxa"/>
            <w:tcMar>
              <w:top w:w="60" w:type="dxa"/>
              <w:left w:w="100" w:type="dxa"/>
              <w:bottom w:w="60" w:type="dxa"/>
              <w:right w:w="100" w:type="dxa"/>
            </w:tcMar>
          </w:tcPr>
          <w:p>
            <w:pPr>
              <w:spacing w:after="20" w:line="290" w:lineRule="auto"/>
            </w:pPr>
            <w:r>
              <w:rPr>
                <w:rFonts w:ascii="Calibri" w:hAnsi="Calibri"/>
                <w:color w:val="20262A"/>
                <w:sz w:val="19"/>
              </w:rPr>
              <w:t xml:space="preserve">OA-1</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26°50.0'N</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056°05.0'E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Northwest corner, off the Iranian mainland west of Qeshm</w:t>
            </w:r>
          </w:p>
        </w:tc>
      </w:tr>
      <w:tr>
        <w:tc>
          <w:tcPr>
            <w:tcW w:w="1300" w:type="dxa"/>
            <w:tcMar>
              <w:top w:w="60" w:type="dxa"/>
              <w:left w:w="100" w:type="dxa"/>
              <w:bottom w:w="60" w:type="dxa"/>
              <w:right w:w="100" w:type="dxa"/>
            </w:tcMar>
          </w:tcPr>
          <w:p>
            <w:pPr>
              <w:spacing w:after="20" w:line="290" w:lineRule="auto"/>
            </w:pPr>
            <w:r>
              <w:rPr>
                <w:rFonts w:ascii="Calibri" w:hAnsi="Calibri"/>
                <w:color w:val="20262A"/>
                <w:sz w:val="19"/>
              </w:rPr>
              <w:t xml:space="preserve">OA-2</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26°52.0'N</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056°45.0'E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Northern limit, off the Iranian coast east of Bandar Abbas</w:t>
            </w:r>
          </w:p>
        </w:tc>
      </w:tr>
      <w:tr>
        <w:tc>
          <w:tcPr>
            <w:tcW w:w="1300" w:type="dxa"/>
            <w:tcMar>
              <w:top w:w="60" w:type="dxa"/>
              <w:left w:w="100" w:type="dxa"/>
              <w:bottom w:w="60" w:type="dxa"/>
              <w:right w:w="100" w:type="dxa"/>
            </w:tcMar>
          </w:tcPr>
          <w:p>
            <w:pPr>
              <w:spacing w:after="20" w:line="290" w:lineRule="auto"/>
            </w:pPr>
            <w:r>
              <w:rPr>
                <w:rFonts w:ascii="Calibri" w:hAnsi="Calibri"/>
                <w:color w:val="20262A"/>
                <w:sz w:val="19"/>
              </w:rPr>
              <w:t xml:space="preserve">OA-3</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26°30.0'N</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057°10.0'E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Northeast approach, Sea of Oman side</w:t>
            </w:r>
          </w:p>
        </w:tc>
      </w:tr>
      <w:tr>
        <w:tc>
          <w:tcPr>
            <w:tcW w:w="1300" w:type="dxa"/>
            <w:tcMar>
              <w:top w:w="60" w:type="dxa"/>
              <w:left w:w="100" w:type="dxa"/>
              <w:bottom w:w="60" w:type="dxa"/>
              <w:right w:w="100" w:type="dxa"/>
            </w:tcMar>
          </w:tcPr>
          <w:p>
            <w:pPr>
              <w:spacing w:after="20" w:line="290" w:lineRule="auto"/>
            </w:pPr>
            <w:r>
              <w:rPr>
                <w:rFonts w:ascii="Calibri" w:hAnsi="Calibri"/>
                <w:color w:val="20262A"/>
                <w:sz w:val="19"/>
              </w:rPr>
              <w:t xml:space="preserve">OA-4</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26°02.0'N</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057°18.0'E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Eastern limit, Sea of Oman</w:t>
            </w:r>
          </w:p>
        </w:tc>
      </w:tr>
      <w:tr>
        <w:tc>
          <w:tcPr>
            <w:tcW w:w="1300" w:type="dxa"/>
            <w:tcMar>
              <w:top w:w="60" w:type="dxa"/>
              <w:left w:w="100" w:type="dxa"/>
              <w:bottom w:w="60" w:type="dxa"/>
              <w:right w:w="100" w:type="dxa"/>
            </w:tcMar>
          </w:tcPr>
          <w:p>
            <w:pPr>
              <w:spacing w:after="20" w:line="290" w:lineRule="auto"/>
            </w:pPr>
            <w:r>
              <w:rPr>
                <w:rFonts w:ascii="Calibri" w:hAnsi="Calibri"/>
                <w:color w:val="20262A"/>
                <w:sz w:val="19"/>
              </w:rPr>
              <w:t xml:space="preserve">OA-5</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25°58.0'N</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056°50.0'E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Southeast corner, off the Musandam coast</w:t>
            </w:r>
          </w:p>
        </w:tc>
      </w:tr>
      <w:tr>
        <w:tc>
          <w:tcPr>
            <w:tcW w:w="1300" w:type="dxa"/>
            <w:tcMar>
              <w:top w:w="60" w:type="dxa"/>
              <w:left w:w="100" w:type="dxa"/>
              <w:bottom w:w="60" w:type="dxa"/>
              <w:right w:w="100" w:type="dxa"/>
            </w:tcMar>
          </w:tcPr>
          <w:p>
            <w:pPr>
              <w:spacing w:after="20" w:line="290" w:lineRule="auto"/>
            </w:pPr>
            <w:r>
              <w:rPr>
                <w:rFonts w:ascii="Calibri" w:hAnsi="Calibri"/>
                <w:color w:val="20262A"/>
                <w:sz w:val="19"/>
              </w:rPr>
              <w:t xml:space="preserve">OA-6</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26°05.0'N</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056°20.0'E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Southwest corner, off the Musandam west coast</w:t>
            </w:r>
          </w:p>
        </w:tc>
      </w:tr>
      <w:tr>
        <w:tc>
          <w:tcPr>
            <w:tcW w:w="1300" w:type="dxa"/>
            <w:tcMar>
              <w:top w:w="60" w:type="dxa"/>
              <w:left w:w="100" w:type="dxa"/>
              <w:bottom w:w="60" w:type="dxa"/>
              <w:right w:w="100" w:type="dxa"/>
            </w:tcMar>
          </w:tcPr>
          <w:p>
            <w:pPr>
              <w:spacing w:after="20" w:line="290" w:lineRule="auto"/>
            </w:pPr>
            <w:r>
              <w:rPr>
                <w:rFonts w:ascii="Calibri" w:hAnsi="Calibri"/>
                <w:color w:val="20262A"/>
                <w:sz w:val="19"/>
              </w:rPr>
              <w:t xml:space="preserve">OA-7</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26°20.0'N</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056°00.0'E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Western limit, Persian Gulf side</w:t>
            </w:r>
          </w:p>
        </w:tc>
      </w:tr>
    </w:tbl>
    <w:p>
      <w:pPr>
        <w:spacing w:after="100"/>
      </w:pPr>
    </w:p>
    <w:p>
      <w:pPr>
        <w:pStyle w:val="Heading2"/>
        <w:keepNext/>
        <w:keepLines/>
      </w:pPr>
      <w:bookmarkStart w:id="371" w:name="_Toc262100271"/>
      <w:r>
        <w:rPr>
          <w:rFonts w:ascii="Calibri" w:hAnsi="Calibri"/>
          <w:b/>
          <w:color w:val="1D4E5F"/>
          <w:sz w:val="27"/>
        </w:rPr>
        <w:t xml:space="preserve">A.2 Northern Coordination Corridor (Inbound)</w:t>
      </w:r>
      <w:bookmarkEnd w:id="371"/>
    </w:p>
    <w:p>
      <w:pPr>
        <w:spacing w:after="130" w:line="340" w:lineRule="auto"/>
        <w:jc w:val="both"/>
      </w:pPr>
      <w:r>
        <w:rPr>
          <w:rFonts w:ascii="Cambria" w:hAnsi="Cambria"/>
          <w:color w:val="20262A"/>
          <w:sz w:val="22"/>
        </w:rPr>
        <w:t xml:space="preserve">The corridor runs two nautical miles wide along the following centerline waypoints, with the northern limit line one nautical mile north of the centerline and the southern limit line one nautical mile south of it. The southern limit line abuts the northern separation belt.</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400"/>
        <w:gridCol w:w="2900"/>
        <w:gridCol w:w="2900"/>
        <w:gridCol w:w="2800"/>
      </w:tblGrid>
      <w:tr>
        <w:trPr>
          <w:tblHeader/>
        </w:trPr>
        <w:tc>
          <w:tcPr>
            <w:tcW w:w="1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Waypoint</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Centerline</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Northern limit</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Southern limit</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NCC-1</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26°46.5'N 056°08.0'E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26°47.5'N 056°08.0'E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26°45.5'N 056°08.0'E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NCC-2</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26°44.0'N 056°24.0'E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26°45.0'N 056°24.0'E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26°43.0'N 056°24.0'E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NCC-3</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26°40.5'N 056°40.0'E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26°41.5'N 056°40.0'E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26°39.5'N 056°40.0'E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NCC-4</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26°34.0'N 056°52.0'E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26°35.0'N 056°52.0'E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26°33.0'N 056°52.0'E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NCC-5</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26°22.5'N 057°02.0'E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26°23.5'N 057°02.0'E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26°21.5'N 057°02.0'E</w:t>
            </w:r>
          </w:p>
        </w:tc>
      </w:tr>
    </w:tbl>
    <w:p>
      <w:pPr>
        <w:spacing w:after="100"/>
      </w:pPr>
    </w:p>
    <w:p>
      <w:pPr>
        <w:pStyle w:val="Heading2"/>
        <w:keepNext/>
        <w:keepLines/>
      </w:pPr>
      <w:bookmarkStart w:id="372" w:name="_Toc262100272"/>
      <w:r>
        <w:rPr>
          <w:rFonts w:ascii="Calibri" w:hAnsi="Calibri"/>
          <w:b/>
          <w:color w:val="1D4E5F"/>
          <w:sz w:val="27"/>
        </w:rPr>
        <w:t xml:space="preserve">A.3 Southern Assurance Corridor (Outbound)</w:t>
      </w:r>
      <w:bookmarkEnd w:id="372"/>
    </w:p>
    <w:p>
      <w:pPr>
        <w:spacing w:after="130" w:line="340" w:lineRule="auto"/>
        <w:jc w:val="both"/>
      </w:pPr>
      <w:r>
        <w:rPr>
          <w:rFonts w:ascii="Cambria" w:hAnsi="Cambria"/>
          <w:color w:val="20262A"/>
          <w:sz w:val="22"/>
        </w:rPr>
        <w:t xml:space="preserve">The corridor runs two nautical miles wide along the following centerline waypoints, with the northern limit line one nautical mile north of the centerline, abutting the southern separation belt, and the southern limit line one nautical mile south of the centerline.</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400"/>
        <w:gridCol w:w="2900"/>
        <w:gridCol w:w="2900"/>
        <w:gridCol w:w="2800"/>
      </w:tblGrid>
      <w:tr>
        <w:trPr>
          <w:tblHeader/>
        </w:trPr>
        <w:tc>
          <w:tcPr>
            <w:tcW w:w="1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Waypoint</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Centerline</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Northern limit</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Southern limit</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SAC-1</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26°40.5'N 056°08.0'E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26°41.5'N 056°08.0'E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26°39.5'N 056°08.0'E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SAC-2</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26°38.0'N 056°24.0'E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26°39.0'N 056°24.0'E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26°37.0'N 056°24.0'E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SAC-3</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26°34.5'N 056°40.0'E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26°35.5'N 056°40.0'E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26°33.5'N 056°40.0'E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SAC-4</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26°28.0'N 056°52.0'E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26°29.0'N 056°52.0'E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26°27.0'N 056°52.0'E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SAC-5</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26°16.5'N 057°02.0'E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26°17.5'N 057°02.0'E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26°15.5'N 057°02.0'E</w:t>
            </w:r>
          </w:p>
        </w:tc>
      </w:tr>
    </w:tbl>
    <w:p>
      <w:pPr>
        <w:spacing w:after="100"/>
      </w:pPr>
    </w:p>
    <w:p>
      <w:pPr>
        <w:pStyle w:val="Heading2"/>
        <w:keepNext/>
        <w:keepLines/>
      </w:pPr>
      <w:bookmarkStart w:id="373" w:name="_Toc262100273"/>
      <w:r>
        <w:rPr>
          <w:rFonts w:ascii="Calibri" w:hAnsi="Calibri"/>
          <w:b/>
          <w:color w:val="1D4E5F"/>
          <w:sz w:val="27"/>
        </w:rPr>
        <w:t xml:space="preserve">A.4 Central Buffer Corridor and the Separation Belts</w:t>
      </w:r>
      <w:bookmarkEnd w:id="373"/>
    </w:p>
    <w:p>
      <w:pPr>
        <w:spacing w:after="130" w:line="340" w:lineRule="auto"/>
        <w:jc w:val="both"/>
      </w:pPr>
      <w:r>
        <w:rPr>
          <w:rFonts w:ascii="Cambria" w:hAnsi="Cambria"/>
          <w:color w:val="20262A"/>
          <w:sz w:val="22"/>
        </w:rPr>
        <w:t xml:space="preserve">The Central Buffer Corridor runs two nautical miles wide along the following centerline waypoints:</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400"/>
        <w:gridCol w:w="2900"/>
        <w:gridCol w:w="2900"/>
        <w:gridCol w:w="2800"/>
      </w:tblGrid>
      <w:tr>
        <w:trPr>
          <w:tblHeader/>
        </w:trPr>
        <w:tc>
          <w:tcPr>
            <w:tcW w:w="1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Waypoint</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Centerline</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Northern limit</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Southern limit</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CBC-1</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26°43.5'N 056°08.0'E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26°44.5'N 056°08.0'E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26°42.5'N 056°08.0'E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CBC-2</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26°41.0'N 056°24.0'E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26°42.0'N 056°24.0'E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26°40.0'N 056°24.0'E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CBC-3</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26°37.5'N 056°40.0'E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26°38.5'N 056°40.0'E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26°36.5'N 056°40.0'E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CBC-4</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26°31.0'N 056°52.0'E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26°32.0'N 056°52.0'E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26°30.0'N 056°52.0'E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CBC-5</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26°19.5'N 057°02.0'E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26°20.5'N 057°02.0'E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26°18.5'N 057°02.0'E</w:t>
            </w:r>
          </w:p>
        </w:tc>
      </w:tr>
    </w:tbl>
    <w:p>
      <w:pPr>
        <w:spacing w:after="100"/>
      </w:pPr>
    </w:p>
    <w:p>
      <w:pPr>
        <w:spacing w:after="130" w:line="340" w:lineRule="auto"/>
        <w:jc w:val="both"/>
      </w:pPr>
      <w:r>
        <w:rPr>
          <w:rFonts w:ascii="Cambria" w:hAnsi="Cambria"/>
          <w:color w:val="20262A"/>
          <w:sz w:val="22"/>
        </w:rPr>
        <w:t xml:space="preserve">The northern separation belt comprises the one-nautical-mile band between the southern limit line of the Northern Coordination Corridor and the northern limit line of the Central Buffer Corridor. The southern separation belt comprises the one-nautical-mile band between the southern limit line of the Central Buffer Corridor and the northern limit line of the Southern Assurance Corridor.</w:t>
      </w:r>
    </w:p>
    <w:p>
      <w:pPr>
        <w:pStyle w:val="Heading2"/>
        <w:keepNext/>
        <w:keepLines/>
      </w:pPr>
      <w:bookmarkStart w:id="374" w:name="_Toc262100274"/>
      <w:r>
        <w:rPr>
          <w:rFonts w:ascii="Calibri" w:hAnsi="Calibri"/>
          <w:b/>
          <w:color w:val="1D4E5F"/>
          <w:sz w:val="27"/>
        </w:rPr>
        <w:t xml:space="preserve">A.5 Precautionary Zones</w:t>
      </w:r>
      <w:bookmarkEnd w:id="374"/>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700"/>
        <w:gridCol w:w="2600"/>
        <w:gridCol w:w="1900"/>
        <w:gridCol w:w="2800"/>
      </w:tblGrid>
      <w:tr>
        <w:trPr>
          <w:tblHeader/>
        </w:trPr>
        <w:tc>
          <w:tcPr>
            <w:tcW w:w="2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Zone</w:t>
            </w:r>
          </w:p>
        </w:tc>
        <w:tc>
          <w:tcPr>
            <w:tcW w:w="2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Center</w:t>
            </w:r>
          </w:p>
        </w:tc>
        <w:tc>
          <w:tcPr>
            <w:tcW w:w="1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Radius</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Rule</w:t>
            </w:r>
          </w:p>
        </w:tc>
      </w:tr>
      <w:tr>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Western Precautionary Zone</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26°38.0'N 056°04.0'E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8.0 nautical miles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Approach speed band eight to twelve knots; report on entry.</w:t>
            </w:r>
          </w:p>
        </w:tc>
      </w:tr>
      <w:tr>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Eastern Precautionary Zone</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26°14.0'N 057°08.0'E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8.0 nautical miles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Approach speed band eight to twelve knots; report on entry.</w:t>
            </w:r>
          </w:p>
        </w:tc>
      </w:tr>
    </w:tbl>
    <w:p>
      <w:pPr>
        <w:spacing w:after="100"/>
      </w:pPr>
    </w:p>
    <w:p>
      <w:pPr>
        <w:pStyle w:val="Heading2"/>
        <w:keepNext/>
        <w:keepLines/>
      </w:pPr>
      <w:bookmarkStart w:id="375" w:name="_Toc262100275"/>
      <w:r>
        <w:rPr>
          <w:rFonts w:ascii="Calibri" w:hAnsi="Calibri"/>
          <w:b/>
          <w:color w:val="1D4E5F"/>
          <w:sz w:val="27"/>
        </w:rPr>
        <w:t xml:space="preserve">A.6 Holding Anchorages</w:t>
      </w:r>
      <w:bookmarkEnd w:id="375"/>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800"/>
        <w:gridCol w:w="2600"/>
        <w:gridCol w:w="1900"/>
        <w:gridCol w:w="2700"/>
      </w:tblGrid>
      <w:tr>
        <w:trPr>
          <w:tblHeader/>
        </w:trPr>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Anchorage</w:t>
            </w:r>
          </w:p>
        </w:tc>
        <w:tc>
          <w:tcPr>
            <w:tcW w:w="2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Center</w:t>
            </w:r>
          </w:p>
        </w:tc>
        <w:tc>
          <w:tcPr>
            <w:tcW w:w="1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Radius</w:t>
            </w:r>
          </w:p>
        </w:tc>
        <w:tc>
          <w:tcPr>
            <w:tcW w:w="2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Assignment</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HA-W1 (western, northern)</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26°44.0'N 056°10.0'E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1.5 nautical miles</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Inbound queue, convoy assembly, Protected Holds (north).</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HA-W2 (western, southern)</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26°28.0'N 056°12.0'E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1.5 nautical miles</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Outbound staging, service delivery (south).</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HA-E1 (eastern, northern)</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26°18.0'N 057°06.0'E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1.5 nautical miles</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Inbound staging, Protected Holds (east).</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HA-E2 (eastern, southern)</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26°06.0'N 056°55.0'E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1.5 nautical miles</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Outbound queue, convoy dispersal (east).</w:t>
            </w:r>
          </w:p>
        </w:tc>
      </w:tr>
    </w:tbl>
    <w:p>
      <w:pPr>
        <w:spacing w:after="100"/>
      </w:pPr>
    </w:p>
    <w:p>
      <w:pPr>
        <w:pStyle w:val="Heading2"/>
        <w:keepNext/>
        <w:keepLines/>
      </w:pPr>
      <w:bookmarkStart w:id="376" w:name="_Toc262100276"/>
      <w:r>
        <w:rPr>
          <w:rFonts w:ascii="Calibri" w:hAnsi="Calibri"/>
          <w:b/>
          <w:color w:val="1D4E5F"/>
          <w:sz w:val="27"/>
        </w:rPr>
        <w:t xml:space="preserve">A.7 Crossing Sectors, Class F Gates, and Voice Reporting Points</w:t>
      </w:r>
      <w:bookmarkEnd w:id="376"/>
    </w:p>
    <w:p>
      <w:pPr>
        <w:spacing w:after="130" w:line="340" w:lineRule="auto"/>
        <w:jc w:val="both"/>
      </w:pPr>
      <w:r>
        <w:rPr>
          <w:rFonts w:ascii="Cambria" w:hAnsi="Cambria"/>
          <w:color w:val="20262A"/>
          <w:sz w:val="22"/>
        </w:rPr>
        <w:t xml:space="preserve">Crossing Sector CS-1 lies between waypoints NCC-2 and NCC-3 across the full width of the corridor system. Crossing Sector CS-2 lies between waypoints NCC-3 and NCC-4. Class F gates sit at the belt crossing points within each crossing sector. Voice reporting points stand at every corridor waypoint and at the boundary crossing points OA-1, OA-4, and OA-7.</w:t>
      </w:r>
    </w:p>
    <w:p>
      <w:pPr>
        <w:pStyle w:val="Heading2"/>
        <w:keepNext/>
        <w:keepLines/>
      </w:pPr>
      <w:bookmarkStart w:id="377" w:name="_Toc262100277"/>
      <w:r>
        <w:rPr>
          <w:rFonts w:ascii="Calibri" w:hAnsi="Calibri"/>
          <w:b/>
          <w:color w:val="1D4E5F"/>
          <w:sz w:val="27"/>
        </w:rPr>
        <w:t xml:space="preserve">A.8 Rendezvous Points</w:t>
      </w:r>
      <w:bookmarkEnd w:id="377"/>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400"/>
        <w:gridCol w:w="2900"/>
        <w:gridCol w:w="4700"/>
      </w:tblGrid>
      <w:tr>
        <w:trPr>
          <w:tblHeader/>
        </w:trPr>
        <w:tc>
          <w:tcPr>
            <w:tcW w:w="2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Point</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Position</w:t>
            </w:r>
          </w:p>
        </w:tc>
        <w:tc>
          <w:tcPr>
            <w:tcW w:w="4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Use</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RP-A (western)</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26°42.0'N 056°06.0'E</w:t>
            </w:r>
          </w:p>
        </w:tc>
        <w:tc>
          <w:tcPr>
            <w:tcW w:w="4700" w:type="dxa"/>
            <w:tcMar>
              <w:top w:w="60" w:type="dxa"/>
              <w:left w:w="100" w:type="dxa"/>
              <w:bottom w:w="60" w:type="dxa"/>
              <w:right w:w="100" w:type="dxa"/>
            </w:tcMar>
          </w:tcPr>
          <w:p>
            <w:pPr>
              <w:spacing w:after="20" w:line="290" w:lineRule="auto"/>
            </w:pPr>
            <w:r>
              <w:rPr>
                <w:rFonts w:ascii="Calibri" w:hAnsi="Calibri"/>
                <w:color w:val="20262A"/>
                <w:sz w:val="19"/>
              </w:rPr>
              <w:t xml:space="preserve">Escort window marshalling, SAR marshalling, Gulf side.</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RP-B (eastern)</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26°14.5'N 057°06.0'E</w:t>
            </w:r>
          </w:p>
        </w:tc>
        <w:tc>
          <w:tcPr>
            <w:tcW w:w="4700" w:type="dxa"/>
            <w:tcMar>
              <w:top w:w="60" w:type="dxa"/>
              <w:left w:w="100" w:type="dxa"/>
              <w:bottom w:w="60" w:type="dxa"/>
              <w:right w:w="100" w:type="dxa"/>
            </w:tcMar>
          </w:tcPr>
          <w:p>
            <w:pPr>
              <w:spacing w:after="20" w:line="290" w:lineRule="auto"/>
            </w:pPr>
            <w:r>
              <w:rPr>
                <w:rFonts w:ascii="Calibri" w:hAnsi="Calibri"/>
                <w:color w:val="20262A"/>
                <w:sz w:val="19"/>
              </w:rPr>
              <w:t xml:space="preserve">Escort window marshalling, SAR marshalling, Sea of Oman side.</w:t>
            </w:r>
          </w:p>
        </w:tc>
      </w:tr>
    </w:tbl>
    <w:p>
      <w:pPr>
        <w:spacing w:after="100"/>
      </w:pPr>
    </w:p>
    <w:p>
      <w:pPr>
        <w:pStyle w:val="Heading2"/>
        <w:keepNext/>
        <w:keepLines/>
      </w:pPr>
      <w:bookmarkStart w:id="378" w:name="_Toc262100278"/>
      <w:r>
        <w:rPr>
          <w:rFonts w:ascii="Calibri" w:hAnsi="Calibri"/>
          <w:b/>
          <w:color w:val="1D4E5F"/>
          <w:sz w:val="27"/>
        </w:rPr>
        <w:t xml:space="preserve">A.9 Inshore Local Craft Bands</w:t>
      </w:r>
      <w:bookmarkEnd w:id="378"/>
    </w:p>
    <w:p>
      <w:pPr>
        <w:spacing w:after="130" w:line="340" w:lineRule="auto"/>
        <w:jc w:val="both"/>
      </w:pPr>
      <w:r>
        <w:rPr>
          <w:rFonts w:ascii="Cambria" w:hAnsi="Cambria"/>
          <w:color w:val="20262A"/>
          <w:sz w:val="22"/>
        </w:rPr>
        <w:t xml:space="preserve">The Inshore Local Craft Bands comprise the waters within three nautical miles of each coast inside the Operating Area, excluding the corridor lanes themselves. Class F craft operate in the bands under the reporting regime of Annex J, Section J.6, and cross the corridor system only at the Class F gates of Section A.7.</w:t>
      </w:r>
    </w:p>
    <w:p>
      <w:pPr>
        <w:pStyle w:val="Heading2"/>
        <w:keepNext/>
        <w:keepLines/>
      </w:pPr>
      <w:bookmarkStart w:id="379" w:name="_Toc262100279"/>
      <w:r>
        <w:rPr>
          <w:rFonts w:ascii="Calibri" w:hAnsi="Calibri"/>
          <w:b/>
          <w:color w:val="1D4E5F"/>
          <w:sz w:val="27"/>
        </w:rPr>
        <w:t xml:space="preserve">A.10 Search and Rescue Grid Sectors and Particularly Sensitive Areas</w:t>
      </w:r>
      <w:bookmarkEnd w:id="379"/>
    </w:p>
    <w:p>
      <w:pPr>
        <w:spacing w:after="130" w:line="340" w:lineRule="auto"/>
        <w:jc w:val="both"/>
      </w:pPr>
      <w:r>
        <w:rPr>
          <w:rFonts w:ascii="Cambria" w:hAnsi="Cambria"/>
          <w:color w:val="20262A"/>
          <w:sz w:val="22"/>
        </w:rPr>
        <w:t xml:space="preserve">The search and rescue grid divides the Operating Area into nine sectors bounded by the meridians 056°00.0'E, 056°20.0'E, 056°40.0'E, 057°00.0'E, and 057°20.0'E, and the parallels 25°55.0'N, 26°10.0'N, 26°30.0'N, and 26°55.0'N, numbered G-1 to G-9 west to east and south to north. The SAR rota of Article 34 assigns each sector its primary and secondary on-scene coordinator.</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700"/>
        <w:gridCol w:w="2600"/>
        <w:gridCol w:w="1900"/>
        <w:gridCol w:w="2800"/>
      </w:tblGrid>
      <w:tr>
        <w:trPr>
          <w:tblHeader/>
        </w:trPr>
        <w:tc>
          <w:tcPr>
            <w:tcW w:w="2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Sensitive area</w:t>
            </w:r>
          </w:p>
        </w:tc>
        <w:tc>
          <w:tcPr>
            <w:tcW w:w="2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Center</w:t>
            </w:r>
          </w:p>
        </w:tc>
        <w:tc>
          <w:tcPr>
            <w:tcW w:w="1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Radius</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Restriction</w:t>
            </w:r>
          </w:p>
        </w:tc>
      </w:tr>
      <w:tr>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Larak bank shallows</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26°50.0'N 056°21.0'E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3.0 nautical miles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Speed cap eight knots; no anchoring.</w:t>
            </w:r>
          </w:p>
        </w:tc>
      </w:tr>
      <w:tr>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Musandam coral terraces</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26°10.0'N 056°30.0'E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4.0 nautical miles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No anchoring; discharge watch enhanced.</w:t>
            </w:r>
          </w:p>
        </w:tc>
      </w:tr>
      <w:tr>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Spawning closure SC-A</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26°15.0'N 056°45.0'E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2.5 nautical miles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Seasonal, 1 March to 30 April: alternate routing per Bulletin.</w:t>
            </w:r>
          </w:p>
        </w:tc>
      </w:tr>
      <w:tr>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Spawning closure SC-B</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26°35.0'N 056°15.0'E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2.5 nautical miles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Seasonal, 1 September to 30 November: alternate routing per Bulletin.</w:t>
            </w:r>
          </w:p>
        </w:tc>
      </w:tr>
    </w:tbl>
    <w:p>
      <w:pPr>
        <w:spacing w:after="100"/>
      </w:pPr>
    </w:p>
    <w:p>
      <w:pPr>
        <w:pStyle w:val="Heading1"/>
        <w:keepNext/>
        <w:keepLines/>
        <w:pageBreakBefore/>
      </w:pPr>
      <w:bookmarkStart w:id="380" w:name="_Toc262100280"/>
      <w:r>
        <w:rPr>
          <w:rFonts w:ascii="Calibri" w:hAnsi="Calibri"/>
          <w:b/>
          <w:color w:val="1D4E5F"/>
          <w:sz w:val="34"/>
        </w:rPr>
        <w:t xml:space="preserve">Annex B: Vessel Classification and Treatment Matrix</w:t>
      </w:r>
      <w:bookmarkEnd w:id="380"/>
    </w:p>
    <w:p>
      <w:pPr>
        <w:pStyle w:val="Heading2"/>
        <w:keepNext/>
        <w:keepLines/>
      </w:pPr>
      <w:bookmarkStart w:id="381" w:name="_Toc262100281"/>
      <w:r>
        <w:rPr>
          <w:rFonts w:ascii="Calibri" w:hAnsi="Calibri"/>
          <w:b/>
          <w:color w:val="1D4E5F"/>
          <w:sz w:val="27"/>
        </w:rPr>
        <w:t xml:space="preserve">B.1 The Matrix</w:t>
      </w:r>
      <w:bookmarkEnd w:id="381"/>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800"/>
        <w:gridCol w:w="2900"/>
        <w:gridCol w:w="2300"/>
        <w:gridCol w:w="2100"/>
        <w:gridCol w:w="1900"/>
      </w:tblGrid>
      <w:tr>
        <w:trPr>
          <w:tblHeader/>
        </w:trPr>
        <w:tc>
          <w:tcPr>
            <w:tcW w:w="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Class</w:t>
            </w:r>
          </w:p>
        </w:tc>
        <w:tc>
          <w:tcPr>
            <w:tcW w:w="2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Definition</w:t>
            </w:r>
          </w:p>
        </w:tc>
        <w:tc>
          <w:tcPr>
            <w:tcW w:w="2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Corridor assignment</w:t>
            </w:r>
          </w:p>
        </w:tc>
        <w:tc>
          <w:tcPr>
            <w:tcW w:w="21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Reporting regime</w:t>
            </w:r>
          </w:p>
        </w:tc>
        <w:tc>
          <w:tcPr>
            <w:tcW w:w="1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Service package</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A</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Laden very large crude carriers, 200,000 dwt and above</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Directional corridor; convoy window priority</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Every reporting point; fifteen-minute low-visibility cadence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S-1, S-2, S-5, S-6 standard; S-3, S-4 on request</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B</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Liquefied natural gas and liquefied petroleum gas carriers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Directional corridor; convoy window priority</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Every reporting point; fifteen-minute low-visibility cadence</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S-1, S-2, S-5, S-6 standard; S-3, S-4 on request</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C</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Product and chemical tankers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Directional corridor</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Every reporting point</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S-1, S-5, S-6 standard; S-2, S-3 on request</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D</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Container vessels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Directional corridor</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Every reporting point</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S-1, S-6 standard; others on request</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E</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Bulk carriers and general cargo vessels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Directional corridor</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Every reporting point</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S-1, S-6 standard; others on request</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F</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Local craft under 500 gross tons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Inshore Local Craft Bands; Class F gates for crossing</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Band entry and exit; gate crossing calls</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Public layer data; no catalog charges</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G</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Government non-commercial vessels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Directional corridor or buffer by notification</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Every reporting point</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S-1 standard; escort on request</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H</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Humanitarian vessels: food, medicine, relief cargo, hospital ships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Any corridor; absolute priority under IPR-13</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Fast-track form J.4; escort on request</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All services free; Humanitarian Line books the cost</w:t>
            </w:r>
          </w:p>
        </w:tc>
      </w:tr>
      <w:tr>
        <w:tc>
          <w:tcPr>
            <w:tcW w:w="800" w:type="dxa"/>
            <w:tcMar>
              <w:top w:w="60" w:type="dxa"/>
              <w:left w:w="100" w:type="dxa"/>
              <w:bottom w:w="60" w:type="dxa"/>
              <w:right w:w="100" w:type="dxa"/>
            </w:tcMar>
          </w:tcPr>
          <w:p>
            <w:pPr>
              <w:spacing w:after="20" w:line="290" w:lineRule="auto"/>
            </w:pPr>
            <w:r>
              <w:rPr>
                <w:rFonts w:ascii="Calibri" w:hAnsi="Calibri"/>
                <w:color w:val="20262A"/>
                <w:sz w:val="19"/>
              </w:rPr>
              <w:t xml:space="preserve">M</w:t>
            </w:r>
          </w:p>
        </w:tc>
        <w:tc>
          <w:tcPr>
            <w:tcW w:w="2900" w:type="dxa"/>
            <w:tcMar>
              <w:top w:w="60" w:type="dxa"/>
              <w:left w:w="100" w:type="dxa"/>
              <w:bottom w:w="60" w:type="dxa"/>
              <w:right w:w="100" w:type="dxa"/>
            </w:tcMar>
          </w:tcPr>
          <w:p>
            <w:pPr>
              <w:spacing w:after="20" w:line="290" w:lineRule="auto"/>
            </w:pPr>
            <w:r>
              <w:rPr>
                <w:rFonts w:ascii="Calibri" w:hAnsi="Calibri"/>
                <w:color w:val="20262A"/>
                <w:sz w:val="19"/>
              </w:rPr>
              <w:t xml:space="preserve">Naval and auxiliary vessels in deconfliction transit</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Quiet Water Windows under Article 32.1</w:t>
            </w:r>
          </w:p>
        </w:tc>
        <w:tc>
          <w:tcPr>
            <w:tcW w:w="2100" w:type="dxa"/>
            <w:tcMar>
              <w:top w:w="60" w:type="dxa"/>
              <w:left w:w="100" w:type="dxa"/>
              <w:bottom w:w="60" w:type="dxa"/>
              <w:right w:w="100" w:type="dxa"/>
            </w:tcMar>
          </w:tcPr>
          <w:p>
            <w:pPr>
              <w:spacing w:after="20" w:line="290" w:lineRule="auto"/>
            </w:pPr>
            <w:r>
              <w:rPr>
                <w:rFonts w:ascii="Calibri" w:hAnsi="Calibri"/>
                <w:color w:val="20262A"/>
                <w:sz w:val="19"/>
              </w:rPr>
              <w:t xml:space="preserve">Window booking; sanitized Bulletin entry</w:t>
            </w:r>
          </w:p>
        </w:tc>
        <w:tc>
          <w:tcPr>
            <w:tcW w:w="1900" w:type="dxa"/>
            <w:tcMar>
              <w:top w:w="60" w:type="dxa"/>
              <w:left w:w="100" w:type="dxa"/>
              <w:bottom w:w="60" w:type="dxa"/>
              <w:right w:w="100" w:type="dxa"/>
            </w:tcMar>
          </w:tcPr>
          <w:p>
            <w:pPr>
              <w:spacing w:after="20" w:line="290" w:lineRule="auto"/>
            </w:pPr>
            <w:r>
              <w:rPr>
                <w:rFonts w:ascii="Calibri" w:hAnsi="Calibri"/>
                <w:color w:val="20262A"/>
                <w:sz w:val="19"/>
              </w:rPr>
              <w:t xml:space="preserve">Buffer routing; no catalog charges</w:t>
            </w:r>
          </w:p>
        </w:tc>
      </w:tr>
    </w:tbl>
    <w:p>
      <w:pPr>
        <w:spacing w:after="100"/>
      </w:pPr>
    </w:p>
    <w:p>
      <w:pPr>
        <w:pStyle w:val="Heading2"/>
        <w:keepNext/>
        <w:keepLines/>
      </w:pPr>
      <w:bookmarkStart w:id="382" w:name="_Toc262100282"/>
      <w:r>
        <w:rPr>
          <w:rFonts w:ascii="Calibri" w:hAnsi="Calibri"/>
          <w:b/>
          <w:color w:val="1D4E5F"/>
          <w:sz w:val="27"/>
        </w:rPr>
        <w:t xml:space="preserve">B.2 Lane Assignment and Mixed-Purpose Voyages</w:t>
      </w:r>
      <w:bookmarkEnd w:id="382"/>
    </w:p>
    <w:p>
      <w:pPr>
        <w:spacing w:after="130" w:line="340" w:lineRule="auto"/>
        <w:jc w:val="both"/>
      </w:pPr>
      <w:r>
        <w:rPr>
          <w:rFonts w:ascii="Cambria" w:hAnsi="Cambria"/>
          <w:color w:val="20262A"/>
          <w:sz w:val="22"/>
        </w:rPr>
        <w:t xml:space="preserve">A vessel with a mixed-purpose voyage classifies by its predominant cargo by tonnage, and a vessel carrying any humanitarian cargo above twenty percent of tonnage classifies as Class H for that voyage. Reclassification takes effect on filing, never retroactively, and the registration process assigns the class automatically from the filing fields without discretion.</w:t>
      </w:r>
    </w:p>
    <w:p>
      <w:pPr>
        <w:pStyle w:val="Heading2"/>
        <w:keepNext/>
        <w:keepLines/>
      </w:pPr>
      <w:bookmarkStart w:id="383" w:name="_Toc262100283"/>
      <w:r>
        <w:rPr>
          <w:rFonts w:ascii="Calibri" w:hAnsi="Calibri"/>
          <w:b/>
          <w:color w:val="1D4E5F"/>
          <w:sz w:val="27"/>
        </w:rPr>
        <w:t xml:space="preserve">B.3 Treatment Differentiators: The Standing Rule</w:t>
      </w:r>
      <w:bookmarkEnd w:id="383"/>
    </w:p>
    <w:p>
      <w:pPr>
        <w:spacing w:after="130" w:line="340" w:lineRule="auto"/>
        <w:jc w:val="both"/>
      </w:pPr>
      <w:r>
        <w:rPr>
          <w:rFonts w:ascii="Cambria" w:hAnsi="Cambria"/>
          <w:color w:val="20262A"/>
          <w:sz w:val="22"/>
        </w:rPr>
        <w:t xml:space="preserve">Differentiators touch convoy eligibility, reporting cadence, service packages, and data bands only. No differentiator touches the right of passage, the speed bands, the safety services of the public layer, or the humanitarian priority. IPR-1, IPR-4, and IPR-13 govern every row of the matrix.</w:t>
      </w:r>
    </w:p>
    <w:p>
      <w:pPr>
        <w:pStyle w:val="Heading1"/>
        <w:keepNext/>
        <w:keepLines/>
        <w:pageBreakBefore/>
      </w:pPr>
      <w:bookmarkStart w:id="384" w:name="_Toc262100284"/>
      <w:r>
        <w:rPr>
          <w:rFonts w:ascii="Calibri" w:hAnsi="Calibri"/>
          <w:b/>
          <w:color w:val="1D4E5F"/>
          <w:sz w:val="34"/>
        </w:rPr>
        <w:t xml:space="preserve">Annex C: Stewardship Shares, the Accrual Schedule, and the Index Rubric</w:t>
      </w:r>
      <w:bookmarkEnd w:id="384"/>
    </w:p>
    <w:p>
      <w:pPr>
        <w:pStyle w:val="Heading2"/>
        <w:keepNext/>
        <w:keepLines/>
      </w:pPr>
      <w:bookmarkStart w:id="385" w:name="_Toc262100285"/>
      <w:r>
        <w:rPr>
          <w:rFonts w:ascii="Calibri" w:hAnsi="Calibri"/>
          <w:b/>
          <w:color w:val="1D4E5F"/>
          <w:sz w:val="27"/>
        </w:rPr>
        <w:t xml:space="preserve">C.1 The Three Dimensions of a Share</w:t>
      </w:r>
      <w:bookmarkEnd w:id="385"/>
    </w:p>
    <w:p>
      <w:pPr>
        <w:spacing w:after="130" w:line="340" w:lineRule="auto"/>
        <w:jc w:val="both"/>
      </w:pPr>
      <w:r>
        <w:rPr>
          <w:rFonts w:ascii="Cambria" w:hAnsi="Cambria"/>
          <w:color w:val="20262A"/>
          <w:sz w:val="22"/>
        </w:rPr>
        <w:t xml:space="preserve">Each Stewardship Share carries identical numerical weight in three dimensions, and every gate, step-back, and earn-back adjusts all three on the same effective date:</w:t>
      </w: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600"/>
        <w:gridCol w:w="4600"/>
        <w:gridCol w:w="2800"/>
      </w:tblGrid>
      <w:tr>
        <w:trPr>
          <w:tblHeader/>
        </w:trPr>
        <w:tc>
          <w:tcPr>
            <w:tcW w:w="2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Dimension</w:t>
            </w:r>
          </w:p>
        </w:tc>
        <w:tc>
          <w:tcPr>
            <w:tcW w:w="4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What it governs</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Where it operates</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Management authority</w:t>
            </w:r>
          </w:p>
        </w:tc>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Share of routine buffer administration: desk time, asset contribution, patrol rotation.</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Article 22.4; Buffer Board work program.</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Revenue apportionment</w:t>
            </w:r>
          </w:p>
        </w:tc>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Share of Central Buffer Corridor receipts after the twelve percent top-slice.</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Article 29.2; Annex F allocation table.</w:t>
            </w:r>
          </w:p>
        </w:tc>
      </w:tr>
      <w:tr>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Concurrence weight</w:t>
            </w:r>
          </w:p>
        </w:tc>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Weighted votes on Buffer Corridor Management Board decisions.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Article 22.1 and 22.2; Annex G.</w:t>
            </w:r>
          </w:p>
        </w:tc>
      </w:tr>
    </w:tbl>
    <w:p>
      <w:pPr>
        <w:spacing w:after="100"/>
      </w:pPr>
    </w:p>
    <w:p>
      <w:pPr>
        <w:pStyle w:val="Heading2"/>
        <w:keepNext/>
        <w:keepLines/>
      </w:pPr>
      <w:bookmarkStart w:id="386" w:name="_Toc262100286"/>
      <w:r>
        <w:rPr>
          <w:rFonts w:ascii="Calibri" w:hAnsi="Calibri"/>
          <w:b/>
          <w:color w:val="1D4E5F"/>
          <w:sz w:val="27"/>
        </w:rPr>
        <w:t xml:space="preserve">C.2 The Share Schedule and Gate Criteria (Operative Table)</w:t>
      </w:r>
      <w:bookmarkEnd w:id="386"/>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400"/>
        <w:gridCol w:w="1500"/>
        <w:gridCol w:w="1500"/>
        <w:gridCol w:w="1500"/>
        <w:gridCol w:w="3100"/>
      </w:tblGrid>
      <w:tr>
        <w:trPr>
          <w:tblHeader/>
        </w:trPr>
        <w:tc>
          <w:tcPr>
            <w:tcW w:w="2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State</w:t>
            </w:r>
          </w:p>
        </w:tc>
        <w:tc>
          <w:tcPr>
            <w:tcW w:w="15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Iran</w:t>
            </w:r>
          </w:p>
        </w:tc>
        <w:tc>
          <w:tcPr>
            <w:tcW w:w="15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Oman</w:t>
            </w:r>
          </w:p>
        </w:tc>
        <w:tc>
          <w:tcPr>
            <w:tcW w:w="15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Standing Share</w:t>
            </w:r>
          </w:p>
        </w:tc>
        <w:tc>
          <w:tcPr>
            <w:tcW w:w="31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Gate criteria</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Baseline (Phase Two activation)</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1/6 = 16.67%</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1/2 = 50.00%</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1/3 = 33.33%</w:t>
            </w:r>
          </w:p>
        </w:tc>
        <w:tc>
          <w:tcPr>
            <w:tcW w:w="3100" w:type="dxa"/>
            <w:tcMar>
              <w:top w:w="60" w:type="dxa"/>
              <w:left w:w="100" w:type="dxa"/>
              <w:bottom w:w="60" w:type="dxa"/>
              <w:right w:w="100" w:type="dxa"/>
            </w:tcMar>
          </w:tcPr>
          <w:p>
            <w:pPr>
              <w:spacing w:after="20" w:line="290" w:lineRule="auto"/>
            </w:pPr>
            <w:r>
              <w:rPr>
                <w:rFonts w:ascii="Calibri" w:hAnsi="Calibri"/>
                <w:color w:val="20262A"/>
                <w:sz w:val="19"/>
              </w:rPr>
              <w:t xml:space="preserve">None; seats at activation.</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After Gate One</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1/5 = 20.00%</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7/15 = 46.67%</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1/3 = 33.33%</w:t>
            </w:r>
          </w:p>
        </w:tc>
        <w:tc>
          <w:tcPr>
            <w:tcW w:w="3100" w:type="dxa"/>
            <w:tcMar>
              <w:top w:w="60" w:type="dxa"/>
              <w:left w:w="100" w:type="dxa"/>
              <w:bottom w:w="60" w:type="dxa"/>
              <w:right w:w="100" w:type="dxa"/>
            </w:tcMar>
          </w:tcPr>
          <w:p>
            <w:pPr>
              <w:spacing w:after="20" w:line="290" w:lineRule="auto"/>
            </w:pPr>
            <w:r>
              <w:rPr>
                <w:rFonts w:ascii="Calibri" w:hAnsi="Calibri"/>
                <w:color w:val="20262A"/>
                <w:sz w:val="19"/>
              </w:rPr>
              <w:t xml:space="preserve">Two consecutive quarters SPI of 85 or higher; zero Class 1 or Class 2 attributed incidents in the period.</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After Gate Two</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1/4 = 25.00%</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5/12 = 41.67%</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1/3 = 33.33%</w:t>
            </w:r>
          </w:p>
        </w:tc>
        <w:tc>
          <w:tcPr>
            <w:tcW w:w="3100" w:type="dxa"/>
            <w:tcMar>
              <w:top w:w="60" w:type="dxa"/>
              <w:left w:w="100" w:type="dxa"/>
              <w:bottom w:w="60" w:type="dxa"/>
              <w:right w:w="100" w:type="dxa"/>
            </w:tcMar>
          </w:tcPr>
          <w:p>
            <w:pPr>
              <w:spacing w:after="20" w:line="290" w:lineRule="auto"/>
            </w:pPr>
            <w:r>
              <w:rPr>
                <w:rFonts w:ascii="Calibri" w:hAnsi="Calibri"/>
                <w:color w:val="20262A"/>
                <w:sz w:val="19"/>
              </w:rPr>
              <w:t xml:space="preserve">Four consecutive quarters averaging 88 or higher; no quarter below 84; financial transparency domain clean in three of four quarters.</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After Gate Three</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3/10 = 30.00%</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11/30 = 36.67%</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1/3 = 33.33%</w:t>
            </w:r>
          </w:p>
        </w:tc>
        <w:tc>
          <w:tcPr>
            <w:tcW w:w="3100" w:type="dxa"/>
            <w:tcMar>
              <w:top w:w="60" w:type="dxa"/>
              <w:left w:w="100" w:type="dxa"/>
              <w:bottom w:w="60" w:type="dxa"/>
              <w:right w:w="100" w:type="dxa"/>
            </w:tcMar>
          </w:tcPr>
          <w:p>
            <w:pPr>
              <w:spacing w:after="20" w:line="290" w:lineRule="auto"/>
            </w:pPr>
            <w:r>
              <w:rPr>
                <w:rFonts w:ascii="Calibri" w:hAnsi="Calibri"/>
                <w:color w:val="20262A"/>
                <w:sz w:val="19"/>
              </w:rPr>
              <w:t xml:space="preserve">Eight consecutive quarters averaging 90 or higher; no quarter below 85; zero Class 1; mid-ladder systems audit complete.</w:t>
            </w:r>
          </w:p>
        </w:tc>
      </w:tr>
      <w:tr>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After Gate Four (ceiling)</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1/3 = 33.33%</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1/3 = 33.33%</w:t>
            </w:r>
          </w:p>
        </w:tc>
        <w:tc>
          <w:tcPr>
            <w:tcW w:w="1500" w:type="dxa"/>
            <w:tcMar>
              <w:top w:w="60" w:type="dxa"/>
              <w:left w:w="100" w:type="dxa"/>
              <w:bottom w:w="60" w:type="dxa"/>
              <w:right w:w="100" w:type="dxa"/>
            </w:tcMar>
          </w:tcPr>
          <w:p>
            <w:pPr>
              <w:spacing w:after="20" w:line="290" w:lineRule="auto"/>
            </w:pPr>
            <w:r>
              <w:rPr>
                <w:rFonts w:ascii="Calibri" w:hAnsi="Calibri"/>
                <w:color w:val="20262A"/>
                <w:sz w:val="19"/>
              </w:rPr>
              <w:t xml:space="preserve">1/3 = 33.33%</w:t>
            </w:r>
          </w:p>
        </w:tc>
        <w:tc>
          <w:tcPr>
            <w:tcW w:w="3100" w:type="dxa"/>
            <w:tcMar>
              <w:top w:w="60" w:type="dxa"/>
              <w:left w:w="100" w:type="dxa"/>
              <w:bottom w:w="60" w:type="dxa"/>
              <w:right w:w="100" w:type="dxa"/>
            </w:tcMar>
          </w:tcPr>
          <w:p>
            <w:pPr>
              <w:spacing w:after="20" w:line="290" w:lineRule="auto"/>
            </w:pPr>
            <w:r>
              <w:rPr>
                <w:rFonts w:ascii="Calibri" w:hAnsi="Calibri"/>
                <w:color w:val="20262A"/>
                <w:sz w:val="19"/>
              </w:rPr>
              <w:t xml:space="preserve">Twelve consecutive quarters averaging 90 or higher; no quarter below 86; zero Class 1; full verification audit complete; Council Twin Key confirmation.</w:t>
            </w:r>
          </w:p>
        </w:tc>
      </w:tr>
    </w:tbl>
    <w:p>
      <w:pPr>
        <w:spacing w:after="100"/>
      </w:pPr>
    </w:p>
    <w:p>
      <w:pPr>
        <w:pStyle w:val="Heading2"/>
        <w:keepNext/>
        <w:keepLines/>
      </w:pPr>
      <w:bookmarkStart w:id="387" w:name="_Toc262100287"/>
      <w:r>
        <w:rPr>
          <w:rFonts w:ascii="Calibri" w:hAnsi="Calibri"/>
          <w:b/>
          <w:color w:val="1D4E5F"/>
          <w:sz w:val="27"/>
        </w:rPr>
        <w:t xml:space="preserve">C.3 The SPI Rubric: Domain Metrics and Deductions</w:t>
      </w:r>
      <w:bookmarkEnd w:id="387"/>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500"/>
        <w:gridCol w:w="3300"/>
        <w:gridCol w:w="4200"/>
      </w:tblGrid>
      <w:tr>
        <w:trPr>
          <w:tblHeader/>
        </w:trPr>
        <w:tc>
          <w:tcPr>
            <w:tcW w:w="25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Domain</w:t>
            </w:r>
          </w:p>
        </w:tc>
        <w:tc>
          <w:tcPr>
            <w:tcW w:w="3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Full marks require</w:t>
            </w:r>
          </w:p>
        </w:tc>
        <w:tc>
          <w:tcPr>
            <w:tcW w:w="4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Standard deductions</w:t>
            </w:r>
          </w:p>
        </w:tc>
      </w:tr>
      <w:tr>
        <w:tc>
          <w:tcPr>
            <w:tcW w:w="2500" w:type="dxa"/>
            <w:tcMar>
              <w:top w:w="60" w:type="dxa"/>
              <w:left w:w="100" w:type="dxa"/>
              <w:bottom w:w="60" w:type="dxa"/>
              <w:right w:w="100" w:type="dxa"/>
            </w:tcMar>
          </w:tcPr>
          <w:p>
            <w:pPr>
              <w:spacing w:after="20" w:line="290" w:lineRule="auto"/>
            </w:pPr>
            <w:r>
              <w:rPr>
                <w:rFonts w:ascii="Calibri" w:hAnsi="Calibri"/>
                <w:color w:val="20262A"/>
                <w:sz w:val="19"/>
              </w:rPr>
              <w:t xml:space="preserve">D-1 Corridor discipline (25)</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Zero unauthorized deviations; 100 percent reporting-point compliance; full flow-state adherence.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Lane discipline event: minus 2 each; unauthorized deviation: minus 5 each; flow-state violation: minus 8 each.</w:t>
            </w:r>
          </w:p>
        </w:tc>
      </w:tr>
      <w:tr>
        <w:tc>
          <w:tcPr>
            <w:tcW w:w="2500" w:type="dxa"/>
            <w:tcMar>
              <w:top w:w="60" w:type="dxa"/>
              <w:left w:w="100" w:type="dxa"/>
              <w:bottom w:w="60" w:type="dxa"/>
              <w:right w:w="100" w:type="dxa"/>
            </w:tcMar>
          </w:tcPr>
          <w:p>
            <w:pPr>
              <w:spacing w:after="20" w:line="290" w:lineRule="auto"/>
            </w:pPr>
            <w:r>
              <w:rPr>
                <w:rFonts w:ascii="Calibri" w:hAnsi="Calibri"/>
                <w:color w:val="20262A"/>
                <w:sz w:val="19"/>
              </w:rPr>
              <w:t xml:space="preserve">D-2 Incident record (20)</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Zero attributed incidents of Class 3 or above.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3 attributed: minus 4 each; Class 2 attributed: minus 10 each; Class 1 attributed: zero for the domain.</w:t>
            </w:r>
          </w:p>
        </w:tc>
      </w:tr>
      <w:tr>
        <w:tc>
          <w:tcPr>
            <w:tcW w:w="2500" w:type="dxa"/>
            <w:tcMar>
              <w:top w:w="60" w:type="dxa"/>
              <w:left w:w="100" w:type="dxa"/>
              <w:bottom w:w="60" w:type="dxa"/>
              <w:right w:w="100" w:type="dxa"/>
            </w:tcMar>
          </w:tcPr>
          <w:p>
            <w:pPr>
              <w:spacing w:after="20" w:line="290" w:lineRule="auto"/>
            </w:pPr>
            <w:r>
              <w:rPr>
                <w:rFonts w:ascii="Calibri" w:hAnsi="Calibri"/>
                <w:color w:val="20262A"/>
                <w:sz w:val="19"/>
              </w:rPr>
              <w:t xml:space="preserve">D-3 Reporting timeliness (15)</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100 percent on-time filings and feeds against Annex H and Annex J timelines.</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Late report: minus 1 each; missing report: minus 3 each; pattern of lateness above five percent: additional minus 4.</w:t>
            </w:r>
          </w:p>
        </w:tc>
      </w:tr>
      <w:tr>
        <w:tc>
          <w:tcPr>
            <w:tcW w:w="2500" w:type="dxa"/>
            <w:tcMar>
              <w:top w:w="60" w:type="dxa"/>
              <w:left w:w="100" w:type="dxa"/>
              <w:bottom w:w="60" w:type="dxa"/>
              <w:right w:w="100" w:type="dxa"/>
            </w:tcMar>
          </w:tcPr>
          <w:p>
            <w:pPr>
              <w:spacing w:after="20" w:line="290" w:lineRule="auto"/>
            </w:pPr>
            <w:r>
              <w:rPr>
                <w:rFonts w:ascii="Calibri" w:hAnsi="Calibri"/>
                <w:color w:val="20262A"/>
                <w:sz w:val="19"/>
              </w:rPr>
              <w:t xml:space="preserve">D-4 Financial transparency (15)</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Complete evidence packages; full audit cooperation; zero reconciliation gaps.</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Incomplete package: minus 2 each; reconciliation gap: minus 5 each; audit obstruction: zero for the domain.</w:t>
            </w:r>
          </w:p>
        </w:tc>
      </w:tr>
      <w:tr>
        <w:tc>
          <w:tcPr>
            <w:tcW w:w="2500" w:type="dxa"/>
            <w:tcMar>
              <w:top w:w="60" w:type="dxa"/>
              <w:left w:w="100" w:type="dxa"/>
              <w:bottom w:w="60" w:type="dxa"/>
              <w:right w:w="100" w:type="dxa"/>
            </w:tcMar>
          </w:tcPr>
          <w:p>
            <w:pPr>
              <w:spacing w:after="20" w:line="290" w:lineRule="auto"/>
            </w:pPr>
            <w:r>
              <w:rPr>
                <w:rFonts w:ascii="Calibri" w:hAnsi="Calibri"/>
                <w:color w:val="20262A"/>
                <w:sz w:val="19"/>
              </w:rPr>
              <w:t xml:space="preserve">D-5 Environmental compliance (15)</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Zero discharge events; readiness inspections passed; sensitive-area compliance.</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Minor discharge: minus 6 each; readiness failure: minus 4 each; sensitive-area violation: minus 5 each.</w:t>
            </w:r>
          </w:p>
        </w:tc>
      </w:tr>
      <w:tr>
        <w:tc>
          <w:tcPr>
            <w:tcW w:w="2500" w:type="dxa"/>
            <w:tcMar>
              <w:top w:w="60" w:type="dxa"/>
              <w:left w:w="100" w:type="dxa"/>
              <w:bottom w:w="60" w:type="dxa"/>
              <w:right w:w="100" w:type="dxa"/>
            </w:tcMar>
          </w:tcPr>
          <w:p>
            <w:pPr>
              <w:spacing w:after="20" w:line="290" w:lineRule="auto"/>
            </w:pPr>
            <w:r>
              <w:rPr>
                <w:rFonts w:ascii="Calibri" w:hAnsi="Calibri"/>
                <w:color w:val="20262A"/>
                <w:sz w:val="19"/>
              </w:rPr>
              <w:t xml:space="preserve">D-6 Deconfliction conduct (10)</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Hotline standard met; exercise notifications on time; mishap protocol followed; zero firewall breaches.</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Hotline failure: minus 2 each; late exercise notice: minus 2 each; protocol breach: minus 4 each; firewall breach under Article 37.6: minus 3 each.</w:t>
            </w:r>
          </w:p>
        </w:tc>
      </w:tr>
    </w:tbl>
    <w:p>
      <w:pPr>
        <w:spacing w:after="100"/>
      </w:pPr>
    </w:p>
    <w:p>
      <w:pPr>
        <w:pStyle w:val="Heading2"/>
        <w:keepNext/>
        <w:keepLines/>
      </w:pPr>
      <w:bookmarkStart w:id="388" w:name="_Toc262100288"/>
      <w:r>
        <w:rPr>
          <w:rFonts w:ascii="Calibri" w:hAnsi="Calibri"/>
          <w:b/>
          <w:color w:val="1D4E5F"/>
          <w:sz w:val="27"/>
        </w:rPr>
        <w:t xml:space="preserve">C.4 The Two Audits</w:t>
      </w:r>
      <w:bookmarkEnd w:id="388"/>
    </w:p>
    <w:p>
      <w:pPr>
        <w:spacing w:after="130" w:line="340" w:lineRule="auto"/>
        <w:jc w:val="both"/>
      </w:pPr>
      <w:r>
        <w:rPr>
          <w:rFonts w:ascii="Cambria" w:hAnsi="Cambria"/>
          <w:color w:val="20262A"/>
          <w:sz w:val="22"/>
        </w:rPr>
        <w:t xml:space="preserve">The mid-ladder systems audit, required for Gate Three, covers: watch floor procedures in the administered corridor; asset contribution records; data feed integrity; and a sampling of one hundred service evidence packages. The full verification audit, required for Gate Four, covers: the entire SPI evidence base for the preceding twelve quarters; an unannounced observation program of thirty days across both watch floors; a complete reconciliation of the share-holder's service ledger against Fund records; and a hotline stress test of twenty-four unannounced calls. The Office conducts both audits at Fund cost and publishes the audit summaries.</w:t>
      </w:r>
    </w:p>
    <w:p>
      <w:pPr>
        <w:pStyle w:val="Heading2"/>
        <w:keepNext/>
        <w:keepLines/>
      </w:pPr>
      <w:bookmarkStart w:id="389" w:name="_Toc262100289"/>
      <w:r>
        <w:rPr>
          <w:rFonts w:ascii="Calibri" w:hAnsi="Calibri"/>
          <w:b/>
          <w:color w:val="1D4E5F"/>
          <w:sz w:val="27"/>
        </w:rPr>
        <w:t xml:space="preserve">C.5 Step-Back and Earn-Back Table</w:t>
      </w:r>
      <w:bookmarkEnd w:id="389"/>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000"/>
        <w:gridCol w:w="3200"/>
        <w:gridCol w:w="1600"/>
        <w:gridCol w:w="3200"/>
      </w:tblGrid>
      <w:tr>
        <w:trPr>
          <w:tblHeader/>
        </w:trPr>
        <w:tc>
          <w:tcPr>
            <w:tcW w:w="2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Event</w:t>
            </w:r>
          </w:p>
        </w:tc>
        <w:tc>
          <w:tcPr>
            <w:tcW w:w="3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Consequence</w:t>
            </w:r>
          </w:p>
        </w:tc>
        <w:tc>
          <w:tcPr>
            <w:tcW w:w="1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Duration</w:t>
            </w:r>
          </w:p>
        </w:tc>
        <w:tc>
          <w:tcPr>
            <w:tcW w:w="3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Earn-back path</w:t>
            </w:r>
          </w:p>
        </w:tc>
      </w:tr>
      <w:tr>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Technical finding</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Record only; quiet correction.</w:t>
            </w:r>
          </w:p>
        </w:tc>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None.</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Not applicable.</w:t>
            </w:r>
          </w:p>
        </w:tc>
      </w:tr>
      <w:tr>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Minor finding</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Gate clock pauses.</w:t>
            </w:r>
          </w:p>
        </w:tc>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One quarter.</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Automatic resumption at quarter end.</w:t>
            </w:r>
          </w:p>
        </w:tc>
      </w:tr>
      <w:tr>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Material finding</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Step-back of one gate.</w:t>
            </w:r>
          </w:p>
        </w:tc>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One quarter.</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Two consecutive clean quarters restore the prior gate.</w:t>
            </w:r>
          </w:p>
        </w:tc>
      </w:tr>
      <w:tr>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Critical finding</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Step-back of one gate plus Council extraordinary session.</w:t>
            </w:r>
          </w:p>
        </w:tc>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Two quarters.</w:t>
            </w:r>
          </w:p>
        </w:tc>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Two consecutive clean quarters restore the prior gate.</w:t>
            </w:r>
          </w:p>
        </w:tc>
      </w:tr>
    </w:tbl>
    <w:p>
      <w:pPr>
        <w:spacing w:after="100"/>
      </w:pPr>
    </w:p>
    <w:p>
      <w:pPr>
        <w:spacing w:after="130" w:line="340" w:lineRule="auto"/>
        <w:jc w:val="both"/>
      </w:pPr>
      <w:r>
        <w:rPr>
          <w:rFonts w:ascii="Cambria" w:hAnsi="Cambria"/>
          <w:color w:val="20262A"/>
          <w:sz w:val="22"/>
        </w:rPr>
        <w:t xml:space="preserve">The Floor holds in every row: no combination of events ever takes the Iranian share below one-sixth. A clean quarter carries an SPI of 85 or higher and zero findings at Minor level or above.</w:t>
      </w:r>
    </w:p>
    <w:p>
      <w:pPr>
        <w:pStyle w:val="Heading2"/>
        <w:keepNext/>
        <w:keepLines/>
      </w:pPr>
      <w:bookmarkStart w:id="390" w:name="_Toc262100290"/>
      <w:r>
        <w:rPr>
          <w:rFonts w:ascii="Calibri" w:hAnsi="Calibri"/>
          <w:b/>
          <w:color w:val="1D4E5F"/>
          <w:sz w:val="27"/>
        </w:rPr>
        <w:t xml:space="preserve">C.6 The Inviolable Principles Register (Full Operative Text)</w:t>
      </w:r>
      <w:bookmarkEnd w:id="390"/>
    </w:p>
    <w:p>
      <w:pPr>
        <w:spacing w:after="130" w:line="340" w:lineRule="auto"/>
        <w:jc w:val="both"/>
      </w:pPr>
      <w:r>
        <w:rPr>
          <w:rFonts w:ascii="Cambria" w:hAnsi="Cambria"/>
          <w:color w:val="20262A"/>
          <w:sz w:val="22"/>
        </w:rPr>
        <w:t xml:space="preserve">The sixteen entries of Article 5.2 repeat here verbatim as the register copy of record, maintained by the Depositary:</w:t>
      </w:r>
    </w:p>
    <w:p>
      <w:pPr>
        <w:spacing w:after="130" w:line="340" w:lineRule="auto"/>
        <w:jc w:val="both"/>
      </w:pPr>
      <w:r>
        <w:rPr>
          <w:rFonts w:ascii="Cambria" w:hAnsi="Cambria"/>
          <w:color w:val="20262A"/>
          <w:sz w:val="22"/>
        </w:rPr>
        <w:t xml:space="preserve">IPR-1: Transit passage carries no toll. IPR-2: No single coastal state governs the strait alone. IPR-3: The Twin Key Rule governs every Consequential Action. IPR-4: Passage remains unconditional; registration is not permission. IPR-5: The architecture excludes kinetic enforcement inside the corridors. IPR-6: Stewardship shares describe function, never title. IPR-7: Money never touches politics; every payment flows through the neutral fiduciary. IPR-8: Verification precedes reward. IPR-9: Banked performance survives every review. IPR-10: The environment holds standing. IPR-11: The nuclear file stands outside the Compact. IPR-12: Incidents speak in neutral language. IPR-13: Humanitarian traffic holds absolute priority. IPR-14: Publication substitutes for assurance. IPR-15: The Compact never rewards an incident. IPR-16: No party conditions the water on any other track.</w:t>
      </w:r>
    </w:p>
    <w:p>
      <w:pPr>
        <w:pStyle w:val="Heading2"/>
        <w:keepNext/>
        <w:keepLines/>
      </w:pPr>
      <w:bookmarkStart w:id="391" w:name="_Toc262100291"/>
      <w:r>
        <w:rPr>
          <w:rFonts w:ascii="Calibri" w:hAnsi="Calibri"/>
          <w:b/>
          <w:color w:val="1D4E5F"/>
          <w:sz w:val="27"/>
        </w:rPr>
        <w:t xml:space="preserve">C.7 Worked Accrual Example</w:t>
      </w:r>
      <w:bookmarkEnd w:id="391"/>
    </w:p>
    <w:p>
      <w:pPr>
        <w:spacing w:after="130" w:line="340" w:lineRule="auto"/>
        <w:jc w:val="both"/>
      </w:pPr>
      <w:r>
        <w:rPr>
          <w:rFonts w:ascii="Cambria" w:hAnsi="Cambria"/>
          <w:color w:val="20262A"/>
          <w:sz w:val="22"/>
        </w:rPr>
        <w:t xml:space="preserve">Illustrative timeline under clean performance: Phase Two activates on Day 20; the baseline seats the Iranian share at one-sixth. The first quarterly SPI publishes at the end of Quarter One and the second at the end of Quarter Two; with both at 85 or higher and no Class 1 or Class 2 findings, Gate One opens, the Office issues the Gate Recommendation within fourteen days, and the share stands at one-fifth from the first day of Quarter Three, month nine after signature. Quarters Three through Six average 88 or higher with no quarter below 84, Gate Two opens, and the share stands at one-fourth from the first day of Quarter Seven, month twenty-one. Quarters Seven through Fourteen sustain the Gate Three criteria, the mid-ladder systems audit completes in Quarter Fourteen, and the share stands at three-tenths from the first day of Quarter Fifteen, month forty-five. Quarters Fifteen through Twenty-Six sustain the Gate Four criteria, the full verification audit completes in Quarter Twenty-Six, the Council confirms under the Twin Key Rule, and the share stands at the one-third ceiling from the first day of Quarter Twenty-Seven, month eighty-one after signature. Every step records in the Share Register, banks permanently, and publishes.</w:t>
      </w:r>
    </w:p>
    <w:p>
      <w:pPr>
        <w:pStyle w:val="Heading1"/>
        <w:keepNext/>
        <w:keepLines/>
        <w:pageBreakBefore/>
      </w:pPr>
      <w:bookmarkStart w:id="392" w:name="_Toc262100292"/>
      <w:r>
        <w:rPr>
          <w:rFonts w:ascii="Calibri" w:hAnsi="Calibri"/>
          <w:b/>
          <w:color w:val="1D4E5F"/>
          <w:sz w:val="34"/>
        </w:rPr>
        <w:t xml:space="preserve">Annex D: The Verified Services Catalog and Rate Schedule</w:t>
      </w:r>
      <w:bookmarkEnd w:id="392"/>
    </w:p>
    <w:p>
      <w:pPr>
        <w:pStyle w:val="Heading2"/>
        <w:keepNext/>
        <w:keepLines/>
      </w:pPr>
      <w:bookmarkStart w:id="393" w:name="_Toc262100293"/>
      <w:r>
        <w:rPr>
          <w:rFonts w:ascii="Calibri" w:hAnsi="Calibri"/>
          <w:b/>
          <w:color w:val="1D4E5F"/>
          <w:sz w:val="27"/>
        </w:rPr>
        <w:t xml:space="preserve">D.1 Catalog Structure</w:t>
      </w:r>
      <w:bookmarkEnd w:id="393"/>
    </w:p>
    <w:p>
      <w:pPr>
        <w:spacing w:after="130" w:line="340" w:lineRule="auto"/>
        <w:jc w:val="both"/>
      </w:pPr>
      <w:r>
        <w:rPr>
          <w:rFonts w:ascii="Cambria" w:hAnsi="Cambria"/>
          <w:color w:val="20262A"/>
          <w:sz w:val="22"/>
        </w:rPr>
        <w:t xml:space="preserve">The catalog lists every reimbursable service, its unit, its catalog rate, and its pilot rate. Pilot rates apply during Phases Two through Four under Article 40.3. Rates are stated in United States dollars and bill through the Fund only, against the evidence rules of Section D.3.</w:t>
      </w:r>
    </w:p>
    <w:p>
      <w:pPr>
        <w:pStyle w:val="Heading2"/>
        <w:keepNext/>
        <w:keepLines/>
      </w:pPr>
      <w:bookmarkStart w:id="394" w:name="_Toc262100294"/>
      <w:r>
        <w:rPr>
          <w:rFonts w:ascii="Calibri" w:hAnsi="Calibri"/>
          <w:b/>
          <w:color w:val="1D4E5F"/>
          <w:sz w:val="27"/>
        </w:rPr>
        <w:t xml:space="preserve">D.2 Service Families and Rates (Table D-1)</w:t>
      </w:r>
      <w:bookmarkEnd w:id="394"/>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900"/>
        <w:gridCol w:w="4300"/>
        <w:gridCol w:w="2200"/>
        <w:gridCol w:w="1400"/>
        <w:gridCol w:w="1200"/>
      </w:tblGrid>
      <w:tr>
        <w:trPr>
          <w:tblHeader/>
        </w:trPr>
        <w:tc>
          <w:tcPr>
            <w:tcW w:w="9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Code</w:t>
            </w:r>
          </w:p>
        </w:tc>
        <w:tc>
          <w:tcPr>
            <w:tcW w:w="4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Service</w:t>
            </w:r>
          </w:p>
        </w:tc>
        <w:tc>
          <w:tcPr>
            <w:tcW w:w="2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Unit</w:t>
            </w:r>
          </w:p>
        </w:tc>
        <w:tc>
          <w:tcPr>
            <w:tcW w:w="1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Catalog rate</w:t>
            </w:r>
          </w:p>
        </w:tc>
        <w:tc>
          <w:tcPr>
            <w:tcW w:w="1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Pilot rate</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S-1</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Corridor data package: routing, notices, mine-risk status, convoy schedule for one transit</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transit</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1,850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1,110</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S-2</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Convoy window coordination for Class A and Class B vessels</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transit</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6,400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3,840</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S-3</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Pilotage, on request, corridor segment</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piloted transit</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14,500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8,700</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S-4</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Tug standby and assistance, on request</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day</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9,800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5,880</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S-5</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Environmental monitoring service: discharge watch, sensitive-area escort data</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transit</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2,400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1,440</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S-6</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Search and rescue readiness contribution</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transit</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1,150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690</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S-7</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Mine-risk escort window in the buffer corridor</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window</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27,000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16,200</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S-8</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Emergency diversion support</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Documented cost plus twelve percent</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Cost + 12%</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Cost + 12%</w:t>
            </w:r>
          </w:p>
        </w:tc>
      </w:tr>
      <w:tr>
        <w:tc>
          <w:tcPr>
            <w:tcW w:w="900" w:type="dxa"/>
            <w:tcMar>
              <w:top w:w="60" w:type="dxa"/>
              <w:left w:w="100" w:type="dxa"/>
              <w:bottom w:w="60" w:type="dxa"/>
              <w:right w:w="100" w:type="dxa"/>
            </w:tcMar>
          </w:tcPr>
          <w:p>
            <w:pPr>
              <w:spacing w:after="20" w:line="290" w:lineRule="auto"/>
            </w:pPr>
            <w:r>
              <w:rPr>
                <w:rFonts w:ascii="Calibri" w:hAnsi="Calibri"/>
                <w:color w:val="20262A"/>
                <w:sz w:val="19"/>
              </w:rPr>
              <w:t xml:space="preserve">S-9</w:t>
            </w:r>
          </w:p>
        </w:tc>
        <w:tc>
          <w:tcPr>
            <w:tcW w:w="4300" w:type="dxa"/>
            <w:tcMar>
              <w:top w:w="60" w:type="dxa"/>
              <w:left w:w="100" w:type="dxa"/>
              <w:bottom w:w="60" w:type="dxa"/>
              <w:right w:w="100" w:type="dxa"/>
            </w:tcMar>
          </w:tcPr>
          <w:p>
            <w:pPr>
              <w:spacing w:after="20" w:line="290" w:lineRule="auto"/>
            </w:pPr>
            <w:r>
              <w:rPr>
                <w:rFonts w:ascii="Calibri" w:hAnsi="Calibri"/>
                <w:color w:val="20262A"/>
                <w:sz w:val="19"/>
              </w:rPr>
              <w:t xml:space="preserve">Annual survey and charting service, fleet level</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Per fleet per year</w:t>
            </w:r>
          </w:p>
        </w:tc>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6,000</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6,000</w:t>
            </w:r>
          </w:p>
        </w:tc>
      </w:tr>
    </w:tbl>
    <w:p>
      <w:pPr>
        <w:spacing w:after="100"/>
      </w:pPr>
    </w:p>
    <w:p>
      <w:pPr>
        <w:pStyle w:val="Heading2"/>
        <w:keepNext/>
        <w:keepLines/>
      </w:pPr>
      <w:bookmarkStart w:id="395" w:name="_Toc262100295"/>
      <w:r>
        <w:rPr>
          <w:rFonts w:ascii="Calibri" w:hAnsi="Calibri"/>
          <w:b/>
          <w:color w:val="1D4E5F"/>
          <w:sz w:val="27"/>
        </w:rPr>
        <w:t xml:space="preserve">D.3 Evidence Rules</w:t>
      </w:r>
      <w:bookmarkEnd w:id="395"/>
    </w:p>
    <w:p>
      <w:pPr>
        <w:spacing w:after="130" w:line="340" w:lineRule="auto"/>
        <w:jc w:val="both"/>
      </w:pPr>
      <w:r>
        <w:rPr>
          <w:rFonts w:ascii="Cambria" w:hAnsi="Cambria"/>
          <w:color w:val="20262A"/>
          <w:sz w:val="22"/>
        </w:rPr>
        <w:t xml:space="preserve">Every invoice carries its evidence package: E-1, the vessel's Multilateral Transit Code; E-2, the service delivery record with timestamps; E-3, the delivering unit's log extract; E-4, the watch floor acknowledgment; E-5, the vessel's confirmation or the deemed-confirmation note after forty-eight hours of silence; and E-6, the auditor's sampling marker. The Office samples evidence packages continuously, and the sampling rate never falls below ten percent of invoices.</w:t>
      </w:r>
    </w:p>
    <w:p>
      <w:pPr>
        <w:pStyle w:val="Heading2"/>
        <w:keepNext/>
        <w:keepLines/>
      </w:pPr>
      <w:bookmarkStart w:id="396" w:name="_Toc262100296"/>
      <w:r>
        <w:rPr>
          <w:rFonts w:ascii="Calibri" w:hAnsi="Calibri"/>
          <w:b/>
          <w:color w:val="1D4E5F"/>
          <w:sz w:val="27"/>
        </w:rPr>
        <w:t xml:space="preserve">D.4 Deduction Schedule (Table D-2)</w:t>
      </w:r>
      <w:bookmarkEnd w:id="396"/>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200"/>
        <w:gridCol w:w="2800"/>
        <w:gridCol w:w="4000"/>
      </w:tblGrid>
      <w:tr>
        <w:trPr>
          <w:tblHeader/>
        </w:trPr>
        <w:tc>
          <w:tcPr>
            <w:tcW w:w="3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Defect</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Deduction</w:t>
            </w:r>
          </w:p>
        </w:tc>
        <w:tc>
          <w:tcPr>
            <w:tcW w:w="4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Cure</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Missing single evidence element</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25% of the invoice line</w:t>
            </w:r>
          </w:p>
        </w:tc>
        <w:tc>
          <w:tcPr>
            <w:tcW w:w="4000" w:type="dxa"/>
            <w:tcMar>
              <w:top w:w="60" w:type="dxa"/>
              <w:left w:w="100" w:type="dxa"/>
              <w:bottom w:w="60" w:type="dxa"/>
              <w:right w:w="100" w:type="dxa"/>
            </w:tcMar>
          </w:tcPr>
          <w:p>
            <w:pPr>
              <w:spacing w:after="20" w:line="290" w:lineRule="auto"/>
            </w:pPr>
            <w:r>
              <w:rPr>
                <w:rFonts w:ascii="Calibri" w:hAnsi="Calibri"/>
                <w:color w:val="20262A"/>
                <w:sz w:val="19"/>
              </w:rPr>
              <w:t xml:space="preserve">Element filed within fourteen days restores the deduction.</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Evidence filed after seventy-two hours</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10% of the invoice line</w:t>
            </w:r>
          </w:p>
        </w:tc>
        <w:tc>
          <w:tcPr>
            <w:tcW w:w="4000" w:type="dxa"/>
            <w:tcMar>
              <w:top w:w="60" w:type="dxa"/>
              <w:left w:w="100" w:type="dxa"/>
              <w:bottom w:w="60" w:type="dxa"/>
              <w:right w:w="100" w:type="dxa"/>
            </w:tcMar>
          </w:tcPr>
          <w:p>
            <w:pPr>
              <w:spacing w:after="20" w:line="290" w:lineRule="auto"/>
            </w:pPr>
            <w:r>
              <w:rPr>
                <w:rFonts w:ascii="Calibri" w:hAnsi="Calibri"/>
                <w:color w:val="20262A"/>
                <w:sz w:val="19"/>
              </w:rPr>
              <w:t xml:space="preserve">None; timeliness stands.</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Delivery record inconsistent with watch floor log</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Invoice line rejected</w:t>
            </w:r>
          </w:p>
        </w:tc>
        <w:tc>
          <w:tcPr>
            <w:tcW w:w="4000" w:type="dxa"/>
            <w:tcMar>
              <w:top w:w="60" w:type="dxa"/>
              <w:left w:w="100" w:type="dxa"/>
              <w:bottom w:w="60" w:type="dxa"/>
              <w:right w:w="100" w:type="dxa"/>
            </w:tcMar>
          </w:tcPr>
          <w:p>
            <w:pPr>
              <w:spacing w:after="20" w:line="290" w:lineRule="auto"/>
            </w:pPr>
            <w:r>
              <w:rPr>
                <w:rFonts w:ascii="Calibri" w:hAnsi="Calibri"/>
                <w:color w:val="20262A"/>
                <w:sz w:val="19"/>
              </w:rPr>
              <w:t xml:space="preserve">Refile with reconciled record within thirty days.</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Service billed without delivery</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Line rejected plus Article 38 financial finding</w:t>
            </w:r>
          </w:p>
        </w:tc>
        <w:tc>
          <w:tcPr>
            <w:tcW w:w="4000" w:type="dxa"/>
            <w:tcMar>
              <w:top w:w="60" w:type="dxa"/>
              <w:left w:w="100" w:type="dxa"/>
              <w:bottom w:w="60" w:type="dxa"/>
              <w:right w:w="100" w:type="dxa"/>
            </w:tcMar>
          </w:tcPr>
          <w:p>
            <w:pPr>
              <w:spacing w:after="20" w:line="290" w:lineRule="auto"/>
            </w:pPr>
            <w:r>
              <w:rPr>
                <w:rFonts w:ascii="Calibri" w:hAnsi="Calibri"/>
                <w:color w:val="20262A"/>
                <w:sz w:val="19"/>
              </w:rPr>
              <w:t xml:space="preserve">None; the engine classifies the event.</w:t>
            </w:r>
          </w:p>
        </w:tc>
      </w:tr>
    </w:tbl>
    <w:p>
      <w:pPr>
        <w:spacing w:after="100"/>
      </w:pPr>
    </w:p>
    <w:p>
      <w:pPr>
        <w:pStyle w:val="Heading2"/>
        <w:keepNext/>
        <w:keepLines/>
      </w:pPr>
      <w:bookmarkStart w:id="397" w:name="_Toc262100297"/>
      <w:r>
        <w:rPr>
          <w:rFonts w:ascii="Calibri" w:hAnsi="Calibri"/>
          <w:b/>
          <w:color w:val="1D4E5F"/>
          <w:sz w:val="27"/>
        </w:rPr>
        <w:t xml:space="preserve">D.5 The Port Processing Add-On (Table D-3)</w:t>
      </w:r>
      <w:bookmarkEnd w:id="397"/>
    </w:p>
    <w:p>
      <w:pPr>
        <w:spacing w:after="130" w:line="340" w:lineRule="auto"/>
        <w:jc w:val="both"/>
      </w:pPr>
      <w:r>
        <w:rPr>
          <w:rFonts w:ascii="Cambria" w:hAnsi="Cambria"/>
          <w:color w:val="20262A"/>
          <w:sz w:val="22"/>
        </w:rPr>
        <w:t xml:space="preserve">Designated ports collect the Port Processing Add-On of 185 dollars per vessel call for vessels entering or leaving the corridor system, as agents of the Fund, against the documentation work of the port's corridor desk. The Add-On bills at the port, never at the waterline, and the port remits monthly to the Master Account.</w:t>
      </w:r>
    </w:p>
    <w:p>
      <w:pPr>
        <w:pStyle w:val="Heading2"/>
        <w:keepNext/>
        <w:keepLines/>
      </w:pPr>
      <w:bookmarkStart w:id="398" w:name="_Toc262100298"/>
      <w:r>
        <w:rPr>
          <w:rFonts w:ascii="Calibri" w:hAnsi="Calibri"/>
          <w:b/>
          <w:color w:val="1D4E5F"/>
          <w:sz w:val="27"/>
        </w:rPr>
        <w:t xml:space="preserve">D.6 The Humanitarian Rule</w:t>
      </w:r>
      <w:bookmarkEnd w:id="398"/>
    </w:p>
    <w:p>
      <w:pPr>
        <w:spacing w:after="130" w:line="340" w:lineRule="auto"/>
        <w:jc w:val="both"/>
      </w:pPr>
      <w:r>
        <w:rPr>
          <w:rFonts w:ascii="Cambria" w:hAnsi="Cambria"/>
          <w:color w:val="20262A"/>
          <w:sz w:val="22"/>
        </w:rPr>
        <w:t xml:space="preserve">Class H transits incur no catalog charge of any kind. The delivering parties book the documented cost of humanitarian services to the Fund's Humanitarian Line, and the Office audits the line on the same evidence rules.</w:t>
      </w:r>
    </w:p>
    <w:p>
      <w:pPr>
        <w:pStyle w:val="Heading1"/>
        <w:keepNext/>
        <w:keepLines/>
        <w:pageBreakBefore/>
      </w:pPr>
      <w:bookmarkStart w:id="399" w:name="_Toc262100299"/>
      <w:r>
        <w:rPr>
          <w:rFonts w:ascii="Calibri" w:hAnsi="Calibri"/>
          <w:b/>
          <w:color w:val="1D4E5F"/>
          <w:sz w:val="34"/>
        </w:rPr>
        <w:t xml:space="preserve">Annex E: The Route Assurance Data Service: Products, Bands, and Service Levels</w:t>
      </w:r>
      <w:bookmarkEnd w:id="399"/>
    </w:p>
    <w:p>
      <w:pPr>
        <w:pStyle w:val="Heading2"/>
        <w:keepNext/>
        <w:keepLines/>
      </w:pPr>
      <w:bookmarkStart w:id="400" w:name="_Toc262100300"/>
      <w:r>
        <w:rPr>
          <w:rFonts w:ascii="Calibri" w:hAnsi="Calibri"/>
          <w:b/>
          <w:color w:val="1D4E5F"/>
          <w:sz w:val="27"/>
        </w:rPr>
        <w:t xml:space="preserve">E.1 The Four Offers</w:t>
      </w:r>
      <w:bookmarkEnd w:id="400"/>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200"/>
        <w:gridCol w:w="4800"/>
        <w:gridCol w:w="3000"/>
      </w:tblGrid>
      <w:tr>
        <w:trPr>
          <w:tblHeader/>
        </w:trPr>
        <w:tc>
          <w:tcPr>
            <w:tcW w:w="2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Offer</w:t>
            </w:r>
          </w:p>
        </w:tc>
        <w:tc>
          <w:tcPr>
            <w:tcW w:w="4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Content</w:t>
            </w:r>
          </w:p>
        </w:tc>
        <w:tc>
          <w:tcPr>
            <w:tcW w:w="3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Buyer</w:t>
            </w:r>
          </w:p>
        </w:tc>
      </w:tr>
      <w:tr>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Standard Subscription</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Premium bulletin feed ninety seconds after publication; corridor status API; convoy schedule; monthly incident statistics.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Operators of Classes C, D, and E.</w:t>
            </w:r>
          </w:p>
        </w:tc>
      </w:tr>
      <w:tr>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Premium Subscription</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Everything in Standard plus the mine-risk overlay in real time; diversion routing advisories; fleet dashboard; priority data window for convoy booking.</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Operators of Classes A and B; large fleets.</w:t>
            </w:r>
          </w:p>
        </w:tc>
      </w:tr>
      <w:tr>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Insurer Interface</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Underwriter verification feed: corridor certification status, incident rates by segment, vessel compliance records, audit summaries.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War-risk and hull underwriters; protection and indemnity clubs.</w:t>
            </w:r>
          </w:p>
        </w:tc>
      </w:tr>
      <w:tr>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Convoy Data Window</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Booking-level data for convoy windows: slot availability, marshalling instructions, escort assignments.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Operators booking convoy windows under S-2.</w:t>
            </w:r>
          </w:p>
        </w:tc>
      </w:tr>
    </w:tbl>
    <w:p>
      <w:pPr>
        <w:spacing w:after="100"/>
      </w:pPr>
    </w:p>
    <w:p>
      <w:pPr>
        <w:pStyle w:val="Heading2"/>
        <w:keepNext/>
        <w:keepLines/>
      </w:pPr>
      <w:bookmarkStart w:id="401" w:name="_Toc262100301"/>
      <w:r>
        <w:rPr>
          <w:rFonts w:ascii="Calibri" w:hAnsi="Calibri"/>
          <w:b/>
          <w:color w:val="1D4E5F"/>
          <w:sz w:val="27"/>
        </w:rPr>
        <w:t xml:space="preserve">E.2 Subscription Bands (Table E-1)</w:t>
      </w:r>
      <w:bookmarkEnd w:id="401"/>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100"/>
        <w:gridCol w:w="4200"/>
        <w:gridCol w:w="2700"/>
        <w:gridCol w:w="2000"/>
      </w:tblGrid>
      <w:tr>
        <w:trPr>
          <w:tblHeader/>
        </w:trPr>
        <w:tc>
          <w:tcPr>
            <w:tcW w:w="11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Band</w:t>
            </w:r>
          </w:p>
        </w:tc>
        <w:tc>
          <w:tcPr>
            <w:tcW w:w="4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Vessel or fleet profile</w:t>
            </w:r>
          </w:p>
        </w:tc>
        <w:tc>
          <w:tcPr>
            <w:tcW w:w="2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Annual subscription</w:t>
            </w:r>
          </w:p>
        </w:tc>
        <w:tc>
          <w:tcPr>
            <w:tcW w:w="2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Pilot band</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B-1</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A laden crude carriers, per vessel</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48,000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28,800</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B-2</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B liquefied gas carriers, per vessel</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41,000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24,600</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B-3</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C product and chemical tankers, per vessel</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22,000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13,200</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B-4</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D container vessels, per vessel</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18,000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10,800</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B-5</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E bulk and general cargo, per vessel</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15,000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9,000</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B-6</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Fleet umbrella, any mix, ten vessels and above</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Per-vessel bands less 12%</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Per-vessel pilot bands less 12%</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B-7</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Day pass, any class</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2,900 per transit</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1,740 per transit</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B-8</w:t>
            </w:r>
          </w:p>
        </w:tc>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Class G and Class H</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No charge</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No charge</w:t>
            </w:r>
          </w:p>
        </w:tc>
      </w:tr>
    </w:tbl>
    <w:p>
      <w:pPr>
        <w:spacing w:after="100"/>
      </w:pPr>
    </w:p>
    <w:p>
      <w:pPr>
        <w:spacing w:after="130" w:line="340" w:lineRule="auto"/>
        <w:jc w:val="both"/>
      </w:pPr>
      <w:r>
        <w:rPr>
          <w:rFonts w:ascii="Cambria" w:hAnsi="Cambria"/>
          <w:color w:val="20262A"/>
          <w:sz w:val="22"/>
        </w:rPr>
        <w:t xml:space="preserve">The heavy-user cap holds any single operator's aggregate annual subscription at or below 1,900,000 dollars, and the cap indexes annually against the envelope.</w:t>
      </w:r>
    </w:p>
    <w:p>
      <w:pPr>
        <w:pStyle w:val="Heading2"/>
        <w:keepNext/>
        <w:keepLines/>
      </w:pPr>
      <w:bookmarkStart w:id="402" w:name="_Toc262100302"/>
      <w:r>
        <w:rPr>
          <w:rFonts w:ascii="Calibri" w:hAnsi="Calibri"/>
          <w:b/>
          <w:color w:val="1D4E5F"/>
          <w:sz w:val="27"/>
        </w:rPr>
        <w:t xml:space="preserve">E.3 Service Levels (Table E-2)</w:t>
      </w:r>
      <w:bookmarkEnd w:id="402"/>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4600"/>
        <w:gridCol w:w="5400"/>
      </w:tblGrid>
      <w:tr>
        <w:trPr>
          <w:tblHeader/>
        </w:trPr>
        <w:tc>
          <w:tcPr>
            <w:tcW w:w="4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Service element</w:t>
            </w:r>
          </w:p>
        </w:tc>
        <w:tc>
          <w:tcPr>
            <w:tcW w:w="5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Standard</w:t>
            </w:r>
          </w:p>
        </w:tc>
      </w:tr>
      <w:tr>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Bulletin distribution to subscribers</w:t>
            </w:r>
          </w:p>
        </w:tc>
        <w:tc>
          <w:tcPr>
            <w:tcW w:w="5400" w:type="dxa"/>
            <w:tcMar>
              <w:top w:w="60" w:type="dxa"/>
              <w:left w:w="100" w:type="dxa"/>
              <w:bottom w:w="60" w:type="dxa"/>
              <w:right w:w="100" w:type="dxa"/>
            </w:tcMar>
          </w:tcPr>
          <w:p>
            <w:pPr>
              <w:spacing w:after="20" w:line="290" w:lineRule="auto"/>
            </w:pPr>
            <w:r>
              <w:rPr>
                <w:rFonts w:ascii="Calibri" w:hAnsi="Calibri"/>
                <w:color w:val="20262A"/>
                <w:sz w:val="19"/>
              </w:rPr>
              <w:t xml:space="preserve">Within ninety seconds of publication.</w:t>
            </w:r>
          </w:p>
        </w:tc>
      </w:tr>
      <w:tr>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Mine-risk overlay refresh</w:t>
            </w:r>
          </w:p>
        </w:tc>
        <w:tc>
          <w:tcPr>
            <w:tcW w:w="5400" w:type="dxa"/>
            <w:tcMar>
              <w:top w:w="60" w:type="dxa"/>
              <w:left w:w="100" w:type="dxa"/>
              <w:bottom w:w="60" w:type="dxa"/>
              <w:right w:w="100" w:type="dxa"/>
            </w:tcMar>
          </w:tcPr>
          <w:p>
            <w:pPr>
              <w:spacing w:after="20" w:line="290" w:lineRule="auto"/>
            </w:pPr>
            <w:r>
              <w:rPr>
                <w:rFonts w:ascii="Calibri" w:hAnsi="Calibri"/>
                <w:color w:val="20262A"/>
                <w:sz w:val="19"/>
              </w:rPr>
              <w:t xml:space="preserve">Every five minutes; ninety seconds after any advisory change.</w:t>
            </w:r>
          </w:p>
        </w:tc>
      </w:tr>
      <w:tr>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Platform availability</w:t>
            </w:r>
          </w:p>
        </w:tc>
        <w:tc>
          <w:tcPr>
            <w:tcW w:w="5400" w:type="dxa"/>
            <w:tcMar>
              <w:top w:w="60" w:type="dxa"/>
              <w:left w:w="100" w:type="dxa"/>
              <w:bottom w:w="60" w:type="dxa"/>
              <w:right w:w="100" w:type="dxa"/>
            </w:tcMar>
          </w:tcPr>
          <w:p>
            <w:pPr>
              <w:spacing w:after="20" w:line="290" w:lineRule="auto"/>
            </w:pPr>
            <w:r>
              <w:rPr>
                <w:rFonts w:ascii="Calibri" w:hAnsi="Calibri"/>
                <w:color w:val="20262A"/>
                <w:sz w:val="19"/>
              </w:rPr>
              <w:t xml:space="preserve">99.5 percent monthly, measured at both seats.</w:t>
            </w:r>
          </w:p>
        </w:tc>
      </w:tr>
      <w:tr>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Insurer Interface availability</w:t>
            </w:r>
          </w:p>
        </w:tc>
        <w:tc>
          <w:tcPr>
            <w:tcW w:w="5400" w:type="dxa"/>
            <w:tcMar>
              <w:top w:w="60" w:type="dxa"/>
              <w:left w:w="100" w:type="dxa"/>
              <w:bottom w:w="60" w:type="dxa"/>
              <w:right w:w="100" w:type="dxa"/>
            </w:tcMar>
          </w:tcPr>
          <w:p>
            <w:pPr>
              <w:spacing w:after="20" w:line="290" w:lineRule="auto"/>
            </w:pPr>
            <w:r>
              <w:rPr>
                <w:rFonts w:ascii="Calibri" w:hAnsi="Calibri"/>
                <w:color w:val="20262A"/>
                <w:sz w:val="19"/>
              </w:rPr>
              <w:t xml:space="preserve">99.9 percent monthly.</w:t>
            </w:r>
          </w:p>
        </w:tc>
      </w:tr>
      <w:tr>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Incident statistics feed</w:t>
            </w:r>
          </w:p>
        </w:tc>
        <w:tc>
          <w:tcPr>
            <w:tcW w:w="5400" w:type="dxa"/>
            <w:tcMar>
              <w:top w:w="60" w:type="dxa"/>
              <w:left w:w="100" w:type="dxa"/>
              <w:bottom w:w="60" w:type="dxa"/>
              <w:right w:w="100" w:type="dxa"/>
            </w:tcMar>
          </w:tcPr>
          <w:p>
            <w:pPr>
              <w:spacing w:after="20" w:line="290" w:lineRule="auto"/>
            </w:pPr>
            <w:r>
              <w:rPr>
                <w:rFonts w:ascii="Calibri" w:hAnsi="Calibri"/>
                <w:color w:val="20262A"/>
                <w:sz w:val="19"/>
              </w:rPr>
              <w:t xml:space="preserve">Monthly, machine-readable, free of charge to all parties and underwriters.</w:t>
            </w:r>
          </w:p>
        </w:tc>
      </w:tr>
      <w:tr>
        <w:tc>
          <w:tcPr>
            <w:tcW w:w="4600" w:type="dxa"/>
            <w:tcMar>
              <w:top w:w="60" w:type="dxa"/>
              <w:left w:w="100" w:type="dxa"/>
              <w:bottom w:w="60" w:type="dxa"/>
              <w:right w:w="100" w:type="dxa"/>
            </w:tcMar>
          </w:tcPr>
          <w:p>
            <w:pPr>
              <w:spacing w:after="20" w:line="290" w:lineRule="auto"/>
            </w:pPr>
            <w:r>
              <w:rPr>
                <w:rFonts w:ascii="Calibri" w:hAnsi="Calibri"/>
                <w:color w:val="20262A"/>
                <w:sz w:val="19"/>
              </w:rPr>
              <w:t xml:space="preserve">Support desk</w:t>
            </w:r>
          </w:p>
        </w:tc>
        <w:tc>
          <w:tcPr>
            <w:tcW w:w="5400" w:type="dxa"/>
            <w:tcMar>
              <w:top w:w="60" w:type="dxa"/>
              <w:left w:w="100" w:type="dxa"/>
              <w:bottom w:w="60" w:type="dxa"/>
              <w:right w:w="100" w:type="dxa"/>
            </w:tcMar>
          </w:tcPr>
          <w:p>
            <w:pPr>
              <w:spacing w:after="20" w:line="290" w:lineRule="auto"/>
            </w:pPr>
            <w:r>
              <w:rPr>
                <w:rFonts w:ascii="Calibri" w:hAnsi="Calibri"/>
                <w:color w:val="20262A"/>
                <w:sz w:val="19"/>
              </w:rPr>
              <w:t xml:space="preserve">Continuous, three languages, four-minute first response.</w:t>
            </w:r>
          </w:p>
        </w:tc>
      </w:tr>
    </w:tbl>
    <w:p>
      <w:pPr>
        <w:spacing w:after="100"/>
      </w:pPr>
    </w:p>
    <w:p>
      <w:pPr>
        <w:pStyle w:val="Heading2"/>
        <w:keepNext/>
        <w:keepLines/>
      </w:pPr>
      <w:bookmarkStart w:id="403" w:name="_Toc262100303"/>
      <w:r>
        <w:rPr>
          <w:rFonts w:ascii="Calibri" w:hAnsi="Calibri"/>
          <w:b/>
          <w:color w:val="1D4E5F"/>
          <w:sz w:val="27"/>
        </w:rPr>
        <w:t xml:space="preserve">E.4 The Public Layer</w:t>
      </w:r>
      <w:bookmarkEnd w:id="403"/>
    </w:p>
    <w:p>
      <w:pPr>
        <w:spacing w:after="130" w:line="340" w:lineRule="auto"/>
        <w:jc w:val="both"/>
      </w:pPr>
      <w:r>
        <w:rPr>
          <w:rFonts w:ascii="Cambria" w:hAnsi="Cambria"/>
          <w:color w:val="20262A"/>
          <w:sz w:val="22"/>
        </w:rPr>
        <w:t xml:space="preserve">The public layer publishes free of charge, forever: the daily Bulletin, corridor status, safety notices, sensitive-area closures, and the monthly incident statistics. Subscription buys speed, depth, machine-readability, and assurance documentation, and never safety itself.</w:t>
      </w:r>
    </w:p>
    <w:p>
      <w:pPr>
        <w:pStyle w:val="Heading2"/>
        <w:keepNext/>
        <w:keepLines/>
      </w:pPr>
      <w:bookmarkStart w:id="404" w:name="_Toc262100304"/>
      <w:r>
        <w:rPr>
          <w:rFonts w:ascii="Calibri" w:hAnsi="Calibri"/>
          <w:b/>
          <w:color w:val="1D4E5F"/>
          <w:sz w:val="27"/>
        </w:rPr>
        <w:t xml:space="preserve">E.5 The Premium Dividend Mechanics</w:t>
      </w:r>
      <w:bookmarkEnd w:id="404"/>
    </w:p>
    <w:p>
      <w:pPr>
        <w:spacing w:after="130" w:line="340" w:lineRule="auto"/>
        <w:jc w:val="both"/>
      </w:pPr>
      <w:r>
        <w:rPr>
          <w:rFonts w:ascii="Cambria" w:hAnsi="Cambria"/>
          <w:color w:val="20262A"/>
          <w:sz w:val="22"/>
        </w:rPr>
        <w:t xml:space="preserve">The Service publishes the war-risk baseline each quarter: the median quoted war-risk additional premium for a standard corridor transit, computed from the Insurer Interface panel of underwriters. Where a subscribing fleet's documented premium falls below the baseline, the fleet's next subscription invoice includes a Premium Dividend equal to fifteen percent of the documented reduction, capped at one hundred percent of that fleet's subscription for the period. The underwriter's attestation and the fleet's policy documents constitute the evidence, and the Office audits the dividend on the Annex D rules.</w:t>
      </w:r>
    </w:p>
    <w:p>
      <w:pPr>
        <w:pStyle w:val="Heading2"/>
        <w:keepNext/>
        <w:keepLines/>
      </w:pPr>
      <w:bookmarkStart w:id="405" w:name="_Toc262100305"/>
      <w:r>
        <w:rPr>
          <w:rFonts w:ascii="Calibri" w:hAnsi="Calibri"/>
          <w:b/>
          <w:color w:val="1D4E5F"/>
          <w:sz w:val="27"/>
        </w:rPr>
        <w:t xml:space="preserve">E.6 The Green Discount</w:t>
      </w:r>
      <w:bookmarkEnd w:id="405"/>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800"/>
        <w:gridCol w:w="6000"/>
        <w:gridCol w:w="2200"/>
      </w:tblGrid>
      <w:tr>
        <w:trPr>
          <w:tblHeader/>
        </w:trPr>
        <w:tc>
          <w:tcPr>
            <w:tcW w:w="1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Tier</w:t>
            </w:r>
          </w:p>
        </w:tc>
        <w:tc>
          <w:tcPr>
            <w:tcW w:w="6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Certification standard</w:t>
            </w:r>
          </w:p>
        </w:tc>
        <w:tc>
          <w:tcPr>
            <w:tcW w:w="2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Subscription reduction</w:t>
            </w:r>
          </w:p>
        </w:tc>
      </w:tr>
      <w:tr>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Green-1</w:t>
            </w:r>
          </w:p>
        </w:tc>
        <w:tc>
          <w:tcPr>
            <w:tcW w:w="6000" w:type="dxa"/>
            <w:tcMar>
              <w:top w:w="60" w:type="dxa"/>
              <w:left w:w="100" w:type="dxa"/>
              <w:bottom w:w="60" w:type="dxa"/>
              <w:right w:w="100" w:type="dxa"/>
            </w:tcMar>
          </w:tcPr>
          <w:p>
            <w:pPr>
              <w:spacing w:after="20" w:line="290" w:lineRule="auto"/>
            </w:pPr>
            <w:r>
              <w:rPr>
                <w:rFonts w:ascii="Calibri" w:hAnsi="Calibri"/>
                <w:color w:val="20262A"/>
                <w:sz w:val="19"/>
              </w:rPr>
              <w:t xml:space="preserve">Verified efficiency rating in the top quartile of the class</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5%</w:t>
            </w:r>
          </w:p>
        </w:tc>
      </w:tr>
      <w:tr>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Green-2</w:t>
            </w:r>
          </w:p>
        </w:tc>
        <w:tc>
          <w:tcPr>
            <w:tcW w:w="6000" w:type="dxa"/>
            <w:tcMar>
              <w:top w:w="60" w:type="dxa"/>
              <w:left w:w="100" w:type="dxa"/>
              <w:bottom w:w="60" w:type="dxa"/>
              <w:right w:w="100" w:type="dxa"/>
            </w:tcMar>
          </w:tcPr>
          <w:p>
            <w:pPr>
              <w:spacing w:after="20" w:line="290" w:lineRule="auto"/>
            </w:pPr>
            <w:r>
              <w:rPr>
                <w:rFonts w:ascii="Calibri" w:hAnsi="Calibri"/>
                <w:color w:val="20262A"/>
                <w:sz w:val="19"/>
              </w:rPr>
              <w:t xml:space="preserve">Green-1 plus verified low-emission fuel use on the transit</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10%</w:t>
            </w:r>
          </w:p>
        </w:tc>
      </w:tr>
      <w:tr>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Green-3</w:t>
            </w:r>
          </w:p>
        </w:tc>
        <w:tc>
          <w:tcPr>
            <w:tcW w:w="6000" w:type="dxa"/>
            <w:tcMar>
              <w:top w:w="60" w:type="dxa"/>
              <w:left w:w="100" w:type="dxa"/>
              <w:bottom w:w="60" w:type="dxa"/>
              <w:right w:w="100" w:type="dxa"/>
            </w:tcMar>
          </w:tcPr>
          <w:p>
            <w:pPr>
              <w:spacing w:after="20" w:line="290" w:lineRule="auto"/>
            </w:pPr>
            <w:r>
              <w:rPr>
                <w:rFonts w:ascii="Calibri" w:hAnsi="Calibri"/>
                <w:color w:val="20262A"/>
                <w:sz w:val="19"/>
              </w:rPr>
              <w:t xml:space="preserve">Green-2 plus verified zero-discharge record over four consecutive quarters</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15%</w:t>
            </w:r>
          </w:p>
        </w:tc>
      </w:tr>
    </w:tbl>
    <w:p>
      <w:pPr>
        <w:spacing w:after="100"/>
      </w:pPr>
    </w:p>
    <w:p>
      <w:pPr>
        <w:spacing w:after="130" w:line="340" w:lineRule="auto"/>
        <w:jc w:val="both"/>
      </w:pPr>
      <w:r>
        <w:rPr>
          <w:rFonts w:ascii="Cambria" w:hAnsi="Cambria"/>
          <w:color w:val="20262A"/>
          <w:sz w:val="22"/>
        </w:rPr>
        <w:t xml:space="preserve">Discounts apply to the subscription only and stack with the fleet umbrella reduction.</w:t>
      </w:r>
    </w:p>
    <w:p>
      <w:pPr>
        <w:pStyle w:val="Heading1"/>
        <w:keepNext/>
        <w:keepLines/>
        <w:pageBreakBefore/>
      </w:pPr>
      <w:bookmarkStart w:id="406" w:name="_Toc262100306"/>
      <w:r>
        <w:rPr>
          <w:rFonts w:ascii="Calibri" w:hAnsi="Calibri"/>
          <w:b/>
          <w:color w:val="1D4E5F"/>
          <w:sz w:val="34"/>
        </w:rPr>
        <w:t xml:space="preserve">Annex F: Escrow Fund Operating Rules and Worked Financial Examples</w:t>
      </w:r>
      <w:bookmarkEnd w:id="406"/>
    </w:p>
    <w:p>
      <w:pPr>
        <w:pStyle w:val="Heading2"/>
        <w:keepNext/>
        <w:keepLines/>
      </w:pPr>
      <w:bookmarkStart w:id="407" w:name="_Toc262100307"/>
      <w:r>
        <w:rPr>
          <w:rFonts w:ascii="Calibri" w:hAnsi="Calibri"/>
          <w:b/>
          <w:color w:val="1D4E5F"/>
          <w:sz w:val="27"/>
        </w:rPr>
        <w:t xml:space="preserve">F.1 The Account Structure</w:t>
      </w:r>
      <w:bookmarkEnd w:id="407"/>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300"/>
        <w:gridCol w:w="4400"/>
        <w:gridCol w:w="3300"/>
      </w:tblGrid>
      <w:tr>
        <w:trPr>
          <w:tblHeader/>
        </w:trPr>
        <w:tc>
          <w:tcPr>
            <w:tcW w:w="2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Account</w:t>
            </w:r>
          </w:p>
        </w:tc>
        <w:tc>
          <w:tcPr>
            <w:tcW w:w="4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Purpose</w:t>
            </w:r>
          </w:p>
        </w:tc>
        <w:tc>
          <w:tcPr>
            <w:tcW w:w="3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Standing rule</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Master Account</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Receives every Compact payment: subscriptions, service settlements, Add-On remittances, contributions.</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Sole intake; same-day allocation to destination accounts.</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Service Account North</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Northern corridor service reimbursements.</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Pays catalog invoices after Office sampling clearance.</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Service Account Buffer</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Buffer corridor service reimbursements.</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Pays share-holders pro-rata to contribution records.</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Service Account South</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Southern corridor service reimbursements.</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Pays catalog invoices after Office sampling clearance.</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Service Account System</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System-wide services: survey, charting, Bulletin, platform.</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Pays against the operations budget line.</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Performance Reserve</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Findings settlements, remediation funding, Stewardship Dividend.</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Three percent top-slice plus findings deductions; Council approves remediation drawdowns.</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Environmental Reserve</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Pollution readiness and response.</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Two percent top-slice; Center draws against readiness plan.</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Humanitarian Line</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Class H services and all search and rescue costs.</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One percent top-slice; never refuses a booking.</w:t>
            </w:r>
          </w:p>
        </w:tc>
      </w:tr>
      <w:tr>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Verification Line</w:t>
            </w:r>
          </w:p>
        </w:tc>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Meridian Verification Office budget.</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Funded from the operations budget line; ring-fenced from all other uses.</w:t>
            </w:r>
          </w:p>
        </w:tc>
      </w:tr>
    </w:tbl>
    <w:p>
      <w:pPr>
        <w:spacing w:after="100"/>
      </w:pPr>
    </w:p>
    <w:p>
      <w:pPr>
        <w:pStyle w:val="Heading2"/>
        <w:keepNext/>
        <w:keepLines/>
      </w:pPr>
      <w:bookmarkStart w:id="408" w:name="_Toc262100308"/>
      <w:r>
        <w:rPr>
          <w:rFonts w:ascii="Calibri" w:hAnsi="Calibri"/>
          <w:b/>
          <w:color w:val="1D4E5F"/>
          <w:sz w:val="27"/>
        </w:rPr>
        <w:t xml:space="preserve">F.2 The Allocation Table</w:t>
      </w:r>
      <w:bookmarkEnd w:id="408"/>
    </w:p>
    <w:p>
      <w:pPr>
        <w:spacing w:after="130" w:line="340" w:lineRule="auto"/>
        <w:jc w:val="both"/>
      </w:pPr>
      <w:r>
        <w:rPr>
          <w:rFonts w:ascii="Cambria" w:hAnsi="Cambria"/>
          <w:color w:val="20262A"/>
          <w:sz w:val="22"/>
        </w:rPr>
        <w:t xml:space="preserve">Every receipt allocates on arrival: twelve percent top-slice under Article 29.1, split six percent operations, three percent Performance Reserve, two percent Environmental Reserve, one percent Humanitarian Line; then corridor-attributable receipts to their Service Accounts; then system-wide receipts under the forty-forty-twenty rule of Article 29.3; then buffer receipts pro-rata to the current shares.</w:t>
      </w:r>
    </w:p>
    <w:p>
      <w:pPr>
        <w:pStyle w:val="Heading2"/>
        <w:keepNext/>
        <w:keepLines/>
      </w:pPr>
      <w:bookmarkStart w:id="409" w:name="_Toc262100309"/>
      <w:r>
        <w:rPr>
          <w:rFonts w:ascii="Calibri" w:hAnsi="Calibri"/>
          <w:b/>
          <w:color w:val="1D4E5F"/>
          <w:sz w:val="27"/>
        </w:rPr>
        <w:t xml:space="preserve">F.3 Collection Flows</w:t>
      </w:r>
      <w:bookmarkEnd w:id="409"/>
    </w:p>
    <w:p>
      <w:pPr>
        <w:spacing w:after="130" w:line="340" w:lineRule="auto"/>
        <w:jc w:val="both"/>
      </w:pPr>
      <w:r>
        <w:rPr>
          <w:rFonts w:ascii="Cambria" w:hAnsi="Cambria"/>
          <w:color w:val="20262A"/>
          <w:sz w:val="22"/>
        </w:rPr>
        <w:t xml:space="preserve">Subscriptions settle by direct agreement between the subscriber and the Fund, quarterly in advance. Service invoices settle within thirty days of Office sampling clearance. Add-On remittances arrive monthly from each designated port. Contributions arrive under contribution agreements lodged with the Depositary and published in the accounts. No flow passes through any account of any Participant State, and no Participant State's financial system touches any flow.</w:t>
      </w:r>
    </w:p>
    <w:p>
      <w:pPr>
        <w:pStyle w:val="Heading2"/>
        <w:keepNext/>
        <w:keepLines/>
      </w:pPr>
      <w:bookmarkStart w:id="410" w:name="_Toc262100310"/>
      <w:r>
        <w:rPr>
          <w:rFonts w:ascii="Calibri" w:hAnsi="Calibri"/>
          <w:b/>
          <w:color w:val="1D4E5F"/>
          <w:sz w:val="27"/>
        </w:rPr>
        <w:t xml:space="preserve">F.4 The Distribution Calendar</w:t>
      </w:r>
      <w:bookmarkEnd w:id="410"/>
    </w:p>
    <w:p>
      <w:pPr>
        <w:spacing w:after="130" w:line="340" w:lineRule="auto"/>
        <w:jc w:val="both"/>
      </w:pPr>
      <w:r>
        <w:rPr>
          <w:rFonts w:ascii="Cambria" w:hAnsi="Cambria"/>
          <w:color w:val="20262A"/>
          <w:sz w:val="22"/>
        </w:rPr>
        <w:t xml:space="preserve">Quarter close on the last day of each calendar quarter. Office audit opinion by day thirty-five. Fund Board approval session by day forty. Distribution by the fiduciary agent on day forty-five. Publication of full accounts on day forty-five, simultaneous with distribution. A missed date publishes with reasons, and the calendar never slips twice in succession.</w:t>
      </w:r>
    </w:p>
    <w:p>
      <w:pPr>
        <w:pStyle w:val="Heading2"/>
        <w:keepNext/>
        <w:keepLines/>
      </w:pPr>
      <w:bookmarkStart w:id="411" w:name="_Toc262100311"/>
      <w:r>
        <w:rPr>
          <w:rFonts w:ascii="Calibri" w:hAnsi="Calibri"/>
          <w:b/>
          <w:color w:val="1D4E5F"/>
          <w:sz w:val="27"/>
        </w:rPr>
        <w:t xml:space="preserve">F.5 The Sanctions-Compliance Firewall (Rules F-1 to F-10)</w:t>
      </w:r>
      <w:bookmarkEnd w:id="411"/>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F-1: Every payment arrives as a subscription settlement or invoice settlement to a Swiss fiduciary, and never as a transfer to any state entity.</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F-2: The Fund maintains parallel ledgers in Swiss francs and United States dollars, and every flow carries a designated currency at origination.</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F-3: Clearing runs through two independent neutral clearing institutions, and either institution carries the full flow alone.</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F-4: Distributions to share-holders settle into accounts the share-holders designate at neutral institutions, through the fiduciary, under standard commercial settlement documentation.</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F-5: The Fund Board refreshes legal opinions annually in three jurisdictions: Switzerland, one European Union member state, and one Asian financial center.</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F-6: A sanctions change in any jurisdiction activates the continuity protocol: flows reroute to the alternate currency and the alternate clearing institution within thirty days, with zero interruption to corridor operations.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F-7: No subscriber or underwriter ever contracts with a Participant State; every contract names the Fund as counterparty.</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F-8: The fiduciary agent screens every counterparty against its regulatory obligations and reports screening statistics, not names, to the Fund Board quarterly.</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F-9: The firewall documentation package, agreements, opinions, and screening statistics, audits annually under the external audit of Article 30.3.</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F-10: The firewall serves continuity and nothing else: it neutralizes friction, it conceals nothing, and the accounts publish every flow like every other line.</w:t>
      </w:r>
    </w:p>
    <w:p>
      <w:pPr>
        <w:pStyle w:val="Heading2"/>
        <w:keepNext/>
        <w:keepLines/>
      </w:pPr>
      <w:bookmarkStart w:id="412" w:name="_Toc262100312"/>
      <w:r>
        <w:rPr>
          <w:rFonts w:ascii="Calibri" w:hAnsi="Calibri"/>
          <w:b/>
          <w:color w:val="1D4E5F"/>
          <w:sz w:val="27"/>
        </w:rPr>
        <w:t xml:space="preserve">F.6 The Audit Protocol</w:t>
      </w:r>
      <w:bookmarkEnd w:id="412"/>
    </w:p>
    <w:p>
      <w:pPr>
        <w:spacing w:after="130" w:line="340" w:lineRule="auto"/>
        <w:jc w:val="both"/>
      </w:pPr>
      <w:r>
        <w:rPr>
          <w:rFonts w:ascii="Cambria" w:hAnsi="Cambria"/>
          <w:color w:val="20262A"/>
          <w:sz w:val="22"/>
        </w:rPr>
        <w:t xml:space="preserve">Daily reconciliation by the fiduciary agent. Continuous evidence sampling by the Office at ten percent or higher. Quarterly audit opinion unlocking distribution, stating the boundary result of Article 26.2 in one sentence. Annual external audit published in full, stating the exclusion result of Article 30.5 in one sentence. Every audit product publishes under IPR-14.</w:t>
      </w:r>
    </w:p>
    <w:p>
      <w:pPr>
        <w:pStyle w:val="Heading2"/>
        <w:keepNext/>
        <w:keepLines/>
      </w:pPr>
      <w:bookmarkStart w:id="413" w:name="_Toc262100313"/>
      <w:r>
        <w:rPr>
          <w:rFonts w:ascii="Calibri" w:hAnsi="Calibri"/>
          <w:b/>
          <w:color w:val="1D4E5F"/>
          <w:sz w:val="27"/>
        </w:rPr>
        <w:t xml:space="preserve">F.7 Worked Financial Examples</w:t>
      </w:r>
      <w:bookmarkEnd w:id="413"/>
    </w:p>
    <w:p>
      <w:pPr>
        <w:pStyle w:val="Heading3"/>
        <w:keepNext/>
        <w:keepLines/>
      </w:pPr>
      <w:bookmarkStart w:id="414" w:name="_Toc262100314"/>
      <w:r>
        <w:rPr>
          <w:rFonts w:ascii="Calibri" w:hAnsi="Calibri"/>
          <w:b/>
          <w:color w:val="37666F"/>
          <w:sz w:val="24"/>
        </w:rPr>
        <w:t xml:space="preserve">F.7.1 Vessel-Level Example: One Laden VLCC Round Voyage</w:t>
      </w:r>
      <w:bookmarkEnd w:id="414"/>
    </w:p>
    <w:p>
      <w:pPr>
        <w:spacing w:after="130" w:line="340" w:lineRule="auto"/>
        <w:jc w:val="both"/>
      </w:pPr>
      <w:r>
        <w:rPr>
          <w:rFonts w:ascii="Cambria" w:hAnsi="Cambria"/>
          <w:color w:val="20262A"/>
          <w:sz w:val="22"/>
        </w:rPr>
        <w:t xml:space="preserve">A Class A vessel on band B-1 holds a Premium Subscription at 48,000 dollars per year and completes twelve inbound and twelve outbound transits in the year. Per inbound transit, the operator elects services S-1, S-2, S-5, and S-6 at catalog rates of 1,850, 6,400, 2,400, and 1,150 dollars respectively, totaling 11,800 dollars per transit, settled to the Fund against Annex D evidence. Per outbound transit the operator elects S-1 and S-6 only, 3,000 dollars. Annual service settlements: 12 times 11,800 plus 12 times 3,000 equals 177,600 dollars, plus the 48,000 dollar subscription, totaling 225,600 dollars paid to the Fund by one operator for one vessel. The vessel's underwriter documents a war-risk premium 22 percent below the quarterly baseline, a documented reduction of 61,000 dollars across the year's transits; the Premium Dividend credits 15 percent of the reduction, 9,150 dollars, against the next subscription invoice. The Green Discount does not apply to this vessel's tier.</w:t>
      </w:r>
    </w:p>
    <w:p>
      <w:pPr>
        <w:pStyle w:val="Heading3"/>
        <w:keepNext/>
        <w:keepLines/>
      </w:pPr>
      <w:bookmarkStart w:id="415" w:name="_Toc262100315"/>
      <w:r>
        <w:rPr>
          <w:rFonts w:ascii="Calibri" w:hAnsi="Calibri"/>
          <w:b/>
          <w:color w:val="37666F"/>
          <w:sz w:val="24"/>
        </w:rPr>
        <w:t xml:space="preserve">F.7.2 Fund-Level Example: The First Full Operating Year (Illustrative Volumes)</w:t>
      </w:r>
      <w:bookmarkEnd w:id="415"/>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6600"/>
        <w:gridCol w:w="3400"/>
      </w:tblGrid>
      <w:tr>
        <w:trPr>
          <w:tblHeader/>
        </w:trPr>
        <w:tc>
          <w:tcPr>
            <w:tcW w:w="6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Line</w:t>
            </w:r>
          </w:p>
        </w:tc>
        <w:tc>
          <w:tcPr>
            <w:tcW w:w="3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Amount (USD)</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Catalog service receipts, 11,800 transits averaging 7,200 dollars of elected services</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84,960,000</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Data Service subscriptions at 72 percent operator penetration</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118,000,000</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Day passes</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6,500,000</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Port Processing Add-On, 9,400 qualifying port calls at 185 dollars</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1,739,000</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Voluntary state and industry contributions, year one</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25,000,000</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Total receipts</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236,199,000</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Top-slice twelve percent: operations 14,171,940; Performance Reserve 7,085,970; Environmental Reserve 4,723,980; Humanitarian Line 2,361,990</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28,343,880</w:t>
            </w:r>
          </w:p>
        </w:tc>
      </w:tr>
      <w:tr>
        <w:tc>
          <w:tcPr>
            <w:tcW w:w="6600" w:type="dxa"/>
            <w:tcMar>
              <w:top w:w="60" w:type="dxa"/>
              <w:left w:w="100" w:type="dxa"/>
              <w:bottom w:w="60" w:type="dxa"/>
              <w:right w:w="100" w:type="dxa"/>
            </w:tcMar>
          </w:tcPr>
          <w:p>
            <w:pPr>
              <w:spacing w:after="20" w:line="290" w:lineRule="auto"/>
            </w:pPr>
            <w:r>
              <w:rPr>
                <w:rFonts w:ascii="Calibri" w:hAnsi="Calibri"/>
                <w:color w:val="20262A"/>
                <w:sz w:val="19"/>
              </w:rPr>
              <w:t xml:space="preserve">Remainder for apportionment</w:t>
            </w:r>
          </w:p>
        </w:tc>
        <w:tc>
          <w:tcPr>
            <w:tcW w:w="3400" w:type="dxa"/>
            <w:tcMar>
              <w:top w:w="60" w:type="dxa"/>
              <w:left w:w="100" w:type="dxa"/>
              <w:bottom w:w="60" w:type="dxa"/>
              <w:right w:w="100" w:type="dxa"/>
            </w:tcMar>
          </w:tcPr>
          <w:p>
            <w:pPr>
              <w:spacing w:after="20" w:line="290" w:lineRule="auto"/>
            </w:pPr>
            <w:r>
              <w:rPr>
                <w:rFonts w:ascii="Calibri" w:hAnsi="Calibri"/>
                <w:color w:val="20262A"/>
                <w:sz w:val="19"/>
              </w:rPr>
              <w:t xml:space="preserve">207,855,120</w:t>
            </w:r>
          </w:p>
        </w:tc>
      </w:tr>
    </w:tbl>
    <w:p>
      <w:pPr>
        <w:spacing w:after="100"/>
      </w:pPr>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4200"/>
        <w:gridCol w:w="2000"/>
        <w:gridCol w:w="2000"/>
        <w:gridCol w:w="1800"/>
      </w:tblGrid>
      <w:tr>
        <w:trPr>
          <w:tblHeader/>
        </w:trPr>
        <w:tc>
          <w:tcPr>
            <w:tcW w:w="4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Apportionment</w:t>
            </w:r>
          </w:p>
        </w:tc>
        <w:tc>
          <w:tcPr>
            <w:tcW w:w="2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Iran</w:t>
            </w:r>
          </w:p>
        </w:tc>
        <w:tc>
          <w:tcPr>
            <w:tcW w:w="2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Oman</w:t>
            </w:r>
          </w:p>
        </w:tc>
        <w:tc>
          <w:tcPr>
            <w:tcW w:w="1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Standing Share</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Corridor receipts after top-slice: North 31,770,000; Buffer 7,855,000; South 35,200,000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31,770,000 plus 1/6 of buffer = 1,309,200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35,200,000 plus 1/2 of buffer = 3,927,600</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1/3 of buffer = 2,618,400</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System-wide receipts after top-slice: 133,030,000 split 40 / 40 / 20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53,212,000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53,212,000</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26,606,000</w:t>
            </w:r>
          </w:p>
        </w:tc>
      </w:tr>
      <w:tr>
        <w:tc>
          <w:tcPr>
            <w:tcW w:w="4200" w:type="dxa"/>
            <w:tcMar>
              <w:top w:w="60" w:type="dxa"/>
              <w:left w:w="100" w:type="dxa"/>
              <w:bottom w:w="60" w:type="dxa"/>
              <w:right w:w="100" w:type="dxa"/>
            </w:tcMar>
          </w:tcPr>
          <w:p>
            <w:pPr>
              <w:spacing w:after="20" w:line="290" w:lineRule="auto"/>
            </w:pPr>
            <w:r>
              <w:rPr>
                <w:rFonts w:ascii="Calibri" w:hAnsi="Calibri"/>
                <w:color w:val="20262A"/>
                <w:sz w:val="19"/>
              </w:rPr>
              <w:t xml:space="preserve">Year-one totals at baseline shares</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86,291,200</w:t>
            </w:r>
          </w:p>
        </w:tc>
        <w:tc>
          <w:tcPr>
            <w:tcW w:w="2000" w:type="dxa"/>
            <w:tcMar>
              <w:top w:w="60" w:type="dxa"/>
              <w:left w:w="100" w:type="dxa"/>
              <w:bottom w:w="60" w:type="dxa"/>
              <w:right w:w="100" w:type="dxa"/>
            </w:tcMar>
          </w:tcPr>
          <w:p>
            <w:pPr>
              <w:spacing w:after="20" w:line="290" w:lineRule="auto"/>
            </w:pPr>
            <w:r>
              <w:rPr>
                <w:rFonts w:ascii="Calibri" w:hAnsi="Calibri"/>
                <w:color w:val="20262A"/>
                <w:sz w:val="19"/>
              </w:rPr>
              <w:t xml:space="preserve">92,339,600</w:t>
            </w:r>
          </w:p>
        </w:tc>
        <w:tc>
          <w:tcPr>
            <w:tcW w:w="1800" w:type="dxa"/>
            <w:tcMar>
              <w:top w:w="60" w:type="dxa"/>
              <w:left w:w="100" w:type="dxa"/>
              <w:bottom w:w="60" w:type="dxa"/>
              <w:right w:w="100" w:type="dxa"/>
            </w:tcMar>
          </w:tcPr>
          <w:p>
            <w:pPr>
              <w:spacing w:after="20" w:line="290" w:lineRule="auto"/>
            </w:pPr>
            <w:r>
              <w:rPr>
                <w:rFonts w:ascii="Calibri" w:hAnsi="Calibri"/>
                <w:color w:val="20262A"/>
                <w:sz w:val="19"/>
              </w:rPr>
              <w:t xml:space="preserve">29,224,400</w:t>
            </w:r>
          </w:p>
        </w:tc>
      </w:tr>
    </w:tbl>
    <w:p>
      <w:pPr>
        <w:spacing w:after="100"/>
      </w:pPr>
    </w:p>
    <w:p>
      <w:pPr>
        <w:spacing w:after="130" w:line="340" w:lineRule="auto"/>
        <w:jc w:val="both"/>
      </w:pPr>
      <w:r>
        <w:rPr>
          <w:rFonts w:ascii="Cambria" w:hAnsi="Cambria"/>
          <w:color w:val="20262A"/>
          <w:sz w:val="22"/>
        </w:rPr>
        <w:t xml:space="preserve">At the ceiling state, the buffer line alone shifts: Iran's buffer apportionment rises to one third, 2,618,400 dollars on these volumes, and Oman's adjusts to the same figure, with the Standing Share unchanged. The example uses illustrative volumes; the Council adopts actual opening volumes at Phase Five, and the accounts publish the actuals quarterly from the first distribution.</w:t>
      </w:r>
    </w:p>
    <w:p>
      <w:pPr>
        <w:pStyle w:val="Heading1"/>
        <w:keepNext/>
        <w:keepLines/>
        <w:pageBreakBefore/>
      </w:pPr>
      <w:bookmarkStart w:id="416" w:name="_Toc262100316"/>
      <w:r>
        <w:rPr>
          <w:rFonts w:ascii="Calibri" w:hAnsi="Calibri"/>
          <w:b/>
          <w:color w:val="1D4E5F"/>
          <w:sz w:val="34"/>
        </w:rPr>
        <w:t xml:space="preserve">Annex G: The Twin Key Concurrence Matrix</w:t>
      </w:r>
      <w:bookmarkEnd w:id="416"/>
    </w:p>
    <w:p>
      <w:pPr>
        <w:pStyle w:val="Heading2"/>
        <w:keepNext/>
        <w:keepLines/>
      </w:pPr>
      <w:bookmarkStart w:id="417" w:name="_Toc262100317"/>
      <w:r>
        <w:rPr>
          <w:rFonts w:ascii="Calibri" w:hAnsi="Calibri"/>
          <w:b/>
          <w:color w:val="1D4E5F"/>
          <w:sz w:val="27"/>
        </w:rPr>
        <w:t xml:space="preserve">G.1 The Consequential Actions Register</w:t>
      </w:r>
      <w:bookmarkEnd w:id="417"/>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000"/>
        <w:gridCol w:w="2400"/>
        <w:gridCol w:w="2400"/>
        <w:gridCol w:w="2200"/>
      </w:tblGrid>
      <w:tr>
        <w:trPr>
          <w:tblHeader/>
        </w:trPr>
        <w:tc>
          <w:tcPr>
            <w:tcW w:w="3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Consequential Action</w:t>
            </w:r>
          </w:p>
        </w:tc>
        <w:tc>
          <w:tcPr>
            <w:tcW w:w="2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Initiating key</w:t>
            </w:r>
          </w:p>
        </w:tc>
        <w:tc>
          <w:tcPr>
            <w:tcW w:w="2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Concurring key</w:t>
            </w:r>
          </w:p>
        </w:tc>
        <w:tc>
          <w:tcPr>
            <w:tcW w:w="2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Notes</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Declaration of Flow State Blue</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Watch floor director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Both corridor administrators</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Immediate; Bulletin within thirty minutes.</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Protected Hold under Article 13.4</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Relevant corridor administrator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The other corridor administrator</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Seventy-two hours maximum without Council confirmation.</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Activation of diversion routing</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Buffer Board chair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Watch floor director</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Routing publishes immediately on activation.</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Escort window in the buffer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Buffer Board chair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Relevant corridor administrator</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Window publishes in the Bulletin.</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Suspension of a catalog service line</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Fund Board chair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Office Director of Verification</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Service users notified ninety days ahead, emergency suspension excepted with reasons.</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Distribution of Performance Reserve remediation funds</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Fund Board chair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Council chair</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Publication with the quarterly accounts.</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Confirmation of a Gate Four accrual</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Coastal Circle member of Council</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The other Coastal Circle member</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Recording rule of Article 17.3 applies; no discretion.</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Adoption or deactivation of a protocol annex</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Council chair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Both Coastal Circle members</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Thirty days notice under Article 24.4.</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Amendment of a corridor boundary coordinate</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Watch floor director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Both corridor administrators</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IMO registration follows before effect.</w:t>
            </w:r>
          </w:p>
        </w:tc>
      </w:tr>
      <w:tr>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Declaration of a firewall breach under Article 37.6</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Council chair</w:t>
            </w:r>
          </w:p>
        </w:tc>
        <w:tc>
          <w:tcPr>
            <w:tcW w:w="2400" w:type="dxa"/>
            <w:tcMar>
              <w:top w:w="60" w:type="dxa"/>
              <w:left w:w="100" w:type="dxa"/>
              <w:bottom w:w="60" w:type="dxa"/>
              <w:right w:w="100" w:type="dxa"/>
            </w:tcMar>
          </w:tcPr>
          <w:p>
            <w:pPr>
              <w:spacing w:after="20" w:line="290" w:lineRule="auto"/>
            </w:pPr>
            <w:r>
              <w:rPr>
                <w:rFonts w:ascii="Calibri" w:hAnsi="Calibri"/>
                <w:color w:val="20262A"/>
                <w:sz w:val="19"/>
              </w:rPr>
              <w:t xml:space="preserve">Any one other Council member</w:t>
            </w:r>
          </w:p>
        </w:tc>
        <w:tc>
          <w:tcPr>
            <w:tcW w:w="2200" w:type="dxa"/>
            <w:tcMar>
              <w:top w:w="60" w:type="dxa"/>
              <w:left w:w="100" w:type="dxa"/>
              <w:bottom w:w="60" w:type="dxa"/>
              <w:right w:w="100" w:type="dxa"/>
            </w:tcMar>
          </w:tcPr>
          <w:p>
            <w:pPr>
              <w:spacing w:after="20" w:line="290" w:lineRule="auto"/>
            </w:pPr>
            <w:r>
              <w:rPr>
                <w:rFonts w:ascii="Calibri" w:hAnsi="Calibri"/>
                <w:color w:val="20262A"/>
                <w:sz w:val="19"/>
              </w:rPr>
              <w:t xml:space="preserve">The linkage dies on the spot; the record publishes.</w:t>
            </w:r>
          </w:p>
        </w:tc>
      </w:tr>
    </w:tbl>
    <w:p>
      <w:pPr>
        <w:spacing w:after="100"/>
      </w:pPr>
    </w:p>
    <w:p>
      <w:pPr>
        <w:pStyle w:val="Heading2"/>
        <w:keepNext/>
        <w:keepLines/>
      </w:pPr>
      <w:bookmarkStart w:id="418" w:name="_Toc262100318"/>
      <w:r>
        <w:rPr>
          <w:rFonts w:ascii="Calibri" w:hAnsi="Calibri"/>
          <w:b/>
          <w:color w:val="1D4E5F"/>
          <w:sz w:val="27"/>
        </w:rPr>
        <w:t xml:space="preserve">G.2 The Routine Actions Register (Illustrative Standing List)</w:t>
      </w:r>
      <w:bookmarkEnd w:id="418"/>
    </w:p>
    <w:p>
      <w:pPr>
        <w:spacing w:after="130" w:line="340" w:lineRule="auto"/>
        <w:jc w:val="both"/>
      </w:pPr>
      <w:r>
        <w:rPr>
          <w:rFonts w:ascii="Cambria" w:hAnsi="Cambria"/>
          <w:color w:val="20262A"/>
          <w:sz w:val="22"/>
        </w:rPr>
        <w:t xml:space="preserve">Routine Actions proceed without concurrence: registrations and code issuance; Bulletin publication; reporting-point operations; service delivery at catalog rates; evidence filing; observer embarkation logistics; survey scheduling within the approved program; hotline operation; account reconciliation; and publication of every kind. Any doubt about classification resolves in favor of concurrence.</w:t>
      </w:r>
    </w:p>
    <w:p>
      <w:pPr>
        <w:pStyle w:val="Heading1"/>
        <w:keepNext/>
        <w:keepLines/>
        <w:pageBreakBefore/>
      </w:pPr>
      <w:bookmarkStart w:id="419" w:name="_Toc262100319"/>
      <w:r>
        <w:rPr>
          <w:rFonts w:ascii="Calibri" w:hAnsi="Calibri"/>
          <w:b/>
          <w:color w:val="1D4E5F"/>
          <w:sz w:val="34"/>
        </w:rPr>
        <w:t xml:space="preserve">Annex H: Incident Classification, Response Timelines, and Neutral Language</w:t>
      </w:r>
      <w:bookmarkEnd w:id="419"/>
    </w:p>
    <w:p>
      <w:pPr>
        <w:pStyle w:val="Heading2"/>
        <w:keepNext/>
        <w:keepLines/>
      </w:pPr>
      <w:bookmarkStart w:id="420" w:name="_Toc262100320"/>
      <w:r>
        <w:rPr>
          <w:rFonts w:ascii="Calibri" w:hAnsi="Calibri"/>
          <w:b/>
          <w:color w:val="1D4E5F"/>
          <w:sz w:val="27"/>
        </w:rPr>
        <w:t xml:space="preserve">H.1 The Five-Class Ladder</w:t>
      </w:r>
      <w:bookmarkEnd w:id="420"/>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100"/>
        <w:gridCol w:w="2700"/>
        <w:gridCol w:w="3600"/>
        <w:gridCol w:w="2600"/>
      </w:tblGrid>
      <w:tr>
        <w:trPr>
          <w:tblHeader/>
        </w:trPr>
        <w:tc>
          <w:tcPr>
            <w:tcW w:w="11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Class</w:t>
            </w:r>
          </w:p>
        </w:tc>
        <w:tc>
          <w:tcPr>
            <w:tcW w:w="2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Definition</w:t>
            </w:r>
          </w:p>
        </w:tc>
        <w:tc>
          <w:tcPr>
            <w:tcW w:w="3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Examples</w:t>
            </w:r>
          </w:p>
        </w:tc>
        <w:tc>
          <w:tcPr>
            <w:tcW w:w="2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Provisional classification</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Class 1</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Critical safety or security event</w:t>
            </w:r>
          </w:p>
        </w:tc>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Collision with injury or major damage; kinetic contact; mine strike; boarding event</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Within one hour, watch floor director</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Class 2</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Material breach of a Compact rule</w:t>
            </w:r>
          </w:p>
        </w:tc>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Interdiction measure; toll demand; unauthorized Protected Hold; firewall linkage with operational effect</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Within one hour, watch floor director</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Class 3</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Significant operational deviation</w:t>
            </w:r>
          </w:p>
        </w:tc>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Unauthorized lane deviation; convoy breach; unreported diversion</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Within two hours, duty officer</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Class 4</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Minor irregularity</w:t>
            </w:r>
          </w:p>
        </w:tc>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Late report; documentation defect; minor spacing violation</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Within six hours, duty officer</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Class 5</w:t>
            </w:r>
          </w:p>
        </w:tc>
        <w:tc>
          <w:tcPr>
            <w:tcW w:w="2700" w:type="dxa"/>
            <w:tcMar>
              <w:top w:w="60" w:type="dxa"/>
              <w:left w:w="100" w:type="dxa"/>
              <w:bottom w:w="60" w:type="dxa"/>
              <w:right w:w="100" w:type="dxa"/>
            </w:tcMar>
          </w:tcPr>
          <w:p>
            <w:pPr>
              <w:spacing w:after="20" w:line="290" w:lineRule="auto"/>
            </w:pPr>
            <w:r>
              <w:rPr>
                <w:rFonts w:ascii="Calibri" w:hAnsi="Calibri"/>
                <w:color w:val="20262A"/>
                <w:sz w:val="19"/>
              </w:rPr>
              <w:t xml:space="preserve">Near-miss or observation of record</w:t>
            </w:r>
          </w:p>
        </w:tc>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Close quarters situation resolved; anomaly noted for the archive</w:t>
            </w:r>
          </w:p>
        </w:tc>
        <w:tc>
          <w:tcPr>
            <w:tcW w:w="2600" w:type="dxa"/>
            <w:tcMar>
              <w:top w:w="60" w:type="dxa"/>
              <w:left w:w="100" w:type="dxa"/>
              <w:bottom w:w="60" w:type="dxa"/>
              <w:right w:w="100" w:type="dxa"/>
            </w:tcMar>
          </w:tcPr>
          <w:p>
            <w:pPr>
              <w:spacing w:after="20" w:line="290" w:lineRule="auto"/>
            </w:pPr>
            <w:r>
              <w:rPr>
                <w:rFonts w:ascii="Calibri" w:hAnsi="Calibri"/>
                <w:color w:val="20262A"/>
                <w:sz w:val="19"/>
              </w:rPr>
              <w:t xml:space="preserve">Within twenty-four hours, duty officer</w:t>
            </w:r>
          </w:p>
        </w:tc>
      </w:tr>
    </w:tbl>
    <w:p>
      <w:pPr>
        <w:spacing w:after="100"/>
      </w:pPr>
    </w:p>
    <w:p>
      <w:pPr>
        <w:pStyle w:val="Heading2"/>
        <w:keepNext/>
        <w:keepLines/>
      </w:pPr>
      <w:bookmarkStart w:id="421" w:name="_Toc262100321"/>
      <w:r>
        <w:rPr>
          <w:rFonts w:ascii="Calibri" w:hAnsi="Calibri"/>
          <w:b/>
          <w:color w:val="1D4E5F"/>
          <w:sz w:val="27"/>
        </w:rPr>
        <w:t xml:space="preserve">H.2 Response Timelines</w:t>
      </w:r>
      <w:bookmarkEnd w:id="421"/>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700"/>
        <w:gridCol w:w="3300"/>
        <w:gridCol w:w="3000"/>
      </w:tblGrid>
      <w:tr>
        <w:trPr>
          <w:tblHeader/>
        </w:trPr>
        <w:tc>
          <w:tcPr>
            <w:tcW w:w="37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Product</w:t>
            </w:r>
          </w:p>
        </w:tc>
        <w:tc>
          <w:tcPr>
            <w:tcW w:w="3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Deadline</w:t>
            </w:r>
          </w:p>
        </w:tc>
        <w:tc>
          <w:tcPr>
            <w:tcW w:w="30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Author</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Initial report</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One hour from classification</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Watch floor</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Hotline notification to both administrators</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Simultaneous with initial report for Classes 1 and 2</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Watch floor</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Factual record</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Six hours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Watch floor with the involved parties</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Sealed incident file</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Seventy-two hours</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Meridian Verification Office</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Confirmed classification</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Seventy-two hours, convergence standard</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Meridian Verification Office</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Weekly incident summary</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Every Friday, 06:00</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Meridian Verification Office</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Monthly statistics feed</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First day of each month</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Center</w:t>
            </w:r>
          </w:p>
        </w:tc>
      </w:tr>
      <w:tr>
        <w:tc>
          <w:tcPr>
            <w:tcW w:w="3700" w:type="dxa"/>
            <w:tcMar>
              <w:top w:w="60" w:type="dxa"/>
              <w:left w:w="100" w:type="dxa"/>
              <w:bottom w:w="60" w:type="dxa"/>
              <w:right w:w="100" w:type="dxa"/>
            </w:tcMar>
          </w:tcPr>
          <w:p>
            <w:pPr>
              <w:spacing w:after="20" w:line="290" w:lineRule="auto"/>
            </w:pPr>
            <w:r>
              <w:rPr>
                <w:rFonts w:ascii="Calibri" w:hAnsi="Calibri"/>
                <w:color w:val="20262A"/>
                <w:sz w:val="19"/>
              </w:rPr>
              <w:t xml:space="preserve">Lessons cycle report</w:t>
            </w:r>
          </w:p>
        </w:tc>
        <w:tc>
          <w:tcPr>
            <w:tcW w:w="3300" w:type="dxa"/>
            <w:tcMar>
              <w:top w:w="60" w:type="dxa"/>
              <w:left w:w="100" w:type="dxa"/>
              <w:bottom w:w="60" w:type="dxa"/>
              <w:right w:w="100" w:type="dxa"/>
            </w:tcMar>
          </w:tcPr>
          <w:p>
            <w:pPr>
              <w:spacing w:after="20" w:line="290" w:lineRule="auto"/>
            </w:pPr>
            <w:r>
              <w:rPr>
                <w:rFonts w:ascii="Calibri" w:hAnsi="Calibri"/>
                <w:color w:val="20262A"/>
                <w:sz w:val="19"/>
              </w:rPr>
              <w:t xml:space="preserve">Quarterly</w:t>
            </w:r>
          </w:p>
        </w:tc>
        <w:tc>
          <w:tcPr>
            <w:tcW w:w="3000" w:type="dxa"/>
            <w:tcMar>
              <w:top w:w="60" w:type="dxa"/>
              <w:left w:w="100" w:type="dxa"/>
              <w:bottom w:w="60" w:type="dxa"/>
              <w:right w:w="100" w:type="dxa"/>
            </w:tcMar>
          </w:tcPr>
          <w:p>
            <w:pPr>
              <w:spacing w:after="20" w:line="290" w:lineRule="auto"/>
            </w:pPr>
            <w:r>
              <w:rPr>
                <w:rFonts w:ascii="Calibri" w:hAnsi="Calibri"/>
                <w:color w:val="20262A"/>
                <w:sz w:val="19"/>
              </w:rPr>
              <w:t xml:space="preserve">Meridian Verification Office</w:t>
            </w:r>
          </w:p>
        </w:tc>
      </w:tr>
    </w:tbl>
    <w:p>
      <w:pPr>
        <w:spacing w:after="100"/>
      </w:pPr>
    </w:p>
    <w:p>
      <w:pPr>
        <w:pStyle w:val="Heading2"/>
        <w:keepNext/>
        <w:keepLines/>
      </w:pPr>
      <w:bookmarkStart w:id="422" w:name="_Toc262100322"/>
      <w:r>
        <w:rPr>
          <w:rFonts w:ascii="Calibri" w:hAnsi="Calibri"/>
          <w:b/>
          <w:color w:val="1D4E5F"/>
          <w:sz w:val="27"/>
        </w:rPr>
        <w:t xml:space="preserve">H.3 The Neutral Incident Language</w:t>
      </w:r>
      <w:bookmarkEnd w:id="422"/>
    </w:p>
    <w:p>
      <w:pPr>
        <w:spacing w:after="130" w:line="340" w:lineRule="auto"/>
        <w:jc w:val="both"/>
      </w:pPr>
      <w:r>
        <w:rPr>
          <w:rFonts w:ascii="Cambria" w:hAnsi="Cambria"/>
          <w:color w:val="20262A"/>
          <w:sz w:val="22"/>
        </w:rPr>
        <w:t xml:space="preserve">Reports, bulletins, and findings use neutral formulations at all times: an event, not an attack; a contact, not a strike; a deviation, not a violation, until the engine classifies it; an involved party, not a perpetrator, until attribution confirms under the convergence standard; a finding, not an accusation. The register of Annex H forms part of every report template in Annex J, and IPR-12 binds every Compact publication.</w:t>
      </w:r>
    </w:p>
    <w:p>
      <w:pPr>
        <w:pStyle w:val="Heading2"/>
        <w:keepNext/>
        <w:keepLines/>
      </w:pPr>
      <w:bookmarkStart w:id="423" w:name="_Toc262100323"/>
      <w:r>
        <w:rPr>
          <w:rFonts w:ascii="Calibri" w:hAnsi="Calibri"/>
          <w:b/>
          <w:color w:val="1D4E5F"/>
          <w:sz w:val="27"/>
        </w:rPr>
        <w:t xml:space="preserve">H.4 The Sealed Incident File</w:t>
      </w:r>
      <w:bookmarkEnd w:id="423"/>
    </w:p>
    <w:p>
      <w:pPr>
        <w:spacing w:after="130" w:line="340" w:lineRule="auto"/>
        <w:jc w:val="both"/>
      </w:pPr>
      <w:r>
        <w:rPr>
          <w:rFonts w:ascii="Cambria" w:hAnsi="Cambria"/>
          <w:color w:val="20262A"/>
          <w:sz w:val="22"/>
        </w:rPr>
        <w:t xml:space="preserve">Each sealed file contains: the initial report; the factual record; the sensor extracts; the observer statements; the evidence packages; the classification history; the attribution cell output where Article 32.5 applies; and the lessons entry. Files seal against alteration, open to the parties to the event and the Council, and publish in redacted summary form under IPR-14.</w:t>
      </w:r>
    </w:p>
    <w:p>
      <w:pPr>
        <w:pStyle w:val="Heading2"/>
        <w:keepNext/>
        <w:keepLines/>
      </w:pPr>
      <w:bookmarkStart w:id="424" w:name="_Toc262100324"/>
      <w:r>
        <w:rPr>
          <w:rFonts w:ascii="Calibri" w:hAnsi="Calibri"/>
          <w:b/>
          <w:color w:val="1D4E5F"/>
          <w:sz w:val="27"/>
        </w:rPr>
        <w:t xml:space="preserve">H.5 Repeat Event Analysis</w:t>
      </w:r>
      <w:bookmarkEnd w:id="424"/>
    </w:p>
    <w:p>
      <w:pPr>
        <w:spacing w:after="130" w:line="340" w:lineRule="auto"/>
        <w:jc w:val="both"/>
      </w:pPr>
      <w:r>
        <w:rPr>
          <w:rFonts w:ascii="Cambria" w:hAnsi="Cambria"/>
          <w:color w:val="20262A"/>
          <w:sz w:val="22"/>
        </w:rPr>
        <w:t xml:space="preserve">A third event of the same cause category within twelve months triggers the repeat event review: the Office convenes the involved administrators within fourteen days, the review produces a corrective action with a date, and the Council tracks completion at each session until closed.</w:t>
      </w:r>
    </w:p>
    <w:p>
      <w:pPr>
        <w:pStyle w:val="Heading2"/>
        <w:keepNext/>
        <w:keepLines/>
      </w:pPr>
      <w:bookmarkStart w:id="425" w:name="_Toc262100325"/>
      <w:r>
        <w:rPr>
          <w:rFonts w:ascii="Calibri" w:hAnsi="Calibri"/>
          <w:b/>
          <w:color w:val="1D4E5F"/>
          <w:sz w:val="27"/>
        </w:rPr>
        <w:t xml:space="preserve">H.6 False-Report Consequence</w:t>
      </w:r>
      <w:bookmarkEnd w:id="425"/>
    </w:p>
    <w:p>
      <w:pPr>
        <w:spacing w:after="130" w:line="340" w:lineRule="auto"/>
        <w:jc w:val="both"/>
      </w:pPr>
      <w:r>
        <w:rPr>
          <w:rFonts w:ascii="Cambria" w:hAnsi="Cambria"/>
          <w:color w:val="20262A"/>
          <w:sz w:val="22"/>
        </w:rPr>
        <w:t xml:space="preserve">A demonstrably false incident report enters the compliance engine as a Material finding against its author. The engine protects honest error: a report made in good faith on the information available carries no consequence, whatever the later classification.</w:t>
      </w:r>
    </w:p>
    <w:p>
      <w:pPr>
        <w:pStyle w:val="Heading1"/>
        <w:keepNext/>
        <w:keepLines/>
        <w:pageBreakBefore/>
      </w:pPr>
      <w:bookmarkStart w:id="426" w:name="_Toc262100326"/>
      <w:r>
        <w:rPr>
          <w:rFonts w:ascii="Calibri" w:hAnsi="Calibri"/>
          <w:b/>
          <w:color w:val="1D4E5F"/>
          <w:sz w:val="34"/>
        </w:rPr>
        <w:t xml:space="preserve">Annex I: The Phased Reopening Activation Checklist</w:t>
      </w:r>
      <w:bookmarkEnd w:id="426"/>
    </w:p>
    <w:p>
      <w:pPr>
        <w:pStyle w:val="Heading2"/>
        <w:keepNext/>
        <w:keepLines/>
      </w:pPr>
      <w:bookmarkStart w:id="427" w:name="_Toc262100327"/>
      <w:r>
        <w:rPr>
          <w:rFonts w:ascii="Calibri" w:hAnsi="Calibri"/>
          <w:b/>
          <w:color w:val="1D4E5F"/>
          <w:sz w:val="27"/>
        </w:rPr>
        <w:t xml:space="preserve">I.1 Phase Zero: Minimal Viable Activation (Days 0 to 10)</w:t>
      </w:r>
      <w:bookmarkEnd w:id="427"/>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 0: Signature; Phase Zero activates; the instrument record enters the Depositary's custody.</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0 to 3: Corridor geometry locked per Annex A provisional values; both corridor administrator desks named and seated.</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3 to 6: Functional security roles seated per Annex G; hotline installed between watch floor, both desks, and naval liaison rooms.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6 to 8: Temporary service rate card adopted at pilot rates; joint monitoring rules live; shared radar and AIS fusion feed tested end to end.</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8 to 10: Hotline answer standard tested daily; Gate G-0 certification by the Office after five consecutive daily passes; joint announcement of readiness.</w:t>
      </w:r>
    </w:p>
    <w:p>
      <w:pPr>
        <w:pStyle w:val="Heading2"/>
        <w:keepNext/>
        <w:keepLines/>
      </w:pPr>
      <w:bookmarkStart w:id="428" w:name="_Toc262100328"/>
      <w:r>
        <w:rPr>
          <w:rFonts w:ascii="Calibri" w:hAnsi="Calibri"/>
          <w:b/>
          <w:color w:val="1D4E5F"/>
          <w:sz w:val="27"/>
        </w:rPr>
        <w:t xml:space="preserve">I.2 Phase One: Pilot Declaration (Days 10 to 20)</w:t>
      </w:r>
      <w:bookmarkEnd w:id="428"/>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 10: Public declaration of the pilot phase in the three languages; the provisional corridor guidance publishes in the Bulletin.</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10 to 14: Notification packages to shipping associations, protection and indemnity clubs, war-risk underwriters, and flag registries.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14 to 18: Filing channels live for advance registrations; AIS pre-routing instructions issued to the first pilot convoy lists.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18 to 20: Gate G-1 certification: guidance published, channels live, notification complete.</w:t>
      </w:r>
    </w:p>
    <w:p>
      <w:pPr>
        <w:pStyle w:val="Heading2"/>
        <w:keepNext/>
        <w:keepLines/>
      </w:pPr>
      <w:bookmarkStart w:id="429" w:name="_Toc262100329"/>
      <w:r>
        <w:rPr>
          <w:rFonts w:ascii="Calibri" w:hAnsi="Calibri"/>
          <w:b/>
          <w:color w:val="1D4E5F"/>
          <w:sz w:val="27"/>
        </w:rPr>
        <w:t xml:space="preserve">I.3 Phase Two: Sequential Corridor Activation (Days 20 to 40)</w:t>
      </w:r>
      <w:bookmarkEnd w:id="429"/>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20 to 25: Central Buffer Corridor activates: diversion routing live, escort windows bookable, mine-risk overlay publishing, Buffer Board seated with baseline shares.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25 to 35: Southern Assurance Corridor activates: reporting points live, service craft on station, first outbound convoy windows run, catalog billing at pilot rates.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35 to 40: Northern Coordination Corridor activates: registration live, reporting points live, first inbound convoy windows run; wartime lanes stop accepting new entries at Day 40 under Article 42.1.</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 40: Gate G-2 certification: three corridors live, AIS adherence at 95 percent or higher for five consecutive days.</w:t>
      </w:r>
    </w:p>
    <w:p>
      <w:pPr>
        <w:pStyle w:val="Heading2"/>
        <w:keepNext/>
        <w:keepLines/>
      </w:pPr>
      <w:bookmarkStart w:id="430" w:name="_Toc262100330"/>
      <w:r>
        <w:rPr>
          <w:rFonts w:ascii="Calibri" w:hAnsi="Calibri"/>
          <w:b/>
          <w:color w:val="1D4E5F"/>
          <w:sz w:val="27"/>
        </w:rPr>
        <w:t xml:space="preserve">I.4 Phase Three: Money Goes Live (Days 40 to 55)</w:t>
      </w:r>
      <w:bookmarkEnd w:id="430"/>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40 to 45: Escrow accounts open in Geneva; fiduciary agent operational; Master Account receives first pilot settlements.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45 to 50: Data Service opens subscription sales at pilot bands; Insurer Interface live; first Port Processing Add-On remittances arrive.</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50 to 55: First full distribution cycle executed end to end; firewall continuity protocol tested on a simulated sanctions event; Gate G-3 certification.</w:t>
      </w:r>
    </w:p>
    <w:p>
      <w:pPr>
        <w:pStyle w:val="Heading2"/>
        <w:keepNext/>
        <w:keepLines/>
      </w:pPr>
      <w:bookmarkStart w:id="431" w:name="_Toc262100331"/>
      <w:r>
        <w:rPr>
          <w:rFonts w:ascii="Calibri" w:hAnsi="Calibri"/>
          <w:b/>
          <w:color w:val="1D4E5F"/>
          <w:sz w:val="27"/>
        </w:rPr>
        <w:t xml:space="preserve">I.5 Phase Four: The Stability Audit (Days 55 to 90)</w:t>
      </w:r>
      <w:bookmarkEnd w:id="431"/>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55 to 90: The Office runs the thirty-five-day audit against the eight metrics of Article 41.3, with daily data feeds and weekly interim notes.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 60: One full Flow State Blue diversion drill, unannounced, graded against parameters.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85 to 90: Audit opinion drafted; Gate G-4 certification issued; Council records the certification and confirms the Phase Five date.</w:t>
      </w:r>
    </w:p>
    <w:p>
      <w:pPr>
        <w:pStyle w:val="Heading2"/>
        <w:keepNext/>
        <w:keepLines/>
      </w:pPr>
      <w:bookmarkStart w:id="432" w:name="_Toc262100332"/>
      <w:r>
        <w:rPr>
          <w:rFonts w:ascii="Calibri" w:hAnsi="Calibri"/>
          <w:b/>
          <w:color w:val="1D4E5F"/>
          <w:sz w:val="27"/>
        </w:rPr>
        <w:t xml:space="preserve">I.6 Phase Five: Full Activation (Days 90 to 120)</w:t>
      </w:r>
      <w:bookmarkEnd w:id="432"/>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90 to 100: Final coordinate set registered with the International Maritime Organization and published; full rate card takes effect; pilot rates end.</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100 to 110: Joint patrols and the full Twin Key security regime live; Buffer Board voting weights confirmed against the Share Register; first quarterly SPI cycle begins.</w:t>
      </w:r>
    </w:p>
    <w:p>
      <w:pPr>
        <w:spacing w:after="80" w:line="330" w:lineRule="auto"/>
        <w:ind w:left="640" w:hanging="280"/>
        <w:jc w:val="both"/>
      </w:pPr>
      <w:r>
        <w:rPr>
          <w:rFonts w:ascii="Cambria" w:hAnsi="Cambria"/>
          <w:b/>
          <w:color w:val="9C7A2E"/>
          <w:sz w:val="22"/>
        </w:rPr>
        <w:t xml:space="preserve">- </w:t>
      </w:r>
      <w:r>
        <w:rPr>
          <w:rFonts w:ascii="Cambria" w:hAnsi="Cambria"/>
          <w:color w:val="20262A"/>
          <w:sz w:val="22"/>
        </w:rPr>
        <w:t xml:space="preserve">Days 110 to 120: Sunset Declaration under Article 42.2; wartime lanes close; the Compact runs in steady state; the first annual review conference date publishes.</w:t>
      </w:r>
    </w:p>
    <w:p>
      <w:pPr>
        <w:pStyle w:val="Heading1"/>
        <w:keepNext/>
        <w:keepLines/>
        <w:pageBreakBefore/>
      </w:pPr>
      <w:bookmarkStart w:id="433" w:name="_Toc262100333"/>
      <w:r>
        <w:rPr>
          <w:rFonts w:ascii="Calibri" w:hAnsi="Calibri"/>
          <w:b/>
          <w:color w:val="1D4E5F"/>
          <w:sz w:val="34"/>
        </w:rPr>
        <w:t xml:space="preserve">Annex J: Communications, AIS, and Reporting Formats</w:t>
      </w:r>
      <w:bookmarkEnd w:id="433"/>
    </w:p>
    <w:p>
      <w:pPr>
        <w:pStyle w:val="Heading2"/>
        <w:keepNext/>
        <w:keepLines/>
      </w:pPr>
      <w:bookmarkStart w:id="434" w:name="_Toc262100334"/>
      <w:r>
        <w:rPr>
          <w:rFonts w:ascii="Calibri" w:hAnsi="Calibri"/>
          <w:b/>
          <w:color w:val="1D4E5F"/>
          <w:sz w:val="27"/>
        </w:rPr>
        <w:t xml:space="preserve">J.1 The Multilateral Transit Code Format</w:t>
      </w:r>
      <w:bookmarkEnd w:id="434"/>
    </w:p>
    <w:p>
      <w:pPr>
        <w:spacing w:after="130" w:line="340" w:lineRule="auto"/>
        <w:jc w:val="both"/>
      </w:pPr>
      <w:r>
        <w:rPr>
          <w:rFonts w:ascii="Cambria" w:hAnsi="Cambria"/>
          <w:color w:val="20262A"/>
          <w:sz w:val="22"/>
        </w:rPr>
        <w:t xml:space="preserve">The code reads: HMG-26-CC-NNNNNN-XX, where HMG identifies the Compact system, 26 the year of issue, CC the corridor code (NC inbound, SA outbound, CB buffer, XD diversion), NNNNNN the sequential registration number, and XX the vessel class letter. The Center issues the code within fifteen minutes of a complete filing, and the code appears in every subsequent report, invoice, and incident record for the voyage.</w:t>
      </w:r>
    </w:p>
    <w:p>
      <w:pPr>
        <w:pStyle w:val="Heading2"/>
        <w:keepNext/>
        <w:keepLines/>
      </w:pPr>
      <w:bookmarkStart w:id="435" w:name="_Toc262100335"/>
      <w:r>
        <w:rPr>
          <w:rFonts w:ascii="Calibri" w:hAnsi="Calibri"/>
          <w:b/>
          <w:color w:val="1D4E5F"/>
          <w:sz w:val="27"/>
        </w:rPr>
        <w:t xml:space="preserve">J.2 The Twelve Filing Fields</w:t>
      </w:r>
      <w:bookmarkEnd w:id="435"/>
    </w:p>
    <w:p>
      <w:pPr>
        <w:spacing w:after="130" w:line="340" w:lineRule="auto"/>
        <w:jc w:val="both"/>
      </w:pPr>
      <w:r>
        <w:rPr>
          <w:rFonts w:ascii="Cambria" w:hAnsi="Cambria"/>
          <w:color w:val="20262A"/>
          <w:sz w:val="22"/>
        </w:rPr>
        <w:t xml:space="preserve">F-1 vessel name and IMO number; F-2 flag state; F-3 vessel class under Annex B; F-4 gross tonnage and summer deadweight; F-5 cargo type by category; F-6 last port and next port; F-7 requested corridor and convoy window preference; F-8 elected catalog services; F-9 subscription status and band; F-10 pollution liability certificate reference for Classes A, B, and C; F-11 contact channel and working language; F-12 master declaration of accuracy. Filing completes through the web portal, the port agent channel, or the watch floor voice channel, in not more than fifteen minutes.</w:t>
      </w:r>
    </w:p>
    <w:p>
      <w:pPr>
        <w:pStyle w:val="Heading2"/>
        <w:keepNext/>
        <w:keepLines/>
      </w:pPr>
      <w:bookmarkStart w:id="436" w:name="_Toc262100336"/>
      <w:r>
        <w:rPr>
          <w:rFonts w:ascii="Calibri" w:hAnsi="Calibri"/>
          <w:b/>
          <w:color w:val="1D4E5F"/>
          <w:sz w:val="27"/>
        </w:rPr>
        <w:t xml:space="preserve">J.3 Message Templates</w:t>
      </w:r>
      <w:bookmarkEnd w:id="436"/>
    </w:p>
    <w:p>
      <w:pPr>
        <w:spacing w:after="130" w:line="340" w:lineRule="auto"/>
        <w:jc w:val="both"/>
      </w:pPr>
      <w:r>
        <w:rPr>
          <w:rFonts w:ascii="Cambria" w:hAnsi="Cambria"/>
          <w:color w:val="20262A"/>
          <w:sz w:val="22"/>
        </w:rPr>
        <w:t xml:space="preserve">Entry report: vessel name, code, position, speed, next reporting point. Diversion request: vessel name, code, nature of emergency, requested routing, assistance needed. Incident initial report: reporting unit, event type in neutral language, position, time, vessels involved, assistance status, next report time. Every template publishes in the three languages in the Bulletin appendix and ships with every code issuance.</w:t>
      </w:r>
    </w:p>
    <w:p>
      <w:pPr>
        <w:pStyle w:val="Heading2"/>
        <w:keepNext/>
        <w:keepLines/>
      </w:pPr>
      <w:bookmarkStart w:id="437" w:name="_Toc262100337"/>
      <w:r>
        <w:rPr>
          <w:rFonts w:ascii="Calibri" w:hAnsi="Calibri"/>
          <w:b/>
          <w:color w:val="1D4E5F"/>
          <w:sz w:val="27"/>
        </w:rPr>
        <w:t xml:space="preserve">J.4 The Class H Fast-Track Form</w:t>
      </w:r>
      <w:bookmarkEnd w:id="437"/>
    </w:p>
    <w:p>
      <w:pPr>
        <w:spacing w:after="130" w:line="340" w:lineRule="auto"/>
        <w:jc w:val="both"/>
      </w:pPr>
      <w:r>
        <w:rPr>
          <w:rFonts w:ascii="Cambria" w:hAnsi="Cambria"/>
          <w:color w:val="20262A"/>
          <w:sz w:val="22"/>
        </w:rPr>
        <w:t xml:space="preserve">Class H filings use a four-field form: identity, cargo category, routing, assistance needs. The watch floor issues the code within five minutes, assigns first convoy position, and notes the transit for the Humanitarian Line.</w:t>
      </w:r>
    </w:p>
    <w:p>
      <w:pPr>
        <w:pStyle w:val="Heading2"/>
        <w:keepNext/>
        <w:keepLines/>
      </w:pPr>
      <w:bookmarkStart w:id="438" w:name="_Toc262100338"/>
      <w:r>
        <w:rPr>
          <w:rFonts w:ascii="Calibri" w:hAnsi="Calibri"/>
          <w:b/>
          <w:color w:val="1D4E5F"/>
          <w:sz w:val="27"/>
        </w:rPr>
        <w:t xml:space="preserve">J.5 The Channel Matrix</w:t>
      </w:r>
      <w:bookmarkEnd w:id="438"/>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400"/>
        <w:gridCol w:w="3800"/>
        <w:gridCol w:w="4800"/>
      </w:tblGrid>
      <w:tr>
        <w:trPr>
          <w:tblHeader/>
        </w:trPr>
        <w:tc>
          <w:tcPr>
            <w:tcW w:w="1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Channel</w:t>
            </w:r>
          </w:p>
        </w:tc>
        <w:tc>
          <w:tcPr>
            <w:tcW w:w="3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Assignment</w:t>
            </w:r>
          </w:p>
        </w:tc>
        <w:tc>
          <w:tcPr>
            <w:tcW w:w="4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Discipline</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VHF 16</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Distress, safety, and calling</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International distress discipline; watch floor guards continuously.</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VHF 72</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Northern desk working channel</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Standard Marine Communication Phrases; five-element reports.</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VHF 73</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Southern desk working channel</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Standard Marine Communication Phrases; five-element reports.</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VHF 74</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Buffer coordination channel</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Diversions, escorts, SAR marshalling.</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VHF 77</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Hotline backup</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Administrators and naval liaison only.</w:t>
            </w:r>
          </w:p>
        </w:tc>
      </w:tr>
      <w:tr>
        <w:tc>
          <w:tcPr>
            <w:tcW w:w="1400" w:type="dxa"/>
            <w:tcMar>
              <w:top w:w="60" w:type="dxa"/>
              <w:left w:w="100" w:type="dxa"/>
              <w:bottom w:w="60" w:type="dxa"/>
              <w:right w:w="100" w:type="dxa"/>
            </w:tcMar>
          </w:tcPr>
          <w:p>
            <w:pPr>
              <w:spacing w:after="20" w:line="290" w:lineRule="auto"/>
            </w:pPr>
            <w:r>
              <w:rPr>
                <w:rFonts w:ascii="Calibri" w:hAnsi="Calibri"/>
                <w:color w:val="20262A"/>
                <w:sz w:val="19"/>
              </w:rPr>
              <w:t xml:space="preserve">Digital</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Portal, API, and satellite data channel</w:t>
            </w:r>
          </w:p>
        </w:tc>
        <w:tc>
          <w:tcPr>
            <w:tcW w:w="4800" w:type="dxa"/>
            <w:tcMar>
              <w:top w:w="60" w:type="dxa"/>
              <w:left w:w="100" w:type="dxa"/>
              <w:bottom w:w="60" w:type="dxa"/>
              <w:right w:w="100" w:type="dxa"/>
            </w:tcMar>
          </w:tcPr>
          <w:p>
            <w:pPr>
              <w:spacing w:after="20" w:line="290" w:lineRule="auto"/>
            </w:pPr>
            <w:r>
              <w:rPr>
                <w:rFonts w:ascii="Calibri" w:hAnsi="Calibri"/>
                <w:color w:val="20262A"/>
                <w:sz w:val="19"/>
              </w:rPr>
              <w:t xml:space="preserve">All filings, feeds, and Bulletin distribution.</w:t>
            </w:r>
          </w:p>
        </w:tc>
      </w:tr>
    </w:tbl>
    <w:p>
      <w:pPr>
        <w:spacing w:after="100"/>
      </w:pPr>
    </w:p>
    <w:p>
      <w:pPr>
        <w:pStyle w:val="Heading2"/>
        <w:keepNext/>
        <w:keepLines/>
      </w:pPr>
      <w:bookmarkStart w:id="439" w:name="_Toc262100339"/>
      <w:r>
        <w:rPr>
          <w:rFonts w:ascii="Calibri" w:hAnsi="Calibri"/>
          <w:b/>
          <w:color w:val="1D4E5F"/>
          <w:sz w:val="27"/>
        </w:rPr>
        <w:t xml:space="preserve">J.6 AIS and Telemetry Rules</w:t>
      </w:r>
      <w:bookmarkEnd w:id="439"/>
    </w:p>
    <w:p>
      <w:pPr>
        <w:spacing w:after="130" w:line="340" w:lineRule="auto"/>
        <w:jc w:val="both"/>
      </w:pPr>
      <w:r>
        <w:rPr>
          <w:rFonts w:ascii="Cambria" w:hAnsi="Cambria"/>
          <w:color w:val="20262A"/>
          <w:sz w:val="22"/>
        </w:rPr>
        <w:t xml:space="preserve">Every vessel above 300 gross tons transmits Class A Automatic Identification System data continuously within the Operating Area. The watch floor logs every transmission gap above ten minutes and queries the vessel on the working channel. Class F craft in the bands transmit Class B data where fitted and report by voice otherwise. Spoofing, jamming, or deliberate identity manipulation enters the engine as a Class 2 event.</w:t>
      </w:r>
    </w:p>
    <w:p>
      <w:pPr>
        <w:pStyle w:val="Heading2"/>
        <w:keepNext/>
        <w:keepLines/>
      </w:pPr>
      <w:bookmarkStart w:id="440" w:name="_Toc262100340"/>
      <w:r>
        <w:rPr>
          <w:rFonts w:ascii="Calibri" w:hAnsi="Calibri"/>
          <w:b/>
          <w:color w:val="1D4E5F"/>
          <w:sz w:val="27"/>
        </w:rPr>
        <w:t xml:space="preserve">J.7 Anti-Spoofing Protocol</w:t>
      </w:r>
      <w:bookmarkEnd w:id="440"/>
    </w:p>
    <w:p>
      <w:pPr>
        <w:spacing w:after="130" w:line="340" w:lineRule="auto"/>
        <w:jc w:val="both"/>
      </w:pPr>
      <w:r>
        <w:rPr>
          <w:rFonts w:ascii="Cambria" w:hAnsi="Cambria"/>
          <w:color w:val="20262A"/>
          <w:sz w:val="22"/>
        </w:rPr>
        <w:t xml:space="preserve">The Center cross-checks AIS positions against the fused radar picture continuously. A mismatch above one nautical mile triggers a verification call, then a platform telemetry request, then an observation tasking. Confirmed spoofing generates an initial report within one hour and feeds the statistics feed as its own cause category.</w:t>
      </w:r>
    </w:p>
    <w:p>
      <w:pPr>
        <w:pStyle w:val="Heading1"/>
        <w:keepNext/>
        <w:keepLines/>
        <w:pageBreakBefore/>
      </w:pPr>
      <w:bookmarkStart w:id="441" w:name="_Toc262100341"/>
      <w:r>
        <w:rPr>
          <w:rFonts w:ascii="Calibri" w:hAnsi="Calibri"/>
          <w:b/>
          <w:color w:val="1D4E5F"/>
          <w:sz w:val="34"/>
        </w:rPr>
        <w:t xml:space="preserve">Annex K: The Environmental Response Protocol</w:t>
      </w:r>
      <w:bookmarkEnd w:id="441"/>
    </w:p>
    <w:p>
      <w:pPr>
        <w:pStyle w:val="Heading2"/>
        <w:keepNext/>
        <w:keepLines/>
      </w:pPr>
      <w:bookmarkStart w:id="442" w:name="_Toc262100342"/>
      <w:r>
        <w:rPr>
          <w:rFonts w:ascii="Calibri" w:hAnsi="Calibri"/>
          <w:b/>
          <w:color w:val="1D4E5F"/>
          <w:sz w:val="27"/>
        </w:rPr>
        <w:t xml:space="preserve">K.1 The Three Tiers</w:t>
      </w:r>
      <w:bookmarkEnd w:id="442"/>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100"/>
        <w:gridCol w:w="2800"/>
        <w:gridCol w:w="3800"/>
        <w:gridCol w:w="2300"/>
      </w:tblGrid>
      <w:tr>
        <w:trPr>
          <w:tblHeader/>
        </w:trPr>
        <w:tc>
          <w:tcPr>
            <w:tcW w:w="11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Tier</w:t>
            </w:r>
          </w:p>
        </w:tc>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Event scale</w:t>
            </w:r>
          </w:p>
        </w:tc>
        <w:tc>
          <w:tcPr>
            <w:tcW w:w="3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Response standard</w:t>
            </w:r>
          </w:p>
        </w:tc>
        <w:tc>
          <w:tcPr>
            <w:tcW w:w="23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Command</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Tier 1</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Discharge under ten tonnes</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First response unit on scene within two hours; containment within six hours.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Sector on-scene coordinator</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Tier 2</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Discharge of ten to one hundred tonnes</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Joint response from both ends of the system within four hours; aerial assessment within six hours.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Center environmental duty officer</w:t>
            </w:r>
          </w:p>
        </w:tc>
      </w:tr>
      <w:tr>
        <w:tc>
          <w:tcPr>
            <w:tcW w:w="1100" w:type="dxa"/>
            <w:tcMar>
              <w:top w:w="60" w:type="dxa"/>
              <w:left w:w="100" w:type="dxa"/>
              <w:bottom w:w="60" w:type="dxa"/>
              <w:right w:w="100" w:type="dxa"/>
            </w:tcMar>
          </w:tcPr>
          <w:p>
            <w:pPr>
              <w:spacing w:after="20" w:line="290" w:lineRule="auto"/>
            </w:pPr>
            <w:r>
              <w:rPr>
                <w:rFonts w:ascii="Calibri" w:hAnsi="Calibri"/>
                <w:color w:val="20262A"/>
                <w:sz w:val="19"/>
              </w:rPr>
              <w:t xml:space="preserve">Tier 3</w:t>
            </w:r>
          </w:p>
        </w:tc>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Discharge above one hundred tonnes or any ongoing source</w:t>
            </w:r>
          </w:p>
        </w:tc>
        <w:tc>
          <w:tcPr>
            <w:tcW w:w="3800" w:type="dxa"/>
            <w:tcMar>
              <w:top w:w="60" w:type="dxa"/>
              <w:left w:w="100" w:type="dxa"/>
              <w:bottom w:w="60" w:type="dxa"/>
              <w:right w:w="100" w:type="dxa"/>
            </w:tcMar>
          </w:tcPr>
          <w:p>
            <w:pPr>
              <w:spacing w:after="20" w:line="290" w:lineRule="auto"/>
            </w:pPr>
            <w:r>
              <w:rPr>
                <w:rFonts w:ascii="Calibri" w:hAnsi="Calibri"/>
                <w:color w:val="20262A"/>
                <w:sz w:val="19"/>
              </w:rPr>
              <w:t xml:space="preserve">Full system activation within six hours; contracted salvage interface engaged within twelve hours; daily public situation reports.</w:t>
            </w:r>
          </w:p>
        </w:tc>
        <w:tc>
          <w:tcPr>
            <w:tcW w:w="2300" w:type="dxa"/>
            <w:tcMar>
              <w:top w:w="60" w:type="dxa"/>
              <w:left w:w="100" w:type="dxa"/>
              <w:bottom w:w="60" w:type="dxa"/>
              <w:right w:w="100" w:type="dxa"/>
            </w:tcMar>
          </w:tcPr>
          <w:p>
            <w:pPr>
              <w:spacing w:after="20" w:line="290" w:lineRule="auto"/>
            </w:pPr>
            <w:r>
              <w:rPr>
                <w:rFonts w:ascii="Calibri" w:hAnsi="Calibri"/>
                <w:color w:val="20262A"/>
                <w:sz w:val="19"/>
              </w:rPr>
              <w:t xml:space="preserve">Center director with the Council informed simultaneously</w:t>
            </w:r>
          </w:p>
        </w:tc>
      </w:tr>
    </w:tbl>
    <w:p>
      <w:pPr>
        <w:spacing w:after="100"/>
      </w:pPr>
    </w:p>
    <w:p>
      <w:pPr>
        <w:pStyle w:val="Heading2"/>
        <w:keepNext/>
        <w:keepLines/>
      </w:pPr>
      <w:bookmarkStart w:id="443" w:name="_Toc262100343"/>
      <w:r>
        <w:rPr>
          <w:rFonts w:ascii="Calibri" w:hAnsi="Calibri"/>
          <w:b/>
          <w:color w:val="1D4E5F"/>
          <w:sz w:val="27"/>
        </w:rPr>
        <w:t xml:space="preserve">K.2 The Readiness Asset Table</w:t>
      </w:r>
      <w:bookmarkEnd w:id="443"/>
    </w:p>
    <w:p>
      <w:pPr>
        <w:spacing w:after="130" w:line="340" w:lineRule="auto"/>
        <w:jc w:val="both"/>
      </w:pPr>
      <w:r>
        <w:rPr>
          <w:rFonts w:ascii="Cambria" w:hAnsi="Cambria"/>
          <w:color w:val="20262A"/>
          <w:sz w:val="22"/>
        </w:rPr>
        <w:t xml:space="preserve">The Environmental Reserve funds: two dedicated response vessels, one at each end of the system, on thirty-minute standby; six thousand meters of containment boom split across the two depots; four skimming systems; dispersant stock for Tier 2 response under the sensitive-area rules; and two contracted salvage tugs on annual retainer. The Office inspects readiness quarterly against this table, and the inspection feeds domain D-5 of the Index.</w:t>
      </w:r>
    </w:p>
    <w:p>
      <w:pPr>
        <w:pStyle w:val="Heading2"/>
        <w:keepNext/>
        <w:keepLines/>
      </w:pPr>
      <w:bookmarkStart w:id="444" w:name="_Toc262100344"/>
      <w:r>
        <w:rPr>
          <w:rFonts w:ascii="Calibri" w:hAnsi="Calibri"/>
          <w:b/>
          <w:color w:val="1D4E5F"/>
          <w:sz w:val="27"/>
        </w:rPr>
        <w:t xml:space="preserve">K.3 Sensitive Area Rules</w:t>
      </w:r>
      <w:bookmarkEnd w:id="444"/>
    </w:p>
    <w:p>
      <w:pPr>
        <w:spacing w:after="130" w:line="340" w:lineRule="auto"/>
        <w:jc w:val="both"/>
      </w:pPr>
      <w:r>
        <w:rPr>
          <w:rFonts w:ascii="Cambria" w:hAnsi="Cambria"/>
          <w:color w:val="20262A"/>
          <w:sz w:val="22"/>
        </w:rPr>
        <w:t xml:space="preserve">In the Particularly Sensitive Areas of Annex A.10: dispersant use requires the environmental duty officer's approval; response routing avoids the coral terraces by the published approach lines; and every Tier 1 event inside a sensitive area upgrades automatically to Tier 2 command. Seasonal closures reroute traffic per the Bulletin, and the alternate routings hold the same service levels as the primary lanes.</w:t>
      </w:r>
    </w:p>
    <w:p>
      <w:pPr>
        <w:pStyle w:val="Heading2"/>
        <w:keepNext/>
        <w:keepLines/>
      </w:pPr>
      <w:bookmarkStart w:id="445" w:name="_Toc262100345"/>
      <w:r>
        <w:rPr>
          <w:rFonts w:ascii="Calibri" w:hAnsi="Calibri"/>
          <w:b/>
          <w:color w:val="1D4E5F"/>
          <w:sz w:val="27"/>
        </w:rPr>
        <w:t xml:space="preserve">K.4 The Rolling Survey Program</w:t>
      </w:r>
      <w:bookmarkEnd w:id="445"/>
    </w:p>
    <w:p>
      <w:pPr>
        <w:spacing w:after="130" w:line="340" w:lineRule="auto"/>
        <w:jc w:val="both"/>
      </w:pPr>
      <w:r>
        <w:rPr>
          <w:rFonts w:ascii="Cambria" w:hAnsi="Cambria"/>
          <w:color w:val="20262A"/>
          <w:sz w:val="22"/>
        </w:rPr>
        <w:t xml:space="preserve">The survey program resurveys every corridor on a ninety-day cycle, every separation belt on a one-hundred-eighty-day cycle, and every holding anchorage annually, using contracted hydrographic capacity at catalog rates. Survey data feeds the mine-risk overlay, the chart corrections of Article 11.6, and the certification record of Article 33.3.</w:t>
      </w:r>
    </w:p>
    <w:p>
      <w:pPr>
        <w:pStyle w:val="Heading1"/>
        <w:keepNext/>
        <w:keepLines/>
        <w:pageBreakBefore/>
      </w:pPr>
      <w:bookmarkStart w:id="446" w:name="_Toc262100346"/>
      <w:r>
        <w:rPr>
          <w:rFonts w:ascii="Calibri" w:hAnsi="Calibri"/>
          <w:b/>
          <w:color w:val="1D4E5F"/>
          <w:sz w:val="34"/>
        </w:rPr>
        <w:t xml:space="preserve">Annex L: Model Forms</w:t>
      </w:r>
      <w:bookmarkEnd w:id="446"/>
    </w:p>
    <w:p>
      <w:pPr>
        <w:pStyle w:val="Heading2"/>
        <w:keepNext/>
        <w:keepLines/>
      </w:pPr>
      <w:bookmarkStart w:id="447" w:name="_Toc262100347"/>
      <w:r>
        <w:rPr>
          <w:rFonts w:ascii="Calibri" w:hAnsi="Calibri"/>
          <w:b/>
          <w:color w:val="1D4E5F"/>
          <w:sz w:val="27"/>
        </w:rPr>
        <w:t xml:space="preserve">L.1 Form T-1: Transit Registration</w:t>
      </w:r>
      <w:bookmarkEnd w:id="447"/>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600"/>
        <w:gridCol w:w="6400"/>
      </w:tblGrid>
      <w:tr>
        <w:trPr>
          <w:tblHeader/>
        </w:trPr>
        <w:tc>
          <w:tcPr>
            <w:tcW w:w="3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Field</w:t>
            </w:r>
          </w:p>
        </w:tc>
        <w:tc>
          <w:tcPr>
            <w:tcW w:w="6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Entry guidance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1. Vessel name and IMO number</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As registered; IMO number exactly seven digits.</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2. Flag state</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State of registry.</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3. Vessel class</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Annex B class letter; the portal assigns automatically from fields 4 and 5.</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4. Gross tonnage and summer deadweight</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As per tonnage certificate.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5. Cargo type by category</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Crude; liquefied gas; product; chemical; container; bulk; general; humanitarian; ballast; none.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6. Last port and next port</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UN/LOCODE identifiers.</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7. Requested corridor and convoy window</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Corridor code and preferred window from the Bulletin.</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8. Elected catalog services</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S-codes from Annex D; leave blank for none.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9. Subscription status and band</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Subscription number or day-pass election.</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10. Pollution liability certificate reference</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Classes A, B, and C only; provider and certificate number.</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11. Contact channel and working language</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Primary VHF watch and one of the three working languages.</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12. Master declaration</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The master declares the filing accurate; a false declaration enters the engine as a Class 4 event.</w:t>
            </w:r>
          </w:p>
        </w:tc>
      </w:tr>
    </w:tbl>
    <w:p>
      <w:pPr>
        <w:spacing w:after="100"/>
      </w:pPr>
    </w:p>
    <w:p>
      <w:pPr>
        <w:pStyle w:val="Heading2"/>
        <w:keepNext/>
        <w:keepLines/>
      </w:pPr>
      <w:bookmarkStart w:id="448" w:name="_Toc262100348"/>
      <w:r>
        <w:rPr>
          <w:rFonts w:ascii="Calibri" w:hAnsi="Calibri"/>
          <w:b/>
          <w:color w:val="1D4E5F"/>
          <w:sz w:val="27"/>
        </w:rPr>
        <w:t xml:space="preserve">L.2 Form S-1: Service Invoice Cover Sheet</w:t>
      </w:r>
      <w:bookmarkEnd w:id="448"/>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600"/>
        <w:gridCol w:w="6400"/>
      </w:tblGrid>
      <w:tr>
        <w:trPr>
          <w:tblHeader/>
        </w:trPr>
        <w:tc>
          <w:tcPr>
            <w:tcW w:w="3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Field</w:t>
            </w:r>
          </w:p>
        </w:tc>
        <w:tc>
          <w:tcPr>
            <w:tcW w:w="6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Entry guidance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Invoice number and period</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Sequential; weekly or per transit.</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Delivering party</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Administrator or share-holder delivering the service.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Vessel and Multilateral Transit Code</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Exactly as issued.</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Service lines</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S-code, unit, quantity, rate, amount; one row per service.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Evidence package references</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E-1 to E-6 identifiers per Annex D.3.</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Deductions applied</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Per Annex D.4 schedule, with reasons.</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Net amount claimed</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Sum of lines less deductions.</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Certification</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Delivering officer certifies delivery; the certification carries Annex H.6 consequences.</w:t>
            </w:r>
          </w:p>
        </w:tc>
      </w:tr>
    </w:tbl>
    <w:p>
      <w:pPr>
        <w:spacing w:after="100"/>
      </w:pPr>
    </w:p>
    <w:p>
      <w:pPr>
        <w:pStyle w:val="Heading2"/>
        <w:keepNext/>
        <w:keepLines/>
      </w:pPr>
      <w:bookmarkStart w:id="449" w:name="_Toc262100349"/>
      <w:r>
        <w:rPr>
          <w:rFonts w:ascii="Calibri" w:hAnsi="Calibri"/>
          <w:b/>
          <w:color w:val="1D4E5F"/>
          <w:sz w:val="27"/>
        </w:rPr>
        <w:t xml:space="preserve">L.3 Form O-1: Observer Embarkation and Report</w:t>
      </w:r>
      <w:bookmarkEnd w:id="449"/>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600"/>
        <w:gridCol w:w="6400"/>
      </w:tblGrid>
      <w:tr>
        <w:trPr>
          <w:tblHeader/>
        </w:trPr>
        <w:tc>
          <w:tcPr>
            <w:tcW w:w="3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Field</w:t>
            </w:r>
          </w:p>
        </w:tc>
        <w:tc>
          <w:tcPr>
            <w:tcW w:w="6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Entry guidance</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Observer identity and mandate number</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Office-issued mandate, valid for the embarkation period.</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Platform and period</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Vessel or watch floor, dates, sector.</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Observation log</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Timestamped entries in neutral language; no opinions, facts only.</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Anomalies noted</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Each anomaly cross-referenced to sensor extract numbers.</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Handover record</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Signatures of observer and platform master; the signature acknowledges presence, not agreement.</w:t>
            </w:r>
          </w:p>
        </w:tc>
      </w:tr>
      <w:tr>
        <w:tc>
          <w:tcPr>
            <w:tcW w:w="3600" w:type="dxa"/>
            <w:tcMar>
              <w:top w:w="60" w:type="dxa"/>
              <w:left w:w="100" w:type="dxa"/>
              <w:bottom w:w="60" w:type="dxa"/>
              <w:right w:w="100" w:type="dxa"/>
            </w:tcMar>
          </w:tcPr>
          <w:p>
            <w:pPr>
              <w:spacing w:after="20" w:line="290" w:lineRule="auto"/>
            </w:pPr>
            <w:r>
              <w:rPr>
                <w:rFonts w:ascii="Calibri" w:hAnsi="Calibri"/>
                <w:color w:val="20262A"/>
                <w:sz w:val="19"/>
              </w:rPr>
              <w:t xml:space="preserve">Filing</w:t>
            </w:r>
          </w:p>
        </w:tc>
        <w:tc>
          <w:tcPr>
            <w:tcW w:w="6400" w:type="dxa"/>
            <w:tcMar>
              <w:top w:w="60" w:type="dxa"/>
              <w:left w:w="100" w:type="dxa"/>
              <w:bottom w:w="60" w:type="dxa"/>
              <w:right w:w="100" w:type="dxa"/>
            </w:tcMar>
          </w:tcPr>
          <w:p>
            <w:pPr>
              <w:spacing w:after="20" w:line="290" w:lineRule="auto"/>
            </w:pPr>
            <w:r>
              <w:rPr>
                <w:rFonts w:ascii="Calibri" w:hAnsi="Calibri"/>
                <w:color w:val="20262A"/>
                <w:sz w:val="19"/>
              </w:rPr>
              <w:t xml:space="preserve">Within twenty-four hours of disembarkation, to the Office record.</w:t>
            </w:r>
          </w:p>
        </w:tc>
      </w:tr>
    </w:tbl>
    <w:p>
      <w:pPr>
        <w:spacing w:after="100"/>
      </w:pPr>
    </w:p>
    <w:p>
      <w:pPr>
        <w:pStyle w:val="Heading2"/>
        <w:keepNext/>
        <w:keepLines/>
      </w:pPr>
      <w:bookmarkStart w:id="450" w:name="_Toc262100350"/>
      <w:r>
        <w:rPr>
          <w:rFonts w:ascii="Calibri" w:hAnsi="Calibri"/>
          <w:b/>
          <w:color w:val="1D4E5F"/>
          <w:sz w:val="27"/>
        </w:rPr>
        <w:t xml:space="preserve">L.4 Form A-1: Instrument of Accession</w:t>
      </w:r>
      <w:bookmarkEnd w:id="450"/>
    </w:p>
    <w:p>
      <w:pPr>
        <w:spacing w:after="130" w:line="340" w:lineRule="auto"/>
        <w:jc w:val="both"/>
      </w:pPr>
      <w:r>
        <w:rPr>
          <w:rFonts w:ascii="Cambria" w:hAnsi="Cambria"/>
          <w:color w:val="20262A"/>
          <w:sz w:val="22"/>
        </w:rPr>
        <w:t xml:space="preserve">The Government of [acceding state], having examined the Gulf Triadic Governance Compact, version 1.0 of 7 August 2026, accedes to the Compact in Category [II / III / IV] as defined in Article 44.3, accepts the Compact as it stands, including the Inviolable Principles Register, the share schedule, and the Accrual Ladder, and designates [authority] as its contact point. The instrument takes effect thirty days after deposit with the Depositary. Signed at [place] on [date], in one original in the three languages.</w:t>
      </w:r>
    </w:p>
    <w:p>
      <w:pPr>
        <w:pStyle w:val="Heading1"/>
        <w:keepNext/>
        <w:keepLines/>
        <w:pageBreakBefore/>
      </w:pPr>
      <w:bookmarkStart w:id="451" w:name="_Toc262100351"/>
      <w:r>
        <w:rPr>
          <w:rFonts w:ascii="Calibri" w:hAnsi="Calibri"/>
          <w:b/>
          <w:color w:val="1D4E5F"/>
          <w:sz w:val="34"/>
        </w:rPr>
        <w:t xml:space="preserve">Annex M: Governance Calendar and Standing Tables</w:t>
      </w:r>
      <w:bookmarkEnd w:id="451"/>
    </w:p>
    <w:p>
      <w:pPr>
        <w:pStyle w:val="Heading2"/>
        <w:keepNext/>
        <w:keepLines/>
      </w:pPr>
      <w:bookmarkStart w:id="452" w:name="_Toc262100352"/>
      <w:r>
        <w:rPr>
          <w:rFonts w:ascii="Calibri" w:hAnsi="Calibri"/>
          <w:b/>
          <w:color w:val="1D4E5F"/>
          <w:sz w:val="27"/>
        </w:rPr>
        <w:t xml:space="preserve">M.1 The Annual Calendar</w:t>
      </w:r>
      <w:bookmarkEnd w:id="452"/>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1600"/>
        <w:gridCol w:w="8400"/>
      </w:tblGrid>
      <w:tr>
        <w:trPr>
          <w:tblHeader/>
        </w:trPr>
        <w:tc>
          <w:tcPr>
            <w:tcW w:w="1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Month</w:t>
            </w:r>
          </w:p>
        </w:tc>
        <w:tc>
          <w:tcPr>
            <w:tcW w:w="8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Standing events</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1</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Quarter close processing; annual external audit fieldwork begins; SAR rota annual review.</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2</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Q4 SPI and audit opinion publish; Q4 distribution on day forty-five of the cycle.</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3</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Spawning closure SC-A opens 1 March; Council ordinary session reviews closure routing.</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4</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Q1 close processing; readiness inspection cycle begins.</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5</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Q1 SPI and audit opinion publish; Q1 distribution; SC-A closes 30 April.</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6</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Mid-year envelope variance review; Buffer Board work program refresh.</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7</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Q2 close processing; Data Service subscription mid-year reconciliation.</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8</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Q2 SPI and audit opinion publish; Q2 distribution; Compact anniversary review note.</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9</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Spawning closure SC-B opens 1 September; war-risk baseline panel refresh.</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10</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Annual envelope adoption session; Q3 close processing; Open Water Review Conference convenes.</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11</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Rolling horizon confirmation; Q3 SPI and audit opinion publish; Q3 distribution; SC-B closes 30 November.</w:t>
            </w:r>
          </w:p>
        </w:tc>
      </w:tr>
      <w:tr>
        <w:tc>
          <w:tcPr>
            <w:tcW w:w="1600" w:type="dxa"/>
            <w:tcMar>
              <w:top w:w="60" w:type="dxa"/>
              <w:left w:w="100" w:type="dxa"/>
              <w:bottom w:w="60" w:type="dxa"/>
              <w:right w:w="100" w:type="dxa"/>
            </w:tcMar>
          </w:tcPr>
          <w:p>
            <w:pPr>
              <w:spacing w:after="20" w:line="290" w:lineRule="auto"/>
            </w:pPr>
            <w:r>
              <w:rPr>
                <w:rFonts w:ascii="Calibri" w:hAnsi="Calibri"/>
                <w:color w:val="20262A"/>
                <w:sz w:val="19"/>
              </w:rPr>
              <w:t xml:space="preserve">Month 12</w:t>
            </w:r>
          </w:p>
        </w:tc>
        <w:tc>
          <w:tcPr>
            <w:tcW w:w="8400" w:type="dxa"/>
            <w:tcMar>
              <w:top w:w="60" w:type="dxa"/>
              <w:left w:w="100" w:type="dxa"/>
              <w:bottom w:w="60" w:type="dxa"/>
              <w:right w:w="100" w:type="dxa"/>
            </w:tcMar>
          </w:tcPr>
          <w:p>
            <w:pPr>
              <w:spacing w:after="20" w:line="290" w:lineRule="auto"/>
            </w:pPr>
            <w:r>
              <w:rPr>
                <w:rFonts w:ascii="Calibri" w:hAnsi="Calibri"/>
                <w:color w:val="20262A"/>
                <w:sz w:val="19"/>
              </w:rPr>
              <w:t xml:space="preserve">Lessons cycle annual synthesis; observer mandate renewals; next-year calendar publishes.</w:t>
            </w:r>
          </w:p>
        </w:tc>
      </w:tr>
    </w:tbl>
    <w:p>
      <w:pPr>
        <w:spacing w:after="100"/>
      </w:pPr>
    </w:p>
    <w:p>
      <w:pPr>
        <w:pStyle w:val="Heading2"/>
        <w:keepNext/>
        <w:keepLines/>
      </w:pPr>
      <w:bookmarkStart w:id="453" w:name="_Toc262100353"/>
      <w:r>
        <w:rPr>
          <w:rFonts w:ascii="Calibri" w:hAnsi="Calibri"/>
          <w:b/>
          <w:color w:val="1D4E5F"/>
          <w:sz w:val="27"/>
        </w:rPr>
        <w:t xml:space="preserve">M.2 Council Sessions</w:t>
      </w:r>
      <w:bookmarkEnd w:id="453"/>
    </w:p>
    <w:p>
      <w:pPr>
        <w:spacing w:after="130" w:line="340" w:lineRule="auto"/>
        <w:jc w:val="both"/>
      </w:pPr>
      <w:r>
        <w:rPr>
          <w:rFonts w:ascii="Cambria" w:hAnsi="Cambria"/>
          <w:color w:val="20262A"/>
          <w:sz w:val="22"/>
        </w:rPr>
        <w:t xml:space="preserve">Ordinary sessions monthly, alternating Muscat and Bandar Abbas, second Tuesday of each month at 10:00 Gulf Standard Time. Extraordinary sessions within forty-eight hours of a valid call. Quorum is seven of ten voting members including at least one nominee of each Coastal State. Secure video attendance carries full effect. Agenda publishes five days ahead; decisions publish within twenty-four hours of adjournment.</w:t>
      </w:r>
    </w:p>
    <w:p>
      <w:pPr>
        <w:pStyle w:val="Heading2"/>
        <w:keepNext/>
        <w:keepLines/>
      </w:pPr>
      <w:bookmarkStart w:id="454" w:name="_Toc262100354"/>
      <w:r>
        <w:rPr>
          <w:rFonts w:ascii="Calibri" w:hAnsi="Calibri"/>
          <w:b/>
          <w:color w:val="1D4E5F"/>
          <w:sz w:val="27"/>
        </w:rPr>
        <w:t xml:space="preserve">M.3 The Center Establishment (Fifty-Eight Posts)</w:t>
      </w:r>
      <w:bookmarkEnd w:id="454"/>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3200"/>
        <w:gridCol w:w="1200"/>
        <w:gridCol w:w="5600"/>
      </w:tblGrid>
      <w:tr>
        <w:trPr>
          <w:tblHeader/>
        </w:trPr>
        <w:tc>
          <w:tcPr>
            <w:tcW w:w="3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Unit</w:t>
            </w:r>
          </w:p>
        </w:tc>
        <w:tc>
          <w:tcPr>
            <w:tcW w:w="1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Posts</w:t>
            </w:r>
          </w:p>
        </w:tc>
        <w:tc>
          <w:tcPr>
            <w:tcW w:w="5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Composition rule</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Directorate</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4</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Director and deputy rotate between the Coastal States; two special assistants by open competition.</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Watch floor</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18</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Three desks, three shifts, two officers per desk per shift; at least forty percent from each Coastal State across the unit.</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Registrations and codes desk</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6</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Open competition; language coverage across the three working languages.</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Data Service platform</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10</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Engineers and product staff by open international competition.</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Survey and charting cell</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6</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Hydrographers; contracts administered through the fiduciary agent.</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Environmental duty desk</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5</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Including the environmental duty officer rota.</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Mine-risk coordination cell</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4</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Chair plus three officers under Article 33.1.</w:t>
            </w:r>
          </w:p>
        </w:tc>
      </w:tr>
      <w:tr>
        <w:tc>
          <w:tcPr>
            <w:tcW w:w="3200" w:type="dxa"/>
            <w:tcMar>
              <w:top w:w="60" w:type="dxa"/>
              <w:left w:w="100" w:type="dxa"/>
              <w:bottom w:w="60" w:type="dxa"/>
              <w:right w:w="100" w:type="dxa"/>
            </w:tcMar>
          </w:tcPr>
          <w:p>
            <w:pPr>
              <w:spacing w:after="20" w:line="290" w:lineRule="auto"/>
            </w:pPr>
            <w:r>
              <w:rPr>
                <w:rFonts w:ascii="Calibri" w:hAnsi="Calibri"/>
                <w:color w:val="20262A"/>
                <w:sz w:val="19"/>
              </w:rPr>
              <w:t xml:space="preserve">Records, archive, and publication</w:t>
            </w:r>
          </w:p>
        </w:tc>
        <w:tc>
          <w:tcPr>
            <w:tcW w:w="1200" w:type="dxa"/>
            <w:tcMar>
              <w:top w:w="60" w:type="dxa"/>
              <w:left w:w="100" w:type="dxa"/>
              <w:bottom w:w="60" w:type="dxa"/>
              <w:right w:w="100" w:type="dxa"/>
            </w:tcMar>
          </w:tcPr>
          <w:p>
            <w:pPr>
              <w:spacing w:after="20" w:line="290" w:lineRule="auto"/>
            </w:pPr>
            <w:r>
              <w:rPr>
                <w:rFonts w:ascii="Calibri" w:hAnsi="Calibri"/>
                <w:color w:val="20262A"/>
                <w:sz w:val="19"/>
              </w:rPr>
              <w:t xml:space="preserve">5</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Share Register, Incident Archive, Bulletin production.</w:t>
            </w:r>
          </w:p>
        </w:tc>
      </w:tr>
    </w:tbl>
    <w:p>
      <w:pPr>
        <w:spacing w:after="100"/>
      </w:pPr>
    </w:p>
    <w:p>
      <w:pPr>
        <w:pStyle w:val="Heading2"/>
        <w:keepNext/>
        <w:keepLines/>
      </w:pPr>
      <w:bookmarkStart w:id="455" w:name="_Toc262100355"/>
      <w:r>
        <w:rPr>
          <w:rFonts w:ascii="Calibri" w:hAnsi="Calibri"/>
          <w:b/>
          <w:color w:val="1D4E5F"/>
          <w:sz w:val="27"/>
        </w:rPr>
        <w:t xml:space="preserve">M.4 Standing Financial Tables, Year One</w:t>
      </w:r>
      <w:bookmarkEnd w:id="455"/>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4400"/>
        <w:gridCol w:w="5600"/>
      </w:tblGrid>
      <w:tr>
        <w:trPr>
          <w:tblHeader/>
        </w:trPr>
        <w:tc>
          <w:tcPr>
            <w:tcW w:w="44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Line</w:t>
            </w:r>
          </w:p>
        </w:tc>
        <w:tc>
          <w:tcPr>
            <w:tcW w:w="56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Amount or rate</w:t>
            </w:r>
          </w:p>
        </w:tc>
      </w:tr>
      <w:tr>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Operations budget, Center and platform</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14,171,940 dollars at illustrative volumes; scales with the six percent top-slice.</w:t>
            </w:r>
          </w:p>
        </w:tc>
      </w:tr>
      <w:tr>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Performance Reserve standing rate</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Three percent of receipts, plus findings deductions.</w:t>
            </w:r>
          </w:p>
        </w:tc>
      </w:tr>
      <w:tr>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Environmental Reserve standing rate</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Two percent of receipts.</w:t>
            </w:r>
          </w:p>
        </w:tc>
      </w:tr>
      <w:tr>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Humanitarian Line standing rate</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One percent of receipts; replenishment priority over all discretionary lines.</w:t>
            </w:r>
          </w:p>
        </w:tc>
      </w:tr>
      <w:tr>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Administrative margin on services</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Twelve percent on documented cost.</w:t>
            </w:r>
          </w:p>
        </w:tc>
      </w:tr>
      <w:tr>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Evidence sampling floor</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Ten percent of invoices, continuous.</w:t>
            </w:r>
          </w:p>
        </w:tc>
      </w:tr>
      <w:tr>
        <w:tc>
          <w:tcPr>
            <w:tcW w:w="4400" w:type="dxa"/>
            <w:tcMar>
              <w:top w:w="60" w:type="dxa"/>
              <w:left w:w="100" w:type="dxa"/>
              <w:bottom w:w="60" w:type="dxa"/>
              <w:right w:w="100" w:type="dxa"/>
            </w:tcMar>
          </w:tcPr>
          <w:p>
            <w:pPr>
              <w:spacing w:after="20" w:line="290" w:lineRule="auto"/>
            </w:pPr>
            <w:r>
              <w:rPr>
                <w:rFonts w:ascii="Calibri" w:hAnsi="Calibri"/>
                <w:color w:val="20262A"/>
                <w:sz w:val="19"/>
              </w:rPr>
              <w:t xml:space="preserve">Fiduciary agent fee cap</w:t>
            </w:r>
          </w:p>
        </w:tc>
        <w:tc>
          <w:tcPr>
            <w:tcW w:w="5600" w:type="dxa"/>
            <w:tcMar>
              <w:top w:w="60" w:type="dxa"/>
              <w:left w:w="100" w:type="dxa"/>
              <w:bottom w:w="60" w:type="dxa"/>
              <w:right w:w="100" w:type="dxa"/>
            </w:tcMar>
          </w:tcPr>
          <w:p>
            <w:pPr>
              <w:spacing w:after="20" w:line="290" w:lineRule="auto"/>
            </w:pPr>
            <w:r>
              <w:rPr>
                <w:rFonts w:ascii="Calibri" w:hAnsi="Calibri"/>
                <w:color w:val="20262A"/>
                <w:sz w:val="19"/>
              </w:rPr>
              <w:t xml:space="preserve">0.35 percent of flows, tendered every five years.</w:t>
            </w:r>
          </w:p>
        </w:tc>
      </w:tr>
    </w:tbl>
    <w:p>
      <w:pPr>
        <w:spacing w:after="100"/>
      </w:pPr>
    </w:p>
    <w:p>
      <w:pPr>
        <w:pStyle w:val="Heading1"/>
        <w:keepNext/>
        <w:keepLines/>
        <w:pageBreakBefore/>
      </w:pPr>
      <w:bookmarkStart w:id="456" w:name="_Toc262100356"/>
      <w:r>
        <w:rPr>
          <w:rFonts w:ascii="Calibri" w:hAnsi="Calibri"/>
          <w:b/>
          <w:color w:val="1D4E5F"/>
          <w:sz w:val="34"/>
        </w:rPr>
        <w:t xml:space="preserve">Annex N: Glossary of Compact Terms</w:t>
      </w:r>
      <w:bookmarkEnd w:id="456"/>
    </w:p>
    <w:tbl>
      <w:tblPr>
        <w:tblW w:w="5000" w:type="pct"/>
        <w:tblBorders>
          <w:top w:val="single" w:color="1D4E5F" w:sz="10"/>
          <w:left w:val="single" w:color="B9CDD2" w:sz="4"/>
          <w:bottom w:val="single" w:color="1D4E5F" w:sz="10"/>
          <w:right w:val="single" w:color="B9CDD2" w:sz="4"/>
          <w:insideH w:val="single" w:color="B9CDD2" w:sz="4"/>
          <w:insideV w:val="single" w:color="B9CDD2" w:sz="4"/>
        </w:tblBorders>
      </w:tblPr>
      <w:tblGrid>
        <w:gridCol w:w="2800"/>
        <w:gridCol w:w="7200"/>
      </w:tblGrid>
      <w:tr>
        <w:trPr>
          <w:tblHeader/>
        </w:trPr>
        <w:tc>
          <w:tcPr>
            <w:tcW w:w="28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Term</w:t>
            </w:r>
          </w:p>
        </w:tc>
        <w:tc>
          <w:tcPr>
            <w:tcW w:w="7200" w:type="dxa"/>
            <w:shd w:val="clear" w:fill="E8F0F1"/>
            <w:tcMar>
              <w:top w:w="60" w:type="dxa"/>
              <w:left w:w="100" w:type="dxa"/>
              <w:bottom w:w="60" w:type="dxa"/>
              <w:right w:w="100" w:type="dxa"/>
            </w:tcMar>
          </w:tcPr>
          <w:p>
            <w:pPr>
              <w:spacing w:after="20" w:line="290" w:lineRule="auto"/>
            </w:pPr>
            <w:r>
              <w:rPr>
                <w:rFonts w:ascii="Calibri" w:hAnsi="Calibri"/>
                <w:b/>
                <w:color w:val="1D4E5F"/>
                <w:sz w:val="19"/>
              </w:rPr>
              <w:t xml:space="preserve">Meaning</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Accrual Ladder</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five-gate schedule of Article 17 that raises the Iranian Stewardship Share from one-sixth to the one-third ceiling on audited performance.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Anti-Cascade Firewall</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rule of Article 24.3 under which a failure of one Compact element never spreads to another.</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Banking</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permanent survival of accrued shares and gate history across every review and amendment.</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Buffer Board</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Buffer Corridor Management Board of Article 22.</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Ceiling state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one-third, one-third, one-third buffer share distribution that constitutes the designed end state.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Consequential Action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Any action on the register of Annex G requiring two keys.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Convergence standard</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rule of Article 31.2 under which a finding issues only when two independent verification layers agree.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Flow State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operating condition of the corridor system: Green, Amber, or Blue under Article 6.4.</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The Floor</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one-sixth Iranian share below which no event ever takes the share.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Gate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One of the four accrual transitions of Article 17, each with fixed criteria.</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Gate Recommendation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Office's certification that a gate's criteria stand complete, issued within fourteen days of quarter close.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Heavy-user cap</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annual subscription ceiling of Annex E protecting the largest operators' predictability.</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Multilateral Transit Code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voyage registration code of Annex J.</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Neutral Escrow Fund</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Geneva fiduciary structure of Article 27 through which every Compact payment flows.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Open Water Bulletin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daily public publication of corridor status under Article 6.5.</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Pilot rates</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sixty percent rate card of Phases Two through Four under Article 40.3.</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Premium Dividend</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subscription credit of Article 28.3 tied to documented war-risk premium reductions.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Protected Hold</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single permitted hold exception of Article 13.4, maximum seventy-two hours, Twin Key controlled.</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Routine Standard</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principle of Article 3.10 under which sustained boring operation counts as strategic success.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Service Boundary</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bright line of Article 26.2 between passage, which carries no charge, and services, which carry verified costs.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Settlement Pair</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Neutral Escrow Fund and the Route Assurance Data Service, adopted together as the fee settlement.</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Share Register</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Center's record of every share, gate, step-back, and earn-back, with effective dates.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Stability Audit</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thirty-five-day Phase Four audit of Article 41.3.</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Standing Share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fixed one-third buffer share the Center holds for the Stakeholder and User Circles.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Stewardship Dividend</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annual payment of Article 19.3 rewarding sustained performance beyond the ceiling or at 92-plus SPI.</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Stewardship Performance Index</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quarterly one-hundred-point stewardship score of Article 16.</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Still Water Clause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rule of Article 38.7 under which operations continue through every dispute.</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Sunset Declaration</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Phase Five act of Article 42.2 closing the wartime lanes.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Twin Key Rule</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concurrence rule of Article 24.1: one key initiates, one key concurs, the act proceeds.</w:t>
            </w:r>
          </w:p>
        </w:tc>
      </w:tr>
      <w:tr>
        <w:tc>
          <w:tcPr>
            <w:tcW w:w="2800" w:type="dxa"/>
            <w:tcMar>
              <w:top w:w="60" w:type="dxa"/>
              <w:left w:w="100" w:type="dxa"/>
              <w:bottom w:w="60" w:type="dxa"/>
              <w:right w:w="100" w:type="dxa"/>
            </w:tcMar>
          </w:tcPr>
          <w:p>
            <w:pPr>
              <w:spacing w:after="20" w:line="290" w:lineRule="auto"/>
            </w:pPr>
            <w:r>
              <w:rPr>
                <w:rFonts w:ascii="Calibri" w:hAnsi="Calibri"/>
                <w:color w:val="20262A"/>
                <w:sz w:val="19"/>
              </w:rPr>
              <w:t xml:space="preserve">Wartime lanes</w:t>
            </w:r>
          </w:p>
        </w:tc>
        <w:tc>
          <w:tcPr>
            <w:tcW w:w="7200" w:type="dxa"/>
            <w:tcMar>
              <w:top w:w="60" w:type="dxa"/>
              <w:left w:w="100" w:type="dxa"/>
              <w:bottom w:w="60" w:type="dxa"/>
              <w:right w:w="100" w:type="dxa"/>
            </w:tcMar>
          </w:tcPr>
          <w:p>
            <w:pPr>
              <w:spacing w:after="20" w:line="290" w:lineRule="auto"/>
            </w:pPr>
            <w:r>
              <w:rPr>
                <w:rFonts w:ascii="Calibri" w:hAnsi="Calibri"/>
                <w:color w:val="20262A"/>
                <w:sz w:val="19"/>
              </w:rPr>
              <w:t xml:space="preserve">The temporary routing arrangements preceding Phase Two, archived under Article 42.3.</w:t>
            </w:r>
          </w:p>
        </w:tc>
      </w:tr>
    </w:tbl>
    <w:p>
      <w:pPr>
        <w:spacing w:after="100"/>
      </w:pPr>
    </w:p>
    <w:p>
      <w:pPr>
        <w:pStyle w:val="Heading1"/>
        <w:keepNext/>
        <w:keepLines/>
        <w:pageBreakBefore/>
      </w:pPr>
      <w:bookmarkStart w:id="457" w:name="_Toc262100357"/>
      <w:r>
        <w:rPr>
          <w:rFonts w:ascii="Calibri" w:hAnsi="Calibri"/>
          <w:b/>
          <w:color w:val="1D4E5F"/>
          <w:sz w:val="34"/>
        </w:rPr>
        <w:t xml:space="preserve">Closing Note of the Drafting Facilitators</w:t>
      </w:r>
      <w:bookmarkEnd w:id="457"/>
    </w:p>
    <w:p>
      <w:pPr>
        <w:spacing w:after="130" w:line="340" w:lineRule="auto"/>
        <w:jc w:val="both"/>
      </w:pPr>
      <w:r>
        <w:rPr>
          <w:rFonts w:ascii="Cambria" w:hAnsi="Cambria"/>
          <w:color w:val="20262A"/>
          <w:sz w:val="22"/>
        </w:rPr>
        <w:t xml:space="preserve">This draft closes the file it was given. The three corridors stand mapped, with coordinates ready for registration. The security authority question answers itself through the Twin Key Rule, which removes unilateral action from the system without removing any state's seat at the table. The fee question dissolves into the Settlement Pair: a fund that makes every payment neutral, and a product that makes the principal revenue stream a matter of commerce rather than a matter of law. The share question resolves through the One-Third Allocation Rule and the Accrual Ladder, which seat the Islamic Republic of Iran with one third of the corridor system from the first day, and deliver the remaining two gates of dignity, one lane plus one third of the second lane, on evidence, on a calendar the evidence itself sets, with a floor below which nothing falls and a ceiling at which everyone stands equal. The reopening question answers through six phases and one hundred and twenty days, with an audit between promise and permanence. And the nuclear question answers by absence: the wall of Part VII keeps that file exactly where it belongs, at its own table, under its own rules.</w:t>
      </w:r>
    </w:p>
    <w:p>
      <w:pPr>
        <w:spacing w:after="130" w:line="340" w:lineRule="auto"/>
        <w:jc w:val="both"/>
      </w:pPr>
      <w:r>
        <w:rPr>
          <w:rFonts w:ascii="Cambria" w:hAnsi="Cambria"/>
          <w:color w:val="20262A"/>
          <w:sz w:val="22"/>
        </w:rPr>
        <w:t xml:space="preserve">The facilitators offer one closing observation from every file in this negotiation series: the architecture succeeds when it becomes boring. When the Bulletin publishes to silence, when invoices clear without comment, when the gates open on schedule because the evidence says so and for no other reason, the Compact has done its work. The strait that frightened the world in the spring of 2026 becomes, under this instrument, the most carefully administered, most thoroughly verified, and most unremarkable stretch of water on earth. That is the design. That is the goal. The facilitators commend this text to the delegations.</w:t>
      </w:r>
    </w:p>
    <w:p>
      <w:pPr>
        <w:spacing w:after="130" w:line="340" w:lineRule="auto"/>
        <w:jc w:val="both"/>
      </w:pPr>
      <w:r>
        <w:rPr>
          <w:rFonts w:ascii="Cambria" w:hAnsi="Cambria"/>
          <w:color w:val="20262A"/>
          <w:sz w:val="22"/>
        </w:rPr>
        <w:t xml:space="preserve">Muscat and Bandar Abbas, 7 August 2026</w:t>
      </w:r>
    </w:p>
    <w:sectPr>
      <w:headerReference w:type="default" r:id="R4528ec31b06640c4"/>
      <w:footerReference w:type="default" r:id="Ra1846eaa3a814391"/>
      <w:pgSz w:w="11906" w:h="16838"/>
      <w:pgMar w:top="1600" w:right="1440" w:bottom="1440" w:left="1440" w:header="720" w:footer="720"/>
    </w:sectPr>
  </w:body>
</w:document>
</file>

<file path=word/footer1.xml><?xml version="1.0" encoding="utf-8"?>
<w:ftr xmlns:w="http://schemas.openxmlformats.org/wordprocessingml/2006/main">
  <w:p>
    <w:pPr>
      <w:jc w:val="center"/>
    </w:pPr>
    <w:r>
      <w:rPr>
        <w:rFonts w:ascii="Calibri" w:hAnsi="Calibri"/>
        <w:color w:val="6E838A"/>
        <w:sz w:val="17"/>
      </w:rPr>
      <w:t xml:space="preserve">GTGC-2026-v1.0   |   Page </w:t>
    </w:r>
    <w:r>
      <w:rPr>
        <w:rFonts w:ascii="Calibri" w:hAnsi="Calibri"/>
        <w:color w:val="6E838A"/>
        <w:sz w:val="17"/>
      </w:rPr>
      <w:fldChar w:fldCharType="begin"/>
    </w:r>
    <w:r>
      <w:rPr>
        <w:rFonts w:ascii="Calibri" w:hAnsi="Calibri"/>
        <w:color w:val="6E838A"/>
        <w:sz w:val="17"/>
      </w:rPr>
      <w:instrText xml:space="preserve"> PAGE </w:instrText>
    </w:r>
    <w:r>
      <w:rPr>
        <w:rFonts w:ascii="Calibri" w:hAnsi="Calibri"/>
        <w:color w:val="6E838A"/>
        <w:sz w:val="17"/>
      </w:rPr>
      <w:fldChar w:fldCharType="separate"/>
    </w:r>
    <w:r>
      <w:rPr>
        <w:rFonts w:ascii="Calibri" w:hAnsi="Calibri"/>
        <w:color w:val="6E838A"/>
        <w:sz w:val="17"/>
      </w:rPr>
      <w:t xml:space="preserve">1</w:t>
    </w:r>
    <w:r>
      <w:rPr>
        <w:rFonts w:ascii="Calibri" w:hAnsi="Calibri"/>
        <w:color w:val="6E838A"/>
        <w:sz w:val="17"/>
      </w:rPr>
      <w:fldChar w:fldCharType="end"/>
    </w:r>
  </w:p>
</w:ftr>
</file>

<file path=word/header1.xml><?xml version="1.0" encoding="utf-8"?>
<w:hdr xmlns:w="http://schemas.openxmlformats.org/wordprocessingml/2006/main">
  <w:p>
    <w:pPr>
      <w:pBdr>
        <w:bottom w:val="single" w:color="B9CDD2" w:sz="4" w:space="4"/>
      </w:pBdr>
      <w:jc w:val="right"/>
    </w:pPr>
    <w:r>
      <w:rPr>
        <w:rFonts w:ascii="Calibri" w:hAnsi="Calibri"/>
        <w:color w:val="6E838A"/>
        <w:sz w:val="17"/>
      </w:rPr>
      <w:t xml:space="preserve">The Gulf Triadic Governance Compact (GTGC)  ·  Version 1.0  ·  7 August 2026</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30" w:line="340" w:lineRule="auto"/>
      <w:jc w:val="both"/>
    </w:pPr>
    <w:rPr>
      <w:rFonts w:ascii="Cambria" w:hAnsi="Cambria"/>
      <w:color w:val="20262A"/>
      <w:sz w:val="22"/>
    </w:rPr>
  </w:style>
  <w:style w:type="paragraph" w:styleId="Heading1">
    <w:name w:val="heading 1"/>
    <w:basedOn w:val="Normal"/>
    <w:pPr>
      <w:keepNext/>
      <w:keepLines/>
      <w:spacing w:before="200" w:after="160"/>
      <w:outlineLvl w:val="0"/>
    </w:pPr>
    <w:rPr>
      <w:rFonts w:ascii="Calibri" w:hAnsi="Calibri"/>
      <w:b/>
      <w:color w:val="1D4E5F"/>
      <w:sz w:val="34"/>
    </w:rPr>
  </w:style>
  <w:style w:type="paragraph" w:styleId="Heading2">
    <w:name w:val="heading 2"/>
    <w:basedOn w:val="Normal"/>
    <w:pPr>
      <w:keepNext/>
      <w:keepLines/>
      <w:spacing w:before="320" w:after="140"/>
      <w:outlineLvl w:val="1"/>
    </w:pPr>
    <w:rPr>
      <w:rFonts w:ascii="Calibri" w:hAnsi="Calibri"/>
      <w:b/>
      <w:color w:val="1D4E5F"/>
      <w:sz w:val="27"/>
    </w:rPr>
  </w:style>
  <w:style w:type="paragraph" w:styleId="Heading3">
    <w:name w:val="heading 3"/>
    <w:basedOn w:val="Normal"/>
    <w:pPr>
      <w:keepNext/>
      <w:keepLines/>
      <w:spacing w:before="320" w:after="140"/>
      <w:outlineLvl w:val="2"/>
    </w:pPr>
    <w:rPr>
      <w:rFonts w:ascii="Calibri" w:hAnsi="Calibri"/>
      <w:b/>
      <w:color w:val="37666F"/>
      <w:sz w:val="24"/>
    </w:rPr>
  </w:style>
  <w:style w:type="paragraph" w:styleId="TOC1">
    <w:name w:val="toc 1"/>
    <w:basedOn w:val="Normal"/>
    <w:pPr>
      <w:tabs>
        <w:tab w:val="right" w:leader="dot" w:pos="9010"/>
      </w:tabs>
      <w:spacing w:after="40" w:line="280" w:lineRule="auto"/>
      <w:ind w:left="0"/>
    </w:pPr>
    <w:rPr>
      <w:rFonts w:ascii="Calibri" w:hAnsi="Calibri"/>
      <w:color w:val="1D4E5F"/>
      <w:sz w:val="21"/>
    </w:rPr>
  </w:style>
  <w:style w:type="paragraph" w:styleId="TOC2">
    <w:name w:val="toc 2"/>
    <w:basedOn w:val="Normal"/>
    <w:pPr>
      <w:tabs>
        <w:tab w:val="right" w:leader="dot" w:pos="9010"/>
      </w:tabs>
      <w:spacing w:after="40" w:line="280" w:lineRule="auto"/>
      <w:ind w:left="360"/>
    </w:pPr>
    <w:rPr>
      <w:rFonts w:ascii="Calibri" w:hAnsi="Calibri"/>
      <w:color w:val="20262A"/>
      <w:sz w:val="20"/>
    </w:rPr>
  </w:style>
  <w:style w:type="paragraph" w:styleId="TOC3">
    <w:name w:val="toc 3"/>
    <w:basedOn w:val="Normal"/>
    <w:pPr>
      <w:tabs>
        <w:tab w:val="right" w:leader="dot" w:pos="9010"/>
      </w:tabs>
      <w:spacing w:after="40" w:line="280" w:lineRule="auto"/>
      <w:ind w:left="720"/>
    </w:pPr>
    <w:rPr>
      <w:rFonts w:ascii="Calibri" w:hAnsi="Calibri"/>
      <w:color w:val="20262A"/>
      <w:sz w:val="20"/>
    </w:rPr>
  </w:style>
</w:styles>
</file>

<file path=word/_rels/document.xml.rels><?xml version='1.0' encoding='UTF-8'?>
<Relationships xmlns="http://schemas.openxmlformats.org/package/2006/relationships"><Relationship Type="http://schemas.openxmlformats.org/officeDocument/2006/relationships/styles" Target="styles.xml" Id="Rf3f6cf1a2fe044eb" /><Relationship Type="http://schemas.openxmlformats.org/officeDocument/2006/relationships/settings" Target="settings.xml" Id="R77ab130c0e744003" /><Relationship Type="http://schemas.openxmlformats.org/officeDocument/2006/relationships/header" Target="header1.xml" Id="R4528ec31b06640c4" /><Relationship Type="http://schemas.openxmlformats.org/officeDocument/2006/relationships/footer" Target="footer1.xml" Id="Ra1846eaa3a814391" /></Relationships>
</file>