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after="0"/>
      </w:pPr>
    </w:p>
    <w:p>
      <w:pPr>
        <w:spacing w:after="0"/>
      </w:pPr>
    </w:p>
    <w:p>
      <w:pPr>
        <w:spacing w:after="0"/>
      </w:pPr>
    </w:p>
    <w:p>
      <w:pPr>
        <w:spacing w:after="0"/>
      </w:pPr>
    </w:p>
    <w:p>
      <w:pPr>
        <w:spacing w:after="0"/>
      </w:pPr>
    </w:p>
    <w:p>
      <w:pPr>
        <w:jc w:val="center"/>
        <w:spacing w:after="60"/>
      </w:pPr>
      <w:r>
        <w:rPr>
          <w:b/>
          <w:sz w:val="44"/>
          <w:color w:val="1F3A5F"/>
          <w:smallCaps/>
          <w:spacing w:val="30"/>
        </w:rPr>
        <w:t xml:space="preserve">THE HORMUZ ECONOMIC</w:t>
      </w:r>
    </w:p>
    <w:p>
      <w:pPr>
        <w:jc w:val="center"/>
        <w:spacing w:after="60"/>
      </w:pPr>
      <w:r>
        <w:rPr>
          <w:b/>
          <w:sz w:val="44"/>
          <w:color w:val="1F3A5F"/>
          <w:smallCaps/>
          <w:spacing w:val="30"/>
        </w:rPr>
        <w:t xml:space="preserve">DEVELOPMENT AND SECURITY PACT</w:t>
      </w:r>
    </w:p>
    <w:p>
      <w:pPr>
        <w:jc w:val="center"/>
        <w:spacing w:after="240"/>
      </w:pPr>
      <w:r>
        <w:rPr>
          <w:b/>
          <w:sz w:val="28"/>
          <w:color w:val="2E4A6B"/>
          <w:smallCaps/>
          <w:spacing w:val="40"/>
        </w:rPr>
        <w:t xml:space="preserve">THEDSP  v1.0</w:t>
      </w:r>
    </w:p>
    <w:p>
      <w:pPr>
        <w:jc w:val="center"/>
        <w:spacing w:after="120"/>
        <w:ind w:left="1440" w:right="1440"/>
      </w:pPr>
      <w:r>
        <w:rPr>
          <w:i/>
          <w:sz w:val="24"/>
          <w:color w:val="595959"/>
        </w:rPr>
        <w:t xml:space="preserve">A Multilateral Governance Architecture for Navigation, Security, and Shared Prosperity in the Strait of Hormuz</w:t>
      </w:r>
    </w:p>
    <w:p>
      <w:pPr>
        <w:jc w:val="center"/>
        <w:spacing w:after="360"/>
        <w:ind w:left="3600" w:right="3600"/>
        <w:pBdr>
          <w:bottom w:val="single" w:sz="12" w:space="1" w:color="1F3A5F"/>
        </w:pBdr>
      </w:pPr>
    </w:p>
    <w:p>
      <w:pPr>
        <w:jc w:val="center"/>
        <w:spacing w:after="120"/>
      </w:pPr>
      <w:r>
        <w:rPr>
          <w:b/>
          <w:sz w:val="22"/>
          <w:color w:val="262626"/>
        </w:rPr>
        <w:t xml:space="preserve">Version 1.0  ·  August 2026</w:t>
      </w:r>
    </w:p>
    <w:p>
      <w:pPr>
        <w:jc w:val="center"/>
        <w:spacing w:after="120"/>
      </w:pPr>
      <w:r>
        <w:rPr>
          <w:sz w:val="22"/>
          <w:color w:val="262626"/>
        </w:rPr>
        <w:t xml:space="preserve">Negotiating Draft for Authorized Participants</w:t>
      </w:r>
    </w:p>
    <w:p>
      <w:pPr>
        <w:jc w:val="center"/>
        <w:spacing w:after="600"/>
      </w:pPr>
      <w:r>
        <w:rPr>
          <w:i/>
          <w:sz w:val="20"/>
          <w:color w:val="595959"/>
        </w:rPr>
        <w:t xml:space="preserve">Drafted in strict adherence to the Immutable Present-Tense Matrix</w:t>
      </w:r>
    </w:p>
    <w:p>
      <w:pPr>
        <w:spacing w:after="0"/>
      </w:pPr>
    </w:p>
    <w:p>
      <w:pPr>
        <w:spacing w:after="0"/>
      </w:pPr>
    </w:p>
    <w:p>
      <w:pPr>
        <w:spacing w:after="0"/>
      </w:pPr>
    </w:p>
    <w:p>
      <w:pPr>
        <w:jc w:val="center"/>
        <w:spacing w:after="120"/>
        <w:ind w:left="720" w:right="720"/>
      </w:pPr>
      <w:r>
        <w:rPr>
          <w:b/>
          <w:sz w:val="22"/>
          <w:color w:val="262626"/>
        </w:rPr>
        <w:t xml:space="preserve">The Islamic Republic of Iran  ·  The Sultanate of Oman</w:t>
      </w:r>
    </w:p>
    <w:p>
      <w:pPr>
        <w:jc w:val="center"/>
        <w:spacing w:after="120"/>
        <w:ind w:left="720" w:right="720"/>
      </w:pPr>
      <w:r>
        <w:rPr>
          <w:sz w:val="20"/>
          <w:color w:val="262626"/>
        </w:rPr>
        <w:t xml:space="preserve">with a defined accession path for the United Arab Emirates, Saudi Arabia, Qatar, Bahrain, Kuwait, and Iraq</w:t>
      </w:r>
    </w:p>
    <w:p>
      <w:pPr>
        <w:jc w:val="center"/>
        <w:spacing w:after="120"/>
      </w:pPr>
      <w:r>
        <w:rPr>
          <w:sz w:val="20"/>
          <w:color w:val="262626"/>
        </w:rPr>
        <w:t xml:space="preserve">Mediator of Record: The Sultanate of Oman  ·  Neutral Administrator: The Swiss Confederation</w:t>
      </w:r>
    </w:p>
    <w:p>
      <w:pPr>
        <w:jc w:val="center"/>
        <w:spacing w:after="240"/>
      </w:pPr>
      <w:r>
        <w:rPr>
          <w:sz w:val="20"/>
          <w:color w:val="262626"/>
        </w:rPr>
        <w:t xml:space="preserve">Facilitators: The State of Qatar and the Islamic Republic of Pakistan</w:t>
      </w:r>
    </w:p>
    <w:p>
      <w:pPr>
        <w:jc w:val="center"/>
        <w:spacing w:after="0"/>
      </w:pPr>
      <w:r>
        <w:rPr>
          <w:i/>
          <w:sz w:val="18"/>
          <w:color w:val="595959"/>
        </w:rPr>
        <w:t xml:space="preserve">Seated at the Pact Operations Center, Muscat, with the Mirror Facility of Equal Rank at Bandar Abbas</w:t>
      </w:r>
    </w:p>
    <w:p>
      <w:pPr>
        <w:sectPr>
          <w:pgBorders w:offsetFrom="page">
            <w:top w:val="single" w:sz="12" w:space="28" w:color="1F3A5F"/>
            <w:left w:val="single" w:sz="12" w:space="28" w:color="1F3A5F"/>
            <w:bottom w:val="single" w:sz="12" w:space="28" w:color="1F3A5F"/>
            <w:right w:val="single" w:sz="12" w:space="28" w:color="1F3A5F"/>
          </w:pgBorders>
          <w:headerReference w:type="default" r:id="rId11"/>
          <w:footerReference w:type="default" r:id="rId12"/>
          <w:pgSz w:w="12240" w:h="15840"/>
          <w:pgMar w:top="1440" w:right="1440" w:bottom="1440" w:left="1440" w:header="720" w:footer="720" w:gutter="0"/>
        </w:sectPr>
      </w:pPr>
    </w:p>
    <w:p>
      <w:pPr>
        <w:spacing w:before="0" w:after="240"/>
        <w:keepNext/>
      </w:pPr>
      <w:r>
        <w:rPr>
          <w:b/>
          <w:sz w:val="30"/>
          <w:color w:val="1F3A5F"/>
          <w:smallCaps/>
          <w:spacing w:val="30"/>
        </w:rPr>
        <w:t xml:space="preserve">TABLE OF CONTENTS</w:t>
      </w:r>
    </w:p>
    <w:p>
      <w:pPr>
        <w:spacing w:before="0" w:after="20"/>
        <w:ind w:left="240"/>
        <w:tabs>
          <w:tab w:val="right" w:leader="dot" w:pos="9120"/>
        </w:tabs>
      </w:pPr>
      <w:r>
        <w:rPr>
          <w:sz w:val="21"/>
          <w:color w:val="262626"/>
        </w:rPr>
        <w:t xml:space="preserve">Document Control</w:t>
      </w:r>
      <w:r>
        <w:tab/>
      </w:r>
      <w:r>
        <w:rPr>
          <w:sz w:val="21"/>
          <w:color w:val="262626"/>
        </w:rPr>
        <w:t>3</w:t>
      </w:r>
    </w:p>
    <w:p>
      <w:pPr>
        <w:spacing w:before="120" w:after="80"/>
        <w:ind w:left="0"/>
        <w:tabs>
          <w:tab w:val="right" w:leader="dot" w:pos="9360"/>
        </w:tabs>
      </w:pPr>
      <w:r>
        <w:rPr>
          <w:b/>
          <w:sz w:val="22"/>
          <w:color w:val="1F3A5F"/>
          <w:smallCaps/>
          <w:spacing w:val="10"/>
        </w:rPr>
        <w:t xml:space="preserve">Part Zero: The Political Wrapper</w:t>
      </w:r>
      <w:r>
        <w:tab/>
      </w:r>
      <w:r>
        <w:rPr>
          <w:b/>
          <w:sz w:val="21"/>
          <w:color w:val="1F3A5F"/>
        </w:rPr>
        <w:t>4</w:t>
      </w:r>
    </w:p>
    <w:p>
      <w:pPr>
        <w:spacing w:before="0" w:after="20"/>
        <w:ind w:left="240"/>
        <w:tabs>
          <w:tab w:val="right" w:leader="dot" w:pos="9120"/>
        </w:tabs>
      </w:pPr>
      <w:r>
        <w:rPr>
          <w:sz w:val="21"/>
          <w:color w:val="262626"/>
        </w:rPr>
        <w:t xml:space="preserve">The Hormuz Declaration of Principles</w:t>
      </w:r>
      <w:r>
        <w:tab/>
      </w:r>
      <w:r>
        <w:rPr>
          <w:sz w:val="21"/>
          <w:color w:val="262626"/>
        </w:rPr>
        <w:t>4</w:t>
      </w:r>
    </w:p>
    <w:p>
      <w:pPr>
        <w:spacing w:before="0" w:after="20"/>
        <w:ind w:left="240"/>
        <w:tabs>
          <w:tab w:val="right" w:leader="dot" w:pos="9120"/>
        </w:tabs>
      </w:pPr>
      <w:r>
        <w:rPr>
          <w:sz w:val="21"/>
          <w:color w:val="262626"/>
        </w:rPr>
        <w:t xml:space="preserve">Preamble: The Moment of August 2026</w:t>
      </w:r>
      <w:r>
        <w:tab/>
      </w:r>
      <w:r>
        <w:rPr>
          <w:sz w:val="21"/>
          <w:color w:val="262626"/>
        </w:rPr>
        <w:t>5</w:t>
      </w:r>
    </w:p>
    <w:p>
      <w:pPr>
        <w:spacing w:before="0" w:after="20"/>
        <w:ind w:left="240"/>
        <w:tabs>
          <w:tab w:val="right" w:leader="dot" w:pos="9120"/>
        </w:tabs>
      </w:pPr>
      <w:r>
        <w:rPr>
          <w:sz w:val="21"/>
          <w:color w:val="262626"/>
        </w:rPr>
        <w:t xml:space="preserve">The Joint Speeches</w:t>
      </w:r>
      <w:r>
        <w:tab/>
      </w:r>
      <w:r>
        <w:rPr>
          <w:sz w:val="21"/>
          <w:color w:val="262626"/>
        </w:rPr>
        <w:t>7</w:t>
      </w:r>
    </w:p>
    <w:p>
      <w:pPr>
        <w:spacing w:before="0" w:after="20"/>
        <w:ind w:left="480"/>
        <w:tabs>
          <w:tab w:val="right" w:leader="dot" w:pos="8880"/>
        </w:tabs>
      </w:pPr>
      <w:r>
        <w:rPr>
          <w:i/>
          <w:sz w:val="20"/>
          <w:color w:val="595959"/>
        </w:rPr>
        <w:t xml:space="preserve">Speech One: The Mediator of Record, delivered by the Sultanate of Oman</w:t>
      </w:r>
      <w:r>
        <w:tab/>
      </w:r>
      <w:r>
        <w:rPr>
          <w:sz w:val="20"/>
          <w:color w:val="262626"/>
        </w:rPr>
        <w:t>7</w:t>
      </w:r>
    </w:p>
    <w:p>
      <w:pPr>
        <w:spacing w:before="0" w:after="20"/>
        <w:ind w:left="480"/>
        <w:tabs>
          <w:tab w:val="right" w:leader="dot" w:pos="8880"/>
        </w:tabs>
      </w:pPr>
      <w:r>
        <w:rPr>
          <w:i/>
          <w:sz w:val="20"/>
          <w:color w:val="595959"/>
        </w:rPr>
        <w:t xml:space="preserve">Speech Two: The Islamic Republic of Iran</w:t>
      </w:r>
      <w:r>
        <w:tab/>
      </w:r>
      <w:r>
        <w:rPr>
          <w:sz w:val="20"/>
          <w:color w:val="262626"/>
        </w:rPr>
        <w:t>8</w:t>
      </w:r>
    </w:p>
    <w:p>
      <w:pPr>
        <w:spacing w:before="0" w:after="20"/>
        <w:ind w:left="480"/>
        <w:tabs>
          <w:tab w:val="right" w:leader="dot" w:pos="8880"/>
        </w:tabs>
      </w:pPr>
      <w:r>
        <w:rPr>
          <w:i/>
          <w:sz w:val="20"/>
          <w:color w:val="595959"/>
        </w:rPr>
        <w:t xml:space="preserve">Speech Three: The Sultanate of Oman, as Founding Party</w:t>
      </w:r>
      <w:r>
        <w:tab/>
      </w:r>
      <w:r>
        <w:rPr>
          <w:sz w:val="20"/>
          <w:color w:val="262626"/>
        </w:rPr>
        <w:t>8</w:t>
      </w:r>
    </w:p>
    <w:p>
      <w:pPr>
        <w:spacing w:before="0" w:after="20"/>
        <w:ind w:left="480"/>
        <w:tabs>
          <w:tab w:val="right" w:leader="dot" w:pos="8880"/>
        </w:tabs>
      </w:pPr>
      <w:r>
        <w:rPr>
          <w:i/>
          <w:sz w:val="20"/>
          <w:color w:val="595959"/>
        </w:rPr>
        <w:t xml:space="preserve">Speech Four: The Gulf Cooperation Council, delivered by the Presidency</w:t>
      </w:r>
      <w:r>
        <w:tab/>
      </w:r>
      <w:r>
        <w:rPr>
          <w:sz w:val="20"/>
          <w:color w:val="262626"/>
        </w:rPr>
        <w:t>9</w:t>
      </w:r>
    </w:p>
    <w:p>
      <w:pPr>
        <w:spacing w:before="0" w:after="20"/>
        <w:ind w:left="480"/>
        <w:tabs>
          <w:tab w:val="right" w:leader="dot" w:pos="8880"/>
        </w:tabs>
      </w:pPr>
      <w:r>
        <w:rPr>
          <w:i/>
          <w:sz w:val="20"/>
          <w:color w:val="595959"/>
        </w:rPr>
        <w:t xml:space="preserve">Speech Five: The United States of America, as Endorsing Stakeholder</w:t>
      </w:r>
      <w:r>
        <w:tab/>
      </w:r>
      <w:r>
        <w:rPr>
          <w:sz w:val="20"/>
          <w:color w:val="262626"/>
        </w:rPr>
        <w:t>9</w:t>
      </w:r>
    </w:p>
    <w:p>
      <w:pPr>
        <w:spacing w:before="0" w:after="20"/>
        <w:ind w:left="480"/>
        <w:tabs>
          <w:tab w:val="right" w:leader="dot" w:pos="8880"/>
        </w:tabs>
      </w:pPr>
      <w:r>
        <w:rPr>
          <w:i/>
          <w:sz w:val="20"/>
          <w:color w:val="595959"/>
        </w:rPr>
        <w:t xml:space="preserve">Speech Six: The European Union</w:t>
      </w:r>
      <w:r>
        <w:tab/>
      </w:r>
      <w:r>
        <w:rPr>
          <w:sz w:val="20"/>
          <w:color w:val="262626"/>
        </w:rPr>
        <w:t>10</w:t>
      </w:r>
    </w:p>
    <w:p>
      <w:pPr>
        <w:spacing w:before="0" w:after="20"/>
        <w:ind w:left="480"/>
        <w:tabs>
          <w:tab w:val="right" w:leader="dot" w:pos="8880"/>
        </w:tabs>
      </w:pPr>
      <w:r>
        <w:rPr>
          <w:i/>
          <w:sz w:val="20"/>
          <w:color w:val="595959"/>
        </w:rPr>
        <w:t xml:space="preserve">Speech Seven: The Joint Closing Declaration, delivered by the Founding Parties together</w:t>
      </w:r>
      <w:r>
        <w:tab/>
      </w:r>
      <w:r>
        <w:rPr>
          <w:sz w:val="20"/>
          <w:color w:val="262626"/>
        </w:rPr>
        <w:t>10</w:t>
      </w:r>
    </w:p>
    <w:p>
      <w:pPr>
        <w:spacing w:before="120" w:after="80"/>
        <w:ind w:left="0"/>
        <w:tabs>
          <w:tab w:val="right" w:leader="dot" w:pos="9360"/>
        </w:tabs>
      </w:pPr>
      <w:r>
        <w:rPr>
          <w:b/>
          <w:sz w:val="22"/>
          <w:color w:val="1F3A5F"/>
          <w:smallCaps/>
          <w:spacing w:val="10"/>
        </w:rPr>
        <w:t xml:space="preserve">Part I: Foundations</w:t>
      </w:r>
      <w:r>
        <w:tab/>
      </w:r>
      <w:r>
        <w:rPr>
          <w:b/>
          <w:sz w:val="21"/>
          <w:color w:val="1F3A5F"/>
        </w:rPr>
        <w:t>11</w:t>
      </w:r>
    </w:p>
    <w:p>
      <w:pPr>
        <w:spacing w:before="0" w:after="20"/>
        <w:ind w:left="240"/>
        <w:tabs>
          <w:tab w:val="right" w:leader="dot" w:pos="9120"/>
        </w:tabs>
      </w:pPr>
      <w:r>
        <w:rPr>
          <w:sz w:val="21"/>
          <w:color w:val="262626"/>
        </w:rPr>
        <w:t xml:space="preserve">Article 1: Establishment, Purpose, and Scope</w:t>
      </w:r>
      <w:r>
        <w:tab/>
      </w:r>
      <w:r>
        <w:rPr>
          <w:sz w:val="21"/>
          <w:color w:val="262626"/>
        </w:rPr>
        <w:t>11</w:t>
      </w:r>
    </w:p>
    <w:p>
      <w:pPr>
        <w:spacing w:before="0" w:after="20"/>
        <w:ind w:left="240"/>
        <w:tabs>
          <w:tab w:val="right" w:leader="dot" w:pos="9120"/>
        </w:tabs>
      </w:pPr>
      <w:r>
        <w:rPr>
          <w:sz w:val="21"/>
          <w:color w:val="262626"/>
        </w:rPr>
        <w:t xml:space="preserve">Article 2: Legal Foundations</w:t>
      </w:r>
      <w:r>
        <w:tab/>
      </w:r>
      <w:r>
        <w:rPr>
          <w:sz w:val="21"/>
          <w:color w:val="262626"/>
        </w:rPr>
        <w:t>13</w:t>
      </w:r>
    </w:p>
    <w:p>
      <w:pPr>
        <w:spacing w:before="0" w:after="20"/>
        <w:ind w:left="240"/>
        <w:tabs>
          <w:tab w:val="right" w:leader="dot" w:pos="9120"/>
        </w:tabs>
      </w:pPr>
      <w:r>
        <w:rPr>
          <w:sz w:val="21"/>
          <w:color w:val="262626"/>
        </w:rPr>
        <w:t xml:space="preserve">Article 3: Core Operating Principles</w:t>
      </w:r>
      <w:r>
        <w:tab/>
      </w:r>
      <w:r>
        <w:rPr>
          <w:sz w:val="21"/>
          <w:color w:val="262626"/>
        </w:rPr>
        <w:t>14</w:t>
      </w:r>
    </w:p>
    <w:p>
      <w:pPr>
        <w:spacing w:before="0" w:after="20"/>
        <w:ind w:left="240"/>
        <w:tabs>
          <w:tab w:val="right" w:leader="dot" w:pos="9120"/>
        </w:tabs>
      </w:pPr>
      <w:r>
        <w:rPr>
          <w:sz w:val="21"/>
          <w:color w:val="262626"/>
        </w:rPr>
        <w:t xml:space="preserve">Article 4: The Five-Step Rule and the Simplicity Mandate</w:t>
      </w:r>
      <w:r>
        <w:tab/>
      </w:r>
      <w:r>
        <w:rPr>
          <w:sz w:val="21"/>
          <w:color w:val="262626"/>
        </w:rPr>
        <w:t>16</w:t>
      </w:r>
    </w:p>
    <w:p>
      <w:pPr>
        <w:spacing w:before="0" w:after="20"/>
        <w:ind w:left="240"/>
        <w:tabs>
          <w:tab w:val="right" w:leader="dot" w:pos="9120"/>
        </w:tabs>
      </w:pPr>
      <w:r>
        <w:rPr>
          <w:sz w:val="21"/>
          <w:color w:val="262626"/>
        </w:rPr>
        <w:t xml:space="preserve">Article 5: The Continuity Guarantee</w:t>
      </w:r>
      <w:r>
        <w:tab/>
      </w:r>
      <w:r>
        <w:rPr>
          <w:sz w:val="21"/>
          <w:color w:val="262626"/>
        </w:rPr>
        <w:t>17</w:t>
      </w:r>
    </w:p>
    <w:p>
      <w:pPr>
        <w:spacing w:before="0" w:after="20"/>
        <w:ind w:left="240"/>
        <w:tabs>
          <w:tab w:val="right" w:leader="dot" w:pos="9120"/>
        </w:tabs>
      </w:pPr>
      <w:r>
        <w:rPr>
          <w:sz w:val="21"/>
          <w:color w:val="262626"/>
        </w:rPr>
        <w:t xml:space="preserve">Article 6: The Red Lines Register and the Perimeter Screen</w:t>
      </w:r>
      <w:r>
        <w:tab/>
      </w:r>
      <w:r>
        <w:rPr>
          <w:sz w:val="21"/>
          <w:color w:val="262626"/>
        </w:rPr>
        <w:t>18</w:t>
      </w:r>
    </w:p>
    <w:p>
      <w:pPr>
        <w:spacing w:before="120" w:after="80"/>
        <w:ind w:left="0"/>
        <w:tabs>
          <w:tab w:val="right" w:leader="dot" w:pos="9360"/>
        </w:tabs>
      </w:pPr>
      <w:r>
        <w:rPr>
          <w:b/>
          <w:sz w:val="22"/>
          <w:color w:val="1F3A5F"/>
          <w:smallCaps/>
          <w:spacing w:val="10"/>
        </w:rPr>
        <w:t xml:space="preserve">Part II: The Three-Corridor Navigation System</w:t>
      </w:r>
      <w:r>
        <w:tab/>
      </w:r>
      <w:r>
        <w:rPr>
          <w:b/>
          <w:sz w:val="21"/>
          <w:color w:val="1F3A5F"/>
        </w:rPr>
        <w:t>19</w:t>
      </w:r>
    </w:p>
    <w:p>
      <w:pPr>
        <w:spacing w:before="0" w:after="20"/>
        <w:ind w:left="240"/>
        <w:tabs>
          <w:tab w:val="right" w:leader="dot" w:pos="9120"/>
        </w:tabs>
      </w:pPr>
      <w:r>
        <w:rPr>
          <w:sz w:val="21"/>
          <w:color w:val="262626"/>
        </w:rPr>
        <w:t xml:space="preserve">Article 7: The Governance Area and Boundary Coordinates</w:t>
      </w:r>
      <w:r>
        <w:tab/>
      </w:r>
      <w:r>
        <w:rPr>
          <w:sz w:val="21"/>
          <w:color w:val="262626"/>
        </w:rPr>
        <w:t>19</w:t>
      </w:r>
    </w:p>
    <w:p>
      <w:pPr>
        <w:spacing w:before="0" w:after="20"/>
        <w:ind w:left="240"/>
        <w:tabs>
          <w:tab w:val="right" w:leader="dot" w:pos="9120"/>
        </w:tabs>
      </w:pPr>
      <w:r>
        <w:rPr>
          <w:sz w:val="21"/>
          <w:color w:val="262626"/>
        </w:rPr>
        <w:t xml:space="preserve">Article 8: The Three Corridors</w:t>
      </w:r>
      <w:r>
        <w:tab/>
      </w:r>
      <w:r>
        <w:rPr>
          <w:sz w:val="21"/>
          <w:color w:val="262626"/>
        </w:rPr>
        <w:t>20</w:t>
      </w:r>
    </w:p>
    <w:p>
      <w:pPr>
        <w:spacing w:before="0" w:after="20"/>
        <w:ind w:left="240"/>
        <w:tabs>
          <w:tab w:val="right" w:leader="dot" w:pos="9120"/>
        </w:tabs>
      </w:pPr>
      <w:r>
        <w:rPr>
          <w:sz w:val="21"/>
          <w:color w:val="262626"/>
        </w:rPr>
        <w:t xml:space="preserve">Article 9: Vessel Classification and Differentiated Treatment</w:t>
      </w:r>
      <w:r>
        <w:tab/>
      </w:r>
      <w:r>
        <w:rPr>
          <w:sz w:val="21"/>
          <w:color w:val="262626"/>
        </w:rPr>
        <w:t>22</w:t>
      </w:r>
    </w:p>
    <w:p>
      <w:pPr>
        <w:spacing w:before="0" w:after="20"/>
        <w:ind w:left="240"/>
        <w:tabs>
          <w:tab w:val="right" w:leader="dot" w:pos="9120"/>
        </w:tabs>
      </w:pPr>
      <w:r>
        <w:rPr>
          <w:sz w:val="21"/>
          <w:color w:val="262626"/>
        </w:rPr>
        <w:t xml:space="preserve">Article 10: Safe Passage and the Non-Interdiction Protocol</w:t>
      </w:r>
      <w:r>
        <w:tab/>
      </w:r>
      <w:r>
        <w:rPr>
          <w:sz w:val="21"/>
          <w:color w:val="262626"/>
        </w:rPr>
        <w:t>25</w:t>
      </w:r>
    </w:p>
    <w:p>
      <w:pPr>
        <w:spacing w:before="0" w:after="20"/>
        <w:ind w:left="240"/>
        <w:tabs>
          <w:tab w:val="right" w:leader="dot" w:pos="9120"/>
        </w:tabs>
      </w:pPr>
      <w:r>
        <w:rPr>
          <w:sz w:val="21"/>
          <w:color w:val="262626"/>
        </w:rPr>
        <w:t xml:space="preserve">Article 11: Flow States and the Open Water Bulletin</w:t>
      </w:r>
      <w:r>
        <w:tab/>
      </w:r>
      <w:r>
        <w:rPr>
          <w:sz w:val="21"/>
          <w:color w:val="262626"/>
        </w:rPr>
        <w:t>26</w:t>
      </w:r>
    </w:p>
    <w:p>
      <w:pPr>
        <w:spacing w:before="0" w:after="20"/>
        <w:ind w:left="240"/>
        <w:tabs>
          <w:tab w:val="right" w:leader="dot" w:pos="9120"/>
        </w:tabs>
      </w:pPr>
      <w:r>
        <w:rPr>
          <w:sz w:val="21"/>
          <w:color w:val="262626"/>
        </w:rPr>
        <w:t xml:space="preserve">Article 12: Hazard Survey, Mines, and the Reopening Sequence</w:t>
      </w:r>
      <w:r>
        <w:tab/>
      </w:r>
      <w:r>
        <w:rPr>
          <w:sz w:val="21"/>
          <w:color w:val="262626"/>
        </w:rPr>
        <w:t>27</w:t>
      </w:r>
    </w:p>
    <w:p>
      <w:pPr>
        <w:spacing w:before="120" w:after="80"/>
        <w:ind w:left="0"/>
        <w:tabs>
          <w:tab w:val="right" w:leader="dot" w:pos="9360"/>
        </w:tabs>
      </w:pPr>
      <w:r>
        <w:rPr>
          <w:b/>
          <w:sz w:val="22"/>
          <w:color w:val="1F3A5F"/>
          <w:smallCaps/>
          <w:spacing w:val="10"/>
        </w:rPr>
        <w:t>Part III: Institutional Architecture</w:t>
      </w:r>
      <w:r>
        <w:tab/>
      </w:r>
      <w:r>
        <w:rPr>
          <w:b/>
          <w:sz w:val="21"/>
          <w:color w:val="1F3A5F"/>
        </w:rPr>
        <w:t>28</w:t>
      </w:r>
    </w:p>
    <w:p>
      <w:pPr>
        <w:spacing w:before="0" w:after="20"/>
        <w:ind w:left="240"/>
        <w:tabs>
          <w:tab w:val="right" w:leader="dot" w:pos="9120"/>
        </w:tabs>
      </w:pPr>
      <w:r>
        <w:rPr>
          <w:sz w:val="21"/>
          <w:color w:val="262626"/>
        </w:rPr>
        <w:t xml:space="preserve">Article 13: The Hormuz Maritime Council</w:t>
      </w:r>
      <w:r>
        <w:tab/>
      </w:r>
      <w:r>
        <w:rPr>
          <w:sz w:val="21"/>
          <w:color w:val="262626"/>
        </w:rPr>
        <w:t>28</w:t>
      </w:r>
    </w:p>
    <w:p>
      <w:pPr>
        <w:spacing w:before="0" w:after="20"/>
        <w:ind w:left="240"/>
        <w:tabs>
          <w:tab w:val="right" w:leader="dot" w:pos="9120"/>
        </w:tabs>
      </w:pPr>
      <w:r>
        <w:rPr>
          <w:sz w:val="21"/>
          <w:color w:val="262626"/>
        </w:rPr>
        <w:t xml:space="preserve">Article 14: The Pact Operations Center and the Mirror Facility</w:t>
      </w:r>
      <w:r>
        <w:tab/>
      </w:r>
      <w:r>
        <w:rPr>
          <w:sz w:val="21"/>
          <w:color w:val="262626"/>
        </w:rPr>
        <w:t>29</w:t>
      </w:r>
    </w:p>
    <w:p>
      <w:pPr>
        <w:spacing w:before="0" w:after="20"/>
        <w:ind w:left="240"/>
        <w:tabs>
          <w:tab w:val="right" w:leader="dot" w:pos="9120"/>
        </w:tabs>
      </w:pPr>
      <w:r>
        <w:rPr>
          <w:sz w:val="21"/>
          <w:color w:val="262626"/>
        </w:rPr>
        <w:t xml:space="preserve">Article 15: The Neutral Observation Office</w:t>
      </w:r>
      <w:r>
        <w:tab/>
      </w:r>
      <w:r>
        <w:rPr>
          <w:sz w:val="21"/>
          <w:color w:val="262626"/>
        </w:rPr>
        <w:t>32</w:t>
      </w:r>
    </w:p>
    <w:p>
      <w:pPr>
        <w:spacing w:before="0" w:after="20"/>
        <w:ind w:left="240"/>
        <w:tabs>
          <w:tab w:val="right" w:leader="dot" w:pos="9120"/>
        </w:tabs>
      </w:pPr>
      <w:r>
        <w:rPr>
          <w:sz w:val="21"/>
          <w:color w:val="262626"/>
        </w:rPr>
        <w:t xml:space="preserve">Article 16: Participation Architecture and the Role of the United States</w:t>
      </w:r>
      <w:r>
        <w:tab/>
      </w:r>
      <w:r>
        <w:rPr>
          <w:sz w:val="21"/>
          <w:color w:val="262626"/>
        </w:rPr>
        <w:t>33</w:t>
      </w:r>
    </w:p>
    <w:p>
      <w:pPr>
        <w:spacing w:before="0" w:after="20"/>
        <w:ind w:left="240"/>
        <w:tabs>
          <w:tab w:val="right" w:leader="dot" w:pos="9120"/>
        </w:tabs>
      </w:pPr>
      <w:r>
        <w:rPr>
          <w:sz w:val="21"/>
          <w:color w:val="262626"/>
        </w:rPr>
        <w:t xml:space="preserve">Article 17: Decision Rules</w:t>
      </w:r>
      <w:r>
        <w:tab/>
      </w:r>
      <w:r>
        <w:rPr>
          <w:sz w:val="21"/>
          <w:color w:val="262626"/>
        </w:rPr>
        <w:t>35</w:t>
      </w:r>
    </w:p>
    <w:p>
      <w:pPr>
        <w:spacing w:before="120" w:after="80"/>
        <w:ind w:left="0"/>
        <w:tabs>
          <w:tab w:val="right" w:leader="dot" w:pos="9360"/>
        </w:tabs>
      </w:pPr>
      <w:r>
        <w:rPr>
          <w:b/>
          <w:sz w:val="22"/>
          <w:color w:val="1F3A5F"/>
          <w:smallCaps/>
          <w:spacing w:val="10"/>
        </w:rPr>
        <w:t xml:space="preserve">Part IV: The Financial Architecture</w:t>
      </w:r>
      <w:r>
        <w:tab/>
      </w:r>
      <w:r>
        <w:rPr>
          <w:b/>
          <w:sz w:val="21"/>
          <w:color w:val="1F3A5F"/>
        </w:rPr>
        <w:t>37</w:t>
      </w:r>
    </w:p>
    <w:p>
      <w:pPr>
        <w:spacing w:before="0" w:after="20"/>
        <w:ind w:left="240"/>
        <w:tabs>
          <w:tab w:val="right" w:leader="dot" w:pos="9120"/>
        </w:tabs>
      </w:pPr>
      <w:r>
        <w:rPr>
          <w:sz w:val="21"/>
          <w:color w:val="262626"/>
        </w:rPr>
        <w:t xml:space="preserve">Article 18: The Zero-Toll Rule</w:t>
      </w:r>
      <w:r>
        <w:tab/>
      </w:r>
      <w:r>
        <w:rPr>
          <w:sz w:val="21"/>
          <w:color w:val="262626"/>
        </w:rPr>
        <w:t>37</w:t>
      </w:r>
    </w:p>
    <w:p>
      <w:pPr>
        <w:spacing w:before="0" w:after="20"/>
        <w:ind w:left="240"/>
        <w:tabs>
          <w:tab w:val="right" w:leader="dot" w:pos="9120"/>
        </w:tabs>
      </w:pPr>
      <w:r>
        <w:rPr>
          <w:sz w:val="21"/>
          <w:color w:val="262626"/>
        </w:rPr>
        <w:t xml:space="preserve">Article 19: The Verified Services Catalog and the Service Charges</w:t>
      </w:r>
      <w:r>
        <w:tab/>
      </w:r>
      <w:r>
        <w:rPr>
          <w:sz w:val="21"/>
          <w:color w:val="262626"/>
        </w:rPr>
        <w:t>38</w:t>
      </w:r>
    </w:p>
    <w:p>
      <w:pPr>
        <w:spacing w:before="0" w:after="20"/>
        <w:ind w:left="240"/>
        <w:tabs>
          <w:tab w:val="right" w:leader="dot" w:pos="9120"/>
        </w:tabs>
      </w:pPr>
      <w:r>
        <w:rPr>
          <w:sz w:val="21"/>
          <w:color w:val="262626"/>
        </w:rPr>
        <w:t xml:space="preserve">Article 20: The Maritime Services Fund</w:t>
      </w:r>
      <w:r>
        <w:tab/>
      </w:r>
      <w:r>
        <w:rPr>
          <w:sz w:val="21"/>
          <w:color w:val="262626"/>
        </w:rPr>
        <w:t>39</w:t>
      </w:r>
    </w:p>
    <w:p>
      <w:pPr>
        <w:spacing w:before="0" w:after="20"/>
        <w:ind w:left="240"/>
        <w:tabs>
          <w:tab w:val="right" w:leader="dot" w:pos="9120"/>
        </w:tabs>
      </w:pPr>
      <w:r>
        <w:rPr>
          <w:sz w:val="21"/>
          <w:color w:val="262626"/>
        </w:rPr>
        <w:t xml:space="preserve">Article 21: Budget, Audit, and the Sanctions-Compliance Firewall</w:t>
      </w:r>
      <w:r>
        <w:tab/>
      </w:r>
      <w:r>
        <w:rPr>
          <w:sz w:val="21"/>
          <w:color w:val="262626"/>
        </w:rPr>
        <w:t>41</w:t>
      </w:r>
    </w:p>
    <w:p>
      <w:pPr>
        <w:spacing w:before="120" w:after="80"/>
        <w:ind w:left="0"/>
        <w:tabs>
          <w:tab w:val="right" w:leader="dot" w:pos="9360"/>
        </w:tabs>
      </w:pPr>
      <w:r>
        <w:rPr>
          <w:b/>
          <w:sz w:val="22"/>
          <w:color w:val="1F3A5F"/>
          <w:smallCaps/>
          <w:spacing w:val="10"/>
        </w:rPr>
        <w:t xml:space="preserve">Part V: Economic Development</w:t>
      </w:r>
      <w:r>
        <w:tab/>
      </w:r>
      <w:r>
        <w:rPr>
          <w:b/>
          <w:sz w:val="21"/>
          <w:color w:val="1F3A5F"/>
        </w:rPr>
        <w:t>42</w:t>
      </w:r>
    </w:p>
    <w:p>
      <w:pPr>
        <w:spacing w:before="0" w:after="20"/>
        <w:ind w:left="240"/>
        <w:tabs>
          <w:tab w:val="right" w:leader="dot" w:pos="9120"/>
        </w:tabs>
      </w:pPr>
      <w:r>
        <w:rPr>
          <w:sz w:val="21"/>
          <w:color w:val="262626"/>
        </w:rPr>
        <w:t xml:space="preserve">Article 22: The Hormuz Development Facility</w:t>
      </w:r>
      <w:r>
        <w:tab/>
      </w:r>
      <w:r>
        <w:rPr>
          <w:sz w:val="21"/>
          <w:color w:val="262626"/>
        </w:rPr>
        <w:t>42</w:t>
      </w:r>
    </w:p>
    <w:p>
      <w:pPr>
        <w:spacing w:before="0" w:after="20"/>
        <w:ind w:left="240"/>
        <w:tabs>
          <w:tab w:val="right" w:leader="dot" w:pos="9120"/>
        </w:tabs>
      </w:pPr>
      <w:r>
        <w:rPr>
          <w:sz w:val="21"/>
          <w:color w:val="262626"/>
        </w:rPr>
        <w:t xml:space="preserve">Article 23: The Development Windows</w:t>
      </w:r>
      <w:r>
        <w:tab/>
      </w:r>
      <w:r>
        <w:rPr>
          <w:sz w:val="21"/>
          <w:color w:val="262626"/>
        </w:rPr>
        <w:t>43</w:t>
      </w:r>
    </w:p>
    <w:p>
      <w:pPr>
        <w:spacing w:before="0" w:after="20"/>
        <w:ind w:left="240"/>
        <w:tabs>
          <w:tab w:val="right" w:leader="dot" w:pos="9120"/>
        </w:tabs>
      </w:pPr>
      <w:r>
        <w:rPr>
          <w:sz w:val="21"/>
          <w:color w:val="262626"/>
        </w:rPr>
        <w:t xml:space="preserve">Article 24: The Earned Dividend Link</w:t>
      </w:r>
      <w:r>
        <w:tab/>
      </w:r>
      <w:r>
        <w:rPr>
          <w:sz w:val="21"/>
          <w:color w:val="262626"/>
        </w:rPr>
        <w:t>44</w:t>
      </w:r>
    </w:p>
    <w:p>
      <w:pPr>
        <w:spacing w:before="0" w:after="20"/>
        <w:ind w:left="240"/>
        <w:tabs>
          <w:tab w:val="right" w:leader="dot" w:pos="9120"/>
        </w:tabs>
      </w:pPr>
      <w:r>
        <w:rPr>
          <w:sz w:val="21"/>
          <w:color w:val="262626"/>
        </w:rPr>
        <w:t xml:space="preserve">Article 25: Synchronization with the Wider Settlement</w:t>
      </w:r>
      <w:r>
        <w:tab/>
      </w:r>
      <w:r>
        <w:rPr>
          <w:sz w:val="21"/>
          <w:color w:val="262626"/>
        </w:rPr>
        <w:t>44</w:t>
      </w:r>
    </w:p>
    <w:p>
      <w:pPr>
        <w:spacing w:before="120" w:after="80"/>
        <w:ind w:left="0"/>
        <w:tabs>
          <w:tab w:val="right" w:leader="dot" w:pos="9360"/>
        </w:tabs>
      </w:pPr>
      <w:r>
        <w:rPr>
          <w:b/>
          <w:sz w:val="22"/>
          <w:color w:val="1F3A5F"/>
          <w:smallCaps/>
          <w:spacing w:val="10"/>
        </w:rPr>
        <w:t xml:space="preserve">Part VI: Verification, Deconfliction, and Incident Management</w:t>
      </w:r>
      <w:r>
        <w:tab/>
      </w:r>
      <w:r>
        <w:rPr>
          <w:b/>
          <w:sz w:val="21"/>
          <w:color w:val="1F3A5F"/>
        </w:rPr>
        <w:t>45</w:t>
      </w:r>
    </w:p>
    <w:p>
      <w:pPr>
        <w:spacing w:before="0" w:after="20"/>
        <w:ind w:left="240"/>
        <w:tabs>
          <w:tab w:val="right" w:leader="dot" w:pos="9120"/>
        </w:tabs>
      </w:pPr>
      <w:r>
        <w:rPr>
          <w:sz w:val="21"/>
          <w:color w:val="262626"/>
        </w:rPr>
        <w:t xml:space="preserve">Article 26: Verification and the Dual Confirmation Standard</w:t>
      </w:r>
      <w:r>
        <w:tab/>
      </w:r>
      <w:r>
        <w:rPr>
          <w:sz w:val="21"/>
          <w:color w:val="262626"/>
        </w:rPr>
        <w:t>45</w:t>
      </w:r>
    </w:p>
    <w:p>
      <w:pPr>
        <w:spacing w:before="0" w:after="20"/>
        <w:ind w:left="240"/>
        <w:tabs>
          <w:tab w:val="right" w:leader="dot" w:pos="9120"/>
        </w:tabs>
      </w:pPr>
      <w:r>
        <w:rPr>
          <w:sz w:val="21"/>
          <w:color w:val="262626"/>
        </w:rPr>
        <w:t xml:space="preserve">Article 27: Naval Deconfliction and the Standoff Geometry</w:t>
      </w:r>
      <w:r>
        <w:tab/>
      </w:r>
      <w:r>
        <w:rPr>
          <w:sz w:val="21"/>
          <w:color w:val="262626"/>
        </w:rPr>
        <w:t>46</w:t>
      </w:r>
    </w:p>
    <w:p>
      <w:pPr>
        <w:spacing w:before="0" w:after="20"/>
        <w:ind w:left="240"/>
        <w:tabs>
          <w:tab w:val="right" w:leader="dot" w:pos="9120"/>
        </w:tabs>
      </w:pPr>
      <w:r>
        <w:rPr>
          <w:sz w:val="21"/>
          <w:color w:val="262626"/>
        </w:rPr>
        <w:t xml:space="preserve">Article 28: Incidents, Proxy Events, and Recovery</w:t>
      </w:r>
      <w:r>
        <w:tab/>
      </w:r>
      <w:r>
        <w:rPr>
          <w:sz w:val="21"/>
          <w:color w:val="262626"/>
        </w:rPr>
        <w:t>47</w:t>
      </w:r>
    </w:p>
    <w:p>
      <w:pPr>
        <w:spacing w:before="0" w:after="20"/>
        <w:ind w:left="240"/>
        <w:tabs>
          <w:tab w:val="right" w:leader="dot" w:pos="9120"/>
        </w:tabs>
      </w:pPr>
      <w:r>
        <w:rPr>
          <w:sz w:val="21"/>
          <w:color w:val="262626"/>
        </w:rPr>
        <w:t xml:space="preserve">Article 29: Search and Rescue, Environment, and Crew Protections</w:t>
      </w:r>
      <w:r>
        <w:tab/>
      </w:r>
      <w:r>
        <w:rPr>
          <w:sz w:val="21"/>
          <w:color w:val="262626"/>
        </w:rPr>
        <w:t>48</w:t>
      </w:r>
    </w:p>
    <w:p>
      <w:pPr>
        <w:spacing w:before="120" w:after="80"/>
        <w:ind w:left="0"/>
        <w:tabs>
          <w:tab w:val="right" w:leader="dot" w:pos="9360"/>
        </w:tabs>
      </w:pPr>
      <w:r>
        <w:rPr>
          <w:b/>
          <w:sz w:val="22"/>
          <w:color w:val="1F3A5F"/>
          <w:smallCaps/>
          <w:spacing w:val="10"/>
        </w:rPr>
        <w:t>Part VII: Compliance, Accountability, and Dispute Resolution</w:t>
      </w:r>
      <w:r>
        <w:tab/>
      </w:r>
      <w:r>
        <w:rPr>
          <w:b/>
          <w:sz w:val="21"/>
          <w:color w:val="1F3A5F"/>
        </w:rPr>
        <w:t>49</w:t>
      </w:r>
    </w:p>
    <w:p>
      <w:pPr>
        <w:spacing w:before="0" w:after="20"/>
        <w:ind w:left="240"/>
        <w:tabs>
          <w:tab w:val="right" w:leader="dot" w:pos="9120"/>
        </w:tabs>
      </w:pPr>
      <w:r>
        <w:rPr>
          <w:sz w:val="21"/>
          <w:color w:val="262626"/>
        </w:rPr>
        <w:t xml:space="preserve">Article 30: The Graduated Response and Restoration Engine</w:t>
      </w:r>
      <w:r>
        <w:tab/>
      </w:r>
      <w:r>
        <w:rPr>
          <w:sz w:val="21"/>
          <w:color w:val="262626"/>
        </w:rPr>
        <w:t>49</w:t>
      </w:r>
    </w:p>
    <w:p>
      <w:pPr>
        <w:spacing w:before="0" w:after="20"/>
        <w:ind w:left="240"/>
        <w:tabs>
          <w:tab w:val="right" w:leader="dot" w:pos="9120"/>
        </w:tabs>
      </w:pPr>
      <w:r>
        <w:rPr>
          <w:sz w:val="21"/>
          <w:color w:val="262626"/>
        </w:rPr>
        <w:t xml:space="preserve">Article 31: The Hormuz Watch</w:t>
      </w:r>
      <w:r>
        <w:tab/>
      </w:r>
      <w:r>
        <w:rPr>
          <w:sz w:val="21"/>
          <w:color w:val="262626"/>
        </w:rPr>
        <w:t>50</w:t>
      </w:r>
    </w:p>
    <w:p>
      <w:pPr>
        <w:spacing w:before="0" w:after="20"/>
        <w:ind w:left="240"/>
        <w:tabs>
          <w:tab w:val="right" w:leader="dot" w:pos="9120"/>
        </w:tabs>
      </w:pPr>
      <w:r>
        <w:rPr>
          <w:sz w:val="21"/>
          <w:color w:val="262626"/>
        </w:rPr>
        <w:t xml:space="preserve">Article 32: Substantiated Claims, the Performance Bond, and the Standing Ledger</w:t>
      </w:r>
      <w:r>
        <w:tab/>
      </w:r>
      <w:r>
        <w:rPr>
          <w:sz w:val="21"/>
          <w:color w:val="262626"/>
        </w:rPr>
        <w:t>51</w:t>
      </w:r>
    </w:p>
    <w:p>
      <w:pPr>
        <w:spacing w:before="0" w:after="20"/>
        <w:ind w:left="240"/>
        <w:tabs>
          <w:tab w:val="right" w:leader="dot" w:pos="9120"/>
        </w:tabs>
      </w:pPr>
      <w:r>
        <w:rPr>
          <w:sz w:val="21"/>
          <w:color w:val="262626"/>
        </w:rPr>
        <w:t xml:space="preserve">Article 33: Dispute Resolution</w:t>
      </w:r>
      <w:r>
        <w:tab/>
      </w:r>
      <w:r>
        <w:rPr>
          <w:sz w:val="21"/>
          <w:color w:val="262626"/>
        </w:rPr>
        <w:t>52</w:t>
      </w:r>
    </w:p>
    <w:p>
      <w:pPr>
        <w:spacing w:before="120" w:after="80"/>
        <w:ind w:left="0"/>
        <w:tabs>
          <w:tab w:val="right" w:leader="dot" w:pos="9360"/>
        </w:tabs>
      </w:pPr>
      <w:r>
        <w:rPr>
          <w:b/>
          <w:sz w:val="22"/>
          <w:color w:val="1F3A5F"/>
          <w:smallCaps/>
          <w:spacing w:val="10"/>
        </w:rPr>
        <w:t>Part VIII: Continuity, Accession, and Final Provisions</w:t>
      </w:r>
      <w:r>
        <w:tab/>
      </w:r>
      <w:r>
        <w:rPr>
          <w:b/>
          <w:sz w:val="21"/>
          <w:color w:val="1F3A5F"/>
        </w:rPr>
        <w:t>53</w:t>
      </w:r>
    </w:p>
    <w:p>
      <w:pPr>
        <w:spacing w:before="0" w:after="20"/>
        <w:ind w:left="240"/>
        <w:tabs>
          <w:tab w:val="right" w:leader="dot" w:pos="9120"/>
        </w:tabs>
      </w:pPr>
      <w:r>
        <w:rPr>
          <w:sz w:val="21"/>
          <w:color w:val="262626"/>
        </w:rPr>
        <w:t xml:space="preserve">Article 34: Accession and the Multilateral Expansion Path</w:t>
      </w:r>
      <w:r>
        <w:tab/>
      </w:r>
      <w:r>
        <w:rPr>
          <w:sz w:val="21"/>
          <w:color w:val="262626"/>
        </w:rPr>
        <w:t>53</w:t>
      </w:r>
    </w:p>
    <w:p>
      <w:pPr>
        <w:spacing w:before="0" w:after="20"/>
        <w:ind w:left="240"/>
        <w:tabs>
          <w:tab w:val="right" w:leader="dot" w:pos="9120"/>
        </w:tabs>
      </w:pPr>
      <w:r>
        <w:rPr>
          <w:sz w:val="21"/>
          <w:color w:val="262626"/>
        </w:rPr>
        <w:t xml:space="preserve">Article 35: Amendment and Review</w:t>
      </w:r>
      <w:r>
        <w:tab/>
      </w:r>
      <w:r>
        <w:rPr>
          <w:sz w:val="21"/>
          <w:color w:val="262626"/>
        </w:rPr>
        <w:t>54</w:t>
      </w:r>
    </w:p>
    <w:p>
      <w:pPr>
        <w:spacing w:before="0" w:after="20"/>
        <w:ind w:left="240"/>
        <w:tabs>
          <w:tab w:val="right" w:leader="dot" w:pos="9120"/>
        </w:tabs>
      </w:pPr>
      <w:r>
        <w:rPr>
          <w:sz w:val="21"/>
          <w:color w:val="262626"/>
        </w:rPr>
        <w:t xml:space="preserve">Article 36: Transition, Succession, Withdrawal, and Reconstitution</w:t>
      </w:r>
      <w:r>
        <w:tab/>
      </w:r>
      <w:r>
        <w:rPr>
          <w:sz w:val="21"/>
          <w:color w:val="262626"/>
        </w:rPr>
        <w:t>54</w:t>
      </w:r>
    </w:p>
    <w:p>
      <w:pPr>
        <w:spacing w:before="0" w:after="20"/>
        <w:ind w:left="240"/>
        <w:tabs>
          <w:tab w:val="right" w:leader="dot" w:pos="9120"/>
        </w:tabs>
      </w:pPr>
      <w:r>
        <w:rPr>
          <w:sz w:val="21"/>
          <w:color w:val="262626"/>
        </w:rPr>
        <w:t xml:space="preserve">Article 37: Final Provisions</w:t>
      </w:r>
      <w:r>
        <w:tab/>
      </w:r>
      <w:r>
        <w:rPr>
          <w:sz w:val="21"/>
          <w:color w:val="262626"/>
        </w:rPr>
        <w:t>55</w:t>
      </w:r>
    </w:p>
    <w:p>
      <w:pPr>
        <w:spacing w:before="0" w:after="20"/>
        <w:ind w:left="240"/>
        <w:tabs>
          <w:tab w:val="right" w:leader="dot" w:pos="9120"/>
        </w:tabs>
      </w:pPr>
      <w:r>
        <w:rPr>
          <w:sz w:val="21"/>
          <w:color w:val="262626"/>
        </w:rPr>
        <w:t xml:space="preserve">Signature Block</w:t>
      </w:r>
      <w:r>
        <w:tab/>
      </w:r>
      <w:r>
        <w:rPr>
          <w:sz w:val="21"/>
          <w:color w:val="262626"/>
        </w:rPr>
        <w:t>57</w:t>
      </w:r>
    </w:p>
    <w:p>
      <w:pPr>
        <w:spacing w:before="120" w:after="80"/>
        <w:ind w:left="0"/>
        <w:tabs>
          <w:tab w:val="right" w:leader="dot" w:pos="9360"/>
        </w:tabs>
      </w:pPr>
      <w:r>
        <w:rPr>
          <w:b/>
          <w:sz w:val="22"/>
          <w:color w:val="1F3A5F"/>
          <w:smallCaps/>
          <w:spacing w:val="10"/>
        </w:rPr>
        <w:t xml:space="preserve">Annexes</w:t>
      </w:r>
      <w:r>
        <w:tab/>
      </w:r>
      <w:r>
        <w:rPr>
          <w:b/>
          <w:sz w:val="21"/>
          <w:color w:val="1F3A5F"/>
        </w:rPr>
        <w:t>58</w:t>
      </w:r>
    </w:p>
    <w:p>
      <w:pPr>
        <w:spacing w:before="0" w:after="20"/>
        <w:ind w:left="240"/>
        <w:tabs>
          <w:tab w:val="right" w:leader="dot" w:pos="9120"/>
        </w:tabs>
      </w:pPr>
      <w:r>
        <w:rPr>
          <w:sz w:val="21"/>
          <w:color w:val="262626"/>
        </w:rPr>
        <w:t xml:space="preserve">Annex A: Passage Coordinates and Geometry Registry</w:t>
      </w:r>
      <w:r>
        <w:tab/>
      </w:r>
      <w:r>
        <w:rPr>
          <w:sz w:val="21"/>
          <w:color w:val="262626"/>
        </w:rPr>
        <w:t>58</w:t>
      </w:r>
    </w:p>
    <w:p>
      <w:pPr>
        <w:spacing w:before="0" w:after="20"/>
        <w:ind w:left="240"/>
        <w:tabs>
          <w:tab w:val="right" w:leader="dot" w:pos="9120"/>
        </w:tabs>
      </w:pPr>
      <w:r>
        <w:rPr>
          <w:sz w:val="21"/>
          <w:color w:val="262626"/>
        </w:rPr>
        <w:t xml:space="preserve">Annex B: Fund Charter, Rate Card, and Contribution Schedule</w:t>
      </w:r>
      <w:r>
        <w:tab/>
      </w:r>
      <w:r>
        <w:rPr>
          <w:sz w:val="21"/>
          <w:color w:val="262626"/>
        </w:rPr>
        <w:t>61</w:t>
      </w:r>
    </w:p>
    <w:p>
      <w:pPr>
        <w:spacing w:before="0" w:after="20"/>
        <w:ind w:left="240"/>
        <w:tabs>
          <w:tab w:val="right" w:leader="dot" w:pos="9120"/>
        </w:tabs>
      </w:pPr>
      <w:r>
        <w:rPr>
          <w:sz w:val="21"/>
          <w:color w:val="262626"/>
        </w:rPr>
        <w:t xml:space="preserve">Annex C: Compliance Point Schedule</w:t>
      </w:r>
      <w:r>
        <w:tab/>
      </w:r>
      <w:r>
        <w:rPr>
          <w:sz w:val="21"/>
          <w:color w:val="262626"/>
        </w:rPr>
        <w:t>64</w:t>
      </w:r>
    </w:p>
    <w:p>
      <w:pPr>
        <w:spacing w:before="0" w:after="20"/>
        <w:ind w:left="240"/>
        <w:tabs>
          <w:tab w:val="right" w:leader="dot" w:pos="9120"/>
        </w:tabs>
      </w:pPr>
      <w:r>
        <w:rPr>
          <w:sz w:val="21"/>
          <w:color w:val="262626"/>
        </w:rPr>
        <w:t xml:space="preserve">Annex D: Communications Formats and the Mariners' Handbook</w:t>
      </w:r>
      <w:r>
        <w:tab/>
      </w:r>
      <w:r>
        <w:rPr>
          <w:sz w:val="21"/>
          <w:color w:val="262626"/>
        </w:rPr>
        <w:t>65</w:t>
      </w:r>
    </w:p>
    <w:p>
      <w:pPr>
        <w:spacing w:before="0" w:after="20"/>
        <w:ind w:left="240"/>
        <w:tabs>
          <w:tab w:val="right" w:leader="dot" w:pos="9120"/>
        </w:tabs>
      </w:pPr>
      <w:r>
        <w:rPr>
          <w:sz w:val="21"/>
          <w:color w:val="262626"/>
        </w:rPr>
        <w:t xml:space="preserve">Annex E: Implementation Timeline, Activation Checklists, and Staffing Table</w:t>
      </w:r>
      <w:r>
        <w:tab/>
      </w:r>
      <w:r>
        <w:rPr>
          <w:sz w:val="21"/>
          <w:color w:val="262626"/>
        </w:rPr>
        <w:t>67</w:t>
      </w:r>
    </w:p>
    <w:p>
      <w:pPr>
        <w:spacing w:before="0" w:after="20"/>
        <w:ind w:left="240"/>
        <w:tabs>
          <w:tab w:val="right" w:leader="dot" w:pos="9120"/>
        </w:tabs>
      </w:pPr>
      <w:r>
        <w:rPr>
          <w:sz w:val="21"/>
          <w:color w:val="262626"/>
        </w:rPr>
        <w:t xml:space="preserve">Annex F: Accession, Adherence, and Participation Instruments</w:t>
      </w:r>
      <w:r>
        <w:tab/>
      </w:r>
      <w:r>
        <w:rPr>
          <w:sz w:val="21"/>
          <w:color w:val="262626"/>
        </w:rPr>
        <w:t>69</w:t>
      </w:r>
    </w:p>
    <w:p>
      <w:pPr>
        <w:spacing w:before="0" w:after="20"/>
        <w:ind w:left="240"/>
        <w:tabs>
          <w:tab w:val="right" w:leader="dot" w:pos="9120"/>
        </w:tabs>
      </w:pPr>
      <w:r>
        <w:rPr>
          <w:sz w:val="21"/>
          <w:color w:val="262626"/>
        </w:rPr>
        <w:t xml:space="preserve">Annex G: The Red Lines Register (Full Operative Text)</w:t>
      </w:r>
      <w:r>
        <w:tab/>
      </w:r>
      <w:r>
        <w:rPr>
          <w:sz w:val="21"/>
          <w:color w:val="262626"/>
        </w:rPr>
        <w:t>69</w:t>
      </w:r>
    </w:p>
    <w:p>
      <w:pPr>
        <w:spacing w:before="0" w:after="20"/>
        <w:ind w:left="240"/>
        <w:tabs>
          <w:tab w:val="right" w:leader="dot" w:pos="9120"/>
        </w:tabs>
      </w:pPr>
      <w:r>
        <w:rPr>
          <w:sz w:val="21"/>
          <w:color w:val="262626"/>
        </w:rPr>
        <w:t xml:space="preserve">Annex H: The Verification Schedule and the Stability Audit Metrics</w:t>
      </w:r>
      <w:r>
        <w:tab/>
      </w:r>
      <w:r>
        <w:rPr>
          <w:sz w:val="21"/>
          <w:color w:val="262626"/>
        </w:rPr>
        <w:t>71</w:t>
      </w:r>
    </w:p>
    <w:p>
      <w:pPr>
        <w:spacing w:before="0" w:after="20"/>
        <w:ind w:left="240"/>
        <w:tabs>
          <w:tab w:val="right" w:leader="dot" w:pos="9120"/>
        </w:tabs>
      </w:pPr>
      <w:r>
        <w:rPr>
          <w:sz w:val="21"/>
          <w:color w:val="262626"/>
        </w:rPr>
        <w:t xml:space="preserve">Annex I: Development Project Windows and Selection Criteria</w:t>
      </w:r>
      <w:r>
        <w:tab/>
      </w:r>
      <w:r>
        <w:rPr>
          <w:sz w:val="21"/>
          <w:color w:val="262626"/>
        </w:rPr>
        <w:t>73</w:t>
      </w:r>
    </w:p>
    <w:p>
      <w:pPr>
        <w:spacing w:before="0" w:after="20"/>
        <w:ind w:left="240"/>
        <w:tabs>
          <w:tab w:val="right" w:leader="dot" w:pos="9120"/>
        </w:tabs>
      </w:pPr>
      <w:r>
        <w:rPr>
          <w:sz w:val="21"/>
          <w:color w:val="262626"/>
        </w:rPr>
        <w:t xml:space="preserve">Annex J: The Positions Convergence Map</w:t>
      </w:r>
      <w:r>
        <w:tab/>
      </w:r>
      <w:r>
        <w:rPr>
          <w:sz w:val="21"/>
          <w:color w:val="262626"/>
        </w:rPr>
        <w:t>75</w:t>
      </w:r>
    </w:p>
    <w:p>
      <w:pPr>
        <w:spacing w:before="0" w:after="20"/>
        <w:ind w:left="240"/>
        <w:tabs>
          <w:tab w:val="right" w:leader="dot" w:pos="9120"/>
        </w:tabs>
      </w:pPr>
      <w:r>
        <w:rPr>
          <w:sz w:val="21"/>
          <w:color w:val="262626"/>
        </w:rPr>
        <w:t xml:space="preserve">Annex K: The Joint Communications and Synchronization Calendar</w:t>
      </w:r>
      <w:r>
        <w:tab/>
      </w:r>
      <w:r>
        <w:rPr>
          <w:sz w:val="21"/>
          <w:color w:val="262626"/>
        </w:rPr>
        <w:t>78</w:t>
      </w:r>
    </w:p>
    <w:p>
      <w:r>
        <w:br w:type="page"/>
      </w:r>
    </w:p>
    <w:bookmarkStart w:id="20" w:name="document-control"/>
    <w:p>
      <w:pPr>
        <w:pStyle w:val="Heading1"/>
      </w:pPr>
      <w:r>
        <w:t xml:space="preserve">Document Control</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Field</w:t>
            </w:r>
          </w:p>
        </w:tc>
        <w:tc>
          <w:tcPr/>
          <w:p>
            <w:pPr>
              <w:pStyle w:val="Compact"/>
              <w:jc w:val="left"/>
            </w:pPr>
            <w:r>
              <w:t xml:space="preserve">Entry</w:t>
            </w:r>
          </w:p>
        </w:tc>
      </w:tr>
      <w:tr>
        <w:tc>
          <w:tcPr/>
          <w:p>
            <w:pPr>
              <w:pStyle w:val="Compact"/>
              <w:jc w:val="left"/>
            </w:pPr>
            <w:r>
              <w:t xml:space="preserve">Instrument</w:t>
            </w:r>
          </w:p>
        </w:tc>
        <w:tc>
          <w:tcPr/>
          <w:p>
            <w:pPr>
              <w:pStyle w:val="Compact"/>
              <w:jc w:val="left"/>
            </w:pPr>
            <w:r>
              <w:t xml:space="preserve">The Hormuz Economic Development and Security Pact, Version 1.0</w:t>
            </w:r>
          </w:p>
        </w:tc>
      </w:tr>
      <w:tr>
        <w:tc>
          <w:tcPr/>
          <w:p>
            <w:pPr>
              <w:pStyle w:val="Compact"/>
              <w:jc w:val="left"/>
            </w:pPr>
            <w:r>
              <w:t xml:space="preserve">Short title</w:t>
            </w:r>
          </w:p>
        </w:tc>
        <w:tc>
          <w:tcPr/>
          <w:p>
            <w:pPr>
              <w:pStyle w:val="Compact"/>
              <w:jc w:val="left"/>
            </w:pPr>
            <w:r>
              <w:t xml:space="preserve">The Pact (THEDSP)</w:t>
            </w:r>
          </w:p>
        </w:tc>
      </w:tr>
      <w:tr>
        <w:tc>
          <w:tcPr/>
          <w:p>
            <w:pPr>
              <w:pStyle w:val="Compact"/>
              <w:jc w:val="left"/>
            </w:pPr>
            <w:r>
              <w:t xml:space="preserve">Status</w:t>
            </w:r>
          </w:p>
        </w:tc>
        <w:tc>
          <w:tcPr/>
          <w:p>
            <w:pPr>
              <w:pStyle w:val="Compact"/>
              <w:jc w:val="left"/>
            </w:pPr>
            <w:r>
              <w:t xml:space="preserve">Negotiating draft for authorized participants; every line adheres to the Immutable Present-Tense Matrix</w:t>
            </w:r>
          </w:p>
        </w:tc>
      </w:tr>
      <w:tr>
        <w:tc>
          <w:tcPr/>
          <w:p>
            <w:pPr>
              <w:pStyle w:val="Compact"/>
              <w:jc w:val="left"/>
            </w:pPr>
            <w:r>
              <w:t xml:space="preserve">Date</w:t>
            </w:r>
          </w:p>
        </w:tc>
        <w:tc>
          <w:tcPr/>
          <w:p>
            <w:pPr>
              <w:pStyle w:val="Compact"/>
              <w:jc w:val="left"/>
            </w:pPr>
            <w:r>
              <w:t xml:space="preserve">August 2026</w:t>
            </w:r>
          </w:p>
        </w:tc>
      </w:tr>
      <w:tr>
        <w:tc>
          <w:tcPr/>
          <w:p>
            <w:pPr>
              <w:pStyle w:val="Compact"/>
              <w:jc w:val="left"/>
            </w:pPr>
            <w:r>
              <w:t xml:space="preserve">Anchor instruments</w:t>
            </w:r>
          </w:p>
        </w:tc>
        <w:tc>
          <w:tcPr/>
          <w:p>
            <w:pPr>
              <w:pStyle w:val="Compact"/>
              <w:jc w:val="left"/>
            </w:pPr>
            <w:r>
              <w:t xml:space="preserve">The Islamabad Memorandum of Understanding between the United States of America and the Islamic Republic of Iran, June 2026 (the MOU); the Iran-Oman corridor understandings under finalization in Muscat, August 2026</w:t>
            </w:r>
          </w:p>
        </w:tc>
      </w:tr>
      <w:tr>
        <w:tc>
          <w:tcPr/>
          <w:p>
            <w:pPr>
              <w:pStyle w:val="Compact"/>
              <w:jc w:val="left"/>
            </w:pPr>
            <w:r>
              <w:t xml:space="preserve">Founding Parties</w:t>
            </w:r>
          </w:p>
        </w:tc>
        <w:tc>
          <w:tcPr/>
          <w:p>
            <w:pPr>
              <w:pStyle w:val="Compact"/>
              <w:jc w:val="left"/>
            </w:pPr>
            <w:r>
              <w:t xml:space="preserve">The Islamic Republic of Iran and the Sultanate of Oman; entry into force upon signature by both</w:t>
            </w:r>
          </w:p>
        </w:tc>
      </w:tr>
      <w:tr>
        <w:tc>
          <w:tcPr/>
          <w:p>
            <w:pPr>
              <w:pStyle w:val="Compact"/>
              <w:jc w:val="left"/>
            </w:pPr>
            <w:r>
              <w:t xml:space="preserve">Accession path</w:t>
            </w:r>
          </w:p>
        </w:tc>
        <w:tc>
          <w:tcPr/>
          <w:p>
            <w:pPr>
              <w:pStyle w:val="Compact"/>
              <w:jc w:val="left"/>
            </w:pPr>
            <w:r>
              <w:t xml:space="preserve">The United Arab Emirates, the Kingdom of Saudi Arabia, the State of Qatar, the Kingdom of Bahrain, the State of Kuwait, and the Republic of Iraq</w:t>
            </w:r>
          </w:p>
        </w:tc>
      </w:tr>
      <w:tr>
        <w:tc>
          <w:tcPr/>
          <w:p>
            <w:pPr>
              <w:pStyle w:val="Compact"/>
              <w:jc w:val="left"/>
            </w:pPr>
            <w:r>
              <w:t xml:space="preserve">Mediator of Record</w:t>
            </w:r>
          </w:p>
        </w:tc>
        <w:tc>
          <w:tcPr/>
          <w:p>
            <w:pPr>
              <w:pStyle w:val="Compact"/>
              <w:jc w:val="left"/>
            </w:pPr>
            <w:r>
              <w:t xml:space="preserve">The Sultanate of Oman</w:t>
            </w:r>
          </w:p>
        </w:tc>
      </w:tr>
      <w:tr>
        <w:tc>
          <w:tcPr/>
          <w:p>
            <w:pPr>
              <w:pStyle w:val="Compact"/>
              <w:jc w:val="left"/>
            </w:pPr>
            <w:r>
              <w:t xml:space="preserve">Neutral Administrator</w:t>
            </w:r>
          </w:p>
        </w:tc>
        <w:tc>
          <w:tcPr/>
          <w:p>
            <w:pPr>
              <w:pStyle w:val="Compact"/>
              <w:jc w:val="left"/>
            </w:pPr>
            <w:r>
              <w:t xml:space="preserve">The Swiss Confederation</w:t>
            </w:r>
          </w:p>
        </w:tc>
      </w:tr>
      <w:tr>
        <w:tc>
          <w:tcPr/>
          <w:p>
            <w:pPr>
              <w:pStyle w:val="Compact"/>
              <w:jc w:val="left"/>
            </w:pPr>
            <w:r>
              <w:t xml:space="preserve">Supporting facilitators</w:t>
            </w:r>
          </w:p>
        </w:tc>
        <w:tc>
          <w:tcPr/>
          <w:p>
            <w:pPr>
              <w:pStyle w:val="Compact"/>
              <w:jc w:val="left"/>
            </w:pPr>
            <w:r>
              <w:t xml:space="preserve">The State of Qatar and the Islamic Republic of Pakistan</w:t>
            </w:r>
          </w:p>
        </w:tc>
      </w:tr>
      <w:tr>
        <w:tc>
          <w:tcPr/>
          <w:p>
            <w:pPr>
              <w:pStyle w:val="Compact"/>
              <w:jc w:val="left"/>
            </w:pPr>
            <w:r>
              <w:t xml:space="preserve">Technical interface</w:t>
            </w:r>
          </w:p>
        </w:tc>
        <w:tc>
          <w:tcPr/>
          <w:p>
            <w:pPr>
              <w:pStyle w:val="Compact"/>
              <w:jc w:val="left"/>
            </w:pPr>
            <w:r>
              <w:t xml:space="preserve">The International Maritime Organization (IMO); the International Hydrographic Organization (IHO); the United Nations Mine Action Service for the survey sequence of Article 12</w:t>
            </w:r>
          </w:p>
        </w:tc>
      </w:tr>
      <w:tr>
        <w:tc>
          <w:tcPr/>
          <w:p>
            <w:pPr>
              <w:pStyle w:val="Compact"/>
              <w:jc w:val="left"/>
            </w:pPr>
            <w:r>
              <w:t xml:space="preserve">Seat</w:t>
            </w:r>
          </w:p>
        </w:tc>
        <w:tc>
          <w:tcPr/>
          <w:p>
            <w:pPr>
              <w:pStyle w:val="Compact"/>
              <w:jc w:val="left"/>
            </w:pPr>
            <w:r>
              <w:t xml:space="preserve">The Pact Operations Center, Muscat, with a mirror facility of equal rank at Bandar Abbas</w:t>
            </w:r>
          </w:p>
        </w:tc>
      </w:tr>
      <w:tr>
        <w:tc>
          <w:tcPr/>
          <w:p>
            <w:pPr>
              <w:pStyle w:val="Compact"/>
              <w:jc w:val="left"/>
            </w:pPr>
            <w:r>
              <w:t xml:space="preserve">Depositary</w:t>
            </w:r>
          </w:p>
        </w:tc>
        <w:tc>
          <w:tcPr/>
          <w:p>
            <w:pPr>
              <w:pStyle w:val="Compact"/>
              <w:jc w:val="left"/>
            </w:pPr>
            <w:r>
              <w:t xml:space="preserve">The Sultanate of Oman, Ministry of Foreign Affairs, Muscat</w:t>
            </w:r>
          </w:p>
        </w:tc>
      </w:tr>
      <w:tr>
        <w:tc>
          <w:tcPr/>
          <w:p>
            <w:pPr>
              <w:pStyle w:val="Compact"/>
              <w:jc w:val="left"/>
            </w:pPr>
            <w:r>
              <w:t xml:space="preserve">Languages</w:t>
            </w:r>
          </w:p>
        </w:tc>
        <w:tc>
          <w:tcPr/>
          <w:p>
            <w:pPr>
              <w:pStyle w:val="Compact"/>
              <w:jc w:val="left"/>
            </w:pPr>
            <w:r>
              <w:t xml:space="preserve">Persian, Arabic, and English; the three texts carry equal authority</w:t>
            </w:r>
          </w:p>
        </w:tc>
      </w:tr>
      <w:tr>
        <w:tc>
          <w:tcPr/>
          <w:p>
            <w:pPr>
              <w:pStyle w:val="Compact"/>
              <w:jc w:val="left"/>
            </w:pPr>
            <w:r>
              <w:t xml:space="preserve">Continuity rule</w:t>
            </w:r>
          </w:p>
        </w:tc>
        <w:tc>
          <w:tcPr/>
          <w:p>
            <w:pPr>
              <w:pStyle w:val="Compact"/>
              <w:jc w:val="left"/>
            </w:pPr>
            <w:r>
              <w:t xml:space="preserve">The Continuity Guarantee (Article 5): no provision expires, lapses, or dissolves by the passage of time alone</w:t>
            </w:r>
          </w:p>
        </w:tc>
      </w:tr>
      <w:tr>
        <w:tc>
          <w:tcPr/>
          <w:p>
            <w:pPr>
              <w:pStyle w:val="Compact"/>
              <w:jc w:val="left"/>
            </w:pPr>
            <w:r>
              <w:t xml:space="preserve">Simplicity rule</w:t>
            </w:r>
          </w:p>
        </w:tc>
        <w:tc>
          <w:tcPr/>
          <w:p>
            <w:pPr>
              <w:pStyle w:val="Compact"/>
              <w:jc w:val="left"/>
            </w:pPr>
            <w:r>
              <w:t xml:space="preserve">The Five-Step Rule (Article 4): no mechanism in this Pact contains more than five steps, and four steps form the design norm</w:t>
            </w:r>
          </w:p>
        </w:tc>
      </w:tr>
    </w:tbl>
    <w:p>
      <w:pPr>
        <w:pStyle w:val="BodyText"/>
      </w:pPr>
      <w:r>
        <w:rPr>
          <w:bCs/>
          <w:b/>
        </w:rPr>
        <w:t xml:space="preserve">Drafting discipline note.</w:t>
      </w:r>
      <w:r>
        <w:t xml:space="preserve"> </w:t>
      </w:r>
      <w:r>
        <w:t xml:space="preserve">Every provision of this Pact adheres to the Immutable Present-Tense Matrix: sovereign active present-tense drafting; mutual-architecture framing in which every constraint attaches to the shared design and never to one Party’s restraint for another’s benefit; automatic logic triggers stated as immediate operational realities; no command vocabulary; no discretionary softeners; no passive placeholders; no floating background imagery. The Continuity Guarantee of Article 5 stands first among equals: nothing in this instrument fades, lapses, or dissolves by the passage of time alone. Verified performance banks permanently. Renewal occurs by silence; change occurs by joint written instrument; exit is a deliberate, notified, time-buffered sovereign act, never a drift.</w:t>
      </w:r>
    </w:p>
    <w:p>
      <w:pPr>
        <w:pStyle w:val="BodyText"/>
      </w:pPr>
      <w:r>
        <w:t xml:space="preserve">This instrument contains a political wrapper with the joint speeches, a main body of thirty-seven Articles organized in eight Parts, and eleven operative Annexes (Annex A through Annex K). The Annexes form an integral part of this instrument and bind the Parties to the same extent as the Articles. A reference to an Article includes the Annexes that the Article designates as operative for that Article.</w:t>
      </w:r>
    </w:p>
    <w:p>
      <w:r>
        <w:pict>
          <v:rect style="width:0;height:1.5pt" o:hralign="center" o:hrstd="t" o:hr="t"/>
        </w:pict>
      </w:r>
    </w:p>
    <w:bookmarkEnd w:id="20"/>
    <w:bookmarkStart w:id="21" w:name="part-zero-the-political-wrapper"/>
    <w:p>
      <w:pPr>
        <w:pStyle w:val="Heading1"/>
      </w:pPr>
      <w:r>
        <w:t xml:space="preserve">PART ZERO: THE POLITICAL WRAPPER</w:t>
      </w:r>
    </w:p>
    <w:bookmarkEnd w:id="21"/>
    <w:bookmarkStart w:id="22" w:name="the-hormuz-declaration-of-principles"/>
    <w:p>
      <w:pPr>
        <w:pStyle w:val="Heading1"/>
      </w:pPr>
      <w:r>
        <w:t xml:space="preserve">The Hormuz Declaration of Principles</w:t>
      </w:r>
    </w:p>
    <w:p>
      <w:pPr>
        <w:pStyle w:val="FirstParagraph"/>
      </w:pPr>
      <w:r>
        <w:t xml:space="preserve">Before the speeches and before the articles, the Parties state what this Pact protects, in one place and in plain terms. The fifteen lines below constitute the Red Lines Register of Annex G in summary form. Every organ, every officer, and every reader of this Pact holds this page as the measure of the system: a measure that touches one of these lines proceeds only in the exact form the corresponding safeguard permits, and a measure that crosses one of these lines fails.</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Ref</w:t>
            </w:r>
          </w:p>
        </w:tc>
        <w:tc>
          <w:tcPr/>
          <w:p>
            <w:pPr>
              <w:pStyle w:val="Compact"/>
              <w:jc w:val="left"/>
            </w:pPr>
            <w:r>
              <w:t xml:space="preserve">Principle</w:t>
            </w:r>
          </w:p>
        </w:tc>
      </w:tr>
      <w:tr>
        <w:tc>
          <w:tcPr/>
          <w:p>
            <w:pPr>
              <w:pStyle w:val="Compact"/>
              <w:jc w:val="left"/>
            </w:pPr>
            <w:r>
              <w:t xml:space="preserve">RL-1</w:t>
            </w:r>
          </w:p>
        </w:tc>
        <w:tc>
          <w:tcPr/>
          <w:p>
            <w:pPr>
              <w:pStyle w:val="Compact"/>
              <w:jc w:val="left"/>
            </w:pPr>
            <w:r>
              <w:t xml:space="preserve">Transit carries no charge, in any corridor, for any vessel, ever.</w:t>
            </w:r>
          </w:p>
        </w:tc>
      </w:tr>
      <w:tr>
        <w:tc>
          <w:tcPr/>
          <w:p>
            <w:pPr>
              <w:pStyle w:val="Compact"/>
              <w:jc w:val="left"/>
            </w:pPr>
            <w:r>
              <w:t xml:space="preserve">RL-2</w:t>
            </w:r>
          </w:p>
        </w:tc>
        <w:tc>
          <w:tcPr/>
          <w:p>
            <w:pPr>
              <w:pStyle w:val="Compact"/>
              <w:jc w:val="left"/>
            </w:pPr>
            <w:r>
              <w:t xml:space="preserve">No permission regime operates anywhere in this Pact. Notification produces acknowledgment, never approval.</w:t>
            </w:r>
          </w:p>
        </w:tc>
      </w:tr>
      <w:tr>
        <w:tc>
          <w:tcPr/>
          <w:p>
            <w:pPr>
              <w:pStyle w:val="Compact"/>
              <w:jc w:val="left"/>
            </w:pPr>
            <w:r>
              <w:t xml:space="preserve">RL-3</w:t>
            </w:r>
          </w:p>
        </w:tc>
        <w:tc>
          <w:tcPr/>
          <w:p>
            <w:pPr>
              <w:pStyle w:val="Compact"/>
              <w:jc w:val="left"/>
            </w:pPr>
            <w:r>
              <w:t xml:space="preserve">The northern littoral holds a recognized, formal, continuous management function in its own waters.</w:t>
            </w:r>
          </w:p>
        </w:tc>
      </w:tr>
      <w:tr>
        <w:tc>
          <w:tcPr/>
          <w:p>
            <w:pPr>
              <w:pStyle w:val="Compact"/>
              <w:jc w:val="left"/>
            </w:pPr>
            <w:r>
              <w:t xml:space="preserve">RL-4</w:t>
            </w:r>
          </w:p>
        </w:tc>
        <w:tc>
          <w:tcPr/>
          <w:p>
            <w:pPr>
              <w:pStyle w:val="Compact"/>
              <w:jc w:val="left"/>
            </w:pPr>
            <w:r>
              <w:t xml:space="preserve">The southern littoral holds a recognized, formal, continuous management function in its own waters.</w:t>
            </w:r>
          </w:p>
        </w:tc>
      </w:tr>
      <w:tr>
        <w:tc>
          <w:tcPr/>
          <w:p>
            <w:pPr>
              <w:pStyle w:val="Compact"/>
              <w:jc w:val="left"/>
            </w:pPr>
            <w:r>
              <w:t xml:space="preserve">RL-5</w:t>
            </w:r>
          </w:p>
        </w:tc>
        <w:tc>
          <w:tcPr/>
          <w:p>
            <w:pPr>
              <w:pStyle w:val="Compact"/>
              <w:jc w:val="left"/>
            </w:pPr>
            <w:r>
              <w:t xml:space="preserve">No boarding, diversion, seizure, or inspection occurs inside a passage.</w:t>
            </w:r>
          </w:p>
        </w:tc>
      </w:tr>
      <w:tr>
        <w:tc>
          <w:tcPr/>
          <w:p>
            <w:pPr>
              <w:pStyle w:val="Compact"/>
              <w:jc w:val="left"/>
            </w:pPr>
            <w:r>
              <w:t xml:space="preserve">RL-6</w:t>
            </w:r>
          </w:p>
        </w:tc>
        <w:tc>
          <w:tcPr/>
          <w:p>
            <w:pPr>
              <w:pStyle w:val="Compact"/>
              <w:jc w:val="left"/>
            </w:pPr>
            <w:r>
              <w:t xml:space="preserve">The Pact’s operational bodies remain civilian, always.</w:t>
            </w:r>
          </w:p>
        </w:tc>
      </w:tr>
      <w:tr>
        <w:tc>
          <w:tcPr/>
          <w:p>
            <w:pPr>
              <w:pStyle w:val="Compact"/>
              <w:jc w:val="left"/>
            </w:pPr>
            <w:r>
              <w:t xml:space="preserve">RL-7</w:t>
            </w:r>
          </w:p>
        </w:tc>
        <w:tc>
          <w:tcPr/>
          <w:p>
            <w:pPr>
              <w:pStyle w:val="Compact"/>
              <w:jc w:val="left"/>
            </w:pPr>
            <w:r>
              <w:t xml:space="preserve">No shipper or operator pays any Party directly for anything.</w:t>
            </w:r>
          </w:p>
        </w:tc>
      </w:tr>
      <w:tr>
        <w:tc>
          <w:tcPr/>
          <w:p>
            <w:pPr>
              <w:pStyle w:val="Compact"/>
              <w:jc w:val="left"/>
            </w:pPr>
            <w:r>
              <w:t xml:space="preserve">RL-8</w:t>
            </w:r>
          </w:p>
        </w:tc>
        <w:tc>
          <w:tcPr/>
          <w:p>
            <w:pPr>
              <w:pStyle w:val="Compact"/>
              <w:jc w:val="left"/>
            </w:pPr>
            <w:r>
              <w:t xml:space="preserve">Each Party’s sovereignty over its own waters stands intact.</w:t>
            </w:r>
          </w:p>
        </w:tc>
      </w:tr>
      <w:tr>
        <w:tc>
          <w:tcPr/>
          <w:p>
            <w:pPr>
              <w:pStyle w:val="Compact"/>
              <w:jc w:val="left"/>
            </w:pPr>
            <w:r>
              <w:t xml:space="preserve">RL-9</w:t>
            </w:r>
          </w:p>
        </w:tc>
        <w:tc>
          <w:tcPr/>
          <w:p>
            <w:pPr>
              <w:pStyle w:val="Compact"/>
              <w:jc w:val="left"/>
            </w:pPr>
            <w:r>
              <w:t xml:space="preserve">No commitment expires, lapses, or dilutes by time, silence, or routine.</w:t>
            </w:r>
          </w:p>
        </w:tc>
      </w:tr>
      <w:tr>
        <w:tc>
          <w:tcPr/>
          <w:p>
            <w:pPr>
              <w:pStyle w:val="Compact"/>
              <w:jc w:val="left"/>
            </w:pPr>
            <w:r>
              <w:t xml:space="preserve">RL-10</w:t>
            </w:r>
          </w:p>
        </w:tc>
        <w:tc>
          <w:tcPr/>
          <w:p>
            <w:pPr>
              <w:pStyle w:val="Compact"/>
              <w:jc w:val="left"/>
            </w:pPr>
            <w:r>
              <w:t xml:space="preserve">Humanitarian traffic moves in every flow state, dispute, pause, and transition.</w:t>
            </w:r>
          </w:p>
        </w:tc>
      </w:tr>
      <w:tr>
        <w:tc>
          <w:tcPr/>
          <w:p>
            <w:pPr>
              <w:pStyle w:val="Compact"/>
              <w:jc w:val="left"/>
            </w:pPr>
            <w:r>
              <w:t xml:space="preserve">RL-11</w:t>
            </w:r>
          </w:p>
        </w:tc>
        <w:tc>
          <w:tcPr/>
          <w:p>
            <w:pPr>
              <w:pStyle w:val="Compact"/>
              <w:jc w:val="left"/>
            </w:pPr>
            <w:r>
              <w:t xml:space="preserve">No finding of fact rests on a single input.</w:t>
            </w:r>
          </w:p>
        </w:tc>
      </w:tr>
      <w:tr>
        <w:tc>
          <w:tcPr/>
          <w:p>
            <w:pPr>
              <w:pStyle w:val="Compact"/>
              <w:jc w:val="left"/>
            </w:pPr>
            <w:r>
              <w:t xml:space="preserve">RL-12</w:t>
            </w:r>
          </w:p>
        </w:tc>
        <w:tc>
          <w:tcPr/>
          <w:p>
            <w:pPr>
              <w:pStyle w:val="Compact"/>
              <w:jc w:val="left"/>
            </w:pPr>
            <w:r>
              <w:t xml:space="preserve">Pact assets, data, and channels never support kinetic action by any actor.</w:t>
            </w:r>
          </w:p>
        </w:tc>
      </w:tr>
      <w:tr>
        <w:tc>
          <w:tcPr/>
          <w:p>
            <w:pPr>
              <w:pStyle w:val="Compact"/>
              <w:jc w:val="left"/>
            </w:pPr>
            <w:r>
              <w:t xml:space="preserve">RL-13</w:t>
            </w:r>
          </w:p>
        </w:tc>
        <w:tc>
          <w:tcPr/>
          <w:p>
            <w:pPr>
              <w:pStyle w:val="Compact"/>
              <w:jc w:val="left"/>
            </w:pPr>
            <w:r>
              <w:t xml:space="preserve">No single coastal state governs the Strait alone.</w:t>
            </w:r>
          </w:p>
        </w:tc>
      </w:tr>
      <w:tr>
        <w:tc>
          <w:tcPr/>
          <w:p>
            <w:pPr>
              <w:pStyle w:val="Compact"/>
              <w:jc w:val="left"/>
            </w:pPr>
            <w:r>
              <w:t xml:space="preserve">RL-14</w:t>
            </w:r>
          </w:p>
        </w:tc>
        <w:tc>
          <w:tcPr/>
          <w:p>
            <w:pPr>
              <w:pStyle w:val="Compact"/>
              <w:jc w:val="left"/>
            </w:pPr>
            <w:r>
              <w:t xml:space="preserve">No external state or body commands any element of this Pact.</w:t>
            </w:r>
          </w:p>
        </w:tc>
      </w:tr>
      <w:tr>
        <w:tc>
          <w:tcPr/>
          <w:p>
            <w:pPr>
              <w:pStyle w:val="Compact"/>
              <w:jc w:val="left"/>
            </w:pPr>
            <w:r>
              <w:t xml:space="preserve">RL-15</w:t>
            </w:r>
          </w:p>
        </w:tc>
        <w:tc>
          <w:tcPr/>
          <w:p>
            <w:pPr>
              <w:pStyle w:val="Compact"/>
              <w:jc w:val="left"/>
            </w:pPr>
            <w:r>
              <w:t xml:space="preserve">Development benefits flow to both littorals in visible balance, and no financial mechanism serves as a lever of political pressure.</w:t>
            </w:r>
          </w:p>
        </w:tc>
      </w:tr>
    </w:tbl>
    <w:p>
      <w:pPr>
        <w:pStyle w:val="BodyText"/>
      </w:pPr>
      <w:r>
        <w:t xml:space="preserve">The architecture holds every line simultaneously, at all times, without exception, and the Continuity Guarantee holds this Declaration as permanently as it holds every other word of this Pact.</w:t>
      </w:r>
    </w:p>
    <w:p>
      <w:r>
        <w:pict>
          <v:rect style="width:0;height:1.5pt" o:hralign="center" o:hrstd="t" o:hr="t"/>
        </w:pict>
      </w:r>
    </w:p>
    <w:bookmarkEnd w:id="22"/>
    <w:bookmarkStart w:id="23" w:name="preamble-the-moment-of-august-2026"/>
    <w:p>
      <w:pPr>
        <w:pStyle w:val="Heading1"/>
      </w:pPr>
      <w:r>
        <w:t xml:space="preserve">Preamble: The Moment of August 2026</w:t>
      </w:r>
    </w:p>
    <w:p>
      <w:pPr>
        <w:pStyle w:val="FirstParagraph"/>
      </w:pPr>
      <w:r>
        <w:t xml:space="preserve">The Islamic Republic of Iran and the Sultanate of Oman, together the Founding Parties, joined in this instrument by every Gulf littoral state that accedes under Article 34, and supported by the Mediator of Record, the Neutral Administrator, and the facilitating states,</w:t>
      </w:r>
    </w:p>
    <w:p>
      <w:pPr>
        <w:pStyle w:val="BodyText"/>
      </w:pPr>
      <w:r>
        <w:t xml:space="preserve">Recalling the crisis of 2026, in which the Strait of Hormuz became a theater of military confrontation, commercial transits fell from a pre-crisis norm of roughly ninety vessels per day to a fraction of that figure, war-risk insurance multiples rose several-fold, thousands of mariners and hundreds of vessels lay stranded, and energy markets absorbed the largest supply shock in the history of the world oil market;</w:t>
      </w:r>
    </w:p>
    <w:p>
      <w:pPr>
        <w:pStyle w:val="BodyText"/>
      </w:pPr>
      <w:r>
        <w:t xml:space="preserve">Recalling the Islamabad Memorandum of Understanding of June 2026, which declared the termination of military operations, opened a window toward comprehensive settlement, and tasked the Islamic Republic of Iran and the Sultanate of Oman with defining the future administration and maritime services of the Strait in discussion with the other Persian Gulf littoral states, in line with applicable international law and the sovereign rights of the coastal states;</w:t>
      </w:r>
    </w:p>
    <w:p>
      <w:pPr>
        <w:pStyle w:val="BodyText"/>
      </w:pPr>
      <w:r>
        <w:t xml:space="preserve">Recalling further the technical understandings reached between Tehran and Muscat in July and August 2026, in which the two coastal states agreed the geographical coordinates of new shipping lanes, aligned the entry and exit points of maritime traffic, and shaped a corridor model in which inbound traffic routes through the northern waters and outbound traffic routes through the southern waters, with a central safety separation between them;</w:t>
      </w:r>
    </w:p>
    <w:p>
      <w:pPr>
        <w:pStyle w:val="BodyText"/>
      </w:pPr>
      <w:r>
        <w:t xml:space="preserve">Noting that the corridor geometry stands technically complete while the governance mechanism stands unfinished, and that four components remain open in the public record of the negotiations: the allocation of security functions, the fee and revenue framework, the reopening and activation mechanism, and multilateral acceptance;</w:t>
      </w:r>
    </w:p>
    <w:p>
      <w:pPr>
        <w:pStyle w:val="BodyText"/>
      </w:pPr>
      <w:r>
        <w:t xml:space="preserve">Noting further that each Party’s participation in this Pact is an exercise of sovereignty, not a delegation of sovereignty, and that the Pact operates as a technical, economic, and operational governance system without prejudice to any Party’s sovereignty, territorial integrity, or legal positions on any question not expressly addressed by this instrument;</w:t>
      </w:r>
    </w:p>
    <w:p>
      <w:pPr>
        <w:pStyle w:val="BodyText"/>
      </w:pPr>
      <w:r>
        <w:t xml:space="preserve">Recognizing that the Strait of Hormuz carries approximately one fifth of the world’s seaborne oil supply and a substantial share of global liquefied natural gas, and that its uninterrupted, toll-free, multilaterally governed operation constitutes a shared interest of the coastal states, the user states, and the international community as a whole;</w:t>
      </w:r>
    </w:p>
    <w:p>
      <w:pPr>
        <w:pStyle w:val="BodyText"/>
      </w:pPr>
      <w:r>
        <w:t xml:space="preserve">Recognizing further that security without prosperity decays, that the coastal communities of both littorals carry the costs of every crisis and deserve a standing share of every calm, and that a governance architecture endures only when the people who live beside the water see their own futures inside it;</w:t>
      </w:r>
    </w:p>
    <w:p>
      <w:pPr>
        <w:pStyle w:val="BodyText"/>
      </w:pPr>
      <w:r>
        <w:t xml:space="preserve">Affirming that durable maritime order in the Strait does not rest on the restraint of one state for the benefit of another, but on a mutual architecture in which the Pact itself carries the obligations, the corridors themselves carry the rules, the verification systems themselves carry the evidence, and the development funds themselves carry the peace dividend;</w:t>
      </w:r>
    </w:p>
    <w:p>
      <w:pPr>
        <w:pStyle w:val="BodyText"/>
      </w:pPr>
      <w:r>
        <w:t xml:space="preserve">Determined that this Pact settle the toll question definitively by separating the right of passage, which the architecture holds absolute and free, from the cost of services, which the architecture funds collectively through a dedicated multilateral mechanism;</w:t>
      </w:r>
    </w:p>
    <w:p>
      <w:pPr>
        <w:pStyle w:val="BodyText"/>
      </w:pPr>
      <w:r>
        <w:t xml:space="preserve">Determined further that every commitment in this Pact operate in the present tense as a living state of the architecture, that no provision fade or expire by the mere passage of time, that every consequence arrive graduated, proportionate, and reversible, that no deviation of any kind produce permanent exclusion from the Pact, and that no mechanism exceed five steps;</w:t>
      </w:r>
    </w:p>
    <w:p>
      <w:pPr>
        <w:pStyle w:val="BodyText"/>
      </w:pPr>
      <w:r>
        <w:t xml:space="preserve">Conscious that snapback mechanics kill agreements, that binary collapse dynamics produce binary collapse outcomes, and that this Pact therefore replaces collapse with watchful continuity: discretionary benefits pause first, core constraints survive longest, humanitarian protections remain absolute, and restoration stays always available;</w:t>
      </w:r>
    </w:p>
    <w:p>
      <w:pPr>
        <w:pStyle w:val="BodyText"/>
      </w:pPr>
      <w:r>
        <w:t xml:space="preserve">Resolved that the governance of the Strait stand multilateral in structure as well as in spirit, so that no single coastal state carries the burden alone, no single user state holds a veto over order, every Gulf littoral state holds a defined path into the architecture, and the economic development of both littorals anchors the security of the waterway itself,</w:t>
      </w:r>
    </w:p>
    <w:p>
      <w:pPr>
        <w:pStyle w:val="BodyText"/>
      </w:pPr>
      <w:r>
        <w:t xml:space="preserve">Have agreed as follows.</w:t>
      </w:r>
    </w:p>
    <w:p>
      <w:r>
        <w:pict>
          <v:rect style="width:0;height:1.5pt" o:hralign="center" o:hrstd="t" o:hr="t"/>
        </w:pict>
      </w:r>
    </w:p>
    <w:bookmarkEnd w:id="23"/>
    <w:bookmarkStart w:id="31" w:name="the-joint-speeches"/>
    <w:p>
      <w:pPr>
        <w:pStyle w:val="Heading1"/>
      </w:pPr>
      <w:r>
        <w:t xml:space="preserve">The Joint Speeches</w:t>
      </w:r>
    </w:p>
    <w:p>
      <w:pPr>
        <w:pStyle w:val="FirstParagraph"/>
      </w:pPr>
      <w:r>
        <w:t xml:space="preserve">The seven texts below constitute the political wrapper of this Pact. The Parties deliver them at the signing ceremony in Muscat, in the order stated, and the Depositary publishes them with the instrument. Each speaker addresses the same water from a different shore. The texts stand as political declarations; the operative obligations of the Pact reside in the Articles and Annexes.</w:t>
      </w:r>
    </w:p>
    <w:bookmarkStart w:id="24" w:name="X93b0f9168d5837a871318a5d361c36ed4c7c8ea"/>
    <w:p>
      <w:pPr>
        <w:pStyle w:val="Heading2"/>
      </w:pPr>
      <w:r>
        <w:t xml:space="preserve">Speech One: The Mediator of Record, delivered by the Sultanate of Oman</w:t>
      </w:r>
    </w:p>
    <w:p>
      <w:pPr>
        <w:pStyle w:val="FirstParagraph"/>
      </w:pPr>
      <w:r>
        <w:t xml:space="preserve">Peace arrives quietly. It does not announce itself with fanfare. It arrives the way the tide arrives, on a schedule older than any quarrel, and it asks only that someone keep the lamp lit.</w:t>
      </w:r>
    </w:p>
    <w:p>
      <w:pPr>
        <w:pStyle w:val="BodyText"/>
      </w:pPr>
      <w:r>
        <w:t xml:space="preserve">For forty-five years, Oman has kept the lamp lit on this water. We hosted the first quiet conversations and the hardest ones. We carried messages when carrying messages was the only channel open. We did this not because the task brought us advantage, but because the geography gave us the duty. The Strait of Hormuz narrows to its tightest point off our Musandam coast, and every barrel of oil and every grain of food that passes through it passes within sight of our villages. When the water is calm, our fishermen work. When the water burns, our fishermen burn with it.</w:t>
      </w:r>
    </w:p>
    <w:p>
      <w:pPr>
        <w:pStyle w:val="BodyText"/>
      </w:pPr>
      <w:r>
        <w:t xml:space="preserve">Today we open a new chapter. This Pact does something no previous arrangement achieved: it holds every interest at once. The northern shore gains a recognized, formal, continuous function in the waters it guards. The southern shore gains the same. The shipping of every nation moves without toll, without permission, without fear. The Gulf states sit inside the structure as co-governors. The wider world reads the same record we read, at the same moment we read it. And the people of both littorals, the fishermen and the port workers and the young engineers of Musandam and Hormozgan, gain a standing claim on the prosperity that safe water creates.</w:t>
      </w:r>
    </w:p>
    <w:p>
      <w:pPr>
        <w:pStyle w:val="BodyText"/>
      </w:pPr>
      <w:r>
        <w:t xml:space="preserve">Oman accepts the duties this Pact assigns us: the mediation, the escrow administration, the hosting of the joint center. We accept them in the spirit in which the region asks them of us, as service, not as privilege. We ask one thing of every capital that reads this text: judge the Pact by what it delivers on the water, and judge it in six months, not in six hours. The lamp is lit. Help us keep it lit.</w:t>
      </w:r>
    </w:p>
    <w:bookmarkEnd w:id="24"/>
    <w:bookmarkStart w:id="25" w:name="speech-two-the-islamic-republic-of-iran"/>
    <w:p>
      <w:pPr>
        <w:pStyle w:val="Heading2"/>
      </w:pPr>
      <w:r>
        <w:t xml:space="preserve">Speech Two: The Islamic Republic of Iran</w:t>
      </w:r>
    </w:p>
    <w:p>
      <w:pPr>
        <w:pStyle w:val="FirstParagraph"/>
      </w:pPr>
      <w:r>
        <w:t xml:space="preserve">Iran signs this Pact as a sovereign nation that has defended its waters, its people, and its dignity through one of the gravest tests in its modern history. We sign from strength, and we sign for permanence.</w:t>
      </w:r>
    </w:p>
    <w:p>
      <w:pPr>
        <w:pStyle w:val="BodyText"/>
      </w:pPr>
      <w:r>
        <w:t xml:space="preserve">Let the record show what Iran gains inside this architecture, because our people deserve to hear it plainly. The Pact registers, in binding multilateral form, a recognized and continuous Iranian function in the northern waters of the Strait: the traffic picture, the safety services, the environmental watch, the mine-clearance leadership in the northern corridor. The Pact compensates verified Iranian services through a multilateral fund, on published rates, audited internationally, paid through channels that no external sanctions regime touches. The Pact seats Iran as a co-equal governor of the waterway, with a twin key on every decision that matters, so that nothing passes over our objection and nothing binds us alone. And the Pact opens a development chapter for our coastal provinces, our ports, our fishermen, and our young people, financed by the stability the waterway itself produces.</w:t>
      </w:r>
    </w:p>
    <w:p>
      <w:pPr>
        <w:pStyle w:val="BodyText"/>
      </w:pPr>
      <w:r>
        <w:t xml:space="preserve">Let the record equally show what Iran gives, because we give it with open eyes. We give predictability. Every vessel that enters the northern corridor files a simple notice and receives an automatic acknowledgment, and our acknowledgment never becomes a permission, because passage in this Pact is a right, not a favor. We give transparency. Every act of every organ of this Pact writes itself into a shared record that every participant reads at the same moment. We give verification, human-anchored and dual-keyed, because we trust evidence more than accusation, and we invite the region to test us against the record.</w:t>
      </w:r>
    </w:p>
    <w:p>
      <w:pPr>
        <w:pStyle w:val="BodyText"/>
      </w:pPr>
      <w:r>
        <w:t xml:space="preserve">Iran’s red lines stand written in this Pact, and the architecture guards them automatically: our sovereignty intact, our function recognized, our services compensated, our people secure. No clause in this instrument asks Iran to subordinate itself, and no clause asks any other party to subordinate itself to Iran. The structure carries the obligations. That is why we sign.</w:t>
      </w:r>
    </w:p>
    <w:bookmarkEnd w:id="25"/>
    <w:bookmarkStart w:id="26" w:name="X1283d43aa10b3cbba2b27980218dd209a204215"/>
    <w:p>
      <w:pPr>
        <w:pStyle w:val="Heading2"/>
      </w:pPr>
      <w:r>
        <w:t xml:space="preserve">Speech Three: The Sultanate of Oman, as Founding Party</w:t>
      </w:r>
    </w:p>
    <w:p>
      <w:pPr>
        <w:pStyle w:val="FirstParagraph"/>
      </w:pPr>
      <w:r>
        <w:t xml:space="preserve">Oman speaks twice today, once as mediator and once as a coastal state whose territorial sea carries the southern corridor, and we speak the second time with the directness of a neighbor.</w:t>
      </w:r>
    </w:p>
    <w:p>
      <w:pPr>
        <w:pStyle w:val="BodyText"/>
      </w:pPr>
      <w:r>
        <w:t xml:space="preserve">Our position throughout this crisis rested on three fixed points. First, the Strait belongs to no one and serves everyone, and its governance stands legitimate only when both littorals hold it together. Second, passage stays free: Oman opposes tolls on transit today exactly as we opposed them before the crisis, and this Pact settles that question forever, in writing, with a mechanism that pays for real services without ever touching the right of passage. Third, neutrality is not passivity. A neutral anchor holds the ship in the storm precisely because it does not drift with either current.</w:t>
      </w:r>
    </w:p>
    <w:p>
      <w:pPr>
        <w:pStyle w:val="BodyText"/>
      </w:pPr>
      <w:r>
        <w:t xml:space="preserve">The corridor system this Pact codifies routes outbound traffic through our southern waters under free navigation, inbound traffic through the northern waters under a simple notification routine, and a central safety corridor between them under joint administration. This is the model our technical teams shaped with their Iranian counterparts through long weeks in Muscat, and it works because it assigns each coastal state a function in the waters it knows best while binding both inside one shared operating picture, one shared record, and one shared fund.</w:t>
      </w:r>
    </w:p>
    <w:p>
      <w:pPr>
        <w:pStyle w:val="BodyText"/>
      </w:pPr>
      <w:r>
        <w:t xml:space="preserve">We welcome every Gulf Cooperation Council state into this architecture, and we hold the door open without a time limit. We welcome the observers, the insurers, the shipowners, and the technical organizations whose confidence turns paper into commerce. And we welcome the day, which this Pact accelerates, when the Strait of Hormuz appears in the world’s newspapers only in the shipping tables.</w:t>
      </w:r>
    </w:p>
    <w:bookmarkEnd w:id="26"/>
    <w:bookmarkStart w:id="27" w:name="Xbf90361c182d50a4701fbc3f8388e208332e4a6"/>
    <w:p>
      <w:pPr>
        <w:pStyle w:val="Heading2"/>
      </w:pPr>
      <w:r>
        <w:t xml:space="preserve">Speech Four: The Gulf Cooperation Council, delivered by the Presidency</w:t>
      </w:r>
    </w:p>
    <w:p>
      <w:pPr>
        <w:pStyle w:val="FirstParagraph"/>
      </w:pPr>
      <w:r>
        <w:t xml:space="preserve">The Gulf Cooperation Council speaks for six states whose shores, economies, and citizens face this waterway, and whose patience this crisis tested severely. Our capitals absorbed strikes. Our energy infrastructure absorbed damage. Our shipping absorbed delay, danger, and cost. We state this not to reopen the accounting of the crisis but to explain the firmness of our position going forward: the Gulf states accept no governance arrangement for this Strait in which we stand outside the room.</w:t>
      </w:r>
    </w:p>
    <w:p>
      <w:pPr>
        <w:pStyle w:val="BodyText"/>
      </w:pPr>
      <w:r>
        <w:t xml:space="preserve">This Pact seats us inside the room. The Gulf Cooperation Council holds a defined seat in the joint administration of the central corridor. Our states hold observer access to the shared monitoring picture, the incident record, and the audit trail. Our merchant fleets transit under the same absolute safe-passage guarantee as every fleet, and the architecture excludes unilateral interdiction anywhere in the system, by any actor, at any time. The fee question, which our publics watched with concern, resolves correctly: passage carries no charge, services carry published costs, and a multilateral fund administers the money under international audit.</w:t>
      </w:r>
    </w:p>
    <w:p>
      <w:pPr>
        <w:pStyle w:val="BodyText"/>
      </w:pPr>
      <w:r>
        <w:t xml:space="preserve">We note, with appreciation, that the Pact treats our accession not as a favor granted but as a path built. Each of our member states enters through a short instrument, takes paired seats on the watch floor, and shares the governance load. We encourage every member state to walk that path early. The waterway’s stability is our stability, its prosperity our prosperity, and its governance our rightful work. The Council stands ready to do its share of that work.</w:t>
      </w:r>
    </w:p>
    <w:bookmarkEnd w:id="27"/>
    <w:bookmarkStart w:id="28" w:name="Xefc9ec70386e0cdd23d4c763ca76597c347b927"/>
    <w:p>
      <w:pPr>
        <w:pStyle w:val="Heading2"/>
      </w:pPr>
      <w:r>
        <w:t xml:space="preserve">Speech Five: The United States of America, as Endorsing Stakeholder</w:t>
      </w:r>
    </w:p>
    <w:p>
      <w:pPr>
        <w:pStyle w:val="FirstParagraph"/>
      </w:pPr>
      <w:r>
        <w:t xml:space="preserve">The United States speaks today in a defined and deliberate capacity: not as a party, not as a commander, but as an endorsing stakeholder whose signature records support for an architecture that meets the tests American policy has stated consistently throughout this crisis.</w:t>
      </w:r>
    </w:p>
    <w:p>
      <w:pPr>
        <w:pStyle w:val="BodyText"/>
      </w:pPr>
      <w:r>
        <w:t xml:space="preserve">Those tests were never secret. The United States holds that no state controls the Strait of Hormuz unilaterally. This Pact answers that: governance sits in a multilateral council, passage decisions carry two keys, and enforcement in the central corridor proceeds only on joint authorization. The United States holds that transit through an international strait carries no toll. This Pact answers that with an absolute zero-toll rule, permanent by design. The United States holds that corridor coordinates, traffic rules, and incident records stand published and internationally registered. This Pact answers that in detail. The United States holds that any financial mechanism touching the Strait operates transparently, auditable, and compatible with sanctions law. This Pact answers that through the firewall of Article 21 and the escrow architecture of Article 20. And the United States holds that freedom of navigation, for commercial and military vessels alike, stands under international law without condition. This Pact answers that absolutely.</w:t>
      </w:r>
    </w:p>
    <w:p>
      <w:pPr>
        <w:pStyle w:val="BodyText"/>
      </w:pPr>
      <w:r>
        <w:t xml:space="preserve">In return, the United States adheres to the deconfliction geometry, moves its forces under notice, supports the insurance normalization that returns commerce to the water, and keeps its seat at the table without ever claiming the head of it. The American interest in this waterway is not ownership. It is order. This Pact delivers order, and the United States endorses it.</w:t>
      </w:r>
    </w:p>
    <w:bookmarkEnd w:id="28"/>
    <w:bookmarkStart w:id="29" w:name="speech-six-the-european-union"/>
    <w:p>
      <w:pPr>
        <w:pStyle w:val="Heading2"/>
      </w:pPr>
      <w:r>
        <w:t xml:space="preserve">Speech Six: The European Union</w:t>
      </w:r>
    </w:p>
    <w:p>
      <w:pPr>
        <w:pStyle w:val="FirstParagraph"/>
      </w:pPr>
      <w:r>
        <w:t xml:space="preserve">The European Union speaks for a community that depends on this waterway for its energy, its trade, and the stability of its neighborhood, and that stated its position plainly at the High-Level Forum in Brussels in July 2026: freedom of navigation through the Strait of Hormuz stands guaranteed under international law, passage carries no tolls or fees, no bilateral arrangement restricts the rights of all states, and maritime governance belongs inside international and regional institutions, with the International Maritime Organization foremost among them.</w:t>
      </w:r>
    </w:p>
    <w:p>
      <w:pPr>
        <w:pStyle w:val="BodyText"/>
      </w:pPr>
      <w:r>
        <w:t xml:space="preserve">We read this Pact against that statement, line by line, and we find it consonant. Passage is free, permanently. Charges attach only to documented services, flow through a multilateral fund, and never touch the right of transit. Corridor coordinates register with the International Maritime Organization. Incidents log publicly, time-stamped, open to every observer. Environmental monitoring operates under third-party audit. The institutions of the Pact are civilian, regional, and multilateral, and they invite the Organization’s technical participation at every layer that matters.</w:t>
      </w:r>
    </w:p>
    <w:p>
      <w:pPr>
        <w:pStyle w:val="BodyText"/>
      </w:pPr>
      <w:r>
        <w:t xml:space="preserve">Europe contributes where Europe contributes best: technical standards, environmental science, hydrography, training, and patient capital for the development windows of Part V. Our maritime awareness mission stands ready to interface with the shared picture this Pact creates, on the terms the Parties define, and our member states’ navies stand ready to adhere to the deconfliction geometry as security liaisons. The European Union welcomes this Pact as the region’s own answer to a regional question, and we support it in that spirit.</w:t>
      </w:r>
    </w:p>
    <w:bookmarkEnd w:id="29"/>
    <w:bookmarkStart w:id="30" w:name="Xca659462be68b28041f9e5ad05d4ff3a6f19af1"/>
    <w:p>
      <w:pPr>
        <w:pStyle w:val="Heading2"/>
      </w:pPr>
      <w:r>
        <w:t xml:space="preserve">Speech Seven: The Joint Closing Declaration, delivered by the Founding Parties together</w:t>
      </w:r>
    </w:p>
    <w:p>
      <w:pPr>
        <w:pStyle w:val="FirstParagraph"/>
      </w:pPr>
      <w:r>
        <w:t xml:space="preserve">We close where we began: on the water.</w:t>
      </w:r>
    </w:p>
    <w:p>
      <w:pPr>
        <w:pStyle w:val="BodyText"/>
      </w:pPr>
      <w:r>
        <w:t xml:space="preserve">This Pact exists because the alternative failed. The alternative gave the world closed lanes, burning cargo, stranded crews, priced-out food and fuel on three continents, and two proud nations locked in a confrontation neither chose to continue. We choose differently, and we choose in writing that binds.</w:t>
      </w:r>
    </w:p>
    <w:p>
      <w:pPr>
        <w:pStyle w:val="BodyText"/>
      </w:pPr>
      <w:r>
        <w:t xml:space="preserve">To the mariners of every flag who read this: the Strait stands open to you, free of toll, free of permission, guarded by rules that publish themselves and by watchers who answer to no single flag. To the fishermen of Hormozgan and Musandam: your sea stands calmer tonight, and a share of every calm now belongs to you by right of this instrument. To the nations of the Gulf: the door stands open, the seats stand prepared, and the work stands ready for your hands. To the wider world: judge us by the record this Pact publishes, and hold us to it.</w:t>
      </w:r>
    </w:p>
    <w:p>
      <w:pPr>
        <w:pStyle w:val="BodyText"/>
      </w:pPr>
      <w:r>
        <w:t xml:space="preserve">The corridor geometry is drawn. The funds stand chartered. The verification stands dual-keyed and human-anchored. The development windows stand open. Nothing in this architecture waits on trust, because the architecture replaces trust with evidence, and nothing in it expires, because peace deserves better than a deadline.</w:t>
      </w:r>
    </w:p>
    <w:p>
      <w:pPr>
        <w:pStyle w:val="BodyText"/>
      </w:pPr>
      <w:r>
        <w:t xml:space="preserve">We sign. The water stays open. The lamp stays lit.</w:t>
      </w:r>
    </w:p>
    <w:p>
      <w:r>
        <w:pict>
          <v:rect style="width:0;height:1.5pt" o:hralign="center" o:hrstd="t" o:hr="t"/>
        </w:pict>
      </w:r>
    </w:p>
    <w:bookmarkEnd w:id="30"/>
    <w:bookmarkEnd w:id="31"/>
    <w:bookmarkStart w:id="69" w:name="part-i-foundations"/>
    <w:p>
      <w:pPr>
        <w:pStyle w:val="Heading1"/>
      </w:pPr>
      <w:r>
        <w:t xml:space="preserve">PART I: FOUNDATIONS</w:t>
      </w:r>
    </w:p>
    <w:bookmarkStart w:id="38" w:name="X78d9e4c0b852b1f7127b9522c0f6af8953a8f8b"/>
    <w:p>
      <w:pPr>
        <w:pStyle w:val="Heading2"/>
      </w:pPr>
      <w:r>
        <w:t xml:space="preserve">Article 1: Establishment, Purpose, and Scope</w:t>
      </w:r>
    </w:p>
    <w:bookmarkStart w:id="32" w:name="establishment"/>
    <w:p>
      <w:pPr>
        <w:pStyle w:val="Heading3"/>
      </w:pPr>
      <w:r>
        <w:t xml:space="preserve">1.1 Establishment</w:t>
      </w:r>
    </w:p>
    <w:p>
      <w:pPr>
        <w:pStyle w:val="FirstParagraph"/>
      </w:pPr>
      <w:r>
        <w:t xml:space="preserve">The Parties establish the Hormuz Economic Development and Security Pact as the standing multilateral governance system for the Strait of Hormuz. The Pact establishes a three-corridor navigation system comprising the Inbound Coordination Corridor, the Central Safety Corridor, and the Outbound Assurance Corridor, and it couples that navigation system to a standing economic development architecture, so that the security of the waterway and the prosperity of its littorals reinforce each other inside one instrument. The Pact comprises the corridor system of Part II, the institutions of Part III, the financial architecture of Part IV, the development architecture of Part V, the verification and deconfliction system of Part VI, the compliance and dispute machinery of Part VII, and the continuity machinery of Part VIII.</w:t>
      </w:r>
    </w:p>
    <w:bookmarkEnd w:id="32"/>
    <w:bookmarkStart w:id="33" w:name="purpose"/>
    <w:p>
      <w:pPr>
        <w:pStyle w:val="Heading3"/>
      </w:pPr>
      <w:r>
        <w:t xml:space="preserve">1.2 Purpose</w:t>
      </w:r>
    </w:p>
    <w:p>
      <w:pPr>
        <w:pStyle w:val="FirstParagraph"/>
      </w:pPr>
      <w:r>
        <w:t xml:space="preserve">The Pact pursues six purposes, ranked equally:</w:t>
      </w:r>
    </w:p>
    <w:p>
      <w:pPr>
        <w:numPr>
          <w:ilvl w:val="0"/>
          <w:numId w:val="1001"/>
        </w:numPr>
        <w:pStyle w:val="Compact"/>
      </w:pPr>
      <w:r>
        <w:t xml:space="preserve">Maritime order. The Pact governs transit through three defined corridors, a vessel classification system, a zero-toll rule, a non-interdiction protocol, and a naval deconfliction geometry, so that every vessel transits safely, predictably, and free of charge.</w:t>
      </w:r>
    </w:p>
    <w:p>
      <w:pPr>
        <w:numPr>
          <w:ilvl w:val="0"/>
          <w:numId w:val="1001"/>
        </w:numPr>
        <w:pStyle w:val="Compact"/>
      </w:pPr>
      <w:r>
        <w:t xml:space="preserve">Multilateral stewardship. The Pact seats the Gulf littoral states as co-governors of the waterway, with Iran and Oman as Founding Parties and a defined accession path for the United Arab Emirates, Saudi Arabia, Qatar, Bahrain, Kuwait, and Iraq.</w:t>
      </w:r>
    </w:p>
    <w:p>
      <w:pPr>
        <w:numPr>
          <w:ilvl w:val="0"/>
          <w:numId w:val="1001"/>
        </w:numPr>
        <w:pStyle w:val="Compact"/>
      </w:pPr>
      <w:r>
        <w:t xml:space="preserve">User-state anchoring. The Pact binds the principal user states, flag states, insurers, and shipping interests to the architecture through observer seats, contribution channels, and published performance data, so that the community that benefits from the Strait underwrites its stability.</w:t>
      </w:r>
    </w:p>
    <w:p>
      <w:pPr>
        <w:numPr>
          <w:ilvl w:val="0"/>
          <w:numId w:val="1001"/>
        </w:numPr>
        <w:pStyle w:val="Compact"/>
      </w:pPr>
      <w:r>
        <w:t xml:space="preserve">Verification over trust. The Pact substitutes convergent evidence, human-anchored observation, and a shared operational picture for assertion and suspicion, publishing the same record to every participant at the same time.</w:t>
      </w:r>
    </w:p>
    <w:p>
      <w:pPr>
        <w:numPr>
          <w:ilvl w:val="0"/>
          <w:numId w:val="1001"/>
        </w:numPr>
        <w:pStyle w:val="Compact"/>
      </w:pPr>
      <w:r>
        <w:t xml:space="preserve">Shared prosperity. The Pact converts the stability of the waterway into visible economic development for the coastal populations of both littorals through the Hormuz Development Facility, so that peace produces a dividend that ordinary people see.</w:t>
      </w:r>
    </w:p>
    <w:p>
      <w:pPr>
        <w:numPr>
          <w:ilvl w:val="0"/>
          <w:numId w:val="1001"/>
        </w:numPr>
        <w:pStyle w:val="Compact"/>
      </w:pPr>
      <w:r>
        <w:t xml:space="preserve">Durability. The Pact persists through the Continuity Guarantee of Article 5. No clause sunsets. No obligation fades. Every mechanism remains in force until the Parties amend it through the procedure of Article 35.</w:t>
      </w:r>
    </w:p>
    <w:bookmarkEnd w:id="33"/>
    <w:bookmarkStart w:id="34" w:name="geographic-scope"/>
    <w:p>
      <w:pPr>
        <w:pStyle w:val="Heading3"/>
      </w:pPr>
      <w:r>
        <w:t xml:space="preserve">1.3 Geographic scope</w:t>
      </w:r>
    </w:p>
    <w:p>
      <w:pPr>
        <w:pStyle w:val="FirstParagraph"/>
      </w:pPr>
      <w:r>
        <w:t xml:space="preserve">The Pact operates in the Strait of Hormuz Governance Area, defined in Article 7 and Annex A as the waters and superjacent airspace bounded by the meridian 055 degrees 30.0 minutes East at the western approach and the meridian 057 degrees 00.0 minutes East at the eastern approach, together with the designated holding anchorages, precautionary zones, and inshore traffic bands described in Annex A. The Governance Area is an operational construct. It defines where the rules of the Pact operate. It defines no boundary between states, delimits no maritime zone, and prejudices no entitlement.</w:t>
      </w:r>
    </w:p>
    <w:bookmarkEnd w:id="34"/>
    <w:bookmarkStart w:id="35" w:name="functional-scope"/>
    <w:p>
      <w:pPr>
        <w:pStyle w:val="Heading3"/>
      </w:pPr>
      <w:r>
        <w:t xml:space="preserve">1.4 Functional scope</w:t>
      </w:r>
    </w:p>
    <w:p>
      <w:pPr>
        <w:pStyle w:val="FirstParagraph"/>
      </w:pPr>
      <w:r>
        <w:t xml:space="preserve">The Pact governs: civilian maritime navigation; passage geometry and traffic management; vessel classification and transit notification; safety of navigation and incident response; search and rescue coordination; environmental protection and pollution response; the financing of maritime services; the financing of coastal economic development; naval deconfliction touching civilian transit; verification, compliance, and dispute resolution among the Parties; and the continuity, amendment, and succession of the Pact itself.</w:t>
      </w:r>
    </w:p>
    <w:p>
      <w:pPr>
        <w:pStyle w:val="BodyText"/>
      </w:pPr>
      <w:r>
        <w:t xml:space="preserve">The Pact architecture excludes from its scope: the internal affairs and domestic political arrangements of any Party; the delimitation of maritime boundaries between any states; the cargo policies, trade policies, alliance policies, and sanctions regimes of any state, except as Article 21.4 interfaces with them for the protection of the financial architecture; military alliances and force structure; the nuclear file; and any authorization of the use of force, which the architecture excludes absolutely under Article 27.6. The Pact governance mandate is bounded: it governs navigation safety, traffic management, environmental protection, service reimbursement, and coastal development within the Governance Area.</w:t>
      </w:r>
    </w:p>
    <w:p>
      <w:pPr>
        <w:pStyle w:val="BodyText"/>
      </w:pPr>
      <w:r>
        <w:t xml:space="preserve">The Pact architecture excludes any objective of political restructuring, governmental change, or interference in the internal affairs of any Party. No fund, mechanism, penalty, or procedure in this instrument operates for such a purpose. This clause restates the sovereignty and non-interference principles of the Islamabad MOU as an operative rule of the Pact.</w:t>
      </w:r>
    </w:p>
    <w:bookmarkEnd w:id="35"/>
    <w:bookmarkStart w:id="36" w:name="what-this-pact-does-and-does-not-do"/>
    <w:p>
      <w:pPr>
        <w:pStyle w:val="Heading3"/>
      </w:pPr>
      <w:r>
        <w:t xml:space="preserve">1.5 What this Pact does and does not do</w:t>
      </w:r>
    </w:p>
    <w:p>
      <w:pPr>
        <w:pStyle w:val="FirstParagraph"/>
      </w:pPr>
      <w:r>
        <w:t xml:space="preserve">This Pact establishes a permanent multilateral operating system for the Strait of Hormuz. It keeps passage free, pays for verified services, finances coastal development, verifies performance with human-anchored methods, seats every Gulf littoral state in the governance structure, and continues without expiry. This Pact does not create a toll regime, does not grant any Party command over another, does not transfer or dilute sovereignty, does not prejudice boundary positions, does not adjudicate the nuclear file or the sanctions file, and does not authorize the use of force by any actor.</w:t>
      </w:r>
    </w:p>
    <w:bookmarkEnd w:id="36"/>
    <w:bookmarkStart w:id="37" w:name="jurisdictional-layers"/>
    <w:p>
      <w:pPr>
        <w:pStyle w:val="Heading3"/>
      </w:pPr>
      <w:r>
        <w:t xml:space="preserve">1.6 Jurisdictional layers</w:t>
      </w:r>
    </w:p>
    <w:p>
      <w:pPr>
        <w:pStyle w:val="FirstParagraph"/>
      </w:pPr>
      <w:r>
        <w:t xml:space="preserve">The Pact operates through three jurisdictional layers. Layer one, the sovereign layer: each coastal state retains full sovereignty over its territorial waters, and sovereign-layer decisions proceed only with the consent of the coastal state. Layer two, the joint layer: the Central Safety Corridor operates under joint administration, and joint-layer decisions proceed on the consensus of Iran, Oman, and the Gulf Cooperation Council seat. Layer three, the pact layer: the Hormuz Maritime Council exercises overarching authority over the entire Governance Area under the decision rules of Article 17. The layers nest by design: a joint-layer measure never overrides a sovereign-layer consent, and a pact-layer measure never overrides either.</w:t>
      </w:r>
    </w:p>
    <w:bookmarkEnd w:id="37"/>
    <w:bookmarkEnd w:id="38"/>
    <w:bookmarkStart w:id="46" w:name="article-2-legal-foundations"/>
    <w:p>
      <w:pPr>
        <w:pStyle w:val="Heading2"/>
      </w:pPr>
      <w:r>
        <w:t xml:space="preserve">Article 2: Legal Foundations</w:t>
      </w:r>
    </w:p>
    <w:bookmarkStart w:id="39" w:name="sovereign-basis"/>
    <w:p>
      <w:pPr>
        <w:pStyle w:val="Heading3"/>
      </w:pPr>
      <w:r>
        <w:t xml:space="preserve">2.1 Sovereign basis</w:t>
      </w:r>
    </w:p>
    <w:p>
      <w:pPr>
        <w:pStyle w:val="FirstParagraph"/>
      </w:pPr>
      <w:r>
        <w:t xml:space="preserve">The Pact rests on the sovereignty and sovereign rights of the coastal states over their respective territorial seas in the Strait of Hormuz, and on the customary international law of the sea as reflected in the 1982 United Nations Convention on the Law of the Sea. Oman applies the Convention as a state party. Iran applies the customary rules the Convention reflects, including the regime of transit passage, as a matter of its stated policy and of this Pact. Nothing in this instrument adjudicates, prejudices, or alters the position of any Party on any question of maritime delimitation, and the Pact operates without prejudice to the differing treaty positions of the Parties.</w:t>
      </w:r>
    </w:p>
    <w:bookmarkEnd w:id="39"/>
    <w:bookmarkStart w:id="40" w:name="transit-passage-preserved"/>
    <w:p>
      <w:pPr>
        <w:pStyle w:val="Heading3"/>
      </w:pPr>
      <w:r>
        <w:t xml:space="preserve">2.2 Transit passage preserved</w:t>
      </w:r>
    </w:p>
    <w:p>
      <w:pPr>
        <w:pStyle w:val="FirstParagraph"/>
      </w:pPr>
      <w:r>
        <w:t xml:space="preserve">The corridor system of Part II implements the regime of transit passage as an organized service architecture. The right of transit passage through the Strait of Hormuz operates continuously and without suspension for the ships and aircraft of all states, in all three corridors, under the rules of this Pact. The architecture excludes any suspension of transit passage for any reason, including any dispute among the Parties, any incident under review, any arrears in the financial system, or any external conflict. A Suspended Flow under Article 11.1 pauses new entries into a defined area only, for a stated period not exceeding seventy-two hours absent a Council decision recorded with reasons, and never converts into a closure of the Strait.</w:t>
      </w:r>
    </w:p>
    <w:bookmarkEnd w:id="40"/>
    <w:bookmarkStart w:id="41" w:name="the-service-fee-distinction"/>
    <w:p>
      <w:pPr>
        <w:pStyle w:val="Heading3"/>
      </w:pPr>
      <w:r>
        <w:t xml:space="preserve">2.3 The service-fee distinction</w:t>
      </w:r>
    </w:p>
    <w:p>
      <w:pPr>
        <w:pStyle w:val="FirstParagraph"/>
      </w:pPr>
      <w:r>
        <w:t xml:space="preserve">International law draws a bright line between a charge on passage, which no coastal state levies in a strait used for international navigation, and a charge for specific services rendered, which a coastal state levies on a non-discriminatory basis. The financial architecture of Part IV sits entirely on the service side of that line. Transit itself carries no charge in any corridor, for any vessel, under any circumstances. Services carry documented, audited, pre-published costs, and payment for services flows through an independent multilateral fund, never from a ship to a state as a condition of passage. This distinction answers the fee question that the corridor talks left open: Iran’s interest in compensated service delivery and Oman’s opposition to transit charges reconcile inside one architecture, because the Fund compensates services while passage stays free.</w:t>
      </w:r>
    </w:p>
    <w:bookmarkEnd w:id="41"/>
    <w:bookmarkStart w:id="42" w:name="relationship-to-the-islamabad-mou"/>
    <w:p>
      <w:pPr>
        <w:pStyle w:val="Heading3"/>
      </w:pPr>
      <w:r>
        <w:t xml:space="preserve">2.4 Relationship to the Islamabad MOU</w:t>
      </w:r>
    </w:p>
    <w:p>
      <w:pPr>
        <w:pStyle w:val="FirstParagraph"/>
      </w:pPr>
      <w:r>
        <w:t xml:space="preserve">The Pact discharges the safe-navigation commitment of the MOU and operates as its maritime implementing instrument for the coastal-state dimension. The Pact binds its Parties independently of the fate of any other instrument: a lapse, breach, or termination of any external agreement touches nothing in this Pact. The Parties design the Pact for attachment to the wider MOU architecture as a complementary governance module, by annex, protocol, or incorporation, at the election of the MOU parties, and Annex F carries the model attachment instruments. Attachment adds political linkage; it adds no obligation beyond the text of this Pact.</w:t>
      </w:r>
    </w:p>
    <w:bookmarkEnd w:id="42"/>
    <w:bookmarkStart w:id="43" w:name="X043e577b0f34d9c512a1c81cf13b5af282a4260"/>
    <w:p>
      <w:pPr>
        <w:pStyle w:val="Heading3"/>
      </w:pPr>
      <w:r>
        <w:t xml:space="preserve">2.5 Relationship to the International Maritime Organization</w:t>
      </w:r>
    </w:p>
    <w:p>
      <w:pPr>
        <w:pStyle w:val="FirstParagraph"/>
      </w:pPr>
      <w:r>
        <w:t xml:space="preserve">The Parties develop the corridor system in technical harmony with the routing measures adopted through the International Maritime Organization for the Strait of Hormuz, notify the corridor geometry of Annex A to the Organization jointly, register the vessel traffic service areas and reporting practices, and invite the technical participation of the Organization under Article 16. The Pact creates no obligation for the Organization; it extends standing invitations, and each invitation remains open until accepted or declined in writing.</w:t>
      </w:r>
    </w:p>
    <w:bookmarkEnd w:id="43"/>
    <w:bookmarkStart w:id="44" w:name="non-prejudice-and-no-precedent"/>
    <w:p>
      <w:pPr>
        <w:pStyle w:val="Heading3"/>
      </w:pPr>
      <w:r>
        <w:t xml:space="preserve">2.6 Non-prejudice and no precedent</w:t>
      </w:r>
    </w:p>
    <w:p>
      <w:pPr>
        <w:pStyle w:val="FirstParagraph"/>
      </w:pPr>
      <w:r>
        <w:t xml:space="preserve">This instrument establishes no legal or political precedent for any other strait, waterway, dispute, or relationship. No act performed under it constitutes recognition of, acquiescence in, or prejudice to: any Party’s position on sovereignty over any island, rock, or feature; any Party’s position on the legal character of the Strait; the maritime entitlements of any coastal state; or any claim or defense in any other forum. Participation in data collection, passage coordination, or joint bodies carries no political imputation. Data serves technical verification exclusively.</w:t>
      </w:r>
    </w:p>
    <w:bookmarkEnd w:id="44"/>
    <w:bookmarkStart w:id="45" w:name="relationship-to-prior-routing-schemes"/>
    <w:p>
      <w:pPr>
        <w:pStyle w:val="Heading3"/>
      </w:pPr>
      <w:r>
        <w:t xml:space="preserve">2.7 Relationship to prior routing schemes</w:t>
      </w:r>
    </w:p>
    <w:p>
      <w:pPr>
        <w:pStyle w:val="FirstParagraph"/>
      </w:pPr>
      <w:r>
        <w:t xml:space="preserve">The Pact acknowledges that prior traffic separation arrangements do not govern the corridors established under Part II. The Parties adopt a new traffic separation scheme through the multilateral architecture of this Pact and notify it to the International Maritime Organization under Article 2.5. Nothing in this clause prejudices any state’s position on the status of any prior routing measure.</w:t>
      </w:r>
    </w:p>
    <w:bookmarkEnd w:id="45"/>
    <w:bookmarkEnd w:id="46"/>
    <w:bookmarkStart w:id="49" w:name="article-3-core-operating-principles"/>
    <w:p>
      <w:pPr>
        <w:pStyle w:val="Heading2"/>
      </w:pPr>
      <w:r>
        <w:t xml:space="preserve">Article 3: Core Operating Principles</w:t>
      </w:r>
    </w:p>
    <w:p>
      <w:pPr>
        <w:pStyle w:val="FirstParagraph"/>
      </w:pPr>
      <w:r>
        <w:t xml:space="preserve">Twelve principles govern the interpretation and operation of every provision of this Pact. Where a provision admits two readings, the reading that serves these principles prevails.</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Principle</w:t>
            </w:r>
          </w:p>
        </w:tc>
        <w:tc>
          <w:tcPr/>
          <w:p>
            <w:pPr>
              <w:pStyle w:val="Compact"/>
              <w:jc w:val="left"/>
            </w:pPr>
            <w:r>
              <w:t xml:space="preserve">Operative meaning</w:t>
            </w:r>
          </w:p>
        </w:tc>
      </w:tr>
      <w:tr>
        <w:tc>
          <w:tcPr/>
          <w:p>
            <w:pPr>
              <w:pStyle w:val="Compact"/>
              <w:jc w:val="left"/>
            </w:pPr>
            <w:r>
              <w:t xml:space="preserve">1. The Continuity Guarantee</w:t>
            </w:r>
          </w:p>
        </w:tc>
        <w:tc>
          <w:tcPr/>
          <w:p>
            <w:pPr>
              <w:pStyle w:val="Compact"/>
              <w:jc w:val="left"/>
            </w:pPr>
            <w:r>
              <w:t xml:space="preserve">No commitment fades at any date boundary. Continuation forms the default at every review point. Verified performance banks permanently. This principle stands first among equals and governs the interpretation of every other provision.</w:t>
            </w:r>
          </w:p>
        </w:tc>
      </w:tr>
      <w:tr>
        <w:tc>
          <w:tcPr/>
          <w:p>
            <w:pPr>
              <w:pStyle w:val="Compact"/>
              <w:jc w:val="left"/>
            </w:pPr>
            <w:r>
              <w:t xml:space="preserve">2. Mutual architecture</w:t>
            </w:r>
          </w:p>
        </w:tc>
        <w:tc>
          <w:tcPr/>
          <w:p>
            <w:pPr>
              <w:pStyle w:val="Compact"/>
              <w:jc w:val="left"/>
            </w:pPr>
            <w:r>
              <w:t xml:space="preserve">Every obligation attaches to the design of the Pact, not to one Party’s restraint for another’s benefit. All Parties stand bound equally by the same structure.</w:t>
            </w:r>
          </w:p>
        </w:tc>
      </w:tr>
      <w:tr>
        <w:tc>
          <w:tcPr/>
          <w:p>
            <w:pPr>
              <w:pStyle w:val="Compact"/>
              <w:jc w:val="left"/>
            </w:pPr>
            <w:r>
              <w:t xml:space="preserve">3. Multilateral balance</w:t>
            </w:r>
          </w:p>
        </w:tc>
        <w:tc>
          <w:tcPr/>
          <w:p>
            <w:pPr>
              <w:pStyle w:val="Compact"/>
              <w:jc w:val="left"/>
            </w:pPr>
            <w:r>
              <w:t xml:space="preserve">Every institution seats the littoral Parties in defined balance, every voting rule protects the small against the large and the large against the many, and no decision binds a Party whose vote the rules exclude.</w:t>
            </w:r>
          </w:p>
        </w:tc>
      </w:tr>
      <w:tr>
        <w:tc>
          <w:tcPr/>
          <w:p>
            <w:pPr>
              <w:pStyle w:val="Compact"/>
              <w:jc w:val="left"/>
            </w:pPr>
            <w:r>
              <w:t xml:space="preserve">4. Proportionality</w:t>
            </w:r>
          </w:p>
        </w:tc>
        <w:tc>
          <w:tcPr/>
          <w:p>
            <w:pPr>
              <w:pStyle w:val="Compact"/>
              <w:jc w:val="left"/>
            </w:pPr>
            <w:r>
              <w:t xml:space="preserve">Every consequence matches the severity and duration of the deviation that triggers it. Minor deviations produce minor consequences.</w:t>
            </w:r>
          </w:p>
        </w:tc>
      </w:tr>
      <w:tr>
        <w:tc>
          <w:tcPr/>
          <w:p>
            <w:pPr>
              <w:pStyle w:val="Compact"/>
              <w:jc w:val="left"/>
            </w:pPr>
            <w:r>
              <w:t xml:space="preserve">5. Restoration</w:t>
            </w:r>
          </w:p>
        </w:tc>
        <w:tc>
          <w:tcPr/>
          <w:p>
            <w:pPr>
              <w:pStyle w:val="Compact"/>
              <w:jc w:val="left"/>
            </w:pPr>
            <w:r>
              <w:t xml:space="preserve">Every consequence carries an automatic, defined restoration pathway. No deviation creates permanent exclusion. Full compliance returns a Party to full standing.</w:t>
            </w:r>
          </w:p>
        </w:tc>
      </w:tr>
      <w:tr>
        <w:tc>
          <w:tcPr/>
          <w:p>
            <w:pPr>
              <w:pStyle w:val="Compact"/>
              <w:jc w:val="left"/>
            </w:pPr>
            <w:r>
              <w:t xml:space="preserve">6. Humanitarian absolute</w:t>
            </w:r>
          </w:p>
        </w:tc>
        <w:tc>
          <w:tcPr/>
          <w:p>
            <w:pPr>
              <w:pStyle w:val="Compact"/>
              <w:jc w:val="left"/>
            </w:pPr>
            <w:r>
              <w:t xml:space="preserve">No mechanism in this Pact reduces, delays, or conditions flows of food, medicine, medical equipment, relief personnel, or aviation safety payments, under any circumstances.</w:t>
            </w:r>
          </w:p>
        </w:tc>
      </w:tr>
      <w:tr>
        <w:tc>
          <w:tcPr/>
          <w:p>
            <w:pPr>
              <w:pStyle w:val="Compact"/>
              <w:jc w:val="left"/>
            </w:pPr>
            <w:r>
              <w:t xml:space="preserve">7. Modularity</w:t>
            </w:r>
          </w:p>
        </w:tc>
        <w:tc>
          <w:tcPr/>
          <w:p>
            <w:pPr>
              <w:pStyle w:val="Compact"/>
              <w:jc w:val="left"/>
            </w:pPr>
            <w:r>
              <w:t xml:space="preserve">Each domain of the Pact operates as an independent module. Failure in one module does not cascade into another absent certified spillover under Article 30.6.</w:t>
            </w:r>
          </w:p>
        </w:tc>
      </w:tr>
      <w:tr>
        <w:tc>
          <w:tcPr/>
          <w:p>
            <w:pPr>
              <w:pStyle w:val="Compact"/>
              <w:jc w:val="left"/>
            </w:pPr>
            <w:r>
              <w:t xml:space="preserve">8. Human judgment above automation</w:t>
            </w:r>
          </w:p>
        </w:tc>
        <w:tc>
          <w:tcPr/>
          <w:p>
            <w:pPr>
              <w:pStyle w:val="Compact"/>
              <w:jc w:val="left"/>
            </w:pPr>
            <w:r>
              <w:t xml:space="preserve">Automated systems flag and present evidence. Human officers review, consult, and decide. No automated process classifies an incident, suspends a service, or triggers a consequence.</w:t>
            </w:r>
          </w:p>
        </w:tc>
      </w:tr>
      <w:tr>
        <w:tc>
          <w:tcPr/>
          <w:p>
            <w:pPr>
              <w:pStyle w:val="Compact"/>
              <w:jc w:val="left"/>
            </w:pPr>
            <w:r>
              <w:t xml:space="preserve">9. Structural decoupling of force</w:t>
            </w:r>
          </w:p>
        </w:tc>
        <w:tc>
          <w:tcPr/>
          <w:p>
            <w:pPr>
              <w:pStyle w:val="Compact"/>
              <w:jc w:val="left"/>
            </w:pPr>
            <w:r>
              <w:t xml:space="preserve">No compliance event, of any category, in any domain, authorizes, triggers, or justifies the use of military force. Military decisions rest exclusively with the respective head of government under constitutional procedures.</w:t>
            </w:r>
          </w:p>
        </w:tc>
      </w:tr>
      <w:tr>
        <w:tc>
          <w:tcPr/>
          <w:p>
            <w:pPr>
              <w:pStyle w:val="Compact"/>
              <w:jc w:val="left"/>
            </w:pPr>
            <w:r>
              <w:t xml:space="preserve">10. Civilian character</w:t>
            </w:r>
          </w:p>
        </w:tc>
        <w:tc>
          <w:tcPr/>
          <w:p>
            <w:pPr>
              <w:pStyle w:val="Compact"/>
              <w:jc w:val="left"/>
            </w:pPr>
            <w:r>
              <w:t xml:space="preserve">The operational bodies of the Pact employ civilian maritime professionals. Military liaison occurs through designated channels at the policy level and never on the watch floor.</w:t>
            </w:r>
          </w:p>
        </w:tc>
      </w:tr>
      <w:tr>
        <w:tc>
          <w:tcPr/>
          <w:p>
            <w:pPr>
              <w:pStyle w:val="Compact"/>
              <w:jc w:val="left"/>
            </w:pPr>
            <w:r>
              <w:t xml:space="preserve">11. Transparency over trust</w:t>
            </w:r>
          </w:p>
        </w:tc>
        <w:tc>
          <w:tcPr/>
          <w:p>
            <w:pPr>
              <w:pStyle w:val="Compact"/>
              <w:jc w:val="left"/>
            </w:pPr>
            <w:r>
              <w:t xml:space="preserve">The Pact substitutes publication for assurances. Every participant reads the same record at the same time.</w:t>
            </w:r>
          </w:p>
        </w:tc>
      </w:tr>
      <w:tr>
        <w:tc>
          <w:tcPr/>
          <w:p>
            <w:pPr>
              <w:pStyle w:val="Compact"/>
              <w:jc w:val="left"/>
            </w:pPr>
            <w:r>
              <w:t xml:space="preserve">12. Cost discipline</w:t>
            </w:r>
          </w:p>
        </w:tc>
        <w:tc>
          <w:tcPr/>
          <w:p>
            <w:pPr>
              <w:pStyle w:val="Compact"/>
              <w:jc w:val="left"/>
            </w:pPr>
            <w:r>
              <w:t xml:space="preserve">The Pact reuses existing infrastructure, schemes, and institutions wherever they serve the mission, and builds new structures only where no existing structure carries the load.</w:t>
            </w:r>
          </w:p>
        </w:tc>
      </w:tr>
    </w:tbl>
    <w:bookmarkStart w:id="47" w:name="the-political-acceptability-rule"/>
    <w:p>
      <w:pPr>
        <w:pStyle w:val="Heading3"/>
      </w:pPr>
      <w:r>
        <w:t xml:space="preserve">3.1 The political acceptability rule</w:t>
      </w:r>
    </w:p>
    <w:p>
      <w:pPr>
        <w:pStyle w:val="FirstParagraph"/>
      </w:pPr>
      <w:r>
        <w:t xml:space="preserve">Every mechanism in this instrument passes a symmetry test before adoption: the mechanism binds every Party through the same architecture, produces visible benefit for every public, avoids vocabulary of concession or capitulation, and permits each Party to present the Pact domestically as a structure it co-governs rather than an order it obeys. The Hormuz Maritime Council reviews every proposed amendment against this rule under Article 35.3.</w:t>
      </w:r>
    </w:p>
    <w:bookmarkEnd w:id="47"/>
    <w:bookmarkStart w:id="48" w:name="the-synchronization-principle"/>
    <w:p>
      <w:pPr>
        <w:pStyle w:val="Heading3"/>
      </w:pPr>
      <w:r>
        <w:t xml:space="preserve">3.2 The synchronization principle</w:t>
      </w:r>
    </w:p>
    <w:p>
      <w:pPr>
        <w:pStyle w:val="FirstParagraph"/>
      </w:pPr>
      <w:r>
        <w:t xml:space="preserve">The Pact synchronizes its clocks wherever synchronization reduces cost and risk: one bulletin cycle serves every corridor, one audit calendar serves every fund, one activation calendar serves every institution, and one publication rhythm serves every observer. Annex K states the synchronization calendar. Where two mechanisms share a dependency, the earlier clock governs both, and the record shows the linkage.</w:t>
      </w:r>
    </w:p>
    <w:bookmarkEnd w:id="48"/>
    <w:bookmarkEnd w:id="49"/>
    <w:bookmarkStart w:id="54" w:name="Xd7179de2948ddf2afe592eae77b1c4606e12ae0"/>
    <w:p>
      <w:pPr>
        <w:pStyle w:val="Heading2"/>
      </w:pPr>
      <w:r>
        <w:t xml:space="preserve">Article 4: The Five-Step Rule and the Simplicity Mandate</w:t>
      </w:r>
    </w:p>
    <w:bookmarkStart w:id="50" w:name="the-five-step-rule"/>
    <w:p>
      <w:pPr>
        <w:pStyle w:val="Heading3"/>
      </w:pPr>
      <w:r>
        <w:t xml:space="preserve">4.1 The Five-Step Rule</w:t>
      </w:r>
    </w:p>
    <w:p>
      <w:pPr>
        <w:pStyle w:val="FirstParagraph"/>
      </w:pPr>
      <w:r>
        <w:t xml:space="preserve">No mechanism, protocol, procedure, or process in this Pact contains more than five steps. Four steps form the design norm; a fifth step exists only where a clock or a safeguard genuinely needs it. The rule binds every Article and every Annex, and the Technical Standards Committee certifies compliance with it in the annual systems audit of Article 14. Where a proposed measure presents a procedure exceeding five steps, the measure returns to the Technical Standards Committee for restructuring before the Council receives it, and the restructuring record publishes with the measure.</w:t>
      </w:r>
    </w:p>
    <w:bookmarkEnd w:id="50"/>
    <w:bookmarkStart w:id="51" w:name="the-one-page-principle"/>
    <w:p>
      <w:pPr>
        <w:pStyle w:val="Heading3"/>
      </w:pPr>
      <w:r>
        <w:t xml:space="preserve">4.2 The one-page principle</w:t>
      </w:r>
    </w:p>
    <w:p>
      <w:pPr>
        <w:pStyle w:val="FirstParagraph"/>
      </w:pPr>
      <w:r>
        <w:t xml:space="preserve">Every operational procedure in this Pact fits on one page in the working language of the watch floor. The Pact Operations Center publishes each procedure as a single-page card in the Mariners’ Handbook of Annex D, and each card states its steps, its clocks, and its responsible officer. A procedure that outgrows one page splits into two procedures, each under five steps, each with its own card.</w:t>
      </w:r>
    </w:p>
    <w:bookmarkEnd w:id="51"/>
    <w:bookmarkStart w:id="52" w:name="the-complexity-audit"/>
    <w:p>
      <w:pPr>
        <w:pStyle w:val="Heading3"/>
      </w:pPr>
      <w:r>
        <w:t xml:space="preserve">4.3 The complexity audit</w:t>
      </w:r>
    </w:p>
    <w:p>
      <w:pPr>
        <w:pStyle w:val="FirstParagraph"/>
      </w:pPr>
      <w:r>
        <w:t xml:space="preserve">The Neutral Observation Office conducts an annual complexity audit: it counts the steps of every active mechanism, measures the average time a duty officer needs to execute each card, and publishes the results. An audit finding of procedural creep triggers simplification within 90 days through the silence procedure of Article 17.4, and the Continuity Guarantee carries each simplified procedure forward without resetting any operational record.</w:t>
      </w:r>
    </w:p>
    <w:bookmarkEnd w:id="52"/>
    <w:bookmarkStart w:id="53" w:name="the-cost-test"/>
    <w:p>
      <w:pPr>
        <w:pStyle w:val="Heading3"/>
      </w:pPr>
      <w:r>
        <w:t xml:space="preserve">4.4 The cost test</w:t>
      </w:r>
    </w:p>
    <w:p>
      <w:pPr>
        <w:pStyle w:val="FirstParagraph"/>
      </w:pPr>
      <w:r>
        <w:t xml:space="preserve">Every new mechanism answers one question before adoption: what existing structure already carries this load? The Technical Standards Committee documents the answer in the measure’s preamble. A mechanism that duplicates an existing national, regional, or international capability fails the cost test and returns for redesign. The Pact spends on gaps, never on duplicates.</w:t>
      </w:r>
    </w:p>
    <w:bookmarkEnd w:id="53"/>
    <w:bookmarkEnd w:id="54"/>
    <w:bookmarkStart w:id="63" w:name="article-5-the-continuity-guarantee"/>
    <w:p>
      <w:pPr>
        <w:pStyle w:val="Heading2"/>
      </w:pPr>
      <w:r>
        <w:t xml:space="preserve">Article 5: The Continuity Guarantee</w:t>
      </w:r>
    </w:p>
    <w:bookmarkStart w:id="55" w:name="no-sunset"/>
    <w:p>
      <w:pPr>
        <w:pStyle w:val="Heading3"/>
      </w:pPr>
      <w:r>
        <w:t xml:space="preserve">5.1 No sunset</w:t>
      </w:r>
    </w:p>
    <w:p>
      <w:pPr>
        <w:pStyle w:val="FirstParagraph"/>
      </w:pPr>
      <w:r>
        <w:t xml:space="preserve">The Pact contains no sunset clauses, no silent expirations, and no decaying obligations. It operates on a continuous horizon, by design, because a commitment that expires is a commitment that plans to fail. Every phase boundary, review point, reporting deadline, and certification cycle inside this instrument operates as an administrative rhythm: at every boundary, the operational state carries forward by default, and obligations persist exactly as written until the Parties amend them in writing.</w:t>
      </w:r>
    </w:p>
    <w:bookmarkEnd w:id="55"/>
    <w:bookmarkStart w:id="56" w:name="no-fade-of-commitments"/>
    <w:p>
      <w:pPr>
        <w:pStyle w:val="Heading3"/>
      </w:pPr>
      <w:r>
        <w:t xml:space="preserve">5.2 No fade of commitments</w:t>
      </w:r>
    </w:p>
    <w:p>
      <w:pPr>
        <w:pStyle w:val="FirstParagraph"/>
      </w:pPr>
      <w:r>
        <w:t xml:space="preserve">Every commitment persists at full strength from activation until the Parties jointly amend it in writing under Article 35. Time never dilutes an obligation; routine never weakens a verification right; political weather never erodes a standing rule. A change of government in any Party changes nothing in this Pact: the obligations attach to the state, and the succession rule of Article 36.2 binds every incoming administration from its first day.</w:t>
      </w:r>
    </w:p>
    <w:bookmarkEnd w:id="56"/>
    <w:bookmarkStart w:id="57" w:name="no-fade-of-earned-benefits"/>
    <w:p>
      <w:pPr>
        <w:pStyle w:val="Heading3"/>
      </w:pPr>
      <w:r>
        <w:t xml:space="preserve">5.3 No fade of earned benefits</w:t>
      </w:r>
    </w:p>
    <w:p>
      <w:pPr>
        <w:pStyle w:val="FirstParagraph"/>
      </w:pPr>
      <w:r>
        <w:t xml:space="preserve">Benefits earned through verified compliance persist. No earned benefit lapses through the passage of time, a change of government, or a change of mood. Banked performance survives every review cycle, every suspension, and every transition, and carries forward into every successor instrument. Only the defined step-back of the compliance engine adjusts a benefit, and restoration always returns it under Article 30.4.</w:t>
      </w:r>
    </w:p>
    <w:bookmarkEnd w:id="57"/>
    <w:bookmarkStart w:id="58" w:name="no-fade-of-verification"/>
    <w:p>
      <w:pPr>
        <w:pStyle w:val="Heading3"/>
      </w:pPr>
      <w:r>
        <w:t xml:space="preserve">5.4 No fade of verification</w:t>
      </w:r>
    </w:p>
    <w:p>
      <w:pPr>
        <w:pStyle w:val="FirstParagraph"/>
      </w:pPr>
      <w:r>
        <w:t xml:space="preserve">Verification intensity never declines by default. The observer presence, the reporting rhythms, the verification patrols, the audit rights, and the data feeds of this Pact continue at full strength for the life of the instrument. Any reduction of verification intensity constitutes an amendment and takes effect only through the joint written instrument of Article 35.2.</w:t>
      </w:r>
    </w:p>
    <w:bookmarkEnd w:id="58"/>
    <w:bookmarkStart w:id="59" w:name="no-fade-of-the-zero-toll-rule"/>
    <w:p>
      <w:pPr>
        <w:pStyle w:val="Heading3"/>
      </w:pPr>
      <w:r>
        <w:t xml:space="preserve">5.5 No fade of the Zero-Toll Rule</w:t>
      </w:r>
    </w:p>
    <w:p>
      <w:pPr>
        <w:pStyle w:val="FirstParagraph"/>
      </w:pPr>
      <w:r>
        <w:t xml:space="preserve">The Zero-Toll Rule of Article 18 stands permanently. No passage charge arises by inaction, by silence, by custom, by national legislation, or by reinterpretation. Where a Party’s domestic law advances a fee measure touching the Strait, the Pact’s own rule governs the conduct of that Party within the Governance Area, and Article 18.6 routes the reconciliation.</w:t>
      </w:r>
    </w:p>
    <w:bookmarkEnd w:id="59"/>
    <w:bookmarkStart w:id="60" w:name="no-fade-of-the-development-commitment"/>
    <w:p>
      <w:pPr>
        <w:pStyle w:val="Heading3"/>
      </w:pPr>
      <w:r>
        <w:t xml:space="preserve">5.6 No fade of the development commitment</w:t>
      </w:r>
    </w:p>
    <w:p>
      <w:pPr>
        <w:pStyle w:val="FirstParagraph"/>
      </w:pPr>
      <w:r>
        <w:t xml:space="preserve">The development windows of Part V never close by default. Once a project passes selection under Annex I, its financing flows on the schedule of the Hormuz Development Facility, and no political dispute outside the compliance engine interrupts a project in execution. The development commitment persists because the dividend anchors the peace.</w:t>
      </w:r>
    </w:p>
    <w:bookmarkEnd w:id="60"/>
    <w:bookmarkStart w:id="61" w:name="X0b7112a445e376104bc3322301c35d47e75954d"/>
    <w:p>
      <w:pPr>
        <w:pStyle w:val="Heading3"/>
      </w:pPr>
      <w:r>
        <w:t xml:space="preserve">5.7 Renewal by silence and default continuity</w:t>
      </w:r>
    </w:p>
    <w:p>
      <w:pPr>
        <w:pStyle w:val="FirstParagraph"/>
      </w:pPr>
      <w:r>
        <w:t xml:space="preserve">Renewal occurs by silence: at every review point, continuation proceeds automatically unless a Party tables a written amendment proposal within the review window. Where a decision stalls, the standing procedures of this Pact and its Annexes govern by default. A stalled budget question runs on the previous budget at the same level; a stalled rate question runs on the previous rate; a stalled procedure question runs on the existing annex text. No deadlock suspends, degrades, or re-prices any operation of the corridor system.</w:t>
      </w:r>
    </w:p>
    <w:bookmarkEnd w:id="61"/>
    <w:bookmarkStart w:id="62" w:name="exit-is-an-act-not-a-fade"/>
    <w:p>
      <w:pPr>
        <w:pStyle w:val="Heading3"/>
      </w:pPr>
      <w:r>
        <w:t xml:space="preserve">5.8 Exit is an act, not a fade</w:t>
      </w:r>
    </w:p>
    <w:p>
      <w:pPr>
        <w:pStyle w:val="FirstParagraph"/>
      </w:pPr>
      <w:r>
        <w:t xml:space="preserve">Withdrawal under Article 36.4 constitutes a deliberate, notified, time-buffered sovereign act executed through the notice ladder, with the corridors operating at full standard throughout. Nothing in this Pact drifts away; everything either persists at full force or changes by joint written instrument.</w:t>
      </w:r>
    </w:p>
    <w:bookmarkEnd w:id="62"/>
    <w:bookmarkEnd w:id="63"/>
    <w:bookmarkStart w:id="68" w:name="X8253c4868a874f49de8559b91feb3d2fbfd56ea"/>
    <w:p>
      <w:pPr>
        <w:pStyle w:val="Heading2"/>
      </w:pPr>
      <w:r>
        <w:t xml:space="preserve">Article 6: The Red Lines Register and the Perimeter Screen</w:t>
      </w:r>
    </w:p>
    <w:bookmarkStart w:id="64" w:name="purpose-and-method"/>
    <w:p>
      <w:pPr>
        <w:pStyle w:val="Heading3"/>
      </w:pPr>
      <w:r>
        <w:t xml:space="preserve">6.1 Purpose and method</w:t>
      </w:r>
    </w:p>
    <w:p>
      <w:pPr>
        <w:pStyle w:val="FirstParagraph"/>
      </w:pPr>
      <w:r>
        <w:t xml:space="preserve">The Parties negotiate in the open about everything except the lines each treats as untouchable. The Red Lines Register of Annex G names those lines once, precisely, and the architecture then guards them automatically. Each entry states the line in neutral terms, names the interest it protects, and identifies the architectural safeguard that holds the line without daily political effort. The Register binds the architecture, not the negotiators’ rhetoric: a public statement outside the Register carries no operative weight inside the Pact.</w:t>
      </w:r>
    </w:p>
    <w:bookmarkEnd w:id="64"/>
    <w:bookmarkStart w:id="65" w:name="the-perimeter-screen"/>
    <w:p>
      <w:pPr>
        <w:pStyle w:val="Heading3"/>
      </w:pPr>
      <w:r>
        <w:t xml:space="preserve">6.2 The Perimeter Screen</w:t>
      </w:r>
    </w:p>
    <w:p>
      <w:pPr>
        <w:pStyle w:val="FirstParagraph"/>
      </w:pPr>
      <w:r>
        <w:t xml:space="preserve">Before the Hormuz Maritime Council adopts any measure, the legal desk of the Pact Operations Center screens the measure against every entry of the Register. The screening takes the form of a short written Perimeter Screen, appended to the measure in the Council record. A measure that touches a Register line proceeds only in the exact form the corresponding safeguard permits. A measure that crosses a Register line fails, and the failure appears in the record with reasons. The Neutral Observation Office receives every Perimeter Screen and reports annually on the integrity of the Register.</w:t>
      </w:r>
    </w:p>
    <w:bookmarkEnd w:id="65"/>
    <w:bookmarkStart w:id="66" w:name="no-trading-of-red-lines"/>
    <w:p>
      <w:pPr>
        <w:pStyle w:val="Heading3"/>
      </w:pPr>
      <w:r>
        <w:t xml:space="preserve">6.3 No trading of Red Lines</w:t>
      </w:r>
    </w:p>
    <w:p>
      <w:pPr>
        <w:pStyle w:val="FirstParagraph"/>
      </w:pPr>
      <w:r>
        <w:t xml:space="preserve">The Parties do not trade Register entries against one another. The architecture holds every line simultaneously, and a breach response under Article 30 never suspends a Register entry. Amendment of the Register itself follows the elevated rule of Article 35.2: consensus of all Littoral Parties plus ratification by each of them.</w:t>
      </w:r>
    </w:p>
    <w:bookmarkEnd w:id="66"/>
    <w:bookmarkStart w:id="67" w:name="red-line-consultation"/>
    <w:p>
      <w:pPr>
        <w:pStyle w:val="Heading3"/>
      </w:pPr>
      <w:r>
        <w:t xml:space="preserve">6.4 Red Line Consultation</w:t>
      </w:r>
    </w:p>
    <w:p>
      <w:pPr>
        <w:pStyle w:val="FirstParagraph"/>
      </w:pPr>
      <w:r>
        <w:t xml:space="preserve">A Party that perceives a Red Line under pressure activates a Red Line Consultation before any other response. The consultation convenes within 24 hours. The architecture freezes the relevant mechanism for 72 hours while the consultation proceeds, under the Hormuz Watch of Article 31, except for the humanitarian absolute and the distress-priority obligations, which never freeze.</w:t>
      </w:r>
    </w:p>
    <w:p>
      <w:pPr>
        <w:pStyle w:val="BodyText"/>
      </w:pPr>
      <w:r>
        <w:t xml:space="preserve">During a Red Line Consultation, the consulting Party’s Council members retain full voting rights on all matters except the specific mechanism under consultation. The architecture freezes only the mechanism under consultation, never the Party’s standing or rights. The Neutral Observation Office publishes a summary of each Red Line Consultation within 7 days of its conclusion, with the Parties’ stated positions redacted at their request. A Red Line Consultation never becomes a de facto suspension of a Party’s rights.</w:t>
      </w:r>
    </w:p>
    <w:p>
      <w:r>
        <w:pict>
          <v:rect style="width:0;height:1.5pt" o:hralign="center" o:hrstd="t" o:hr="t"/>
        </w:pict>
      </w:r>
    </w:p>
    <w:bookmarkEnd w:id="67"/>
    <w:bookmarkEnd w:id="68"/>
    <w:bookmarkEnd w:id="69"/>
    <w:bookmarkStart w:id="105" w:name="X6796f4f3f4b567670774858a913222bbab547e2"/>
    <w:p>
      <w:pPr>
        <w:pStyle w:val="Heading1"/>
      </w:pPr>
      <w:r>
        <w:t xml:space="preserve">PART II: THE THREE-CORRIDOR NAVIGATION SYSTEM</w:t>
      </w:r>
    </w:p>
    <w:bookmarkStart w:id="74" w:name="X285e111b137817a4b3841b27caebb2382fb8cb2"/>
    <w:p>
      <w:pPr>
        <w:pStyle w:val="Heading2"/>
      </w:pPr>
      <w:r>
        <w:t xml:space="preserve">Article 7: The Governance Area and Boundary Coordinates</w:t>
      </w:r>
    </w:p>
    <w:bookmarkStart w:id="70" w:name="establishment-1"/>
    <w:p>
      <w:pPr>
        <w:pStyle w:val="Heading3"/>
      </w:pPr>
      <w:r>
        <w:t xml:space="preserve">7.1 Establishment</w:t>
      </w:r>
    </w:p>
    <w:p>
      <w:pPr>
        <w:pStyle w:val="FirstParagraph"/>
      </w:pPr>
      <w:r>
        <w:t xml:space="preserve">The Parties establish the Governance Area as the geographic frame within which the passage rules, the deconfliction geometry, and the operations of the Pact Operations Center apply. The Governance Area is an operational construct. It defines where the rules of the Pact operate. It defines no boundary between states, delimits no maritime zone, and prejudices no entitlement, consistent with Article 2.6.</w:t>
      </w:r>
    </w:p>
    <w:bookmarkEnd w:id="70"/>
    <w:bookmarkStart w:id="71" w:name="outer-boundary"/>
    <w:p>
      <w:pPr>
        <w:pStyle w:val="Heading3"/>
      </w:pPr>
      <w:r>
        <w:t xml:space="preserve">7.2 Outer boundary</w:t>
      </w:r>
    </w:p>
    <w:p>
      <w:pPr>
        <w:pStyle w:val="FirstParagraph"/>
      </w:pPr>
      <w:r>
        <w:t xml:space="preserve">The Governance Area comprises the waters and superjacent airspace bounded by the following lines, all positions on the WGS-84 datum: the eastern boundary is the meridian 057 degrees 00.0 minutes East, from the coast of the Musandam Peninsula to the coast of Iran; the western boundary is the meridian 055 degrees 30.0 minutes East, from the coast of the Musandam Peninsula to the coast of Iran; the northern boundary is the coastline of the Islamic Republic of Iran, including the islands of Qeshm, Hormuz, Larak, and Hengam, and the territorial sea generated therefrom; the southern boundary is the coastline of the Musandam Peninsula of the Sultanate of Oman, and the territorial sea generated therefrom.</w:t>
      </w:r>
    </w:p>
    <w:p>
      <w:pPr>
        <w:pStyle w:val="BodyText"/>
      </w:pPr>
      <w:r>
        <w:t xml:space="preserve">Annex A, Table A.1 states the precise polygon of the Governance Area as twelve boundary vertices. The Pact Operations Center publishes the chartlet derived from those vertices as the official reference chart of the Pact, in harmony with the traffic separation scheme adopted through the International Maritime Organization.</w:t>
      </w:r>
    </w:p>
    <w:bookmarkEnd w:id="71"/>
    <w:bookmarkStart w:id="72" w:name="internal-reference-lines"/>
    <w:p>
      <w:pPr>
        <w:pStyle w:val="Heading3"/>
      </w:pPr>
      <w:r>
        <w:t xml:space="preserve">7.3 Internal reference lines</w:t>
      </w:r>
    </w:p>
    <w:p>
      <w:pPr>
        <w:pStyle w:val="FirstParagraph"/>
      </w:pPr>
      <w:r>
        <w:t xml:space="preserve">Within the Governance Area, the Pact designates: (a) the three corridor centerlines and corridor limit lines of Article 8; (b) the two separation belts dividing the corridors; (c) two precautionary zones at the eastern and western approaches; (d) the holding anchorages listed in Annex A, Table A.6; (e) the inshore local craft bands reserved for Class D vessels; and (f) the standoff reference lines of Article 27. Each line appears in Annex A as a coordinate series. A line’s function is operational and regulatory. No line asserts, derogates, or modifies sovereignty or sovereign rights.</w:t>
      </w:r>
    </w:p>
    <w:bookmarkEnd w:id="72"/>
    <w:bookmarkStart w:id="73" w:name="chart-custody-and-amendment"/>
    <w:p>
      <w:pPr>
        <w:pStyle w:val="Heading3"/>
      </w:pPr>
      <w:r>
        <w:t xml:space="preserve">7.4 Chart custody and amendment</w:t>
      </w:r>
    </w:p>
    <w:p>
      <w:pPr>
        <w:pStyle w:val="FirstParagraph"/>
      </w:pPr>
      <w:r>
        <w:t xml:space="preserve">The Neutral Administrator holds the master coordinate register. The Pact Operations Center maintains the working charts. A coordinate change takes effect only through a four-step sequence: (1) the Technical Standards Committee issues a written proposal confirming navigational safety; (2) the Center consults the International Maritime Organization and the International Hydrographic Organization where the change touches an adopted routing measure; (3) the Council decides under the Twin Key Rule; (4) the Center publishes the change with 30 days of notice to the maritime community, except where an immediate safety risk justifies 72 hours of notice. Under the Continuity Guarantee, an adjustment accumulates into the registry without resetting any certification, and the registry carries a full audit trail of every change.</w:t>
      </w:r>
    </w:p>
    <w:bookmarkEnd w:id="73"/>
    <w:bookmarkEnd w:id="74"/>
    <w:bookmarkStart w:id="81" w:name="article-8-the-three-corridors"/>
    <w:p>
      <w:pPr>
        <w:pStyle w:val="Heading2"/>
      </w:pPr>
      <w:r>
        <w:t xml:space="preserve">Article 8: The Three Corridors</w:t>
      </w:r>
    </w:p>
    <w:bookmarkStart w:id="75" w:name="the-three-corridor-system"/>
    <w:p>
      <w:pPr>
        <w:pStyle w:val="Heading3"/>
      </w:pPr>
      <w:r>
        <w:t xml:space="preserve">8.1 The three-corridor system</w:t>
      </w:r>
    </w:p>
    <w:p>
      <w:pPr>
        <w:pStyle w:val="FirstParagraph"/>
      </w:pPr>
      <w:r>
        <w:t xml:space="preserve">Transit through the Strait operates through three corridors. The three-corridor structure honors two truths in one geography: transit through an international waterway stands free of charge and free of condition, and the coastal states hold sovereign rights and security interests in their own waters. The Outbound Assurance Corridor operates on free navigation. The Inbound Coordination Corridor operates on prior notification without tolls. The Central Safety Corridor operates under joint administration, combining the notification discipline of the Inbound Coordination Corridor with the free-navigation guarantee of the Outbound Assurance Corridor. All three corridors operate under the Zero-Toll Rule and the Non-Interdiction Protocol without exception. A vessel’s flag, ownership, cargo origin, destination, or insurer does not determine its passage eligibility. Purpose and class determine treatment, per Article 9.</w:t>
      </w:r>
    </w:p>
    <w:bookmarkEnd w:id="75"/>
    <w:bookmarkStart w:id="76" w:name="the-outbound-assurance-corridor"/>
    <w:p>
      <w:pPr>
        <w:pStyle w:val="Heading3"/>
      </w:pPr>
      <w:r>
        <w:t xml:space="preserve">8.2 The Outbound Assurance Corridor</w:t>
      </w:r>
    </w:p>
    <w:p>
      <w:pPr>
        <w:pStyle w:val="FirstParagraph"/>
      </w:pPr>
      <w:r>
        <w:t xml:space="preserve">The Outbound Assurance Corridor follows the southern route through the territorial sea of Oman off the Musandam Peninsula. Its centerline runs from waypoint O-1 (26 degrees 38.0 minutes North, 056 degrees 52.0 minutes East) in the Gulf of Oman to waypoint O-6 (26 degrees 24.0 minutes North, 055 degrees 38.0 minutes East) in the Gulf, with lanes of 2.0 nautical miles width separated by a 1.0 nautical mile separation zone. Annex A, Table A.2 states the full waypoint schedule.</w:t>
      </w:r>
    </w:p>
    <w:p>
      <w:pPr>
        <w:pStyle w:val="BodyText"/>
      </w:pPr>
      <w:r>
        <w:t xml:space="preserve">The Outbound Assurance Corridor operates under the free-navigation rule: any vessel of Classes A through H transits at any hour, in any direction, without prior approval, without prior notification beyond standard automatic identification system carriage, without inspection at sea, and without charge of any kind. Oman’s vessel traffic service provides traffic information on a voluntary basis, integrated with the Pact Operations Center under the co-staffing rules of Article 14. The architecture excludes any approval step by any actor for the Outbound Assurance Corridor, and equally excludes any coalition or third-state approval step. The Outbound Assurance Corridor restores the pre-conflict pattern of navigation in full.</w:t>
      </w:r>
    </w:p>
    <w:bookmarkEnd w:id="76"/>
    <w:bookmarkStart w:id="77" w:name="the-inbound-coordination-corridor"/>
    <w:p>
      <w:pPr>
        <w:pStyle w:val="Heading3"/>
      </w:pPr>
      <w:r>
        <w:t xml:space="preserve">8.3 The Inbound Coordination Corridor</w:t>
      </w:r>
    </w:p>
    <w:p>
      <w:pPr>
        <w:pStyle w:val="FirstParagraph"/>
      </w:pPr>
      <w:r>
        <w:t xml:space="preserve">The Inbound Coordination Corridor follows the northern deep-water route through the territorial sea of Iran, north of Larak and Hormuz Islands. Its centerline runs from waypoint I-1 (26 degrees 50.0 minutes North, 056 degrees 44.0 minutes East) to waypoint I-6 (26 degrees 40.0 minutes North, 055 degrees 32.0 minutes East), with lanes and separation as stated in Annex A, Table A.3.</w:t>
      </w:r>
    </w:p>
    <w:p>
      <w:pPr>
        <w:pStyle w:val="BodyText"/>
      </w:pPr>
      <w:r>
        <w:t xml:space="preserve">The Inbound Coordination Corridor operates under the notification regime: a transiting vessel of Classes A, B, C, or E files a twelve-field transit notice with the Pact Operations Center between 72 and 6 hours before entering the corridor, in the format of Annex D, stating identity, class, cargo category in general terms, and intended lane. The notice produces an automatic acknowledgment within 30 minutes of filing. The acknowledgment is administrative, not permissive: transit never awaits approval, and silence beyond 30 minutes constitutes acknowledgment by default. The architecture prohibits the conversion of notification into permission.</w:t>
      </w:r>
    </w:p>
    <w:p>
      <w:pPr>
        <w:pStyle w:val="BodyText"/>
      </w:pPr>
      <w:r>
        <w:t xml:space="preserve">The notification regime gives Iran a documented, real-time picture of traffic in its territorial sea, which constitutes the recognized, formal management function that Red Line RL-3 registers. The regime simultaneously gives every vessel an absolute right of passage, which satisfies Red Line RL-2 and the user-state interest in open, toll-free transit. The architecture thereby converts a sovereignty dispute into an administrative routine.</w:t>
      </w:r>
    </w:p>
    <w:bookmarkEnd w:id="77"/>
    <w:bookmarkStart w:id="78" w:name="the-central-safety-corridor"/>
    <w:p>
      <w:pPr>
        <w:pStyle w:val="Heading3"/>
      </w:pPr>
      <w:r>
        <w:t xml:space="preserve">8.4 The Central Safety Corridor</w:t>
      </w:r>
    </w:p>
    <w:p>
      <w:pPr>
        <w:pStyle w:val="FirstParagraph"/>
      </w:pPr>
      <w:r>
        <w:t xml:space="preserve">The Central Safety Corridor runs between the Inbound Coordination Corridor and the Outbound Assurance Corridor along the centerline of Annex A, Table A.4, roughly centered on the historic traffic separation lane. Iran, Oman, and the Gulf Cooperation Council administer the Central Safety Corridor jointly through the Central Corridor Board of Article 13.4. The corridor serves four functions: separation of opposing traffic flows, emergency diversion routing, mine-risk avoidance routing, and search and rescue routing. Vessels of Classes A through H transit the Central Safety Corridor under the notification regime of Article 8.3 and the safe-passage guarantee of Article 10.</w:t>
      </w:r>
    </w:p>
    <w:p>
      <w:pPr>
        <w:pStyle w:val="BodyText"/>
      </w:pPr>
      <w:r>
        <w:t xml:space="preserve">The Central Safety Corridor operates as a neutral jurisdiction: no single state holds primary enforcement authority in this corridor. Law enforcement, vessel inspection, and compliance actions in this corridor proceed only on the joint authorization of the Central Corridor Board. The architecture prohibits unilateral enforcement in the Central Safety Corridor absolutely.</w:t>
      </w:r>
    </w:p>
    <w:bookmarkEnd w:id="78"/>
    <w:bookmarkStart w:id="79" w:name="management-arrangement"/>
    <w:p>
      <w:pPr>
        <w:pStyle w:val="Heading3"/>
      </w:pPr>
      <w:r>
        <w:t xml:space="preserve">8.5 Management arrangement</w:t>
      </w:r>
    </w:p>
    <w:p>
      <w:pPr>
        <w:pStyle w:val="FirstParagraph"/>
      </w:pPr>
      <w:r>
        <w:t xml:space="preserve">Oman leads the day-to-day management of the Outbound Assurance Corridor through its existing vessel traffic service, Iran leads the day-to-day management of the Inbound Coordination Corridor through its national maritime administration, and the Central Corridor Board coordinates the day-to-day management of the Central Safety Corridor through the Pact Operations Center, in each case integrated with the Pact Operations Center under the co-staffing rules of Article 14. The passage functions of prior national control structures fold into the Center’s notification desk and watch floor under the succession rule of Article 36.3: the Center receives notifications, acknowledges them, and operates the traffic system. Each Party’s liaison officers at the Center and at the mirror facility hold full real-time visibility of all three corridors, and the daily log records every management act for all Parties to inspect.</w:t>
      </w:r>
    </w:p>
    <w:bookmarkEnd w:id="79"/>
    <w:bookmarkStart w:id="80" w:name="sequential-activation"/>
    <w:p>
      <w:pPr>
        <w:pStyle w:val="Heading3"/>
      </w:pPr>
      <w:r>
        <w:t xml:space="preserve">8.6 Sequential activation</w:t>
      </w:r>
    </w:p>
    <w:p>
      <w:pPr>
        <w:pStyle w:val="FirstParagraph"/>
      </w:pPr>
      <w:r>
        <w:t xml:space="preserve">The corridor system activates in a fixed sequence, per Annex E: the Central Safety Corridor first, because separation creates safety; the Outbound Assurance Corridor second, because its activation carries the lowest political friction; the Inbound Coordination Corridor third, once the monitoring architecture stands verified. Each activation posts to the shared registry and banks permanently. The sequence protects every Party from the appearance of concession: no coastal state opens its corridor before the shared safety layer operates.</w:t>
      </w:r>
    </w:p>
    <w:bookmarkEnd w:id="80"/>
    <w:bookmarkEnd w:id="81"/>
    <w:bookmarkStart w:id="88" w:name="X8ab5663ec17159a48965261bddbac86c31a4a27"/>
    <w:p>
      <w:pPr>
        <w:pStyle w:val="Heading2"/>
      </w:pPr>
      <w:r>
        <w:t xml:space="preserve">Article 9: Vessel Classification and Differentiated Treatment</w:t>
      </w:r>
    </w:p>
    <w:bookmarkStart w:id="82" w:name="the-classification-principle"/>
    <w:p>
      <w:pPr>
        <w:pStyle w:val="Heading3"/>
      </w:pPr>
      <w:r>
        <w:t xml:space="preserve">9.1 The classification principle</w:t>
      </w:r>
    </w:p>
    <w:p>
      <w:pPr>
        <w:pStyle w:val="FirstParagraph"/>
      </w:pPr>
      <w:r>
        <w:t xml:space="preserve">Every vessel in the Governance Area holds one of eight classes. Classification follows the vessel’s purpose, size, and risk profile, never its flag, ownership, or political relationship. The classification society data feed and the automatic identification system message establish the class automatically; the Pact Operations Center resolves any ambiguity within 4 hours, and its resolution binds operations until the vessel completes its transit.</w:t>
      </w:r>
    </w:p>
    <w:bookmarkEnd w:id="82"/>
    <w:bookmarkStart w:id="83" w:name="the-eight-classes"/>
    <w:p>
      <w:pPr>
        <w:pStyle w:val="Heading3"/>
      </w:pPr>
      <w:r>
        <w:t xml:space="preserve">9.2 The eight classes</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Class</w:t>
            </w:r>
          </w:p>
        </w:tc>
        <w:tc>
          <w:tcPr/>
          <w:p>
            <w:pPr>
              <w:pStyle w:val="Compact"/>
              <w:jc w:val="left"/>
            </w:pPr>
            <w:r>
              <w:t xml:space="preserve">Description</w:t>
            </w:r>
          </w:p>
        </w:tc>
        <w:tc>
          <w:tcPr/>
          <w:p>
            <w:pPr>
              <w:pStyle w:val="Compact"/>
              <w:jc w:val="left"/>
            </w:pPr>
            <w:r>
              <w:t xml:space="preserve">Core treatment</w:t>
            </w:r>
          </w:p>
        </w:tc>
      </w:tr>
      <w:tr>
        <w:tc>
          <w:tcPr/>
          <w:p>
            <w:pPr>
              <w:pStyle w:val="Compact"/>
              <w:jc w:val="left"/>
            </w:pPr>
            <w:r>
              <w:t xml:space="preserve">Class A: General commercial cargo</w:t>
            </w:r>
          </w:p>
        </w:tc>
        <w:tc>
          <w:tcPr/>
          <w:p>
            <w:pPr>
              <w:pStyle w:val="Compact"/>
              <w:jc w:val="left"/>
            </w:pPr>
            <w:r>
              <w:t xml:space="preserve">Container ships, bulk carriers, general cargo, ro-ro, vehicle carriers, reefers</w:t>
            </w:r>
          </w:p>
        </w:tc>
        <w:tc>
          <w:tcPr/>
          <w:p>
            <w:pPr>
              <w:pStyle w:val="Compact"/>
              <w:jc w:val="left"/>
            </w:pPr>
            <w:r>
              <w:t xml:space="preserve">Standard transit; Outbound Assurance Corridor default; notice regime in the Inbound Coordination Corridor and the Central Safety Corridor; no inspection at sea</w:t>
            </w:r>
          </w:p>
        </w:tc>
      </w:tr>
      <w:tr>
        <w:tc>
          <w:tcPr/>
          <w:p>
            <w:pPr>
              <w:pStyle w:val="Compact"/>
              <w:jc w:val="left"/>
            </w:pPr>
            <w:r>
              <w:t xml:space="preserve">Class B: Energy carriers</w:t>
            </w:r>
          </w:p>
        </w:tc>
        <w:tc>
          <w:tcPr/>
          <w:p>
            <w:pPr>
              <w:pStyle w:val="Compact"/>
              <w:jc w:val="left"/>
            </w:pPr>
            <w:r>
              <w:t xml:space="preserve">Crude oil tankers, product tankers, LNG and LPG carriers, chemical tankers carrying petroleum derivatives</w:t>
            </w:r>
          </w:p>
        </w:tc>
        <w:tc>
          <w:tcPr/>
          <w:p>
            <w:pPr>
              <w:pStyle w:val="Compact"/>
              <w:jc w:val="left"/>
            </w:pPr>
            <w:r>
              <w:t xml:space="preserve">Priority scheduling; 3 nautical mile spacing; optional escorted windows; expedited notice; loading-terminal integration in the Inbound Coordination Corridor</w:t>
            </w:r>
          </w:p>
        </w:tc>
      </w:tr>
      <w:tr>
        <w:tc>
          <w:tcPr/>
          <w:p>
            <w:pPr>
              <w:pStyle w:val="Compact"/>
              <w:jc w:val="left"/>
            </w:pPr>
            <w:r>
              <w:t xml:space="preserve">Class C: Passenger vessels</w:t>
            </w:r>
          </w:p>
        </w:tc>
        <w:tc>
          <w:tcPr/>
          <w:p>
            <w:pPr>
              <w:pStyle w:val="Compact"/>
              <w:jc w:val="left"/>
            </w:pPr>
            <w:r>
              <w:t xml:space="preserve">Passenger ships, ferries, crew boats carrying more than 12 passengers</w:t>
            </w:r>
          </w:p>
        </w:tc>
        <w:tc>
          <w:tcPr/>
          <w:p>
            <w:pPr>
              <w:pStyle w:val="Compact"/>
              <w:jc w:val="left"/>
            </w:pPr>
            <w:r>
              <w:t xml:space="preserve">Highest protection priority; advance manifest through the notice system; daylight transit recommended; dedicated separation from Class G activity</w:t>
            </w:r>
          </w:p>
        </w:tc>
      </w:tr>
      <w:tr>
        <w:tc>
          <w:tcPr/>
          <w:p>
            <w:pPr>
              <w:pStyle w:val="Compact"/>
              <w:jc w:val="left"/>
            </w:pPr>
            <w:r>
              <w:t xml:space="preserve">Class D: Fishing and small craft</w:t>
            </w:r>
          </w:p>
        </w:tc>
        <w:tc>
          <w:tcPr/>
          <w:p>
            <w:pPr>
              <w:pStyle w:val="Compact"/>
              <w:jc w:val="left"/>
            </w:pPr>
            <w:r>
              <w:t xml:space="preserve">Licensed fishing vessels, dhows, and small craft under 24 meters</w:t>
            </w:r>
          </w:p>
        </w:tc>
        <w:tc>
          <w:tcPr/>
          <w:p>
            <w:pPr>
              <w:pStyle w:val="Compact"/>
              <w:jc w:val="left"/>
            </w:pPr>
            <w:r>
              <w:t xml:space="preserve">Inshore local craft bands; crossing gates of Annex A; registration through coastal authority; non-interference with passage lanes</w:t>
            </w:r>
          </w:p>
        </w:tc>
      </w:tr>
      <w:tr>
        <w:tc>
          <w:tcPr/>
          <w:p>
            <w:pPr>
              <w:pStyle w:val="Compact"/>
              <w:jc w:val="left"/>
            </w:pPr>
            <w:r>
              <w:t xml:space="preserve">Class E: Humanitarian vessels</w:t>
            </w:r>
          </w:p>
        </w:tc>
        <w:tc>
          <w:tcPr/>
          <w:p>
            <w:pPr>
              <w:pStyle w:val="Compact"/>
              <w:jc w:val="left"/>
            </w:pPr>
            <w:r>
              <w:t xml:space="preserve">Vessels carrying food, medicine, medical equipment, or relief personnel under verified humanitarian consignment</w:t>
            </w:r>
          </w:p>
        </w:tc>
        <w:tc>
          <w:tcPr/>
          <w:p>
            <w:pPr>
              <w:pStyle w:val="Compact"/>
              <w:jc w:val="left"/>
            </w:pPr>
            <w:r>
              <w:t xml:space="preserve">Expedited regime; zero administrative delay; protected status under the humanitarian absolute; moves in every flow state including Suspended Flow</w:t>
            </w:r>
          </w:p>
        </w:tc>
      </w:tr>
      <w:tr>
        <w:tc>
          <w:tcPr/>
          <w:p>
            <w:pPr>
              <w:pStyle w:val="Compact"/>
              <w:jc w:val="left"/>
            </w:pPr>
            <w:r>
              <w:t xml:space="preserve">Class F: Government non-naval</w:t>
            </w:r>
          </w:p>
        </w:tc>
        <w:tc>
          <w:tcPr/>
          <w:p>
            <w:pPr>
              <w:pStyle w:val="Compact"/>
              <w:jc w:val="left"/>
            </w:pPr>
            <w:r>
              <w:t xml:space="preserve">Research, survey, coast guard, customs, and hydrographic vessels on non-enforcement missions</w:t>
            </w:r>
          </w:p>
        </w:tc>
        <w:tc>
          <w:tcPr/>
          <w:p>
            <w:pPr>
              <w:pStyle w:val="Compact"/>
              <w:jc w:val="left"/>
            </w:pPr>
            <w:r>
              <w:t xml:space="preserve">Notification regime in the Inbound and Central corridors; mission description in the notice; deconfliction liaison through the Center</w:t>
            </w:r>
          </w:p>
        </w:tc>
      </w:tr>
      <w:tr>
        <w:tc>
          <w:tcPr/>
          <w:p>
            <w:pPr>
              <w:pStyle w:val="Compact"/>
              <w:jc w:val="left"/>
            </w:pPr>
            <w:r>
              <w:t xml:space="preserve">Class G: Naval and state vessels</w:t>
            </w:r>
          </w:p>
        </w:tc>
        <w:tc>
          <w:tcPr/>
          <w:p>
            <w:pPr>
              <w:pStyle w:val="Compact"/>
              <w:jc w:val="left"/>
            </w:pPr>
            <w:r>
              <w:t xml:space="preserve">Warships and state vessels on government non-commercial service</w:t>
            </w:r>
          </w:p>
        </w:tc>
        <w:tc>
          <w:tcPr/>
          <w:p>
            <w:pPr>
              <w:pStyle w:val="Compact"/>
              <w:jc w:val="left"/>
            </w:pPr>
            <w:r>
              <w:t xml:space="preserve">Outbound Assurance Corridor only; 96-hour advance movement notice through the military channel; standoff geometry of Article 27 applies</w:t>
            </w:r>
          </w:p>
        </w:tc>
      </w:tr>
      <w:tr>
        <w:tc>
          <w:tcPr/>
          <w:p>
            <w:pPr>
              <w:pStyle w:val="Compact"/>
              <w:jc w:val="left"/>
            </w:pPr>
            <w:r>
              <w:t xml:space="preserve">Class H: Vessels of concern</w:t>
            </w:r>
          </w:p>
        </w:tc>
        <w:tc>
          <w:tcPr/>
          <w:p>
            <w:pPr>
              <w:pStyle w:val="Compact"/>
              <w:jc w:val="left"/>
            </w:pPr>
            <w:r>
              <w:t xml:space="preserve">Any vessel with a documented, evidence-backed cargo or documentation question pending</w:t>
            </w:r>
          </w:p>
        </w:tc>
        <w:tc>
          <w:tcPr/>
          <w:p>
            <w:pPr>
              <w:pStyle w:val="Compact"/>
              <w:jc w:val="left"/>
            </w:pPr>
            <w:r>
              <w:t xml:space="preserve">Anchor-and-Verify Protocol of Article 9.4: resolution at anchorage, never interdiction at sea</w:t>
            </w:r>
          </w:p>
        </w:tc>
      </w:tr>
    </w:tbl>
    <w:bookmarkEnd w:id="83"/>
    <w:bookmarkStart w:id="84" w:name="treatment-principles"/>
    <w:p>
      <w:pPr>
        <w:pStyle w:val="Heading3"/>
      </w:pPr>
      <w:r>
        <w:t xml:space="preserve">9.3 Treatment principles</w:t>
      </w:r>
    </w:p>
    <w:p>
      <w:pPr>
        <w:pStyle w:val="FirstParagraph"/>
      </w:pPr>
      <w:r>
        <w:t xml:space="preserve">Purpose governs: two vessels of identical tonnage receive different treatment if their purposes differ, and identical treatment if their purposes match; flag never enters the treatment decision. Protection scales with vulnerability: Class C and Class E vessels receive the highest protection priority in scheduling, spacing, and incident response. Friction scales with risk, at anchor: the Pact concentrates all verification friction in the Anchor-and-Verify Protocol, so that the corridors themselves stay clean, fast, and free. No class carries a charge: the Zero-Toll Rule applies to every class equally, including Class G.</w:t>
      </w:r>
    </w:p>
    <w:bookmarkEnd w:id="84"/>
    <w:bookmarkStart w:id="85" w:name="Xcc9ae543e986a0b7343c5ca8ba82ded05cdc4bb"/>
    <w:p>
      <w:pPr>
        <w:pStyle w:val="Heading3"/>
      </w:pPr>
      <w:r>
        <w:t xml:space="preserve">9.4 Class H and the Anchor-and-Verify Protocol</w:t>
      </w:r>
    </w:p>
    <w:p>
      <w:pPr>
        <w:pStyle w:val="FirstParagraph"/>
      </w:pPr>
      <w:r>
        <w:t xml:space="preserve">A vessel becomes Class H only through a written, evidence-backed referral to the Pact Operations Center by a Party, the Neutral Administrator, or a classification society, stating the specific cargo or documentation question. A referral based on nationality, ownership structure, or routing alone fails automatically and counts against the referring Party’s claim record under Article 32.</w:t>
      </w:r>
    </w:p>
    <w:p>
      <w:pPr>
        <w:pStyle w:val="BodyText"/>
      </w:pPr>
      <w:r>
        <w:t xml:space="preserve">The protocol runs in four steps: (1) upon a valid referral, the vessel proceeds to a designated anchorage of its chosen passage state, or continues its voyage if the question resolves through documents; (2) verification at anchorage completes within 48 hours through a joint team of one inspector designated by the flag state, one by the passage coastal state, and one from the Neutral Observation Office roster, examining documents and, only where documents leave a material gap, the specific cargo in question; (3) the vessel resumes transit with a verified-transit marker; (4) a question unresolved at 72 hours routes to the Technical Standards Committee, and the vessel resumes transit at hour 96 with the dispute continuing ashore. The architecture excludes at-sea boarding, diversion to a third state’s port, and detention beyond the clocks of this protocol.</w:t>
      </w:r>
    </w:p>
    <w:bookmarkEnd w:id="85"/>
    <w:bookmarkStart w:id="86" w:name="non-discrimination"/>
    <w:p>
      <w:pPr>
        <w:pStyle w:val="Heading3"/>
      </w:pPr>
      <w:r>
        <w:t xml:space="preserve">9.5 Non-discrimination</w:t>
      </w:r>
    </w:p>
    <w:p>
      <w:pPr>
        <w:pStyle w:val="FirstParagraph"/>
      </w:pPr>
      <w:r>
        <w:t xml:space="preserve">Within each class, treatment stands identical for all vessels. The architecture excludes: differential pricing by flag; differential notification burdens by ownership; differential inspection by destination; and any registry, list, or database that sorts vessels by political criteria. The Assurance Registry of Article 19.5 sorts vessels by participation in a documentary mechanism, never by politics, and it alters no transit right, no transit priority, and no safety service for any vessel.</w:t>
      </w:r>
    </w:p>
    <w:bookmarkEnd w:id="86"/>
    <w:bookmarkStart w:id="87" w:name="the-verification-patrol-program"/>
    <w:p>
      <w:pPr>
        <w:pStyle w:val="Heading3"/>
      </w:pPr>
      <w:r>
        <w:t xml:space="preserve">9.6 The verification patrol program</w:t>
      </w:r>
    </w:p>
    <w:p>
      <w:pPr>
        <w:pStyle w:val="FirstParagraph"/>
      </w:pPr>
      <w:r>
        <w:t xml:space="preserve">Electronic surveillance deceives: identification signals spoof, satellite passes gap, and radar coverage bends around geography. The Pact therefore maintains a human verification layer on the water. The Pact Operations Center conducts one verification patrol per week in each corridor, executed by mixed-crew patrol craft provided on rotation by the coastal states and embarked with a Neutral Observation Office observer. Each patrol physically verifies the position, identity, and declared class of at least 5 percent of the vessels transiting during the patrol window, selected by lot from the live traffic picture immediately before departure. Patrol findings reconcile against the shared operational picture within 24 hours; a discrepancy enters the operational flag register and, where it suggests deliberate signal manipulation, refers to the claims channel of Article 32. A verification patrol never boards, never delays, and never directs a merchant vessel: it observes, photographs, and reconciles. Obstruction of a scheduled patrol classifies under Annex C, category M-2.</w:t>
      </w:r>
    </w:p>
    <w:bookmarkEnd w:id="87"/>
    <w:bookmarkEnd w:id="88"/>
    <w:bookmarkStart w:id="94" w:name="X68a14ff2961061a8636fbb67344b95a5720a6f1"/>
    <w:p>
      <w:pPr>
        <w:pStyle w:val="Heading2"/>
      </w:pPr>
      <w:r>
        <w:t xml:space="preserve">Article 10: Safe Passage and the Non-Interdiction Protocol</w:t>
      </w:r>
    </w:p>
    <w:bookmarkStart w:id="89" w:name="the-guarantee-of-safe-passage"/>
    <w:p>
      <w:pPr>
        <w:pStyle w:val="Heading3"/>
      </w:pPr>
      <w:r>
        <w:t xml:space="preserve">10.1 The guarantee of safe passage</w:t>
      </w:r>
    </w:p>
    <w:p>
      <w:pPr>
        <w:pStyle w:val="FirstParagraph"/>
      </w:pPr>
      <w:r>
        <w:t xml:space="preserve">Every vessel transiting the corridor system in compliance with its class rules enjoys a standing guarantee of safe passage. The guarantee operates as a design feature of the shared architecture: the corridor system excludes kinetic attack, boarding, seizure, detention, harassment, diversion, and interdiction of transiting vessels, by the forces of any Party or any external actor, under every circumstance including armed conflict between any states. The guarantee binds equally in all three corridors and covers every class.</w:t>
      </w:r>
    </w:p>
    <w:bookmarkEnd w:id="89"/>
    <w:bookmarkStart w:id="90" w:name="the-non-interdiction-protocol"/>
    <w:p>
      <w:pPr>
        <w:pStyle w:val="Heading3"/>
      </w:pPr>
      <w:r>
        <w:t xml:space="preserve">10.2 The Non-Interdiction Protocol</w:t>
      </w:r>
    </w:p>
    <w:p>
      <w:pPr>
        <w:pStyle w:val="FirstParagraph"/>
      </w:pPr>
      <w:r>
        <w:t xml:space="preserve">Commercial transit operates under an absolute non-interdiction protocol within the Governance Area. The protocol binds every organ of every Party, every force under their command or coordination, and every external force present in the region whose state adheres under Article 34.5: no vessel of Classes A through F faces attack, seizure, boarding for enforcement, harassment, diversion, or detention within the Governance Area, except the Anchor-and-Verify Protocol of Article 9.4 executed exactly as written. The protocol excludes no flag and no cargo category, subject only to the Class H procedure. Law enforcement against a vessel occurs outside the Governance Area, under the law of the state with jurisdiction, and never inside a passage.</w:t>
      </w:r>
    </w:p>
    <w:bookmarkEnd w:id="90"/>
    <w:bookmarkStart w:id="91" w:name="excluded-measures"/>
    <w:p>
      <w:pPr>
        <w:pStyle w:val="Heading3"/>
      </w:pPr>
      <w:r>
        <w:t xml:space="preserve">10.3 Excluded measures</w:t>
      </w:r>
    </w:p>
    <w:p>
      <w:pPr>
        <w:pStyle w:val="FirstParagraph"/>
      </w:pPr>
      <w:r>
        <w:t xml:space="preserve">The following measures have no place anywhere in the Governance Area: tolls or charges on transit; permission regimes; boarding of transiting vessels; route assignment by flag or destination; mining; the placing of hazards; harassment by small craft; the jamming or spoofing of navigation signals; and the illumination of transiting commercial vessels with fire-control radar or targeting systems. The Parties treat interference with navigation signals as an interference event under Article 28, and the Center maintains a signal-integrity watch with land-based receivers at both the Muscat seat and the Bandar Abbas mirror.</w:t>
      </w:r>
    </w:p>
    <w:bookmarkEnd w:id="91"/>
    <w:bookmarkStart w:id="92" w:name="the-joint-openness-declaration"/>
    <w:p>
      <w:pPr>
        <w:pStyle w:val="Heading3"/>
      </w:pPr>
      <w:r>
        <w:t xml:space="preserve">10.4 The joint openness declaration</w:t>
      </w:r>
    </w:p>
    <w:p>
      <w:pPr>
        <w:pStyle w:val="FirstParagraph"/>
      </w:pPr>
      <w:r>
        <w:t xml:space="preserve">Within 7 days of entry into force, the Parties issue a joint public declaration, drafted by the Mediator of Record, stating that all channels of the Strait of Hormuz operate open, that passage carries no toll, and that the Non-Interdiction Protocol governs all traffic. The Parties and the Central Corridor Board review and approve the declaration text before issuance. The declaration attributes the commitment to the shared architecture rather than to any Party’s unilateral concession. The Pact Operations Center thereafter publishes the Open Water Bulletin under Article 11.2, so that the declaration renews itself through verifiable fact rather than repeated diplomacy.</w:t>
      </w:r>
    </w:p>
    <w:bookmarkEnd w:id="92"/>
    <w:bookmarkStart w:id="93" w:name="safe-passage-services"/>
    <w:p>
      <w:pPr>
        <w:pStyle w:val="Heading3"/>
      </w:pPr>
      <w:r>
        <w:t xml:space="preserve">10.5 Safe passage services</w:t>
      </w:r>
    </w:p>
    <w:p>
      <w:pPr>
        <w:pStyle w:val="FirstParagraph"/>
      </w:pPr>
      <w:r>
        <w:t xml:space="preserve">The Pact Operations Center operates: (a) a 24-hour watch with direct lines to both coastal vessel traffic services; (b) a transit information broadcast every 6 hours covering traffic density, hazards, and Class G movements in general terms; (c) optional escorted transit windows for Class B vessels, organized with the coastal states’ coast guards, twice daily in each direction; and (d) a vessel assistance desk for mechanical casualties, with contracted tug and salvage capacity on 2-hour notice at the eastern and western approaches. A vessel requests an escorted window through the daily schedule; the request carries no charge. Iran provides lead-escort services in the Inbound Coordination Corridor, Oman provides lead-escort services in the Outbound Assurance Corridor, and the Central Corridor Board coordinates escorts in the Central Safety Corridor. All escort services operate under the Non-Interdiction Protocol of this Article.</w:t>
      </w:r>
    </w:p>
    <w:bookmarkEnd w:id="93"/>
    <w:bookmarkEnd w:id="94"/>
    <w:bookmarkStart w:id="98" w:name="Xc6b8d1a07b562adcb29671d6f316b20dac33eda"/>
    <w:p>
      <w:pPr>
        <w:pStyle w:val="Heading2"/>
      </w:pPr>
      <w:r>
        <w:t xml:space="preserve">Article 11: Flow States and the Open Water Bulletin</w:t>
      </w:r>
    </w:p>
    <w:bookmarkStart w:id="95" w:name="flow-states"/>
    <w:p>
      <w:pPr>
        <w:pStyle w:val="Heading3"/>
      </w:pPr>
      <w:r>
        <w:t xml:space="preserve">11.1 Flow States</w:t>
      </w:r>
    </w:p>
    <w:p>
      <w:pPr>
        <w:pStyle w:val="FirstParagraph"/>
      </w:pPr>
      <w:r>
        <w:t xml:space="preserve">Each corridor operates independently in one of three Flow States, published for each corridor separately in the Open Water Bulletin of Article 11.2:</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Flow State</w:t>
            </w:r>
          </w:p>
        </w:tc>
        <w:tc>
          <w:tcPr/>
          <w:p>
            <w:pPr>
              <w:pStyle w:val="Compact"/>
              <w:jc w:val="left"/>
            </w:pPr>
            <w:r>
              <w:t xml:space="preserve">Meaning</w:t>
            </w:r>
          </w:p>
        </w:tc>
        <w:tc>
          <w:tcPr/>
          <w:p>
            <w:pPr>
              <w:pStyle w:val="Compact"/>
              <w:jc w:val="left"/>
            </w:pPr>
            <w:r>
              <w:t xml:space="preserve">Rule</w:t>
            </w:r>
          </w:p>
        </w:tc>
      </w:tr>
      <w:tr>
        <w:tc>
          <w:tcPr/>
          <w:p>
            <w:pPr>
              <w:pStyle w:val="Compact"/>
              <w:jc w:val="left"/>
            </w:pPr>
            <w:r>
              <w:t xml:space="preserve">Free Flow</w:t>
            </w:r>
          </w:p>
        </w:tc>
        <w:tc>
          <w:tcPr/>
          <w:p>
            <w:pPr>
              <w:pStyle w:val="Compact"/>
              <w:jc w:val="left"/>
            </w:pPr>
            <w:r>
              <w:t xml:space="preserve">Normal operation</w:t>
            </w:r>
          </w:p>
        </w:tc>
        <w:tc>
          <w:tcPr/>
          <w:p>
            <w:pPr>
              <w:pStyle w:val="Compact"/>
              <w:jc w:val="left"/>
            </w:pPr>
            <w:r>
              <w:t xml:space="preserve">Full schedule; speed band 10 to 16 knots; standard spacing</w:t>
            </w:r>
          </w:p>
        </w:tc>
      </w:tr>
      <w:tr>
        <w:tc>
          <w:tcPr/>
          <w:p>
            <w:pPr>
              <w:pStyle w:val="Compact"/>
              <w:jc w:val="left"/>
            </w:pPr>
            <w:r>
              <w:t xml:space="preserve">Managed Flow</w:t>
            </w:r>
          </w:p>
        </w:tc>
        <w:tc>
          <w:tcPr/>
          <w:p>
            <w:pPr>
              <w:pStyle w:val="Compact"/>
              <w:jc w:val="left"/>
            </w:pPr>
            <w:r>
              <w:t xml:space="preserve">Heightened caution after an incident or survey finding</w:t>
            </w:r>
          </w:p>
        </w:tc>
        <w:tc>
          <w:tcPr/>
          <w:p>
            <w:pPr>
              <w:pStyle w:val="Compact"/>
              <w:jc w:val="left"/>
            </w:pPr>
            <w:r>
              <w:t xml:space="preserve">Speed band 9 to 13 knots; entry windows on the published cycle; escorted windows doubled</w:t>
            </w:r>
          </w:p>
        </w:tc>
      </w:tr>
      <w:tr>
        <w:tc>
          <w:tcPr/>
          <w:p>
            <w:pPr>
              <w:pStyle w:val="Compact"/>
              <w:jc w:val="left"/>
            </w:pPr>
            <w:r>
              <w:t xml:space="preserve">Suspended Flow</w:t>
            </w:r>
          </w:p>
        </w:tc>
        <w:tc>
          <w:tcPr/>
          <w:p>
            <w:pPr>
              <w:pStyle w:val="Compact"/>
              <w:jc w:val="left"/>
            </w:pPr>
            <w:r>
              <w:t xml:space="preserve">A defined area pauses new entries for safety</w:t>
            </w:r>
          </w:p>
        </w:tc>
        <w:tc>
          <w:tcPr/>
          <w:p>
            <w:pPr>
              <w:pStyle w:val="Compact"/>
              <w:jc w:val="left"/>
            </w:pPr>
            <w:r>
              <w:t xml:space="preserve">Time-limited to 72 hours absent a Council decision recorded with reasons; never converts into closure; humanitarian transit continues</w:t>
            </w:r>
          </w:p>
        </w:tc>
      </w:tr>
    </w:tbl>
    <w:bookmarkEnd w:id="95"/>
    <w:bookmarkStart w:id="96" w:name="the-open-water-bulletin"/>
    <w:p>
      <w:pPr>
        <w:pStyle w:val="Heading3"/>
      </w:pPr>
      <w:r>
        <w:t xml:space="preserve">11.2 The Open Water Bulletin</w:t>
      </w:r>
    </w:p>
    <w:p>
      <w:pPr>
        <w:pStyle w:val="FirstParagraph"/>
      </w:pPr>
      <w:r>
        <w:t xml:space="preserve">The Pact Operations Center publishes the Open Water Bulletin every 6 hours and on any state change: flow states for each corridor separately, including a distinct Central Safety Corridor status line, hazard notices, escorted windows, quiet water windows, and exercise notices in general terms. The Bulletin reaches every Party, every observer state, the International Maritime Organization’s maritime safety information channel, and the insurance market simultaneously, with identical latency. The Bulletin never names a vessel without its flag state’s consent, and it publishes restorations with the same prominence as disruptions.</w:t>
      </w:r>
    </w:p>
    <w:bookmarkEnd w:id="96"/>
    <w:bookmarkStart w:id="97" w:name="flow-state-changes"/>
    <w:p>
      <w:pPr>
        <w:pStyle w:val="Heading3"/>
      </w:pPr>
      <w:r>
        <w:t xml:space="preserve">11.3 Flow-state changes</w:t>
      </w:r>
    </w:p>
    <w:p>
      <w:pPr>
        <w:pStyle w:val="FirstParagraph"/>
      </w:pPr>
      <w:r>
        <w:t xml:space="preserve">A flow-state change follows four steps: (1) the duty officer pair identifies the trigger condition and logs it; (2) the Co-Directors confirm the condition against the Dual Confirmation Standard of Article 26.2; (3) the Center publishes the new state in the next Bulletin and notifies both coastal vessel traffic services; (4) the Technical Standards Committee reviews every Suspended Flow within 24 hours and either confirms, narrows, or lifts it. A flow-state change never requires permission from any Party, and the clocks of this Article bind every actor equally.</w:t>
      </w:r>
    </w:p>
    <w:bookmarkEnd w:id="97"/>
    <w:bookmarkEnd w:id="98"/>
    <w:bookmarkStart w:id="104" w:name="Xb1e86879405855f2709131420dc8271a4da7b8e"/>
    <w:p>
      <w:pPr>
        <w:pStyle w:val="Heading2"/>
      </w:pPr>
      <w:r>
        <w:t xml:space="preserve">Article 12: Hazard Survey, Mines, and the Reopening Sequence</w:t>
      </w:r>
    </w:p>
    <w:bookmarkStart w:id="99" w:name="the-mine-exclusion"/>
    <w:p>
      <w:pPr>
        <w:pStyle w:val="Heading3"/>
      </w:pPr>
      <w:r>
        <w:t xml:space="preserve">12.1 The mine exclusion</w:t>
      </w:r>
    </w:p>
    <w:p>
      <w:pPr>
        <w:pStyle w:val="FirstParagraph"/>
      </w:pPr>
      <w:r>
        <w:t xml:space="preserve">The Pact architecture excludes the laying, deployment, or tolerance of naval mines or equivalent placed hazards anywhere in the Governance Area, by any actor, at any time, under every circumstance. Discovery of a mine or ordnance activates the clearance protocol: the Center declares a 72-hour routing adjustment, the coastal states’ clearance units operate jointly under Neutral Observation, and commercial traffic reroutes through the unaffected passage. Mine clearance activity by one coastal state inside the other’s notification regime proceeds under the standing pre-authorization of Annex D, so that clearance never waits on politics.</w:t>
      </w:r>
    </w:p>
    <w:bookmarkEnd w:id="99"/>
    <w:bookmarkStart w:id="100" w:name="the-day-one-mine-hazard-declaration"/>
    <w:p>
      <w:pPr>
        <w:pStyle w:val="Heading3"/>
      </w:pPr>
      <w:r>
        <w:t xml:space="preserve">12.2 The Day One mine-hazard declaration</w:t>
      </w:r>
    </w:p>
    <w:p>
      <w:pPr>
        <w:pStyle w:val="FirstParagraph"/>
      </w:pPr>
      <w:r>
        <w:t xml:space="preserve">Within 24 hours of entry into force, the Pact Operations Center issues a Notice to Mariners declaring all parts of the Governance Area a Mine Hazard Area (Awaiting Survey), restricting transit to the designated routes of Annex A, and activating the mine countermeasure coordination function under Omani coordination with Neutral Observation. The declaration demonstrates the Pact’s practical authority from its first day: the water carries a status, the routes carry a rule, and the clearance machine starts moving before the politics settles. The Notice remains in force zone by zone until each zone certifies clear under Article 12.3.</w:t>
      </w:r>
    </w:p>
    <w:bookmarkEnd w:id="100"/>
    <w:bookmarkStart w:id="101" w:name="hazard-declaration-and-joint-survey"/>
    <w:p>
      <w:pPr>
        <w:pStyle w:val="Heading3"/>
      </w:pPr>
      <w:r>
        <w:t xml:space="preserve">12.3 Hazard declaration and joint survey</w:t>
      </w:r>
    </w:p>
    <w:p>
      <w:pPr>
        <w:pStyle w:val="FirstParagraph"/>
      </w:pPr>
      <w:r>
        <w:t xml:space="preserve">Each coastal Party declares known hazard locations within 72 hours of entry into force. A joint technical survey under the United Nations Mine Action Service, or another mutually accepted technical body, maps the corridor system within 21 days. Neutral mine countermeasure assets under Omani coordination clear contacts zone by zone, and the International Maritime Organization issues a Maritime Safety Information broadcast for each certified zone. Insurance markets receive each certification simultaneously. A zone certifies clear only after a second-pass verification confirms zero remaining mine-like contacts. Iran leads operational clearance in the Inbound Coordination Corridor, Oman leads operational clearance in the Outbound Assurance Corridor, and joint teams under Neutral Observation clear the Central Safety Corridor. Neutral observers verify clearance in all three corridors.</w:t>
      </w:r>
    </w:p>
    <w:bookmarkEnd w:id="101"/>
    <w:bookmarkStart w:id="102" w:name="the-reopening-sequence"/>
    <w:p>
      <w:pPr>
        <w:pStyle w:val="Heading3"/>
      </w:pPr>
      <w:r>
        <w:t xml:space="preserve">12.4 The reopening sequence</w:t>
      </w:r>
    </w:p>
    <w:p>
      <w:pPr>
        <w:pStyle w:val="FirstParagraph"/>
      </w:pPr>
      <w:r>
        <w:t xml:space="preserve">The Pact restores full commercial transit in phases tied to the survey record, per Annex E: scheduled daylight transits in the Outbound Assurance Corridor from Day 3; phased zone certification through Day 21; night transit upon certification of all zones; and full three-corridor operation at or above the pre-crisis baseline of 90 to 140 commercial transits per day by Day 45. The International Maritime Organization conducts the final technical certification of the corridor system’s safety, and its certification stands as the prerequisite for full three-corridor operation under this Article. Each phase certification posts to the shared registry and banks permanently under the Continuity Guarantee. A certification never reverses on the basis of an unverified allegation; reversal travels exclusively through the compliance engine of Article 30.</w:t>
      </w:r>
    </w:p>
    <w:bookmarkEnd w:id="102"/>
    <w:bookmarkStart w:id="103" w:name="insurance-normalization"/>
    <w:p>
      <w:pPr>
        <w:pStyle w:val="Heading3"/>
      </w:pPr>
      <w:r>
        <w:t xml:space="preserve">12.5 Insurance normalization</w:t>
      </w:r>
    </w:p>
    <w:p>
      <w:pPr>
        <w:pStyle w:val="FirstParagraph"/>
      </w:pPr>
      <w:r>
        <w:t xml:space="preserve">On completion of the survey sequence, the Council and the International Maritime Organization issue a joint safety certification to the protection and indemnity clubs, targeting war-risk premiums at or below 1.5 times the pre-crisis level within two quarters of sustained clean operation, and full restoration of pre-crisis premium levels within four quarters, per the schedule of Annex B, Section B.7.</w:t>
      </w:r>
    </w:p>
    <w:p>
      <w:r>
        <w:pict>
          <v:rect style="width:0;height:1.5pt" o:hralign="center" o:hrstd="t" o:hr="t"/>
        </w:pict>
      </w:r>
    </w:p>
    <w:bookmarkEnd w:id="103"/>
    <w:bookmarkEnd w:id="104"/>
    <w:bookmarkEnd w:id="105"/>
    <w:bookmarkStart w:id="140" w:name="part-iii-institutional-architecture"/>
    <w:p>
      <w:pPr>
        <w:pStyle w:val="Heading1"/>
      </w:pPr>
      <w:r>
        <w:t xml:space="preserve">PART III: INSTITUTIONAL ARCHITECTURE</w:t>
      </w:r>
    </w:p>
    <w:bookmarkStart w:id="110" w:name="article-13-the-hormuz-maritime-council"/>
    <w:p>
      <w:pPr>
        <w:pStyle w:val="Heading2"/>
      </w:pPr>
      <w:r>
        <w:t xml:space="preserve">Article 13: The Hormuz Maritime Council</w:t>
      </w:r>
    </w:p>
    <w:bookmarkStart w:id="106" w:name="composition"/>
    <w:p>
      <w:pPr>
        <w:pStyle w:val="Heading3"/>
      </w:pPr>
      <w:r>
        <w:t xml:space="preserve">13.1 Composition</w:t>
      </w:r>
    </w:p>
    <w:p>
      <w:pPr>
        <w:pStyle w:val="FirstParagraph"/>
      </w:pPr>
      <w:r>
        <w:t xml:space="preserve">The Hormuz Maritime Council is the governing body of the Pact. It seats voting members and non-voting participants as follows:</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Seat</w:t>
            </w:r>
          </w:p>
        </w:tc>
        <w:tc>
          <w:tcPr/>
          <w:p>
            <w:pPr>
              <w:pStyle w:val="Compact"/>
              <w:jc w:val="left"/>
            </w:pPr>
            <w:r>
              <w:t xml:space="preserve">Holder</w:t>
            </w:r>
          </w:p>
        </w:tc>
        <w:tc>
          <w:tcPr/>
          <w:p>
            <w:pPr>
              <w:pStyle w:val="Compact"/>
              <w:jc w:val="left"/>
            </w:pPr>
            <w:r>
              <w:t xml:space="preserve">Status</w:t>
            </w:r>
          </w:p>
        </w:tc>
      </w:tr>
      <w:tr>
        <w:tc>
          <w:tcPr/>
          <w:p>
            <w:pPr>
              <w:pStyle w:val="Compact"/>
              <w:jc w:val="left"/>
            </w:pPr>
            <w:r>
              <w:t xml:space="preserve">Founding Party seats</w:t>
            </w:r>
          </w:p>
        </w:tc>
        <w:tc>
          <w:tcPr/>
          <w:p>
            <w:pPr>
              <w:pStyle w:val="Compact"/>
              <w:jc w:val="left"/>
            </w:pPr>
            <w:r>
              <w:t xml:space="preserve">Iran and Oman, two members each</w:t>
            </w:r>
          </w:p>
        </w:tc>
        <w:tc>
          <w:tcPr/>
          <w:p>
            <w:pPr>
              <w:pStyle w:val="Compact"/>
              <w:jc w:val="left"/>
            </w:pPr>
            <w:r>
              <w:t xml:space="preserve">Voting; founding members</w:t>
            </w:r>
          </w:p>
        </w:tc>
      </w:tr>
      <w:tr>
        <w:tc>
          <w:tcPr/>
          <w:p>
            <w:pPr>
              <w:pStyle w:val="Compact"/>
              <w:jc w:val="left"/>
            </w:pPr>
            <w:r>
              <w:t xml:space="preserve">Acceding Party seats</w:t>
            </w:r>
          </w:p>
        </w:tc>
        <w:tc>
          <w:tcPr/>
          <w:p>
            <w:pPr>
              <w:pStyle w:val="Compact"/>
              <w:jc w:val="left"/>
            </w:pPr>
            <w:r>
              <w:t xml:space="preserve">The United Arab Emirates, Saudi Arabia, Qatar, Bahrain, Kuwait, and Iraq, two members each</w:t>
            </w:r>
          </w:p>
        </w:tc>
        <w:tc>
          <w:tcPr/>
          <w:p>
            <w:pPr>
              <w:pStyle w:val="Compact"/>
              <w:jc w:val="left"/>
            </w:pPr>
            <w:r>
              <w:t xml:space="preserve">Voting upon accession as Acceding Parties under Article 34</w:t>
            </w:r>
          </w:p>
        </w:tc>
      </w:tr>
      <w:tr>
        <w:tc>
          <w:tcPr/>
          <w:p>
            <w:pPr>
              <w:pStyle w:val="Compact"/>
              <w:jc w:val="left"/>
            </w:pPr>
            <w:r>
              <w:t xml:space="preserve">Regional seat</w:t>
            </w:r>
          </w:p>
        </w:tc>
        <w:tc>
          <w:tcPr/>
          <w:p>
            <w:pPr>
              <w:pStyle w:val="Compact"/>
              <w:jc w:val="left"/>
            </w:pPr>
            <w:r>
              <w:t xml:space="preserve">The Gulf Cooperation Council Secretariat</w:t>
            </w:r>
          </w:p>
        </w:tc>
        <w:tc>
          <w:tcPr/>
          <w:p>
            <w:pPr>
              <w:pStyle w:val="Compact"/>
              <w:jc w:val="left"/>
            </w:pPr>
            <w:r>
              <w:t xml:space="preserve">Voting on Central Safety Corridor matters; deliberative voice on all others</w:t>
            </w:r>
          </w:p>
        </w:tc>
      </w:tr>
      <w:tr>
        <w:tc>
          <w:tcPr/>
          <w:p>
            <w:pPr>
              <w:pStyle w:val="Compact"/>
              <w:jc w:val="left"/>
            </w:pPr>
            <w:r>
              <w:t xml:space="preserve">Facilitator seats</w:t>
            </w:r>
          </w:p>
        </w:tc>
        <w:tc>
          <w:tcPr/>
          <w:p>
            <w:pPr>
              <w:pStyle w:val="Compact"/>
              <w:jc w:val="left"/>
            </w:pPr>
            <w:r>
              <w:t xml:space="preserve">The Swiss Confederation as Neutral Administrator; the State of Qatar and the Islamic Republic of Pakistan as supporting facilitators</w:t>
            </w:r>
          </w:p>
        </w:tc>
        <w:tc>
          <w:tcPr/>
          <w:p>
            <w:pPr>
              <w:pStyle w:val="Compact"/>
              <w:jc w:val="left"/>
            </w:pPr>
            <w:r>
              <w:t xml:space="preserve">Deliberative voice, no vote on conduct classifications</w:t>
            </w:r>
          </w:p>
        </w:tc>
      </w:tr>
      <w:tr>
        <w:tc>
          <w:tcPr/>
          <w:p>
            <w:pPr>
              <w:pStyle w:val="Compact"/>
              <w:jc w:val="left"/>
            </w:pPr>
            <w:r>
              <w:t xml:space="preserve">Technical seats</w:t>
            </w:r>
          </w:p>
        </w:tc>
        <w:tc>
          <w:tcPr/>
          <w:p>
            <w:pPr>
              <w:pStyle w:val="Compact"/>
              <w:jc w:val="left"/>
            </w:pPr>
            <w:r>
              <w:t xml:space="preserve">The International Maritime Organization and the International Hydrographic Organization</w:t>
            </w:r>
          </w:p>
        </w:tc>
        <w:tc>
          <w:tcPr/>
          <w:p>
            <w:pPr>
              <w:pStyle w:val="Compact"/>
              <w:jc w:val="left"/>
            </w:pPr>
            <w:r>
              <w:t xml:space="preserve">Non-voting technical seats</w:t>
            </w:r>
          </w:p>
        </w:tc>
      </w:tr>
      <w:tr>
        <w:tc>
          <w:tcPr/>
          <w:p>
            <w:pPr>
              <w:pStyle w:val="Compact"/>
              <w:jc w:val="left"/>
            </w:pPr>
            <w:r>
              <w:t xml:space="preserve">Endorsing Stakeholder seat</w:t>
            </w:r>
          </w:p>
        </w:tc>
        <w:tc>
          <w:tcPr/>
          <w:p>
            <w:pPr>
              <w:pStyle w:val="Compact"/>
              <w:jc w:val="left"/>
            </w:pPr>
            <w:r>
              <w:t xml:space="preserve">The United States of America</w:t>
            </w:r>
          </w:p>
        </w:tc>
        <w:tc>
          <w:tcPr/>
          <w:p>
            <w:pPr>
              <w:pStyle w:val="Compact"/>
              <w:jc w:val="left"/>
            </w:pPr>
            <w:r>
              <w:t xml:space="preserve">Non-voting, per Article 16.2</w:t>
            </w:r>
          </w:p>
        </w:tc>
      </w:tr>
      <w:tr>
        <w:tc>
          <w:tcPr/>
          <w:p>
            <w:pPr>
              <w:pStyle w:val="Compact"/>
              <w:jc w:val="left"/>
            </w:pPr>
            <w:r>
              <w:t xml:space="preserve">Observer seats</w:t>
            </w:r>
          </w:p>
        </w:tc>
        <w:tc>
          <w:tcPr/>
          <w:p>
            <w:pPr>
              <w:pStyle w:val="Compact"/>
              <w:jc w:val="left"/>
            </w:pPr>
            <w:r>
              <w:t xml:space="preserve">Observer states and organizations under Article 16.3</w:t>
            </w:r>
          </w:p>
        </w:tc>
        <w:tc>
          <w:tcPr/>
          <w:p>
            <w:pPr>
              <w:pStyle w:val="Compact"/>
              <w:jc w:val="left"/>
            </w:pPr>
            <w:r>
              <w:t xml:space="preserve">Non-voting</w:t>
            </w:r>
          </w:p>
        </w:tc>
      </w:tr>
    </w:tbl>
    <w:p>
      <w:pPr>
        <w:pStyle w:val="BodyText"/>
      </w:pPr>
      <w:r>
        <w:t xml:space="preserve">Council members hold the rank of ambassador or equivalent and serve three-year terms, renewable. The chair rotates annually among the Littoral Parties in alphabetical order of their English short names, and the chair manages the agenda and the minutes and holds no casting vote.</w:t>
      </w:r>
    </w:p>
    <w:bookmarkEnd w:id="106"/>
    <w:bookmarkStart w:id="107" w:name="functions"/>
    <w:p>
      <w:pPr>
        <w:pStyle w:val="Heading3"/>
      </w:pPr>
      <w:r>
        <w:t xml:space="preserve">13.2 Functions</w:t>
      </w:r>
    </w:p>
    <w:p>
      <w:pPr>
        <w:pStyle w:val="FirstParagraph"/>
      </w:pPr>
      <w:r>
        <w:t xml:space="preserve">The Council: approves the annual budget and the Verified Services Catalog rates; approves the development project slate of Part V; adopts and amends technical annexes under Article 35; conducts the Perimeter Screen on every measure; supervises the compliance engine at the policy level; certifies passage status at each phase gate of Annex E; represents the Pact to the International Maritime Organization and to external states; and resolves any matter a Party elevates. The Council never directs a specific vessel, never interferes with a notification, and never touches the payment mechanics of the Fund. Those lines keep politics away from the water.</w:t>
      </w:r>
    </w:p>
    <w:bookmarkEnd w:id="107"/>
    <w:bookmarkStart w:id="108" w:name="meetings-and-cadence"/>
    <w:p>
      <w:pPr>
        <w:pStyle w:val="Heading3"/>
      </w:pPr>
      <w:r>
        <w:t xml:space="preserve">13.3 Meetings and cadence</w:t>
      </w:r>
    </w:p>
    <w:p>
      <w:pPr>
        <w:pStyle w:val="FirstParagraph"/>
      </w:pPr>
      <w:r>
        <w:t xml:space="preserve">The Council meets in ordinary session on the first Monday of each quarter, alternating seats between Muscat and Bandar Abbas, and in extraordinary session within 48 hours of an Architectural Breach classification, a Hormuz Watch activation, or any voting member’s call. A secure video bridge links the two seats for weekly working-level synchronization. Quorum is a majority of voting members, including at least one member of Iran and one member of Oman.</w:t>
      </w:r>
    </w:p>
    <w:bookmarkEnd w:id="108"/>
    <w:bookmarkStart w:id="109" w:name="the-central-corridor-board"/>
    <w:p>
      <w:pPr>
        <w:pStyle w:val="Heading3"/>
      </w:pPr>
      <w:r>
        <w:t xml:space="preserve">13.4 The Central Corridor Board</w:t>
      </w:r>
    </w:p>
    <w:p>
      <w:pPr>
        <w:pStyle w:val="FirstParagraph"/>
      </w:pPr>
      <w:r>
        <w:t xml:space="preserve">The Central Corridor Board governs the Central Safety Corridor as a dedicated sub-body of the Council. It comprises one representative each from Iran, Oman, and the Gulf Cooperation Council Secretariat, with user states attending as observers. A decision of the Board carries only with the affirmative vote of all three voting members. The Board meets monthly and within 24 hours of any Central Safety Corridor incident, publishes a monthly Central Safety Corridor status review as a special bulletin, and reports every decision to the Council at its next session.</w:t>
      </w:r>
    </w:p>
    <w:bookmarkEnd w:id="109"/>
    <w:bookmarkEnd w:id="110"/>
    <w:bookmarkStart w:id="120" w:name="Xefd7b1a619e4799ab7c121199bb0fc35a18681f"/>
    <w:p>
      <w:pPr>
        <w:pStyle w:val="Heading2"/>
      </w:pPr>
      <w:r>
        <w:t xml:space="preserve">Article 14: The Pact Operations Center and the Mirror Facility</w:t>
      </w:r>
    </w:p>
    <w:bookmarkStart w:id="111" w:name="seat-and-mirror-facility"/>
    <w:p>
      <w:pPr>
        <w:pStyle w:val="Heading3"/>
      </w:pPr>
      <w:r>
        <w:t xml:space="preserve">14.1 Seat and mirror facility</w:t>
      </w:r>
    </w:p>
    <w:p>
      <w:pPr>
        <w:pStyle w:val="FirstParagraph"/>
      </w:pPr>
      <w:r>
        <w:t xml:space="preserve">The Pact Operations Center is the operational heart of the Pact. Its principal seat lies in Muscat, at facilities the Sultanate of Oman provides under a host agreement. The mirror facility lies in Bandar Abbas, at facilities the Islamic Republic of Iran provides under a matching host agreement. The mirror replicates the full watch floor capability of the principal seat. Either site runs the entire system alone for up to thirty days, and the two sites drill the handover monthly, alternating the primary watch for one watch period, so that the mirror never atrophies into ceremony.</w:t>
      </w:r>
    </w:p>
    <w:p>
      <w:pPr>
        <w:pStyle w:val="BodyText"/>
      </w:pPr>
      <w:r>
        <w:t xml:space="preserve">The monthly mirror handover drill includes a full failover test in which each site operates the entire system alone for 24 hours with the other site offline for testing purposes. The Technical Standards Committee certifies the handover result, and the certification publishes with the Bulletin. A failed handover test triggers automatic remediation planning within 7 days. The mirror facility earns its keep only through demonstrated performance.</w:t>
      </w:r>
    </w:p>
    <w:bookmarkEnd w:id="111"/>
    <w:bookmarkStart w:id="112" w:name="co-equal-staffing"/>
    <w:p>
      <w:pPr>
        <w:pStyle w:val="Heading3"/>
      </w:pPr>
      <w:r>
        <w:t xml:space="preserve">14.2 Co-equal staffing</w:t>
      </w:r>
    </w:p>
    <w:p>
      <w:pPr>
        <w:pStyle w:val="FirstParagraph"/>
      </w:pPr>
      <w:r>
        <w:t xml:space="preserve">Every operational post exists in pairs: two Co-Directors, two duty officers per watch, two notification desk officers per shift, two hydrographers, two legal desk officers. Each core pair consists of one Iranian national and one Omani national. Upon the accession of each further Littoral Party, the staffing table of Annex E adds paired posts so that every Littoral Party holds watch-floor presence. The Parties recruit additional technical staff from any nationality on merit, and every watch pair retains the paired structure regardless of additional staffing. Professional qualifications follow the standards of the International Maritime Organization model courses for each function, and the Technical Standards Committee certifies every watchkeeper before first solo watch.</w:t>
      </w:r>
    </w:p>
    <w:p>
      <w:pPr>
        <w:pStyle w:val="BodyText"/>
      </w:pPr>
      <w:r>
        <w:t xml:space="preserve">Every staff member of the Center, the mirror facility, the Neutral Observation Office, and the funds holds a security vetting at the level appropriate to their function, verified by the host state with reciprocal recognition by all Littoral Parties. The Technical Standards Committee certifies the vetting standard annually. A personnel vetting deficiency classifies as a Material Disruption under Article 30. The system knows who it employs.</w:t>
      </w:r>
    </w:p>
    <w:bookmarkEnd w:id="112"/>
    <w:bookmarkStart w:id="113" w:name="the-watch-floor"/>
    <w:p>
      <w:pPr>
        <w:pStyle w:val="Heading3"/>
      </w:pPr>
      <w:r>
        <w:t xml:space="preserve">14.3 The watch floor</w:t>
      </w:r>
    </w:p>
    <w:p>
      <w:pPr>
        <w:pStyle w:val="FirstParagraph"/>
      </w:pPr>
      <w:r>
        <w:t xml:space="preserve">The watch floor operates continuously, in three eight-hour rotations, and each rotation closes with a paired handover note signed by both duty officers. The watch floor maintains the working radio channels, the notification desk, the Bulletin desk, the incident log, the escort coordination board, the verification patrol program, and the search and rescue alert link. The daily log records every operational act: notifications, acknowledgments, flow-state changes, incidents, hotline traffic, and observer movements. All Parties and the Neutral Observation Office read the full log; the Bulletin publishes the public summary. The Center’s data flows simultaneously to every Party with identical latency; the architecture excludes preferential access, earlier notification, or exclusive feeds for any Party.</w:t>
      </w:r>
    </w:p>
    <w:p>
      <w:pPr>
        <w:pStyle w:val="BodyText"/>
      </w:pPr>
      <w:r>
        <w:t xml:space="preserve">The communications architecture operates on a four-tier fallback: (a) primary, the dedicated secure circuits; (b) secondary, the satellite backup; (c) tertiary, the commercial maritime satellite service; (d) quaternary, voice radio and physical relay by patrol craft. The Center tests the fallback tiers quarterly and publishes the results. A failure of any tier beyond primary triggers automatic reporting to the Technical Standards Committee. Multiple paths defeat communications sabotage by design.</w:t>
      </w:r>
    </w:p>
    <w:bookmarkEnd w:id="113"/>
    <w:bookmarkStart w:id="114" w:name="functions-and-limits"/>
    <w:p>
      <w:pPr>
        <w:pStyle w:val="Heading3"/>
      </w:pPr>
      <w:r>
        <w:t xml:space="preserve">14.4 Functions and limits</w:t>
      </w:r>
    </w:p>
    <w:p>
      <w:pPr>
        <w:pStyle w:val="FirstParagraph"/>
      </w:pPr>
      <w:r>
        <w:t xml:space="preserve">The Center: receives and acknowledges notifications; issues acknowledgments; operates the traffic system in all three corridors; publishes the Bulletin; coordinates escorts for electing vessels; runs the crossing gates for Class D; manages the anchorages; issues Notices to Mariners jointly; and executes the Mishap Protocol of Article 28. The Center commands no forces. Where a situation calls for a state response, the Center passes the situation to the liaison channel of the relevant Party, and the response occurs outside the corridors per Article 10.2. The Center coordinates; it never permits. No vessel requires the Center’s approval to transit.</w:t>
      </w:r>
    </w:p>
    <w:bookmarkEnd w:id="114"/>
    <w:bookmarkStart w:id="115" w:name="data-custody"/>
    <w:p>
      <w:pPr>
        <w:pStyle w:val="Heading3"/>
      </w:pPr>
      <w:r>
        <w:t xml:space="preserve">14.5 Data custody</w:t>
      </w:r>
    </w:p>
    <w:p>
      <w:pPr>
        <w:pStyle w:val="FirstParagraph"/>
      </w:pPr>
      <w:r>
        <w:t xml:space="preserve">The Center retains every watch log, every notification, every track record, and every message for a minimum of seven years. Data custody follows the dual-copy rule: every record exists simultaneously in Muscat and Bandar Abbas under cryptographic timestamping, and neither copy admits unilateral alteration. The evidence standards of Article 26 treat a gap in the record as a fact calling for explanation, never as a fact supporting an accusation.</w:t>
      </w:r>
    </w:p>
    <w:p>
      <w:pPr>
        <w:pStyle w:val="BodyText"/>
      </w:pPr>
      <w:r>
        <w:t xml:space="preserve">The Center maintains cyber resilience standards consistent with internationally recognized frameworks, including ISO 27001 or equivalent. The Technical Standards Committee conducts an annual cyber resilience audit, and the audit findings publish with the annual report. A material cyber resilience deficiency identified by the audit cures within 90 days; failure to cure classifies as a Material Disruption under Article 30. The Neutral Observation Office receives the full audit findings, including any classified elements.</w:t>
      </w:r>
    </w:p>
    <w:bookmarkEnd w:id="115"/>
    <w:bookmarkStart w:id="116" w:name="the-civilian-character-clause"/>
    <w:p>
      <w:pPr>
        <w:pStyle w:val="Heading3"/>
      </w:pPr>
      <w:r>
        <w:t xml:space="preserve">14.6 The Civilian Character Clause</w:t>
      </w:r>
    </w:p>
    <w:p>
      <w:pPr>
        <w:pStyle w:val="FirstParagraph"/>
      </w:pPr>
      <w:r>
        <w:t xml:space="preserve">The Center, the Council secretariat, the Neutral Observation Office, and the funds employ civilian maritime professionals exclusively. Military personnel hold no operational role in any Pact body. Officers of the armed forces of any Party hold no post in the Center, direct no operation of the watch floor, and issue no instruction to shipping through the Pact’s channels. Each Party designates one military liaison officer at the policy level, accredited to the Council, who carries deconfliction traffic between the Center and that Party’s forces; the liaison officers work in an annex separate from the watch floor and hold no command over Pact staff. This clause guards Red Line RL-6. The Neutral Observation Office verifies staffing compliance annually and on complaint.</w:t>
      </w:r>
    </w:p>
    <w:p>
      <w:pPr>
        <w:pStyle w:val="BodyText"/>
      </w:pPr>
      <w:r>
        <w:t xml:space="preserve">A contractor, subcontractor, or employee of any organ of this Pact who engages in conduct inconsistent with this Pact stands in the same legal position as the Party or organ for which they act, for all purposes of compliance and enforcement under this instrument. The Neutral Observation Office maintains a contractor register and publishes it quarterly. Accountability extends to every actor operating under the Pact, and the architecture admits no hiding behind a contractor’s veil.</w:t>
      </w:r>
    </w:p>
    <w:bookmarkEnd w:id="116"/>
    <w:bookmarkStart w:id="117" w:name="the-technical-standards-committee"/>
    <w:p>
      <w:pPr>
        <w:pStyle w:val="Heading3"/>
      </w:pPr>
      <w:r>
        <w:t xml:space="preserve">14.7 The Technical Standards Committee</w:t>
      </w:r>
    </w:p>
    <w:p>
      <w:pPr>
        <w:pStyle w:val="FirstParagraph"/>
      </w:pPr>
      <w:r>
        <w:t xml:space="preserve">The Technical Standards Committee comprises two technical officers appointed by each Littoral Party: surveyors, engineers, and legal-technical specialists, supported by the Neutral Observation Office and the International Maritime Organization technical seat as non-voting advisers. The Committee certifies passage geometry, audits the services record, reviews incidents under Article 28, conducts the annual systems audit including the Five-Step Rule certification of Article 4.1, issues the technical certificates of Annex D, and prepares the Perimeter Screens of Article 6.2 for the legal desk’s adoption. The Committee decides technical questions by simple majority with a quorum of four including at least one appointee of Iran and one of Oman. A tied question carries forward as an open item with both positions recorded, never as a suspension of the underlying operation, and routes to the independent technical referee of Article 33.3, whose determination binds all Parties on the technical facts and leaves policy to the Council.</w:t>
      </w:r>
    </w:p>
    <w:bookmarkEnd w:id="117"/>
    <w:bookmarkStart w:id="118" w:name="working-language-and-public-access"/>
    <w:p>
      <w:pPr>
        <w:pStyle w:val="Heading3"/>
      </w:pPr>
      <w:r>
        <w:t xml:space="preserve">14.8 Working language and public access</w:t>
      </w:r>
    </w:p>
    <w:p>
      <w:pPr>
        <w:pStyle w:val="FirstParagraph"/>
      </w:pPr>
      <w:r>
        <w:t xml:space="preserve">The working language of the Center, the mirror facility, and all operational communications under this Pact is English, using the Standard Marine Communication Phrases. All official records and publications are maintained in English and in the languages of the Littoral Parties, and the three authentic texts of Article 37 govern every question of legal meaning.</w:t>
      </w:r>
    </w:p>
    <w:p>
      <w:pPr>
        <w:pStyle w:val="BodyText"/>
      </w:pPr>
      <w:r>
        <w:t xml:space="preserve">The Mariners’ Handbook of Annex D, the Implementation Manual of Article 37.8, and all public-facing materials of the Pact are available in Persian, Arabic, and English. The Center maintains translation capability for all official communications and publishes translations within 7 days of any material change. A framework the governed cannot read is a framework that fails.</w:t>
      </w:r>
    </w:p>
    <w:bookmarkEnd w:id="118"/>
    <w:bookmarkStart w:id="119" w:name="Xb77a459639af787b6ba9fbdebb42779fa8fcfb9"/>
    <w:p>
      <w:pPr>
        <w:pStyle w:val="Heading3"/>
      </w:pPr>
      <w:r>
        <w:t xml:space="preserve">14.9 System integrity and whistleblower protection</w:t>
      </w:r>
    </w:p>
    <w:p>
      <w:pPr>
        <w:pStyle w:val="FirstParagraph"/>
      </w:pPr>
      <w:r>
        <w:t xml:space="preserve">The Center maintains a continuous integrity watch that monitors the registry, telemetry feeds, communications channels, and the watch floor for signs of unauthorized access, data manipulation, or system degradation. The integrity watch reports directly to the Neutral Observation Office and the Guarantor and Facilitation Panel, bypassing the chain of command for integrity-critical alerts. A confirmed integrity breach classifies as an Architectural Breach under Article 30 and triggers automatic referral to the Guarantor and Facilitation Panel within 24 hours. The Neutral Observation Office publishes a quarterly integrity report with the Bulletin.</w:t>
      </w:r>
    </w:p>
    <w:p>
      <w:pPr>
        <w:pStyle w:val="BodyText"/>
      </w:pPr>
      <w:r>
        <w:t xml:space="preserve">The Pact protects any person who reports in good faith a violation, attempted violation, or pattern of conduct inconsistent with this Pact. A whistleblower enjoys: (a) confidentiality of identity, accessible only to the Neutral Observation Office Director and the Guarantor and Facilitation Panel; (b) protection from retaliation by any Party, organ, or contractor; and (c) priority access to the claim process of Article 32. A proven retaliation against a whistleblower classifies as an Architectural Breach under Article 30, with points tripled. The Neutral Observation Office publishes an annual whistleblower report in aggregate form, with names and details redacted.</w:t>
      </w:r>
    </w:p>
    <w:bookmarkEnd w:id="119"/>
    <w:bookmarkEnd w:id="120"/>
    <w:bookmarkStart w:id="124" w:name="X712fa1017f5e4bbf71cb10a5dbec167b9e3d922"/>
    <w:p>
      <w:pPr>
        <w:pStyle w:val="Heading2"/>
      </w:pPr>
      <w:r>
        <w:t xml:space="preserve">Article 15: The Neutral Observation Office</w:t>
      </w:r>
    </w:p>
    <w:bookmarkStart w:id="121" w:name="establishment-and-staffing"/>
    <w:p>
      <w:pPr>
        <w:pStyle w:val="Heading3"/>
      </w:pPr>
      <w:r>
        <w:t xml:space="preserve">15.1 Establishment and staffing</w:t>
      </w:r>
    </w:p>
    <w:p>
      <w:pPr>
        <w:pStyle w:val="FirstParagraph"/>
      </w:pPr>
      <w:r>
        <w:t xml:space="preserve">The Neutral Observation Office is the independent verification and audit organ of the Pact, administered by the Swiss Confederation as Neutral Administrator. The Office comprises a Director, a verification division, an audit division, and a roster of embarked observers, staffed by civilian professionals drawn from states that no Party identifies as a party to the underlying conflict. The Office holds no command authority over any vessel, force, or Party organ. Its authority is evidentiary: it observes, it reconciles, it certifies, and it publishes.</w:t>
      </w:r>
    </w:p>
    <w:bookmarkEnd w:id="121"/>
    <w:bookmarkStart w:id="122" w:name="functions-1"/>
    <w:p>
      <w:pPr>
        <w:pStyle w:val="Heading3"/>
      </w:pPr>
      <w:r>
        <w:t xml:space="preserve">15.2 Functions</w:t>
      </w:r>
    </w:p>
    <w:p>
      <w:pPr>
        <w:pStyle w:val="FirstParagraph"/>
      </w:pPr>
      <w:r>
        <w:t xml:space="preserve">The Office performs five functions: (1) it verifies corridor operations against the Dual Confirmation Standard of Article 26; (2) it audits the Maritime Services Fund and the Hormuz Development Facility under Article 21; (3) it certifies phase gates under Annex E; (4) it administers the claims process of Article 32; and (5) it publishes the observation record on the shared registry with identical latency to every participant.</w:t>
      </w:r>
    </w:p>
    <w:bookmarkEnd w:id="122"/>
    <w:bookmarkStart w:id="123" w:name="independence-safeguards"/>
    <w:p>
      <w:pPr>
        <w:pStyle w:val="Heading3"/>
      </w:pPr>
      <w:r>
        <w:t xml:space="preserve">15.3 Independence safeguards</w:t>
      </w:r>
    </w:p>
    <w:p>
      <w:pPr>
        <w:pStyle w:val="FirstParagraph"/>
      </w:pPr>
      <w:r>
        <w:t xml:space="preserve">The Office draws its budget as a first call on Fund revenue under Article 20.2, so that no Party’s contribution decisions touch its operations. The Director serves a single non-renewable term of five years. The Parties jointly appoint the Director by consensus, and removal follows the same consensus. The Office’s staff owe their duty to the record, not to any capital. These safeguards exist because verification trusted by all sides is the cheapest security system the Pact buys.</w:t>
      </w:r>
    </w:p>
    <w:bookmarkEnd w:id="123"/>
    <w:bookmarkEnd w:id="124"/>
    <w:bookmarkStart w:id="132" w:name="X679bfd436f2dc193a2d7fe77b6feadc13bc00fb"/>
    <w:p>
      <w:pPr>
        <w:pStyle w:val="Heading2"/>
      </w:pPr>
      <w:r>
        <w:t xml:space="preserve">Article 16: Participation Architecture and the Role of the United States</w:t>
      </w:r>
    </w:p>
    <w:bookmarkStart w:id="125" w:name="the-participation-layers"/>
    <w:p>
      <w:pPr>
        <w:pStyle w:val="Heading3"/>
      </w:pPr>
      <w:r>
        <w:t xml:space="preserve">16.1 The participation layers</w:t>
      </w:r>
    </w:p>
    <w:p>
      <w:pPr>
        <w:pStyle w:val="FirstParagraph"/>
      </w:pPr>
      <w:r>
        <w:t xml:space="preserve">The Pact admits participation through five defined layers. The architecture grants each layer information, voice, and service in exact proportion to its function, and it reserves governance votes to the Littoral Parties alone.</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Layer</w:t>
            </w:r>
          </w:p>
        </w:tc>
        <w:tc>
          <w:tcPr/>
          <w:p>
            <w:pPr>
              <w:pStyle w:val="Compact"/>
              <w:jc w:val="left"/>
            </w:pPr>
            <w:r>
              <w:t xml:space="preserve">Participants</w:t>
            </w:r>
          </w:p>
        </w:tc>
        <w:tc>
          <w:tcPr/>
          <w:p>
            <w:pPr>
              <w:pStyle w:val="Compact"/>
              <w:jc w:val="left"/>
            </w:pPr>
            <w:r>
              <w:t xml:space="preserve">Status and function</w:t>
            </w:r>
          </w:p>
        </w:tc>
      </w:tr>
      <w:tr>
        <w:tc>
          <w:tcPr/>
          <w:p>
            <w:pPr>
              <w:pStyle w:val="Compact"/>
              <w:jc w:val="left"/>
            </w:pPr>
            <w:r>
              <w:t xml:space="preserve">Littoral Parties</w:t>
            </w:r>
          </w:p>
        </w:tc>
        <w:tc>
          <w:tcPr/>
          <w:p>
            <w:pPr>
              <w:pStyle w:val="Compact"/>
              <w:jc w:val="left"/>
            </w:pPr>
            <w:r>
              <w:t xml:space="preserve">Iran and Oman as Founding Parties; the United Arab Emirates, Saudi Arabia, Qatar, Bahrain, Kuwait, and Iraq upon accession</w:t>
            </w:r>
          </w:p>
        </w:tc>
        <w:tc>
          <w:tcPr/>
          <w:p>
            <w:pPr>
              <w:pStyle w:val="Compact"/>
              <w:jc w:val="left"/>
            </w:pPr>
            <w:r>
              <w:t xml:space="preserve">Voting members of the Council; routing, services, and governance</w:t>
            </w:r>
          </w:p>
        </w:tc>
      </w:tr>
      <w:tr>
        <w:tc>
          <w:tcPr/>
          <w:p>
            <w:pPr>
              <w:pStyle w:val="Compact"/>
              <w:jc w:val="left"/>
            </w:pPr>
            <w:r>
              <w:t xml:space="preserve">Observer states</w:t>
            </w:r>
          </w:p>
        </w:tc>
        <w:tc>
          <w:tcPr/>
          <w:p>
            <w:pPr>
              <w:pStyle w:val="Compact"/>
              <w:jc w:val="left"/>
            </w:pPr>
            <w:r>
              <w:t xml:space="preserve">The European Union, India, China, Japan, the Republic of Korea, the United Kingdom, and such other states as the Council adds</w:t>
            </w:r>
          </w:p>
        </w:tc>
        <w:tc>
          <w:tcPr/>
          <w:p>
            <w:pPr>
              <w:pStyle w:val="Compact"/>
              <w:jc w:val="left"/>
            </w:pPr>
            <w:r>
              <w:t xml:space="preserve">Full non-classified record; attend and address the Council on invitation; contribute to the funds; no vote, no veto, no operational role</w:t>
            </w:r>
          </w:p>
        </w:tc>
      </w:tr>
      <w:tr>
        <w:tc>
          <w:tcPr/>
          <w:p>
            <w:pPr>
              <w:pStyle w:val="Compact"/>
              <w:jc w:val="left"/>
            </w:pPr>
            <w:r>
              <w:t xml:space="preserve">Institutional partners</w:t>
            </w:r>
          </w:p>
        </w:tc>
        <w:tc>
          <w:tcPr/>
          <w:p>
            <w:pPr>
              <w:pStyle w:val="Compact"/>
              <w:jc w:val="left"/>
            </w:pPr>
            <w:r>
              <w:t xml:space="preserve">The International Maritime Organization, the International Hydrographic Organization, and the United Nations Mine Action Service</w:t>
            </w:r>
          </w:p>
        </w:tc>
        <w:tc>
          <w:tcPr/>
          <w:p>
            <w:pPr>
              <w:pStyle w:val="Compact"/>
              <w:jc w:val="left"/>
            </w:pPr>
            <w:r>
              <w:t xml:space="preserve">Technical validation, scheme registration, survey coordination; no treaty signature and no governing vote</w:t>
            </w:r>
          </w:p>
        </w:tc>
      </w:tr>
      <w:tr>
        <w:tc>
          <w:tcPr/>
          <w:p>
            <w:pPr>
              <w:pStyle w:val="Compact"/>
              <w:jc w:val="left"/>
            </w:pPr>
            <w:r>
              <w:t xml:space="preserve">Security liaisons</w:t>
            </w:r>
          </w:p>
        </w:tc>
        <w:tc>
          <w:tcPr/>
          <w:p>
            <w:pPr>
              <w:pStyle w:val="Compact"/>
              <w:jc w:val="left"/>
            </w:pPr>
            <w:r>
              <w:t xml:space="preserve">The United States, the United Kingdom, and France, through the adherence instruments of Annex F</w:t>
            </w:r>
          </w:p>
        </w:tc>
        <w:tc>
          <w:tcPr/>
          <w:p>
            <w:pPr>
              <w:pStyle w:val="Compact"/>
              <w:jc w:val="left"/>
            </w:pPr>
            <w:r>
              <w:t xml:space="preserve">Deconfliction channel participation, exercise notices, search and rescue cooperation; no governance authority of any kind</w:t>
            </w:r>
          </w:p>
        </w:tc>
      </w:tr>
      <w:tr>
        <w:tc>
          <w:tcPr/>
          <w:p>
            <w:pPr>
              <w:pStyle w:val="Compact"/>
              <w:jc w:val="left"/>
            </w:pPr>
            <w:r>
              <w:t xml:space="preserve">Non-state participants</w:t>
            </w:r>
          </w:p>
        </w:tc>
        <w:tc>
          <w:tcPr/>
          <w:p>
            <w:pPr>
              <w:pStyle w:val="Compact"/>
              <w:jc w:val="left"/>
            </w:pPr>
            <w:r>
              <w:t xml:space="preserve">Flag administrations, shipowner and operator associations, protection and indemnity clubs, and port authorities</w:t>
            </w:r>
          </w:p>
        </w:tc>
        <w:tc>
          <w:tcPr/>
          <w:p>
            <w:pPr>
              <w:pStyle w:val="Compact"/>
              <w:jc w:val="left"/>
            </w:pPr>
            <w:r>
              <w:t xml:space="preserve">Stakeholder Panel seats; data subscription; operational compliance and feedback; no treaty signature</w:t>
            </w:r>
          </w:p>
        </w:tc>
      </w:tr>
    </w:tbl>
    <w:bookmarkEnd w:id="125"/>
    <w:bookmarkStart w:id="126" w:name="Xf4a0e4316418ee8ba7df2223bf6534fdc617b26"/>
    <w:p>
      <w:pPr>
        <w:pStyle w:val="Heading3"/>
      </w:pPr>
      <w:r>
        <w:t xml:space="preserve">16.2 The United States as Endorsing Stakeholder</w:t>
      </w:r>
    </w:p>
    <w:p>
      <w:pPr>
        <w:pStyle w:val="FirstParagraph"/>
      </w:pPr>
      <w:r>
        <w:t xml:space="preserve">The United States of America participates as Endorsing Stakeholder and as a security liaison. It is not a party to this Pact, and the architecture records no command, no veto, no fee role, and no enforcement role for it. Its role runs through five defined channels and no others:</w:t>
      </w:r>
    </w:p>
    <w:p>
      <w:pPr>
        <w:numPr>
          <w:ilvl w:val="0"/>
          <w:numId w:val="1002"/>
        </w:numPr>
        <w:pStyle w:val="Compact"/>
      </w:pPr>
      <w:r>
        <w:t xml:space="preserve">A non-voting seat at the Council, through which it registers concerns on the record and reads every paper every voting member reads.</w:t>
      </w:r>
    </w:p>
    <w:p>
      <w:pPr>
        <w:numPr>
          <w:ilvl w:val="0"/>
          <w:numId w:val="1002"/>
        </w:numPr>
        <w:pStyle w:val="Compact"/>
      </w:pPr>
      <w:r>
        <w:t xml:space="preserve">Adherence to the Non-Interdiction Protocol and the standoff geometry of Article 27 for its forces in the Governance Area, executed through the adherence instrument of Annex F.</w:t>
      </w:r>
    </w:p>
    <w:p>
      <w:pPr>
        <w:numPr>
          <w:ilvl w:val="0"/>
          <w:numId w:val="1002"/>
        </w:numPr>
        <w:pStyle w:val="Compact"/>
      </w:pPr>
      <w:r>
        <w:t xml:space="preserve">Participation in the military deconfliction channel of Article 27.4: advance notice of exercises, movement notices, close-approach warnings, and search and rescue coordination.</w:t>
      </w:r>
    </w:p>
    <w:p>
      <w:pPr>
        <w:numPr>
          <w:ilvl w:val="0"/>
          <w:numId w:val="1002"/>
        </w:numPr>
        <w:pStyle w:val="Compact"/>
      </w:pPr>
      <w:r>
        <w:t xml:space="preserve">Technical support through existing agencies and programs: vessel traffic service integration advice, hydrographic charting assistance, spill-response training, and counter-interference technology, delivered at the request of the Center and never as a condition on any Pact function.</w:t>
      </w:r>
    </w:p>
    <w:p>
      <w:pPr>
        <w:numPr>
          <w:ilvl w:val="0"/>
          <w:numId w:val="1002"/>
        </w:numPr>
        <w:pStyle w:val="Compact"/>
      </w:pPr>
      <w:r>
        <w:t xml:space="preserve">Market-channel support: quiet support to protection and indemnity clubs, war-risk underwriters, and energy companies in reading the Bulletin and the Assurance Registry, so that verified performance lowers premiums.</w:t>
      </w:r>
    </w:p>
    <w:p>
      <w:pPr>
        <w:pStyle w:val="FirstParagraph"/>
      </w:pPr>
      <w:r>
        <w:t xml:space="preserve">The Endorsing Stakeholder role keeps the Pact a littoral-state governance instrument rather than a geopolitical treaty: it preserves Omani neutrality, keeps Iranian engagement, and avoids converting the Pact into any external state’s security instrument. The United States holds no role in fee structures, revenue questions, or the funds, and the architecture excludes its participation in every conduct classification. A request by the Endorsing Stakeholder for a technical briefing on any matter touching the concerns it registers on the record activates a Council briefing within 14 days.</w:t>
      </w:r>
    </w:p>
    <w:bookmarkEnd w:id="126"/>
    <w:bookmarkStart w:id="127" w:name="observer-states"/>
    <w:p>
      <w:pPr>
        <w:pStyle w:val="Heading3"/>
      </w:pPr>
      <w:r>
        <w:t xml:space="preserve">16.3 Observer states</w:t>
      </w:r>
    </w:p>
    <w:p>
      <w:pPr>
        <w:pStyle w:val="FirstParagraph"/>
      </w:pPr>
      <w:r>
        <w:t xml:space="preserve">The standing observer invitations of Annex F extend to the European Union, India, China, Japan, the Republic of Korea, the United Kingdom, and such other states as the Council adds by the decision rule of Article 17.3. Observer states receive the full non-classified record, attend the Council, address it on invitation, and contribute to the funds under Articles 20 and 22. An observer state never receives a vote, a veto, or an operational role.</w:t>
      </w:r>
    </w:p>
    <w:bookmarkEnd w:id="127"/>
    <w:bookmarkStart w:id="128" w:name="the-stakeholder-panel"/>
    <w:p>
      <w:pPr>
        <w:pStyle w:val="Heading3"/>
      </w:pPr>
      <w:r>
        <w:t xml:space="preserve">16.4 The Stakeholder Panel</w:t>
      </w:r>
    </w:p>
    <w:p>
      <w:pPr>
        <w:pStyle w:val="FirstParagraph"/>
      </w:pPr>
      <w:r>
        <w:t xml:space="preserve">The Stakeholder Panel seats twelve advisory members: four flag-state maritime administrations, four shipowner and operator associations, two protection and indemnity club representatives, and two port authority representatives, one Gulf-side and one Oman-side. The Panel meets twice a year with the Council, reviews the Bulletin statistics, the Catalog rates, and the Registry operation, and files advisory opinions. The Council answers every opinion in the record within 60 days.</w:t>
      </w:r>
    </w:p>
    <w:bookmarkEnd w:id="128"/>
    <w:bookmarkStart w:id="129" w:name="no-external-command"/>
    <w:p>
      <w:pPr>
        <w:pStyle w:val="Heading3"/>
      </w:pPr>
      <w:r>
        <w:t xml:space="preserve">16.5 No external command</w:t>
      </w:r>
    </w:p>
    <w:p>
      <w:pPr>
        <w:pStyle w:val="FirstParagraph"/>
      </w:pPr>
      <w:r>
        <w:t xml:space="preserve">No external state or body commands any element of the Pact. External participation occurs through the interfaces this Article defines, and the architecture routes every external request through the Council under the decision rules of Article 17. This rule guards Red Line RL-14.</w:t>
      </w:r>
    </w:p>
    <w:bookmarkEnd w:id="129"/>
    <w:bookmarkStart w:id="130" w:name="non-participation"/>
    <w:p>
      <w:pPr>
        <w:pStyle w:val="Heading3"/>
      </w:pPr>
      <w:r>
        <w:t xml:space="preserve">16.6 Non-participation</w:t>
      </w:r>
    </w:p>
    <w:p>
      <w:pPr>
        <w:pStyle w:val="FirstParagraph"/>
      </w:pPr>
      <w:r>
        <w:t xml:space="preserve">A littoral state that does not participate in this Pact retains every right it holds under international law, and this Pact neither diminishes nor conditions those rights. Within the Governance Area, the Pact stands as the sole multilateral governance system for the Strait, and no state establishes or operates a parallel governance mechanism over the same waters. A non-participating state receives the public tier of the Bulletin and the open record like every other reader, and the accession path of Article 34 remains open to it without time limit.</w:t>
      </w:r>
    </w:p>
    <w:bookmarkEnd w:id="130"/>
    <w:bookmarkStart w:id="131" w:name="public-accountability-and-user-feedback"/>
    <w:p>
      <w:pPr>
        <w:pStyle w:val="Heading3"/>
      </w:pPr>
      <w:r>
        <w:t xml:space="preserve">16.7 Public accountability and user feedback</w:t>
      </w:r>
    </w:p>
    <w:p>
      <w:pPr>
        <w:pStyle w:val="FirstParagraph"/>
      </w:pPr>
      <w:r>
        <w:t xml:space="preserve">The Neutral Observation Office, the Stakeholder Panel, and the Council hold annual public sessions at the Open Water Review Conference, at which any Party, observer state, or stakeholder addresses the Council on the record. The sessions are webcast and archived, with interpretation in Persian, Arabic, and English.</w:t>
      </w:r>
    </w:p>
    <w:p>
      <w:pPr>
        <w:pStyle w:val="BodyText"/>
      </w:pPr>
      <w:r>
        <w:t xml:space="preserve">The Stakeholder Panel maintains a permanent user feedback channel for vessel operators, insurers, flag states, and port authorities to report operational friction, suggest procedural improvements, and raise concerns. The channel receives all feedback on the record, acknowledges it within 7 days, and provides a substantive response within 60 days. The feedback and responses publish in summary form with the Bulletin. The users know what works and what fails, and the architecture listens to them by design.</w:t>
      </w:r>
    </w:p>
    <w:bookmarkEnd w:id="131"/>
    <w:bookmarkEnd w:id="132"/>
    <w:bookmarkStart w:id="139" w:name="article-17-decision-rules"/>
    <w:p>
      <w:pPr>
        <w:pStyle w:val="Heading2"/>
      </w:pPr>
      <w:r>
        <w:t xml:space="preserve">Article 17: Decision Rules</w:t>
      </w:r>
    </w:p>
    <w:bookmarkStart w:id="133" w:name="the-three-tracks"/>
    <w:p>
      <w:pPr>
        <w:pStyle w:val="Heading3"/>
      </w:pPr>
      <w:r>
        <w:t xml:space="preserve">17.1 The three tracks</w:t>
      </w:r>
    </w:p>
    <w:p>
      <w:pPr>
        <w:pStyle w:val="FirstParagraph"/>
      </w:pPr>
      <w:r>
        <w:t xml:space="preserve">Council decisions follow three tracks. Political questions, including amendments, scope changes, budgets, accession, and spillover certification, follow Article 17.3. Passage-operative questions touching the core bargain follow the Twin Key Rule of Article 17.2. Technical determinations, including confirmation of a Neutral Observation finding, data fidelity, measurement questions, and claim confirmation levels, follow Article 17.4. A classification question under Article 30 never counts as technical for the purpose of this rule.</w:t>
      </w:r>
    </w:p>
    <w:bookmarkEnd w:id="133"/>
    <w:bookmarkStart w:id="134" w:name="the-twin-key-rule"/>
    <w:p>
      <w:pPr>
        <w:pStyle w:val="Heading3"/>
      </w:pPr>
      <w:r>
        <w:t xml:space="preserve">17.2 The Twin Key Rule</w:t>
      </w:r>
    </w:p>
    <w:p>
      <w:pPr>
        <w:pStyle w:val="FirstParagraph"/>
      </w:pPr>
      <w:r>
        <w:t xml:space="preserve">Decisions on passage geometry, flow-state doctrine, the Verified Services Catalog, the budget, the development project slate, and any measure that touches a Red Line carry two keys: the affirmative vote of at least one Iranian member and the affirmative vote of at least one Omani member. No such decision passes on a single key, and no such decision binds only one Party. The Council records every Twin Key decision in a paired-minute format: each minute states the decision, the Perimeter Screen, the dissent if any, and the two keys. A matter that fails the Twin Key Rule twice moves to the facilitation tier of Article 33.2 with the votes recorded.</w:t>
      </w:r>
    </w:p>
    <w:bookmarkEnd w:id="134"/>
    <w:bookmarkStart w:id="135" w:name="consensus-and-consensus-minus-one"/>
    <w:p>
      <w:pPr>
        <w:pStyle w:val="Heading3"/>
      </w:pPr>
      <w:r>
        <w:t xml:space="preserve">17.3 Consensus and Consensus Minus One</w:t>
      </w:r>
    </w:p>
    <w:p>
      <w:pPr>
        <w:pStyle w:val="FirstParagraph"/>
      </w:pPr>
      <w:r>
        <w:t xml:space="preserve">Political questions pass by consensus of the Littoral Parties. Where a decision concerns the conduct of one Party, that Party’s vote stands aside and the remaining voting members decide by consensus; where consensus minus one fails, the matter moves automatically to the Guarantor and Facilitation Panel for final political judgment within 7 days. The rule prevents a Party from blocking a finding about its own conduct through procedural obstruction, while preserving full political consensus for questions of general application.</w:t>
      </w:r>
    </w:p>
    <w:bookmarkEnd w:id="135"/>
    <w:bookmarkStart w:id="136" w:name="X66b75ddcf012ae769f8edb379415202d63ac9fd"/>
    <w:p>
      <w:pPr>
        <w:pStyle w:val="Heading3"/>
      </w:pPr>
      <w:r>
        <w:t xml:space="preserve">17.4 Technical determinations and the silence procedure</w:t>
      </w:r>
    </w:p>
    <w:p>
      <w:pPr>
        <w:pStyle w:val="FirstParagraph"/>
      </w:pPr>
      <w:r>
        <w:t xml:space="preserve">Technical determinations rest on evidence under the Dual Confirmation Standard, not on votes. Where the Council acts on a routine technical annex adjustment, the Mediator of Record circulates the text and it stands adopted 30 days after circulation absent a written objection from any Littoral Party. The silence procedure keeps routine technical maintenance free of negotiation drama, and the record publishes every adoption.</w:t>
      </w:r>
    </w:p>
    <w:bookmarkEnd w:id="136"/>
    <w:bookmarkStart w:id="137" w:name="default-continuity"/>
    <w:p>
      <w:pPr>
        <w:pStyle w:val="Heading3"/>
      </w:pPr>
      <w:r>
        <w:t xml:space="preserve">17.5 Default continuity</w:t>
      </w:r>
    </w:p>
    <w:p>
      <w:pPr>
        <w:pStyle w:val="FirstParagraph"/>
      </w:pPr>
      <w:r>
        <w:t xml:space="preserve">Where a decision stalls, the standing procedures of this Pact and its Annexes govern by default, per the Continuity Guarantee: the previous budget runs, the previous rate runs, the existing annex text runs. No deadlock suspends, degrades, or re-prices any operation of the corridor system.</w:t>
      </w:r>
    </w:p>
    <w:bookmarkEnd w:id="137"/>
    <w:bookmarkStart w:id="138" w:name="the-guarantor-and-facilitation-panel"/>
    <w:p>
      <w:pPr>
        <w:pStyle w:val="Heading3"/>
      </w:pPr>
      <w:r>
        <w:t xml:space="preserve">17.6 The Guarantor and Facilitation Panel</w:t>
      </w:r>
    </w:p>
    <w:p>
      <w:pPr>
        <w:pStyle w:val="FirstParagraph"/>
      </w:pPr>
      <w:r>
        <w:t xml:space="preserve">The Guarantor and Facilitation Panel provides the final political judgment layer. It comprises the Sultanate of Oman, the Swiss Confederation, the State of Qatar, and the Islamic Republic of Pakistan as standing members, plus two rotating members drawn from a list maintained by the Council, with Japan and Singapore as the initial rotating members for their maritime-technical standing. The Panel convenes within 48 hours of an Architectural Breach classification, a failed Council referral, or a Red Line Consultation escalation. The Panel operates on a published rapid-response clock: a preliminary determination issues within 72 hours of convening, and a final determination issues within 120 hours of convening. A missed clock classifies under Annex C, category G-1, and the matter in question resolves by operation of the registry data and the verification certifications until the Panel acts, so that no actor profits from dragging out the review. The Panel’s determinations on classification and restoration bind the operation of the mechanisms. The Panel possesses no military, police, or sanctioning power; its authority flows from the automaticity of the mechanisms it certifies.</w:t>
      </w:r>
    </w:p>
    <w:p>
      <w:r>
        <w:pict>
          <v:rect style="width:0;height:1.5pt" o:hralign="center" o:hrstd="t" o:hr="t"/>
        </w:pict>
      </w:r>
    </w:p>
    <w:bookmarkEnd w:id="138"/>
    <w:bookmarkEnd w:id="139"/>
    <w:bookmarkEnd w:id="140"/>
    <w:bookmarkStart w:id="170" w:name="part-iv-the-financial-architecture"/>
    <w:p>
      <w:pPr>
        <w:pStyle w:val="Heading1"/>
      </w:pPr>
      <w:r>
        <w:t xml:space="preserve">PART IV: THE FINANCIAL ARCHITECTURE</w:t>
      </w:r>
    </w:p>
    <w:bookmarkStart w:id="147" w:name="article-18-the-zero-toll-rule"/>
    <w:p>
      <w:pPr>
        <w:pStyle w:val="Heading2"/>
      </w:pPr>
      <w:r>
        <w:t xml:space="preserve">Article 18: The Zero-Toll Rule</w:t>
      </w:r>
    </w:p>
    <w:bookmarkStart w:id="141" w:name="the-rule"/>
    <w:p>
      <w:pPr>
        <w:pStyle w:val="Heading3"/>
      </w:pPr>
      <w:r>
        <w:t xml:space="preserve">18.1 The rule</w:t>
      </w:r>
    </w:p>
    <w:p>
      <w:pPr>
        <w:pStyle w:val="FirstParagraph"/>
      </w:pPr>
      <w:r>
        <w:t xml:space="preserve">No charge of any kind attaches to the act of transit through the Strait of Hormuz, in any corridor, for any vessel, of any class, under any circumstances. Transit is free. The architecture defines the following measures as tolls regardless of their label, and excludes each of them absolutely: passage fees; transit charges; strait dues; per-ton or per-vessel charges on navigation; fee payments as a condition of entry, acknowledgment, scheduling, escort, or bulletin access; charges denominated as insurance, security, or environmental levies computed on transit rather than on a documented service; and mandatory insurance purchase from a designated provider as a condition of transit.</w:t>
      </w:r>
    </w:p>
    <w:bookmarkEnd w:id="141"/>
    <w:bookmarkStart w:id="142" w:name="mandatory-insurance-excluded"/>
    <w:p>
      <w:pPr>
        <w:pStyle w:val="Heading3"/>
      </w:pPr>
      <w:r>
        <w:t xml:space="preserve">18.2 Mandatory insurance excluded</w:t>
      </w:r>
    </w:p>
    <w:p>
      <w:pPr>
        <w:pStyle w:val="FirstParagraph"/>
      </w:pPr>
      <w:r>
        <w:t xml:space="preserve">The architecture excludes mandatory purchase of insurance from any designated provider as a condition of transit. Each vessel carries the insurance its flag state and its protection and indemnity club require, and the Assurance Registry recognizes every internationally established club and every commercial war-risk underwriter on equal terms.</w:t>
      </w:r>
    </w:p>
    <w:bookmarkEnd w:id="142"/>
    <w:bookmarkStart w:id="143" w:name="scope"/>
    <w:p>
      <w:pPr>
        <w:pStyle w:val="Heading3"/>
      </w:pPr>
      <w:r>
        <w:t xml:space="preserve">18.3 Scope</w:t>
      </w:r>
    </w:p>
    <w:p>
      <w:pPr>
        <w:pStyle w:val="FirstParagraph"/>
      </w:pPr>
      <w:r>
        <w:t xml:space="preserve">The Zero-Toll Rule covers every channel of the Governance Area, every lane, every anchorage, and every approach within the boundary coordinates of Article 7.2. The rule admits no exception for vessel class, flag, ownership, cargo origin or destination, crew nationality, insurer, or any other characteristic. The rule stands permanently under the Continuity Guarantee, Article 5.5.</w:t>
      </w:r>
    </w:p>
    <w:bookmarkEnd w:id="143"/>
    <w:bookmarkStart w:id="144" w:name="the-service-fee-distinction-reaffirmed"/>
    <w:p>
      <w:pPr>
        <w:pStyle w:val="Heading3"/>
      </w:pPr>
      <w:r>
        <w:t xml:space="preserve">18.4 The service-fee distinction reaffirmed</w:t>
      </w:r>
    </w:p>
    <w:p>
      <w:pPr>
        <w:pStyle w:val="FirstParagraph"/>
      </w:pPr>
      <w:r>
        <w:t xml:space="preserve">Article 2.3’s distinction governs all charging inside the Governance Area. A charge touches passage when its amount, timing, or conditionality attaches to the vessel’s movement through the Strait; such a charge is a toll and the architecture excludes it. A charge attaches to a service when it follows a documented delivery, at a pre-published rate, auditable against a record; such a charge flows exclusively through the Maritime Services Fund under Article 20. No Party, organ, or contractor collects any payment directly from any vessel, operator, or shipper for anything connected with the Governance Area.</w:t>
      </w:r>
    </w:p>
    <w:p>
      <w:pPr>
        <w:pStyle w:val="BodyText"/>
      </w:pPr>
      <w:r>
        <w:t xml:space="preserve">Nothing in this Pact’s reimbursement architecture constitutes recognition by any Party of any legal position on the character or status of the Strait of Hormuz, the right of transit passage, or the lawfulness of any prior charge under international law. The reimbursement mechanism is a practical settlement of the fee question, and it prejudices no legal position of any Party.</w:t>
      </w:r>
    </w:p>
    <w:bookmarkEnd w:id="144"/>
    <w:bookmarkStart w:id="145" w:name="what-the-fund-pays-for-instead"/>
    <w:p>
      <w:pPr>
        <w:pStyle w:val="Heading3"/>
      </w:pPr>
      <w:r>
        <w:t xml:space="preserve">18.5 What the Fund pays for instead</w:t>
      </w:r>
    </w:p>
    <w:p>
      <w:pPr>
        <w:pStyle w:val="FirstParagraph"/>
      </w:pPr>
      <w:r>
        <w:t xml:space="preserve">The Parties finance the operating costs of the corridor system, including vessel traffic service operation, aids to navigation, hydrographic survey, search and rescue readiness, escort coordination, environmental standby, and the Pact’s institutions, collectively through the Maritime Services Fund. The Parties treat these costs as the shared cost of a shared waterway, not as charges on the ships that use it. The Fund’s resources originate in endowment contributions, access contributions, and optional data-service subscriptions, per Article 20, and every inflow and outflow stands auditable and published under Article 21.</w:t>
      </w:r>
    </w:p>
    <w:bookmarkEnd w:id="145"/>
    <w:bookmarkStart w:id="146" w:name="domestic-law-reconciliation"/>
    <w:p>
      <w:pPr>
        <w:pStyle w:val="Heading3"/>
      </w:pPr>
      <w:r>
        <w:t xml:space="preserve">18.6 Domestic law reconciliation</w:t>
      </w:r>
    </w:p>
    <w:p>
      <w:pPr>
        <w:pStyle w:val="FirstParagraph"/>
      </w:pPr>
      <w:r>
        <w:t xml:space="preserve">Where a Party’s domestic law enacts or advances a fee measure touching the Strait, that Party’s obligations under this Pact govern its conduct within the Governance Area: no collection occurs, no condition attaches, and the Pact Operations Center continues to acknowledge notifications and operate traffic without reference to the domestic measure. The Party routes the domestic measure to the facilitation tier of Article 33.2 for reconciliation within 90 days, and the public accountability layer of Article 16.7 notes the reconciliation status in its public reporting. The architecture thereby absorbs legislative friction without touching the water. Nothing in this Pact precludes any Party from presenting the service reimbursement mechanism domestically as a fee for services rendered, provided the mechanism operates internationally as a collective contribution structure and no vessel’s transit ever conditions on payment.</w:t>
      </w:r>
    </w:p>
    <w:bookmarkEnd w:id="146"/>
    <w:bookmarkEnd w:id="147"/>
    <w:bookmarkStart w:id="155" w:name="Xf975acbc13809db71b5972754cf44a41108fbb4"/>
    <w:p>
      <w:pPr>
        <w:pStyle w:val="Heading2"/>
      </w:pPr>
      <w:r>
        <w:t xml:space="preserve">Article 19: The Verified Services Catalog and the Service Charges</w:t>
      </w:r>
    </w:p>
    <w:bookmarkStart w:id="148" w:name="the-catalog"/>
    <w:p>
      <w:pPr>
        <w:pStyle w:val="Heading3"/>
      </w:pPr>
      <w:r>
        <w:t xml:space="preserve">19.1 The Catalog</w:t>
      </w:r>
    </w:p>
    <w:p>
      <w:pPr>
        <w:pStyle w:val="FirstParagraph"/>
      </w:pPr>
      <w:r>
        <w:t xml:space="preserve">The Verified Services Catalog lists every service the Fund reimburses: vessel traffic service operations, escorted transit windows, hydrographic survey, aids to navigation maintenance, search and rescue standby, pollution response standby, environmental monitoring, verification patrols, and the operation of the Pact’s institutions. Each entry states the service, the delivering Party or organ, the published rate, the verification method, and the reimbursement clock. Annex B, Section B.4 carries the initial rate card. The Council reviews the Catalog annually on the Technical Standards Committee’s cost study, and rate changes follow the Twin Key Rule.</w:t>
      </w:r>
    </w:p>
    <w:bookmarkEnd w:id="148"/>
    <w:bookmarkStart w:id="149" w:name="verification-of-services"/>
    <w:p>
      <w:pPr>
        <w:pStyle w:val="Heading3"/>
      </w:pPr>
      <w:r>
        <w:t xml:space="preserve">19.2 Verification of services</w:t>
      </w:r>
    </w:p>
    <w:p>
      <w:pPr>
        <w:pStyle w:val="FirstParagraph"/>
      </w:pPr>
      <w:r>
        <w:t xml:space="preserve">A service qualifies for reimbursement only after verification under the Dual Confirmation Standard of Article 26.2: the delivery record of the Center plus the independent confirmation of the Neutral Observation Office. Unverified services receive no payment. This rule makes every rial, rial Omani, and dollar of the Fund traceable to a delivered, confirmed service.</w:t>
      </w:r>
    </w:p>
    <w:bookmarkEnd w:id="149"/>
    <w:bookmarkStart w:id="150" w:name="delivery-states"/>
    <w:p>
      <w:pPr>
        <w:pStyle w:val="Heading3"/>
      </w:pPr>
      <w:r>
        <w:t xml:space="preserve">19.3 Delivery states</w:t>
      </w:r>
    </w:p>
    <w:p>
      <w:pPr>
        <w:pStyle w:val="FirstParagraph"/>
      </w:pPr>
      <w:r>
        <w:t xml:space="preserve">Each Catalog service operates in one of three delivery states, published monthly: Full Delivery, Partial Delivery with stated cause, and Suspended Delivery with stated cause. Reimbursement follows delivery: full rate for Full Delivery, proportional rate for Partial Delivery, and no payment for Suspended Delivery. The delivery record publishes with the Bulletin, so that every contributor sees exactly what its money buys.</w:t>
      </w:r>
    </w:p>
    <w:bookmarkEnd w:id="150"/>
    <w:bookmarkStart w:id="151" w:name="the-apportionment-band"/>
    <w:p>
      <w:pPr>
        <w:pStyle w:val="Heading3"/>
      </w:pPr>
      <w:r>
        <w:t xml:space="preserve">19.4 The apportionment band</w:t>
      </w:r>
    </w:p>
    <w:p>
      <w:pPr>
        <w:pStyle w:val="FirstParagraph"/>
      </w:pPr>
      <w:r>
        <w:t xml:space="preserve">Access contributions follow an apportionment band: participants whose vessels consume Catalog services above the shared baseline contribute in proportion to verified consumption, within a published band that caps any single participant’s share at 25 percent of the annual services budget. The band prevents both free-riding and dominance. Annex B, Section B.5 states the formula.</w:t>
      </w:r>
    </w:p>
    <w:bookmarkEnd w:id="151"/>
    <w:bookmarkStart w:id="152" w:name="X3f38c64c6d369e7a30678078de85fa787d3cd3a"/>
    <w:p>
      <w:pPr>
        <w:pStyle w:val="Heading3"/>
      </w:pPr>
      <w:r>
        <w:t xml:space="preserve">19.5 The Assurance Registry and the Route Assurance Data Service</w:t>
      </w:r>
    </w:p>
    <w:p>
      <w:pPr>
        <w:pStyle w:val="FirstParagraph"/>
      </w:pPr>
      <w:r>
        <w:t xml:space="preserve">The Center maintains the Assurance Registry, a voluntary documentary mechanism through which a vessel operator files standing identity, class, and insurance documentation once and transits thereafter under a recognized documentary profile. Registration never alters any transit right, priority, or safety service; it reduces paperwork friction for repeat users and gives insurers a clean documentary trail. The Registry sorts vessels by documentation status, never by politics, per Article 9.5.</w:t>
      </w:r>
    </w:p>
    <w:bookmarkEnd w:id="152"/>
    <w:bookmarkStart w:id="153" w:name="the-route-assurance-data-service"/>
    <w:p>
      <w:pPr>
        <w:pStyle w:val="Heading3"/>
      </w:pPr>
      <w:r>
        <w:t xml:space="preserve">19.6 The Route Assurance Data Service</w:t>
      </w:r>
    </w:p>
    <w:p>
      <w:pPr>
        <w:pStyle w:val="FirstParagraph"/>
      </w:pPr>
      <w:r>
        <w:t xml:space="preserve">The Center operates the Route Assurance Data Service, a professional data tier offering corridor performance statistics, incident trend data, and verification summaries to insurers, shipowners, and analysts on subscription. Subscriptions never purchase any transit right, priority, or safety service. Subscription revenue flows into the Fund under Article 20.3. The public tier of the Bulletin remains free to every reader, always.</w:t>
      </w:r>
    </w:p>
    <w:bookmarkEnd w:id="153"/>
    <w:bookmarkStart w:id="154" w:name="premium-normalization"/>
    <w:p>
      <w:pPr>
        <w:pStyle w:val="Heading3"/>
      </w:pPr>
      <w:r>
        <w:t xml:space="preserve">19.7 Premium normalization</w:t>
      </w:r>
    </w:p>
    <w:p>
      <w:pPr>
        <w:pStyle w:val="FirstParagraph"/>
      </w:pPr>
      <w:r>
        <w:t xml:space="preserve">The Council publishes a quarterly Insurance Confidence Statement, addressed to the protection and indemnity clubs and the war-risk market, summarizing corridor performance against the metrics of Annex H. The statement’s purpose is mechanical: verified performance data gives underwriters the basis to lower premiums, and lower premiums return commerce to the water. The Council targets the normalization schedule of Article 12.5 and reports progress against it every quarter.</w:t>
      </w:r>
    </w:p>
    <w:bookmarkEnd w:id="154"/>
    <w:bookmarkEnd w:id="155"/>
    <w:bookmarkStart w:id="163" w:name="article-20-the-maritime-services-fund"/>
    <w:p>
      <w:pPr>
        <w:pStyle w:val="Heading2"/>
      </w:pPr>
      <w:r>
        <w:t xml:space="preserve">Article 20: The Maritime Services Fund</w:t>
      </w:r>
    </w:p>
    <w:bookmarkStart w:id="156" w:name="establishment-and-legal-form"/>
    <w:p>
      <w:pPr>
        <w:pStyle w:val="Heading3"/>
      </w:pPr>
      <w:r>
        <w:t xml:space="preserve">20.1 Establishment and legal form</w:t>
      </w:r>
    </w:p>
    <w:p>
      <w:pPr>
        <w:pStyle w:val="FirstParagraph"/>
      </w:pPr>
      <w:r>
        <w:t xml:space="preserve">The Parties establish the Maritime Services Fund as the financial vehicle for corridor services and Pact institutions. The Fund takes the legal form of a multilateral fiduciary facility administered by the Neutral Administrator under Swiss law, with its principal account in Switzerland and mirror settlement arrangements in Muscat. The Fund exists to pay for verified maritime services and Pact institutions, to reimburse the coastal states for services delivered, and to compensate economic loss where a disruption certified under this Pact closes a corridor. The Fund never pays any Party for passage, and no payment from the Fund ever travels as a condition of any vessel’s transit.</w:t>
      </w:r>
    </w:p>
    <w:bookmarkEnd w:id="156"/>
    <w:bookmarkStart w:id="157" w:name="purpose-and-the-humanitarian-lock"/>
    <w:p>
      <w:pPr>
        <w:pStyle w:val="Heading3"/>
      </w:pPr>
      <w:r>
        <w:t xml:space="preserve">20.2 Purpose and the humanitarian lock</w:t>
      </w:r>
    </w:p>
    <w:p>
      <w:pPr>
        <w:pStyle w:val="FirstParagraph"/>
      </w:pPr>
      <w:r>
        <w:t xml:space="preserve">The Fund serves five purposes, in stated order of priority: first, the costs of the Neutral Observation Office, the Pact Operations Center, and the Council secretariat, as a first call on all revenue; second, reimbursement of verified services under the Catalog of Article 19; third, readiness and standby capacity for escort, salvage, and pollution response; fourth, the compensation window of Article 20.6; fifth, capacity building for the maritime administrations of the Littoral Parties. The Fund operates under the humanitarian lock: it maintains a standing liquidity reserve equal to six months of institutional costs, and no draw, suspension, or dispute ever touches the reserve or delays a humanitarian transaction.</w:t>
      </w:r>
    </w:p>
    <w:bookmarkEnd w:id="157"/>
    <w:bookmarkStart w:id="158" w:name="resources"/>
    <w:p>
      <w:pPr>
        <w:pStyle w:val="Heading3"/>
      </w:pPr>
      <w:r>
        <w:t xml:space="preserve">20.3 Resources</w:t>
      </w:r>
    </w:p>
    <w:p>
      <w:pPr>
        <w:pStyle w:val="FirstParagraph"/>
      </w:pPr>
      <w:r>
        <w:t xml:space="preserve">The Fund’s resources originate in three channels: endowment contributions from the Littoral Parties and participating user states at accession or endorsement, per the schedule of Annex B, Section B.2; access contributions from participants whose vessels consume Catalog services above the shared baseline, under the apportionment band of Article 19.4; and data-service subscriptions to the professional tier of the Route Assurance Data Service, per Article 19.6. Subscriptions never purchase any transit right, priority, or safety service. Annex B states the full resource schedule, the contribution formula, and the annual targets, and the Continuity Guarantee carries every contribution arrangement forward without expiry. The Fund reimburses Iran’s service delivery in the Inbound Coordination Corridor and Oman’s service delivery in the Outbound Assurance Corridor at the published rate card, and the Council reviews the rate card annually on the Technical Standards Committee’s cost study.</w:t>
      </w:r>
    </w:p>
    <w:bookmarkEnd w:id="158"/>
    <w:bookmarkStart w:id="159" w:name="administration-and-the-escrow-channel"/>
    <w:p>
      <w:pPr>
        <w:pStyle w:val="Heading3"/>
      </w:pPr>
      <w:r>
        <w:t xml:space="preserve">20.4 Administration and the escrow channel</w:t>
      </w:r>
    </w:p>
    <w:p>
      <w:pPr>
        <w:pStyle w:val="FirstParagraph"/>
      </w:pPr>
      <w:r>
        <w:t xml:space="preserve">The Neutral Administrator operates the Fund through a dedicated office of professional fund managers and auditors, under the charter at Annex B. The Administrator: holds accounts; executes payments against verified service records; publishes monthly statements; commissions an annual external audit by an international firm; and maintains the sanctions-compliance firewall of Article 21.4. The Administrator decides no policy question. It applies the Charter, and where the Charter and a payment request diverge, it declines payment and reports the divergence to the Council.</w:t>
      </w:r>
    </w:p>
    <w:p>
      <w:pPr>
        <w:pStyle w:val="BodyText"/>
      </w:pPr>
      <w:r>
        <w:t xml:space="preserve">Oman administers the escrow channel through which access contributions and reimbursements flow. The escrow operates in four steps: (1) the contributor pays into the Omani escrow account in a convertible currency of its choice; (2) the escrow converts and records the payment under the Fund’s rules; (3) the Neutral Administrator releases reimbursement against the verified delivery record; (4) both the escrow ledger and the release record publish monthly. The escrow architecture insulates every payment from the sanctions exposure of any contributor or recipient, because no payment flows directly between any two states.</w:t>
      </w:r>
    </w:p>
    <w:bookmarkEnd w:id="159"/>
    <w:bookmarkStart w:id="160" w:name="no-double-recovery"/>
    <w:p>
      <w:pPr>
        <w:pStyle w:val="Heading3"/>
      </w:pPr>
      <w:r>
        <w:t xml:space="preserve">20.5 No double recovery</w:t>
      </w:r>
    </w:p>
    <w:p>
      <w:pPr>
        <w:pStyle w:val="FirstParagraph"/>
      </w:pPr>
      <w:r>
        <w:t xml:space="preserve">A Party that receives reimbursement for a service from the Fund recovers no second payment for the same service from any other Pact mechanism, and a contributor that funds a service through the Fund pays no second charge for the same service in any other form. The audit trail of Article 21 enforces this rule.</w:t>
      </w:r>
    </w:p>
    <w:bookmarkEnd w:id="160"/>
    <w:bookmarkStart w:id="161" w:name="the-compensation-window"/>
    <w:p>
      <w:pPr>
        <w:pStyle w:val="Heading3"/>
      </w:pPr>
      <w:r>
        <w:t xml:space="preserve">20.6 The compensation window</w:t>
      </w:r>
    </w:p>
    <w:p>
      <w:pPr>
        <w:pStyle w:val="FirstParagraph"/>
      </w:pPr>
      <w:r>
        <w:t xml:space="preserve">Where a disruption certified under this Pact closes a corridor or suspends a flow for more than 72 hours, affected commercial operators present claims for documented economic loss to the compensation window. The window opens automatically on certification, processes claims in order of receipt, and pays from the reserve layer of the Fund within 60 days of a verified claim. The window exists because a governance system that leaves commerce to absorb the cost of every shock loses the confidence of commerce within one season.</w:t>
      </w:r>
    </w:p>
    <w:bookmarkEnd w:id="161"/>
    <w:bookmarkStart w:id="162" w:name="the-security-reimbursement-link"/>
    <w:p>
      <w:pPr>
        <w:pStyle w:val="Heading3"/>
      </w:pPr>
      <w:r>
        <w:t xml:space="preserve">20.7 The security-reimbursement link</w:t>
      </w:r>
    </w:p>
    <w:p>
      <w:pPr>
        <w:pStyle w:val="FirstParagraph"/>
      </w:pPr>
      <w:r>
        <w:t xml:space="preserve">Reimbursement for services flows on delivery, not on politics, with one structural exception: a Party against which the compliance engine certifies an Architectural Breach touching the Non-Interdiction Protocol receives its reimbursements into a segregated escrow sub-account until restoration under Article 30.4 completes. The funds remain the Party’s property; the segregation is temporal, not confiscatory; and humanitarian transactions flow regardless. This link gives the compliance engine one quiet, reversible financial instrument, and it never touches passage, services already delivered to shipping, or the humanitarian lock.</w:t>
      </w:r>
    </w:p>
    <w:bookmarkEnd w:id="162"/>
    <w:bookmarkEnd w:id="163"/>
    <w:bookmarkStart w:id="169" w:name="X00ce6415f5b6975fb3363ac442ae31023967793"/>
    <w:p>
      <w:pPr>
        <w:pStyle w:val="Heading2"/>
      </w:pPr>
      <w:r>
        <w:t xml:space="preserve">Article 21: Budget, Audit, and the Sanctions-Compliance Firewall</w:t>
      </w:r>
    </w:p>
    <w:bookmarkStart w:id="164" w:name="the-annual-budget"/>
    <w:p>
      <w:pPr>
        <w:pStyle w:val="Heading3"/>
      </w:pPr>
      <w:r>
        <w:t xml:space="preserve">21.1 The annual budget</w:t>
      </w:r>
    </w:p>
    <w:p>
      <w:pPr>
        <w:pStyle w:val="FirstParagraph"/>
      </w:pPr>
      <w:r>
        <w:t xml:space="preserve">The Council adopts an annual consolidated budget covering the Center, the mirror facility, the Neutral Observation Office, the Catalog services, and the administrative costs of the funds. The budget follows the Twin Key Rule. Where a budget decision stalls, the previous budget runs at the same level under the Continuity Guarantee. The budget publishes in full.</w:t>
      </w:r>
    </w:p>
    <w:bookmarkEnd w:id="164"/>
    <w:bookmarkStart w:id="165" w:name="audit"/>
    <w:p>
      <w:pPr>
        <w:pStyle w:val="Heading3"/>
      </w:pPr>
      <w:r>
        <w:t xml:space="preserve">21.2 Audit</w:t>
      </w:r>
    </w:p>
    <w:p>
      <w:pPr>
        <w:pStyle w:val="FirstParagraph"/>
      </w:pPr>
      <w:r>
        <w:t xml:space="preserve">The Neutral Observation Office audits every Pact account quarterly, and an international firm conducts an annual external audit. Both audit tracks publish in full, with classified annexes limited to genuine security details. The audit calendar synchronizes across the Fund, the Facility, and the Center, per Article 3.2, so that one audit season covers the whole architecture.</w:t>
      </w:r>
    </w:p>
    <w:bookmarkEnd w:id="165"/>
    <w:bookmarkStart w:id="166" w:name="anti-diversion"/>
    <w:p>
      <w:pPr>
        <w:pStyle w:val="Heading3"/>
      </w:pPr>
      <w:r>
        <w:t xml:space="preserve">21.3 Anti-diversion</w:t>
      </w:r>
    </w:p>
    <w:p>
      <w:pPr>
        <w:pStyle w:val="FirstParagraph"/>
      </w:pPr>
      <w:r>
        <w:t xml:space="preserve">Fund resources serve the stated purposes of Article 20.2 and no others. Any diversion of Fund resources to a purpose outside the Charter, including any military purpose, classifies as an Architectural Breach under Article 30, with points doubled. The dual-custody ledger makes diversion visible the day it occurs.</w:t>
      </w:r>
    </w:p>
    <w:bookmarkEnd w:id="166"/>
    <w:bookmarkStart w:id="167" w:name="the-sanctions-compliance-firewall"/>
    <w:p>
      <w:pPr>
        <w:pStyle w:val="Heading3"/>
      </w:pPr>
      <w:r>
        <w:t xml:space="preserve">21.4 The Sanctions-Compliance Firewall</w:t>
      </w:r>
    </w:p>
    <w:p>
      <w:pPr>
        <w:pStyle w:val="FirstParagraph"/>
      </w:pPr>
      <w:r>
        <w:t xml:space="preserve">The financial architecture operates a standing sanctions-compliance firewall: (a) all payments route through the escrow channel of Article 20.4, so that no direct state-to-state payment occurs; (b) the Neutral Administrator screens every transaction against a published screening protocol agreed with the Council; (c) the firewall documentation stands available to any sanctions authority of any participant on request, through the Council; and (d) a screening failure halts the transaction, never the Fund, and routes to the facilitation tier of Article 33.2. The firewall’s design goal is simple: the Pact’s money moves lawfully under every participant’s sanctions regime, so that no participant’s law forces it to choose between its law and the Pact.</w:t>
      </w:r>
    </w:p>
    <w:bookmarkEnd w:id="167"/>
    <w:bookmarkStart w:id="168" w:name="anti-circumvention"/>
    <w:p>
      <w:pPr>
        <w:pStyle w:val="Heading3"/>
      </w:pPr>
      <w:r>
        <w:t xml:space="preserve">21.5 Anti-circumvention</w:t>
      </w:r>
    </w:p>
    <w:p>
      <w:pPr>
        <w:pStyle w:val="FirstParagraph"/>
      </w:pPr>
      <w:r>
        <w:t xml:space="preserve">No Party, participant, organ, or contractor structures a payment, contribution, or reimbursement to evade the firewall. A circumvention finding classifies under Annex C, category F-2, and carries the escalation ladder of Article 30 in full.</w:t>
      </w:r>
    </w:p>
    <w:p>
      <w:r>
        <w:pict>
          <v:rect style="width:0;height:1.5pt" o:hralign="center" o:hrstd="t" o:hr="t"/>
        </w:pict>
      </w:r>
    </w:p>
    <w:bookmarkEnd w:id="168"/>
    <w:bookmarkEnd w:id="169"/>
    <w:bookmarkEnd w:id="170"/>
    <w:bookmarkStart w:id="191" w:name="part-v-economic-development"/>
    <w:p>
      <w:pPr>
        <w:pStyle w:val="Heading1"/>
      </w:pPr>
      <w:r>
        <w:t xml:space="preserve">PART V: ECONOMIC DEVELOPMENT</w:t>
      </w:r>
    </w:p>
    <w:bookmarkStart w:id="176" w:name="Xc158d4d97a44dadb8f9e5a9d6e8fc0cc91fa9c1"/>
    <w:p>
      <w:pPr>
        <w:pStyle w:val="Heading2"/>
      </w:pPr>
      <w:r>
        <w:t xml:space="preserve">Article 22: The Hormuz Development Facility</w:t>
      </w:r>
    </w:p>
    <w:bookmarkStart w:id="171" w:name="establishment-and-rationale"/>
    <w:p>
      <w:pPr>
        <w:pStyle w:val="Heading3"/>
      </w:pPr>
      <w:r>
        <w:t xml:space="preserve">22.1 Establishment and rationale</w:t>
      </w:r>
    </w:p>
    <w:p>
      <w:pPr>
        <w:pStyle w:val="FirstParagraph"/>
      </w:pPr>
      <w:r>
        <w:t xml:space="preserve">The Parties establish the Hormuz Development Facility as the economic arm of the Pact. The Facility exists because security arrangements that produce no visible prosperity decay under domestic pressure, while security arrangements that pay a visible dividend acquire a constituency in every coastal town. The Facility converts the stability of the waterway into ports, water, energy, skills, and work for the populations of both littorals, in visible balance between them.</w:t>
      </w:r>
    </w:p>
    <w:bookmarkEnd w:id="171"/>
    <w:bookmarkStart w:id="172" w:name="legal-form-and-administration"/>
    <w:p>
      <w:pPr>
        <w:pStyle w:val="Heading3"/>
      </w:pPr>
      <w:r>
        <w:t xml:space="preserve">22.2 Legal form and administration</w:t>
      </w:r>
    </w:p>
    <w:p>
      <w:pPr>
        <w:pStyle w:val="FirstParagraph"/>
      </w:pPr>
      <w:r>
        <w:t xml:space="preserve">The Facility operates as a dedicated window administered by the Neutral Administrator under the same fiduciary framework as the Maritime Services Fund, with a separate ledger, a separate project account structure, and a separate published budget. The Facility’s administration rides on the Fund’s existing office, systems, and audit calendar, per the cost test of Article 4.4: the Pact builds one financial back office, not two.</w:t>
      </w:r>
    </w:p>
    <w:bookmarkEnd w:id="172"/>
    <w:bookmarkStart w:id="173" w:name="resources-1"/>
    <w:p>
      <w:pPr>
        <w:pStyle w:val="Heading3"/>
      </w:pPr>
      <w:r>
        <w:t xml:space="preserve">22.3 Resources</w:t>
      </w:r>
    </w:p>
    <w:p>
      <w:pPr>
        <w:pStyle w:val="FirstParagraph"/>
      </w:pPr>
      <w:r>
        <w:t xml:space="preserve">The Facility’s resources originate in four channels: (a) development endowment contributions from the Littoral Parties and participating observer states, per Annex B, Section B.8; (b) a standing development allocation equal to 8 percent of annual Maritime Services Fund revenue above the institutional reserve, so that safe water finances the communities that guard it; (c) multilateral development co-financing from institutions that the Council admits by Twin Key decision; and (d) returns on completed revenue-generating projects, recycled into the Facility. Annex B, Section B.9 states the indicative five-year resource envelope.</w:t>
      </w:r>
    </w:p>
    <w:bookmarkEnd w:id="173"/>
    <w:bookmarkStart w:id="174" w:name="the-balance-rule"/>
    <w:p>
      <w:pPr>
        <w:pStyle w:val="Heading3"/>
      </w:pPr>
      <w:r>
        <w:t xml:space="preserve">22.4 The balance rule</w:t>
      </w:r>
    </w:p>
    <w:p>
      <w:pPr>
        <w:pStyle w:val="FirstParagraph"/>
      </w:pPr>
      <w:r>
        <w:t xml:space="preserve">Development allocations follow the balance rule: over any rolling three-year period, the Facility directs between 40 and 60 percent of project resources to each Founding Party’s coastal provinces, measured at commitment. The band is wide enough to absorb project timing and narrow enough to prevent either littoral from reading the Facility as an instrument of the other. Acceding Parties join the allocation formula on accession under Article 34.3. The Neutral Observation Office verifies the balance annually and publishes the result.</w:t>
      </w:r>
    </w:p>
    <w:bookmarkEnd w:id="174"/>
    <w:bookmarkStart w:id="175" w:name="the-humanitarian-lock"/>
    <w:p>
      <w:pPr>
        <w:pStyle w:val="Heading3"/>
      </w:pPr>
      <w:r>
        <w:t xml:space="preserve">22.5 The humanitarian lock</w:t>
      </w:r>
    </w:p>
    <w:p>
      <w:pPr>
        <w:pStyle w:val="FirstParagraph"/>
      </w:pPr>
      <w:r>
        <w:t xml:space="preserve">The Facility maintains a humanitarian sub-window for water, health, and food-security projects, financed at not less than 15 percent of annual Facility resources. No compliance event, no dispute, and no suspension touches this sub-window. The humanitarian lock of Article 20.2 applies to the Facility in full.</w:t>
      </w:r>
    </w:p>
    <w:bookmarkEnd w:id="175"/>
    <w:bookmarkEnd w:id="176"/>
    <w:bookmarkStart w:id="181" w:name="article-23-the-development-windows"/>
    <w:p>
      <w:pPr>
        <w:pStyle w:val="Heading2"/>
      </w:pPr>
      <w:r>
        <w:t xml:space="preserve">Article 23: The Development Windows</w:t>
      </w:r>
    </w:p>
    <w:bookmarkStart w:id="177" w:name="the-six-windows"/>
    <w:p>
      <w:pPr>
        <w:pStyle w:val="Heading3"/>
      </w:pPr>
      <w:r>
        <w:t xml:space="preserve">23.1 The six windows</w:t>
      </w:r>
    </w:p>
    <w:p>
      <w:pPr>
        <w:pStyle w:val="FirstParagraph"/>
      </w:pPr>
      <w:r>
        <w:t xml:space="preserve">The Facility finances projects through six standing windows, each defined in Annex I with selection criteria, cost ceilings, and delivery standards:</w:t>
      </w:r>
    </w:p>
    <w:p>
      <w:pPr>
        <w:numPr>
          <w:ilvl w:val="0"/>
          <w:numId w:val="1003"/>
        </w:numPr>
        <w:pStyle w:val="Compact"/>
      </w:pPr>
      <w:r>
        <w:t xml:space="preserve">Ports and maritime logistics. Upgrades to coastal jetties, fishing harbors, salvage capacity, and small-port digitalization on both littorals, including the ports of Bandar Abbas, Chabahar’s coastal interface communities, Khasab, and the Musandam landing sites.</w:t>
      </w:r>
    </w:p>
    <w:p>
      <w:pPr>
        <w:numPr>
          <w:ilvl w:val="0"/>
          <w:numId w:val="1003"/>
        </w:numPr>
        <w:pStyle w:val="Compact"/>
      </w:pPr>
      <w:r>
        <w:t xml:space="preserve">Water and environment. Desalination, wastewater reuse, coastal aquifer protection, and marine habitat restoration in the Governance Area’s littoral zones.</w:t>
      </w:r>
    </w:p>
    <w:p>
      <w:pPr>
        <w:numPr>
          <w:ilvl w:val="0"/>
          <w:numId w:val="1003"/>
        </w:numPr>
        <w:pStyle w:val="Compact"/>
      </w:pPr>
      <w:r>
        <w:t xml:space="preserve">Energy. Grid interconnection for coastal communities, solar generation on public buildings, and efficiency retrofits for port infrastructure.</w:t>
      </w:r>
    </w:p>
    <w:p>
      <w:pPr>
        <w:numPr>
          <w:ilvl w:val="0"/>
          <w:numId w:val="1003"/>
        </w:numPr>
        <w:pStyle w:val="Compact"/>
      </w:pPr>
      <w:r>
        <w:t xml:space="preserve">Fisheries and food security. Sustainable fisheries management, cold-chain capacity, aquaculture pilots, and vessel safety equipment for small craft.</w:t>
      </w:r>
    </w:p>
    <w:p>
      <w:pPr>
        <w:numPr>
          <w:ilvl w:val="0"/>
          <w:numId w:val="1003"/>
        </w:numPr>
        <w:pStyle w:val="Compact"/>
      </w:pPr>
      <w:r>
        <w:t xml:space="preserve">Skills and maritime professions. Watchkeeper training to International Maritime Organization model course standards, hydrography and survey training, maritime English programs, and scholarship exchanges between Iranian and Omani maritime academies.</w:t>
      </w:r>
    </w:p>
    <w:p>
      <w:pPr>
        <w:numPr>
          <w:ilvl w:val="0"/>
          <w:numId w:val="1003"/>
        </w:numPr>
        <w:pStyle w:val="Compact"/>
      </w:pPr>
      <w:r>
        <w:t xml:space="preserve">Digital and data infrastructure. Coastal connectivity, the public data platforms of the Pact, and open-access maritime safety information services.</w:t>
      </w:r>
    </w:p>
    <w:bookmarkEnd w:id="177"/>
    <w:bookmarkStart w:id="178" w:name="the-selection-sequence"/>
    <w:p>
      <w:pPr>
        <w:pStyle w:val="Heading3"/>
      </w:pPr>
      <w:r>
        <w:t xml:space="preserve">23.2 The selection sequence</w:t>
      </w:r>
    </w:p>
    <w:p>
      <w:pPr>
        <w:pStyle w:val="FirstParagraph"/>
      </w:pPr>
      <w:r>
        <w:t xml:space="preserve">Project selection follows four steps: (1) a Littoral Party, a local authority, or a qualified operator submits a project concept on the standard two-page template of Annex I; (2) the Technical Standards Committee scores the concept against the published criteria within 30 days; (3) the Council approves the slate by Twin Key decision; (4) the Neutral Administrator contracts delivery against milestone-based disbursement. No project enters execution without a verified milestone schedule, and no disbursement flows without a verified milestone.</w:t>
      </w:r>
    </w:p>
    <w:bookmarkEnd w:id="178"/>
    <w:bookmarkStart w:id="179" w:name="local-delivery-preference"/>
    <w:p>
      <w:pPr>
        <w:pStyle w:val="Heading3"/>
      </w:pPr>
      <w:r>
        <w:t xml:space="preserve">23.3 Local delivery preference</w:t>
      </w:r>
    </w:p>
    <w:p>
      <w:pPr>
        <w:pStyle w:val="FirstParagraph"/>
      </w:pPr>
      <w:r>
        <w:t xml:space="preserve">The Facility procures locally wherever local capacity exists: coastal contractors, coastal labor, and coastal materials carry a published preference margin of 10 percent. The window rules of Annex I cap any single foreign contractor’s share of a window at 40 percent per year. The development dividend lands on the shores that live beside the Strait, by design.</w:t>
      </w:r>
    </w:p>
    <w:bookmarkEnd w:id="179"/>
    <w:bookmarkStart w:id="180" w:name="joint-projects"/>
    <w:p>
      <w:pPr>
        <w:pStyle w:val="Heading3"/>
      </w:pPr>
      <w:r>
        <w:t xml:space="preserve">23.4 Joint projects</w:t>
      </w:r>
    </w:p>
    <w:p>
      <w:pPr>
        <w:pStyle w:val="FirstParagraph"/>
      </w:pPr>
      <w:r>
        <w:t xml:space="preserve">The Facility maintains a standing joint-project lane for projects that physically or operationally link the two littorals: ferry connectivity, joint marine research, shared environmental monitoring stations, and cross-water training exchanges. Joint projects carry a scoring bonus in the selection sequence, because every joint project is a small institution of peace.</w:t>
      </w:r>
    </w:p>
    <w:bookmarkEnd w:id="180"/>
    <w:bookmarkEnd w:id="181"/>
    <w:bookmarkStart w:id="185" w:name="article-24-the-earned-dividend-link"/>
    <w:p>
      <w:pPr>
        <w:pStyle w:val="Heading2"/>
      </w:pPr>
      <w:r>
        <w:t xml:space="preserve">Article 24: The Earned Dividend Link</w:t>
      </w:r>
    </w:p>
    <w:bookmarkStart w:id="182" w:name="the-link"/>
    <w:p>
      <w:pPr>
        <w:pStyle w:val="Heading3"/>
      </w:pPr>
      <w:r>
        <w:t xml:space="preserve">24.1 The link</w:t>
      </w:r>
    </w:p>
    <w:p>
      <w:pPr>
        <w:pStyle w:val="FirstParagraph"/>
      </w:pPr>
      <w:r>
        <w:t xml:space="preserve">Development disbursements synchronize with verified corridor performance through the Earned Dividend Link. The Link operates on the Stability Audit metrics of Annex H: a quarter of clean corridor operation releases the next quarterly development tranche in full. The Link rewards performance collectively rather than punishing failure individually: the tranche releases on the corridor’s record, never on one Party’s conduct alone.</w:t>
      </w:r>
    </w:p>
    <w:bookmarkEnd w:id="182"/>
    <w:bookmarkStart w:id="183" w:name="what-the-link-never-does"/>
    <w:p>
      <w:pPr>
        <w:pStyle w:val="Heading3"/>
      </w:pPr>
      <w:r>
        <w:t xml:space="preserve">24.2 What the Link never does</w:t>
      </w:r>
    </w:p>
    <w:p>
      <w:pPr>
        <w:pStyle w:val="FirstParagraph"/>
      </w:pPr>
      <w:r>
        <w:t xml:space="preserve">The Link never suspends a project in execution, never touches the humanitarian sub-window, never delays a milestone payment already verified, and never reduces one littoral’s allocation because of the other littoral’s conduct. A compliance event affecting development flows travels exclusively through the graduated engine of Article 30, and that engine’s protections apply to the Facility in full.</w:t>
      </w:r>
    </w:p>
    <w:bookmarkEnd w:id="183"/>
    <w:bookmarkStart w:id="184" w:name="the-prosperity-report"/>
    <w:p>
      <w:pPr>
        <w:pStyle w:val="Heading3"/>
      </w:pPr>
      <w:r>
        <w:t xml:space="preserve">24.3 The prosperity report</w:t>
      </w:r>
    </w:p>
    <w:p>
      <w:pPr>
        <w:pStyle w:val="FirstParagraph"/>
      </w:pPr>
      <w:r>
        <w:t xml:space="preserve">The Council publishes an annual Prosperity Report stating, for each littoral: projects delivered, funds disbursed, jobs created, and services improved. The Report uses independent verification of physical outputs, and the Neutral Observation Office certifies its figures. The Report gives every citizen a readable answer to the only question that sustains a peace architecture: what did the calm water buy us this year?</w:t>
      </w:r>
    </w:p>
    <w:bookmarkEnd w:id="184"/>
    <w:bookmarkEnd w:id="185"/>
    <w:bookmarkStart w:id="190" w:name="X6b3970c400fcfb92549c8622f690f004aabe8b8"/>
    <w:p>
      <w:pPr>
        <w:pStyle w:val="Heading2"/>
      </w:pPr>
      <w:r>
        <w:t xml:space="preserve">Article 25: Synchronization with the Wider Settlement</w:t>
      </w:r>
    </w:p>
    <w:bookmarkStart w:id="186" w:name="the-parallel-tracks"/>
    <w:p>
      <w:pPr>
        <w:pStyle w:val="Heading3"/>
      </w:pPr>
      <w:r>
        <w:t xml:space="preserve">25.1 The parallel tracks</w:t>
      </w:r>
    </w:p>
    <w:p>
      <w:pPr>
        <w:pStyle w:val="FirstParagraph"/>
      </w:pPr>
      <w:r>
        <w:t xml:space="preserve">The Pact acknowledges the wider settlement architecture of the Islamabad MOU: the sanctions track, the nuclear track, the reconstruction track, and the regional security track. The Pact operates on its own track, complete in itself, and binds its Parties independently of the fate of every other track, per Article 2.4.</w:t>
      </w:r>
    </w:p>
    <w:bookmarkEnd w:id="186"/>
    <w:bookmarkStart w:id="187" w:name="the-attachment-module"/>
    <w:p>
      <w:pPr>
        <w:pStyle w:val="Heading3"/>
      </w:pPr>
      <w:r>
        <w:t xml:space="preserve">25.2 The attachment module</w:t>
      </w:r>
    </w:p>
    <w:p>
      <w:pPr>
        <w:pStyle w:val="FirstParagraph"/>
      </w:pPr>
      <w:r>
        <w:t xml:space="preserve">The MOU parties attach this Pact to the wider architecture as the maritime governance and coastal development module, by the model instruments of Annex F. Attachment synchronizes the review calendars of the two architectures where both sides elect it, per the synchronization principle of Article 3.2. Attachment never adds obligations beyond the text of this Pact, and the failure of any external track never suspends any Pact mechanism.</w:t>
      </w:r>
    </w:p>
    <w:bookmarkEnd w:id="187"/>
    <w:bookmarkStart w:id="188" w:name="the-reconstruction-interface"/>
    <w:p>
      <w:pPr>
        <w:pStyle w:val="Heading3"/>
      </w:pPr>
      <w:r>
        <w:t xml:space="preserve">25.3 The reconstruction interface</w:t>
      </w:r>
    </w:p>
    <w:p>
      <w:pPr>
        <w:pStyle w:val="FirstParagraph"/>
      </w:pPr>
      <w:r>
        <w:t xml:space="preserve">Where the wider settlement’s reconstruction track finances projects inside the coastal provinces of a Littoral Party, the Facility coordinates site selection and sequencing with that track through a joint planning note, so that the two financing streams complement rather than duplicate. The coordination is administrative; each track answers to its own contributors, its own audit, and its own rules.</w:t>
      </w:r>
    </w:p>
    <w:bookmarkEnd w:id="188"/>
    <w:bookmarkStart w:id="189" w:name="the-sanctions-relief-interface"/>
    <w:p>
      <w:pPr>
        <w:pStyle w:val="Heading3"/>
      </w:pPr>
      <w:r>
        <w:t xml:space="preserve">25.4 The sanctions-relief interface</w:t>
      </w:r>
    </w:p>
    <w:p>
      <w:pPr>
        <w:pStyle w:val="FirstParagraph"/>
      </w:pPr>
      <w:r>
        <w:t xml:space="preserve">Where sanctions relief under the wider settlement expands a Party’s fiscal capacity, the contribution schedule of Annex B, Section B.2 absorbs the change through its standing review mechanism, without reopening any rate, rule, or corridor. The Pact’s financial architecture accommodates political change above it without transmitting political shock below it.</w:t>
      </w:r>
    </w:p>
    <w:p>
      <w:r>
        <w:pict>
          <v:rect style="width:0;height:1.5pt" o:hralign="center" o:hrstd="t" o:hr="t"/>
        </w:pict>
      </w:r>
    </w:p>
    <w:bookmarkEnd w:id="189"/>
    <w:bookmarkEnd w:id="190"/>
    <w:bookmarkEnd w:id="191"/>
    <w:bookmarkStart w:id="215" w:name="Xe9459ebf437749c8da16ad3460c4cfde758edcd"/>
    <w:p>
      <w:pPr>
        <w:pStyle w:val="Heading1"/>
      </w:pPr>
      <w:r>
        <w:t xml:space="preserve">PART VI: VERIFICATION, DECONFLICTION, AND INCIDENT MANAGEMENT</w:t>
      </w:r>
    </w:p>
    <w:bookmarkStart w:id="197" w:name="X2b6cffe36b07b40a0a9336f8cba0f4b2a61fb66"/>
    <w:p>
      <w:pPr>
        <w:pStyle w:val="Heading2"/>
      </w:pPr>
      <w:r>
        <w:t xml:space="preserve">Article 26: Verification and the Dual Confirmation Standard</w:t>
      </w:r>
    </w:p>
    <w:bookmarkStart w:id="192" w:name="people-over-telemetry"/>
    <w:p>
      <w:pPr>
        <w:pStyle w:val="Heading3"/>
      </w:pPr>
      <w:r>
        <w:t xml:space="preserve">26.1 People over telemetry</w:t>
      </w:r>
    </w:p>
    <w:p>
      <w:pPr>
        <w:pStyle w:val="FirstParagraph"/>
      </w:pPr>
      <w:r>
        <w:t xml:space="preserve">The Pact verifies with instruments and decides with people. Sensors spoof, signals deceive, and data gaps invite accusation; the architecture therefore anchors every material finding in human observation alongside the machine record. Telemetry flags; people confirm.</w:t>
      </w:r>
    </w:p>
    <w:bookmarkEnd w:id="192"/>
    <w:bookmarkStart w:id="193" w:name="the-dual-confirmation-standard"/>
    <w:p>
      <w:pPr>
        <w:pStyle w:val="Heading3"/>
      </w:pPr>
      <w:r>
        <w:t xml:space="preserve">26.2 The Dual Confirmation Standard</w:t>
      </w:r>
    </w:p>
    <w:p>
      <w:pPr>
        <w:pStyle w:val="FirstParagraph"/>
      </w:pPr>
      <w:r>
        <w:t xml:space="preserve">No finding of fact under this Pact rests on a single input. A material finding stands only when two independent channels converge: for corridor events, the Center’s record plus a Neutral Observation confirmation; for financial events, the Fund ledger plus the audit trail; for verification events, the sensor picture plus a human observation from the embarked observer roster or the verification patrol program. A finding that fails convergence remains an open question on the register, published as such, and triggers no consequence. This standard guards Red Line RL-11.</w:t>
      </w:r>
    </w:p>
    <w:bookmarkEnd w:id="193"/>
    <w:bookmarkStart w:id="194" w:name="the-embarked-observer-program"/>
    <w:p>
      <w:pPr>
        <w:pStyle w:val="Heading3"/>
      </w:pPr>
      <w:r>
        <w:t xml:space="preserve">26.3 The embarked observer program</w:t>
      </w:r>
    </w:p>
    <w:p>
      <w:pPr>
        <w:pStyle w:val="FirstParagraph"/>
      </w:pPr>
      <w:r>
        <w:t xml:space="preserve">The Neutral Observation Office maintains a roster of trained observers who embark on coastal patrol craft, survey vessels, and escort units on a published rotation. Observers carry no enforcement function. They watch, they record, and they certify. Each observation files into the shared registry within 24 hours, readable by every participant at the same time.</w:t>
      </w:r>
    </w:p>
    <w:bookmarkEnd w:id="194"/>
    <w:bookmarkStart w:id="195" w:name="Xf10dabf9737192a04dcc2b8f50b10abbca32133"/>
    <w:p>
      <w:pPr>
        <w:pStyle w:val="Heading3"/>
      </w:pPr>
      <w:r>
        <w:t xml:space="preserve">26.4 Data sovereignty and the two-key access rule</w:t>
      </w:r>
    </w:p>
    <w:p>
      <w:pPr>
        <w:pStyle w:val="FirstParagraph"/>
      </w:pPr>
      <w:r>
        <w:t xml:space="preserve">The raw operational record sits in dual custody at Muscat and Bandar Abbas under Article 14.5. Access to raw track data beyond the published record follows the two-key rule: one key from the Center’s Co-Directors, one from the Neutral Observation Office. Neither side reads alone; neither side locks the other out. The derived products of the Bulletin and the registry flow to every participant without any key at all.</w:t>
      </w:r>
    </w:p>
    <w:bookmarkEnd w:id="195"/>
    <w:bookmarkStart w:id="196" w:name="degraded-mode-operation"/>
    <w:p>
      <w:pPr>
        <w:pStyle w:val="Heading3"/>
      </w:pPr>
      <w:r>
        <w:t xml:space="preserve">26.5 Degraded-mode operation</w:t>
      </w:r>
    </w:p>
    <w:p>
      <w:pPr>
        <w:pStyle w:val="FirstParagraph"/>
      </w:pPr>
      <w:r>
        <w:t xml:space="preserve">Where any sensor feed fails, the architecture degrades gracefully: the watch floor switches to the fallback tiers of Article 14.3, the verification patrol cadence doubles in the affected corridor, and the Bulletin marks the affected picture as degraded until restoration. Degraded mode never suspends transit, never suspends the Bulletin, and never counts against any Party absent a convergence finding of deliberate interference under Article 28.3.</w:t>
      </w:r>
    </w:p>
    <w:bookmarkEnd w:id="196"/>
    <w:bookmarkEnd w:id="197"/>
    <w:bookmarkStart w:id="204" w:name="X0fdcd49a2d04212f0aa9695aed61e2343d94430"/>
    <w:p>
      <w:pPr>
        <w:pStyle w:val="Heading2"/>
      </w:pPr>
      <w:r>
        <w:t xml:space="preserve">Article 27: Naval Deconfliction and the Standoff Geometry</w:t>
      </w:r>
    </w:p>
    <w:bookmarkStart w:id="198" w:name="purpose-1"/>
    <w:p>
      <w:pPr>
        <w:pStyle w:val="Heading3"/>
      </w:pPr>
      <w:r>
        <w:t xml:space="preserve">27.1 Purpose</w:t>
      </w:r>
    </w:p>
    <w:p>
      <w:pPr>
        <w:pStyle w:val="FirstParagraph"/>
      </w:pPr>
      <w:r>
        <w:t xml:space="preserve">Military forces operate near the Governance Area by fact of geography. The Pact does not regulate their strategy; it regulates their proximity to civilian transit, so that a naval maneuver never becomes a shipping crisis and a shipping incident never becomes a naval crisis.</w:t>
      </w:r>
    </w:p>
    <w:bookmarkEnd w:id="198"/>
    <w:bookmarkStart w:id="199" w:name="standoff-distances"/>
    <w:p>
      <w:pPr>
        <w:pStyle w:val="Heading3"/>
      </w:pPr>
      <w:r>
        <w:t xml:space="preserve">27.2 Standoff distances</w:t>
      </w:r>
    </w:p>
    <w:p>
      <w:pPr>
        <w:pStyle w:val="FirstParagraph"/>
      </w:pPr>
      <w:r>
        <w:t xml:space="preserve">The standoff geometry binds every naval and state vessel of every Party and every adhering security liaison inside the Governance Area: (a) no Class G vessel approaches a transiting merchant vessel closer than 1,000 yards absent distress or the merchant vessel’s request; (b) Class G vessels of different states maintain a mutual standoff of 3 nautical miles inside the corridors; (c) Class G vessels transit only through the Outbound Assurance Corridor under Article 9.2, on 96-hour advance movement notice through the military channel; and (d) the Center publishes aggregate Class G movement statistics in the Bulletin, in general terms, without naming vessels.</w:t>
      </w:r>
    </w:p>
    <w:bookmarkEnd w:id="199"/>
    <w:bookmarkStart w:id="200" w:name="Xdd80558b24ee298a8bf69d58650095865f281e1"/>
    <w:p>
      <w:pPr>
        <w:pStyle w:val="Heading3"/>
      </w:pPr>
      <w:r>
        <w:t xml:space="preserve">27.3 Exercise notification and quiet water windows</w:t>
      </w:r>
    </w:p>
    <w:p>
      <w:pPr>
        <w:pStyle w:val="FirstParagraph"/>
      </w:pPr>
      <w:r>
        <w:t xml:space="preserve">A Party or adhering liaison conducting a naval exercise within 60 nautical miles of the Governance Area files an exercise notice through the military channel not less than 14 days in advance, stating area, period, and general nature. The Council maintains a published calendar of quiet water windows, periods in which the architecture schedules no exercises, so that the shipping community reads predictable calm into its routing decisions. Live-fire activity never occurs inside the Governance Area under any circumstance.</w:t>
      </w:r>
    </w:p>
    <w:bookmarkEnd w:id="200"/>
    <w:bookmarkStart w:id="201" w:name="the-military-deconfliction-channel"/>
    <w:p>
      <w:pPr>
        <w:pStyle w:val="Heading3"/>
      </w:pPr>
      <w:r>
        <w:t xml:space="preserve">27.4 The military deconfliction channel</w:t>
      </w:r>
    </w:p>
    <w:p>
      <w:pPr>
        <w:pStyle w:val="FirstParagraph"/>
      </w:pPr>
      <w:r>
        <w:t xml:space="preserve">The Center operates a standing military deconfliction channel connecting the military liaison officers of every Party and every adhering security liaison. The channel carries movement notices, exercise notices, close-approach warnings, and search and rescue coordination. The channel tests weekly on a published schedule, and the test result publishes with the Bulletin. A channel outage beyond 24 hours classifies under Annex C, category M-3.</w:t>
      </w:r>
    </w:p>
    <w:bookmarkEnd w:id="201"/>
    <w:bookmarkStart w:id="202" w:name="military-transit"/>
    <w:p>
      <w:pPr>
        <w:pStyle w:val="Heading3"/>
      </w:pPr>
      <w:r>
        <w:t xml:space="preserve">27.5 Military transit</w:t>
      </w:r>
    </w:p>
    <w:p>
      <w:pPr>
        <w:pStyle w:val="FirstParagraph"/>
      </w:pPr>
      <w:r>
        <w:t xml:space="preserve">Military vessels transit the Strait under the same international law that governs all transit, and the Pact adds no permission layer for them: the 96-hour movement notice is informational, the acknowledgment automatic, and the passage a right. The standoff geometry disciplines behavior, not entitlement.</w:t>
      </w:r>
    </w:p>
    <w:bookmarkEnd w:id="202"/>
    <w:bookmarkStart w:id="203" w:name="exclusion-of-force"/>
    <w:p>
      <w:pPr>
        <w:pStyle w:val="Heading3"/>
      </w:pPr>
      <w:r>
        <w:t xml:space="preserve">27.6 Exclusion of force</w:t>
      </w:r>
    </w:p>
    <w:p>
      <w:pPr>
        <w:pStyle w:val="FirstParagraph"/>
      </w:pPr>
      <w:r>
        <w:t xml:space="preserve">The Pact architecture excludes the use of force as an instrument of Pact compliance, absolutely. No compliance event, no classification, no finding, and no dispute under this instrument authorizes, triggers, or justifies military action by any actor. Military decisions rest exclusively with the respective head of government under constitutional procedures, wholly outside this Pact. Pact assets, data, channels, and facilities never support kinetic action by any actor, and this rule guards Red Line RL-12.</w:t>
      </w:r>
    </w:p>
    <w:bookmarkEnd w:id="203"/>
    <w:bookmarkEnd w:id="204"/>
    <w:bookmarkStart w:id="209" w:name="X6fb9f065d230e28dabdc53455f853365407373a"/>
    <w:p>
      <w:pPr>
        <w:pStyle w:val="Heading2"/>
      </w:pPr>
      <w:r>
        <w:t xml:space="preserve">Article 28: Incidents, Proxy Events, and Recovery</w:t>
      </w:r>
    </w:p>
    <w:bookmarkStart w:id="205" w:name="the-mishap-protocol"/>
    <w:p>
      <w:pPr>
        <w:pStyle w:val="Heading3"/>
      </w:pPr>
      <w:r>
        <w:t xml:space="preserve">28.1 The Mishap Protocol</w:t>
      </w:r>
    </w:p>
    <w:p>
      <w:pPr>
        <w:pStyle w:val="FirstParagraph"/>
      </w:pPr>
      <w:r>
        <w:t xml:space="preserve">Any collision, grounding, contact, or near-miss inside the Governance Area activates the Mishap Protocol, which runs in four steps: (1) the duty officer pair logs the event, opens an incident file, and notifies both coastal vessel traffic services within 15 minutes; (2) the Center publishes a preliminary Bulletin notice within 2 hours, factual and without attribution; (3) the Technical Standards Committee convenes an incident review within 72 hours, with the flag state and the Neutral Observation Office present; and (4) the final incident report publishes within 30 days, with causes, contributing factors, and corrective measures. The protocol’s discipline is speed plus restraint: fast facts, slow conclusions.</w:t>
      </w:r>
    </w:p>
    <w:bookmarkEnd w:id="205"/>
    <w:bookmarkStart w:id="206" w:name="the-rogue-actor-and-proxy-attack-pathway"/>
    <w:p>
      <w:pPr>
        <w:pStyle w:val="Heading3"/>
      </w:pPr>
      <w:r>
        <w:t xml:space="preserve">28.2 The rogue-actor and proxy-attack pathway</w:t>
      </w:r>
    </w:p>
    <w:p>
      <w:pPr>
        <w:pStyle w:val="FirstParagraph"/>
      </w:pPr>
      <w:r>
        <w:t xml:space="preserve">An attack on a transiting vessel by an actor whose control attribution is unclear activates the proxy pathway: (1) the Center secures the scene record, including radar, AIS, communications, and observer data, under dual custody; (2) the Neutral Observation Office convenes a joint technical attribution review within 48 hours, applying the Dual Confirmation Standard; (3) the review publishes its findings on evidence, attribution confidence, and remaining unknowns within 14 days; and (4) where attribution converges, the matter routes to the claims channel of Article 32 and the compliance engine of Article 30. The pathway’s design premise is that unattributed attacks serve the enemies of the Pact, and that the fastest cure for proxy violence is shared evidence published before the politics hardens.</w:t>
      </w:r>
    </w:p>
    <w:bookmarkEnd w:id="206"/>
    <w:bookmarkStart w:id="207" w:name="interference-events"/>
    <w:p>
      <w:pPr>
        <w:pStyle w:val="Heading3"/>
      </w:pPr>
      <w:r>
        <w:t xml:space="preserve">28.3 Interference events</w:t>
      </w:r>
    </w:p>
    <w:p>
      <w:pPr>
        <w:pStyle w:val="FirstParagraph"/>
      </w:pPr>
      <w:r>
        <w:t xml:space="preserve">Jamming or spoofing of navigation signals, unauthorized hailing of merchant vessels, harassment by small craft, and illumination with fire-control radar constitute interference events. The signal-integrity watch of Article 10.3 logs each event with time, location, and technical signature; the Neutral Observation Office confirms; and confirmed interference events enter the point schedule of Annex C. A pattern of interference events converging on one origin classifies as a Material Disruption under Article 30.</w:t>
      </w:r>
    </w:p>
    <w:bookmarkEnd w:id="207"/>
    <w:bookmarkStart w:id="208" w:name="the-non-suspension-rule"/>
    <w:p>
      <w:pPr>
        <w:pStyle w:val="Heading3"/>
      </w:pPr>
      <w:r>
        <w:t xml:space="preserve">28.4 The non-suspension rule</w:t>
      </w:r>
    </w:p>
    <w:p>
      <w:pPr>
        <w:pStyle w:val="FirstParagraph"/>
      </w:pPr>
      <w:r>
        <w:t xml:space="preserve">No incident, however grave, suspends the corridor system as a whole. A defined area pauses under the flow-state rules of Article 11, for defined clocks, with humanitarian transit continuing. The Pact exists so that the world never again watches a single incident close a fifth of its energy supply.</w:t>
      </w:r>
    </w:p>
    <w:bookmarkEnd w:id="208"/>
    <w:bookmarkEnd w:id="209"/>
    <w:bookmarkStart w:id="214" w:name="Xe07f65b054cf7d9bae628270831c30dd3c2a1a1"/>
    <w:p>
      <w:pPr>
        <w:pStyle w:val="Heading2"/>
      </w:pPr>
      <w:r>
        <w:t xml:space="preserve">Article 29: Search and Rescue, Environment, and Crew Protections</w:t>
      </w:r>
    </w:p>
    <w:bookmarkStart w:id="210" w:name="the-distress-priority"/>
    <w:p>
      <w:pPr>
        <w:pStyle w:val="Heading3"/>
      </w:pPr>
      <w:r>
        <w:t xml:space="preserve">29.1 The distress priority</w:t>
      </w:r>
    </w:p>
    <w:p>
      <w:pPr>
        <w:pStyle w:val="FirstParagraph"/>
      </w:pPr>
      <w:r>
        <w:t xml:space="preserve">Distress outranks everything. A vessel or person in distress inside the Governance Area receives immediate response from the nearest capable unit of any Party, without reference to flag, cargo, class, or the political weather. The Center coordinates, the coastal states respond, and the record shows the response time. The distress priority never freezes, never pauses, and never conditions on anything.</w:t>
      </w:r>
    </w:p>
    <w:bookmarkEnd w:id="210"/>
    <w:bookmarkStart w:id="211" w:name="the-joint-search-and-rescue-framework"/>
    <w:p>
      <w:pPr>
        <w:pStyle w:val="Heading3"/>
      </w:pPr>
      <w:r>
        <w:t xml:space="preserve">29.2 The joint search and rescue framework</w:t>
      </w:r>
    </w:p>
    <w:p>
      <w:pPr>
        <w:pStyle w:val="FirstParagraph"/>
      </w:pPr>
      <w:r>
        <w:t xml:space="preserve">The coastal states operate a joint search and rescue framework coordinated by the Center: shared alert links, common radio discipline, a published response-time standard of 45 minutes to first unit on scene inside the corridors, and quarterly joint exercises alternating between the two littorals. The Neutral Observation Office observes each exercise and publishes a performance note. Search and rescue cooperation is the cheapest trust-builder in the Pact, and the calendar schedules it accordingly.</w:t>
      </w:r>
    </w:p>
    <w:bookmarkEnd w:id="211"/>
    <w:bookmarkStart w:id="212" w:name="environmental-protection"/>
    <w:p>
      <w:pPr>
        <w:pStyle w:val="Heading3"/>
      </w:pPr>
      <w:r>
        <w:t xml:space="preserve">29.3 Environmental protection</w:t>
      </w:r>
    </w:p>
    <w:p>
      <w:pPr>
        <w:pStyle w:val="FirstParagraph"/>
      </w:pPr>
      <w:r>
        <w:t xml:space="preserve">The Pact operates a standing environmental program: baseline monitoring of water quality and habitat indicators at twelve stations across the Governance Area, a pollution response standby capacity on 2-hour notice at both approaches, and a joint spill response protocol exercised twice yearly. Pollution response follows the polluter-pays principle where attribution converges, and the Fund carries the standby costs as a Catalog service. The environmental record publishes quarterly, and the environmental baseline of Annex H feeds the Stability Audit.</w:t>
      </w:r>
    </w:p>
    <w:bookmarkEnd w:id="212"/>
    <w:bookmarkStart w:id="213" w:name="crew-protections"/>
    <w:p>
      <w:pPr>
        <w:pStyle w:val="Heading3"/>
      </w:pPr>
      <w:r>
        <w:t xml:space="preserve">29.4 Crew protections</w:t>
      </w:r>
    </w:p>
    <w:p>
      <w:pPr>
        <w:pStyle w:val="FirstParagraph"/>
      </w:pPr>
      <w:r>
        <w:t xml:space="preserve">The Pact protects the human beings inside the steel. No Party detains a merchant crew for a documentation question; the Anchor-and-Verify Protocol addresses documents and cargo, and crews remain at liberty aboard their vessel or ashore at their consul’s disposal. A crew member in medical distress receives evacuation on the distress priority. The Bulletin publishes a monthly crew-welfare line, covering detentions, evacuations, and welfare complaints, because the mariners’ unions read it and their confidence moves ships.</w:t>
      </w:r>
    </w:p>
    <w:p>
      <w:r>
        <w:pict>
          <v:rect style="width:0;height:1.5pt" o:hralign="center" o:hrstd="t" o:hr="t"/>
        </w:pict>
      </w:r>
    </w:p>
    <w:bookmarkEnd w:id="213"/>
    <w:bookmarkEnd w:id="214"/>
    <w:bookmarkEnd w:id="215"/>
    <w:bookmarkStart w:id="240" w:name="Xb6fdcd97c52d18954ad8dae9c2347746eb850c0"/>
    <w:p>
      <w:pPr>
        <w:pStyle w:val="Heading1"/>
      </w:pPr>
      <w:r>
        <w:t xml:space="preserve">PART VII: COMPLIANCE, ACCOUNTABILITY, AND DISPUTE RESOLUTION</w:t>
      </w:r>
    </w:p>
    <w:bookmarkStart w:id="222" w:name="X81201e275b13fa056aa1ddc46348a6b6dc48b34"/>
    <w:p>
      <w:pPr>
        <w:pStyle w:val="Heading2"/>
      </w:pPr>
      <w:r>
        <w:t xml:space="preserve">Article 30: The Graduated Response and Restoration Engine</w:t>
      </w:r>
    </w:p>
    <w:bookmarkStart w:id="216" w:name="three-categories-of-events"/>
    <w:p>
      <w:pPr>
        <w:pStyle w:val="Heading3"/>
      </w:pPr>
      <w:r>
        <w:t xml:space="preserve">30.1 Three categories of events</w:t>
      </w:r>
    </w:p>
    <w:p>
      <w:pPr>
        <w:pStyle w:val="FirstParagraph"/>
      </w:pPr>
      <w:r>
        <w:t xml:space="preserve">Every compliance event under this Pact sorts into one of three categories, on the Neutral Observation Office’s certification under the Dual Confirmation Standard:</w:t>
      </w:r>
    </w:p>
    <w:p>
      <w:pPr>
        <w:numPr>
          <w:ilvl w:val="0"/>
          <w:numId w:val="1004"/>
        </w:numPr>
        <w:pStyle w:val="Compact"/>
      </w:pPr>
      <w:r>
        <w:t xml:space="preserve">Technical Deviation: an administrative or technical departure with no material effect on passage, safety, or the record. Examples: a late routine report, a single formatting failure, a scheduling error corrected within 24 hours. Response: quiet correction through technical channels, no points, no publication beyond the register.</w:t>
      </w:r>
    </w:p>
    <w:p>
      <w:pPr>
        <w:numPr>
          <w:ilvl w:val="0"/>
          <w:numId w:val="1004"/>
        </w:numPr>
        <w:pStyle w:val="Compact"/>
      </w:pPr>
      <w:r>
        <w:t xml:space="preserve">Material Disruption: an event with real operational effect or a pattern of unresolved technical deviations. Examples: obstruction of a verification patrol, an unexcused monitoring outage beyond 72 hours, a confirmed interference event, a vetting deficiency, a flow-state change outside the rules. Response: points under Annex C, a published finding, and a defined remediation window.</w:t>
      </w:r>
    </w:p>
    <w:p>
      <w:pPr>
        <w:numPr>
          <w:ilvl w:val="0"/>
          <w:numId w:val="1004"/>
        </w:numPr>
        <w:pStyle w:val="Compact"/>
      </w:pPr>
      <w:r>
        <w:t xml:space="preserve">Architectural Breach: an event that attacks the structure itself. Examples: a violation of the Non-Interdiction Protocol, the placing of a hazard, a confirmed diversion of Fund resources, falsification of the shared record, obstruction of the Neutral Observation Office. Response: the full ladder of Article 30.2, immediate referral to the Guarantor and Facilitation Panel, and the segregated-reimbursement link of Article 20.7 where financial mechanisms apply.</w:t>
      </w:r>
    </w:p>
    <w:bookmarkEnd w:id="216"/>
    <w:bookmarkStart w:id="217" w:name="the-graduated-response-ladder"/>
    <w:p>
      <w:pPr>
        <w:pStyle w:val="Heading3"/>
      </w:pPr>
      <w:r>
        <w:t xml:space="preserve">30.2 The graduated response ladder</w:t>
      </w:r>
    </w:p>
    <w:p>
      <w:pPr>
        <w:pStyle w:val="FirstParagraph"/>
      </w:pPr>
      <w:r>
        <w:t xml:space="preserve">Consequences follow a fixed ladder, sequenced so that the lightest instruments engage first and the core of the architecture disengages last, if at all:</w:t>
      </w:r>
    </w:p>
    <w:p>
      <w:pPr>
        <w:numPr>
          <w:ilvl w:val="0"/>
          <w:numId w:val="1005"/>
        </w:numPr>
        <w:pStyle w:val="Compact"/>
      </w:pPr>
      <w:r>
        <w:t xml:space="preserve">First affected: discretionary benefits, meaning new project approvals in the development pipeline and non-essential privileges of participation.</w:t>
      </w:r>
    </w:p>
    <w:p>
      <w:pPr>
        <w:numPr>
          <w:ilvl w:val="0"/>
          <w:numId w:val="1005"/>
        </w:numPr>
        <w:pStyle w:val="Compact"/>
      </w:pPr>
      <w:r>
        <w:t xml:space="preserve">Second affected: scheduled service reimbursements into the segregated sub-account of Article 20.7, with funds preserved and released on restoration.</w:t>
      </w:r>
    </w:p>
    <w:p>
      <w:pPr>
        <w:numPr>
          <w:ilvl w:val="0"/>
          <w:numId w:val="1005"/>
        </w:numPr>
        <w:pStyle w:val="Compact"/>
      </w:pPr>
      <w:r>
        <w:t xml:space="preserve">Third affected: voting participation on the specific measure family touched by the breach, never on unrelated business.</w:t>
      </w:r>
    </w:p>
    <w:p>
      <w:pPr>
        <w:numPr>
          <w:ilvl w:val="0"/>
          <w:numId w:val="1005"/>
        </w:numPr>
        <w:pStyle w:val="Compact"/>
      </w:pPr>
      <w:r>
        <w:t xml:space="preserve">Never affected: the humanitarian absolute, the distress priority, the corridor system’s operation, the Bulletin’s publication, the verification architecture, and any Party’s seat, voice, or access to the record.</w:t>
      </w:r>
    </w:p>
    <w:bookmarkEnd w:id="217"/>
    <w:bookmarkStart w:id="218" w:name="the-points-system"/>
    <w:p>
      <w:pPr>
        <w:pStyle w:val="Heading3"/>
      </w:pPr>
      <w:r>
        <w:t xml:space="preserve">30.3 The points system</w:t>
      </w:r>
    </w:p>
    <w:p>
      <w:pPr>
        <w:pStyle w:val="FirstParagraph"/>
      </w:pPr>
      <w:r>
        <w:t xml:space="preserve">Annex C assigns every classified event a point value. Points accumulate on a rolling 180-day ledger and decay automatically: a point expires 180 days after assessment if the Party maintains verified clean operation for that period. Escalation thresholds: 0 to 4 points, no measure beyond the base response; 5 to 7 points, a formal Council notice published on the record; 8 to 11 points, the second rung of the ladder engages; 12 or more points, the maximum graduated response engages for 30 days with intensive verification for 90 days. No threshold produces collapse, expulsion, or snapback. The architecture explicitly excludes snapback from every pathway: no event, at any point level, terminates this Pact, suspends the corridors, or excludes a Party permanently.</w:t>
      </w:r>
    </w:p>
    <w:bookmarkEnd w:id="218"/>
    <w:bookmarkStart w:id="219" w:name="restoration-and-earn-back"/>
    <w:p>
      <w:pPr>
        <w:pStyle w:val="Heading3"/>
      </w:pPr>
      <w:r>
        <w:t xml:space="preserve">30.4 Restoration and earn-back</w:t>
      </w:r>
    </w:p>
    <w:p>
      <w:pPr>
        <w:pStyle w:val="FirstParagraph"/>
      </w:pPr>
      <w:r>
        <w:t xml:space="preserve">Every consequence carries an automatic restoration pathway. Restoration follows four steps: (1) the Party completes the remediation the finding specifies; (2) the Neutral Observation Office verifies completion under the Dual Confirmation Standard; (3) the consequence reverses on the same clock it engaged, with segregated funds released and privileges restored; and (4) the ledger records the restoration with the same prominence as the finding. Sustained clean operation earns an acceleration credit that shortens any restoration clock by up to 25 percent. Full restoration returns the Party to complete standing, and the operational ledger carries no permanent stain. The archive remembers everything; the standing ledger forgives on performance.</w:t>
      </w:r>
    </w:p>
    <w:bookmarkEnd w:id="219"/>
    <w:bookmarkStart w:id="220" w:name="the-good-faith-reset"/>
    <w:p>
      <w:pPr>
        <w:pStyle w:val="Heading3"/>
      </w:pPr>
      <w:r>
        <w:t xml:space="preserve">30.5 The Good Faith Reset</w:t>
      </w:r>
    </w:p>
    <w:p>
      <w:pPr>
        <w:pStyle w:val="FirstParagraph"/>
      </w:pPr>
      <w:r>
        <w:t xml:space="preserve">Once in any 24-month period, either Founding Party calls a Good Faith Reset: the operational points ledger of both Parties zeroes, the archive remains untouched, and the Council records the Reset with a joint statement of forward intent. A Reset never erases an Architectural Breach under active remediation, never touches the financial audit trail, and never recurs within its 24-month clock. The Reset exists because architectures that never forgive teach their members to stop trying.</w:t>
      </w:r>
    </w:p>
    <w:bookmarkEnd w:id="220"/>
    <w:bookmarkStart w:id="221" w:name="cross-module-spillover-protection"/>
    <w:p>
      <w:pPr>
        <w:pStyle w:val="Heading3"/>
      </w:pPr>
      <w:r>
        <w:t xml:space="preserve">30.6 Cross-module spillover protection</w:t>
      </w:r>
    </w:p>
    <w:p>
      <w:pPr>
        <w:pStyle w:val="FirstParagraph"/>
      </w:pPr>
      <w:r>
        <w:t xml:space="preserve">A compliance event in one module touches another module only on a certified spillover finding: the Guarantor and Facilitation Panel certifies, by consensus minus the affected Party, that the event’s operational effect genuinely crosses modules. Absent certification, modules breathe independently: a navigation dispute never touches development disbursements, a financial dispute never touches the watch floor, and a development dispute never touches passage. Spillover protection is the Pact’s firewall against cascade failure.</w:t>
      </w:r>
    </w:p>
    <w:bookmarkEnd w:id="221"/>
    <w:bookmarkEnd w:id="222"/>
    <w:bookmarkStart w:id="227" w:name="article-31-the-hormuz-watch"/>
    <w:p>
      <w:pPr>
        <w:pStyle w:val="Heading2"/>
      </w:pPr>
      <w:r>
        <w:t xml:space="preserve">Article 31: The Hormuz Watch</w:t>
      </w:r>
    </w:p>
    <w:bookmarkStart w:id="223" w:name="the-mechanism"/>
    <w:p>
      <w:pPr>
        <w:pStyle w:val="Heading3"/>
      </w:pPr>
      <w:r>
        <w:t xml:space="preserve">31.1 The mechanism</w:t>
      </w:r>
    </w:p>
    <w:p>
      <w:pPr>
        <w:pStyle w:val="FirstParagraph"/>
      </w:pPr>
      <w:r>
        <w:t xml:space="preserve">The Hormuz Watch is the Pact’s structured pause: a time-buffered state in which the Parties slow a mechanism down without breaking it. Either Founding Party, or the Guarantor and Facilitation Panel, activates the Watch by written notice stating the mechanism concerned and the grounds. The Watch engages within 24 hours and runs for an initial 30 days, extendable once by 30 days on a Panel determination.</w:t>
      </w:r>
    </w:p>
    <w:bookmarkEnd w:id="223"/>
    <w:bookmarkStart w:id="224" w:name="what-pauses"/>
    <w:p>
      <w:pPr>
        <w:pStyle w:val="Heading3"/>
      </w:pPr>
      <w:r>
        <w:t xml:space="preserve">31.2 What pauses</w:t>
      </w:r>
    </w:p>
    <w:p>
      <w:pPr>
        <w:pStyle w:val="FirstParagraph"/>
      </w:pPr>
      <w:r>
        <w:t xml:space="preserve">During a Watch, the specific mechanism under notice freezes: no new decisions under it, no new obligations under it, no new disbursements under it. The freeze is surgical, named in the notice, and bounded by the notice.</w:t>
      </w:r>
    </w:p>
    <w:bookmarkEnd w:id="224"/>
    <w:bookmarkStart w:id="225" w:name="what-never-pauses"/>
    <w:p>
      <w:pPr>
        <w:pStyle w:val="Heading3"/>
      </w:pPr>
      <w:r>
        <w:t xml:space="preserve">31.3 What never pauses</w:t>
      </w:r>
    </w:p>
    <w:p>
      <w:pPr>
        <w:pStyle w:val="FirstParagraph"/>
      </w:pPr>
      <w:r>
        <w:t xml:space="preserve">The Watch never touches: the corridors, passage, the Zero-Toll Rule, the Non-Interdiction Protocol, the Bulletin, the verification architecture, the distress priority, the humanitarian locks, the audit trail, or any Party’s seat and voice. The water keeps working while the politics breathes.</w:t>
      </w:r>
    </w:p>
    <w:bookmarkEnd w:id="225"/>
    <w:bookmarkStart w:id="226" w:name="exit-from-the-watch"/>
    <w:p>
      <w:pPr>
        <w:pStyle w:val="Heading3"/>
      </w:pPr>
      <w:r>
        <w:t xml:space="preserve">31.4 Exit from the Watch</w:t>
      </w:r>
    </w:p>
    <w:p>
      <w:pPr>
        <w:pStyle w:val="FirstParagraph"/>
      </w:pPr>
      <w:r>
        <w:t xml:space="preserve">The Watch exits in one of three ways: the consulting Parties resolve the matter and jointly lift it; the Guarantor and Facilitation Panel determines the matter within its 120-hour clock; or the Watch expires at its time limit and the mechanism resumes automatically at full force. Expiry restores, always. The Watch is a waiting room with a door that opens by itself.</w:t>
      </w:r>
    </w:p>
    <w:bookmarkEnd w:id="226"/>
    <w:bookmarkEnd w:id="227"/>
    <w:bookmarkStart w:id="232" w:name="Xcca7268a0365937a55b29d53c68c7dcc5d3e1c8"/>
    <w:p>
      <w:pPr>
        <w:pStyle w:val="Heading2"/>
      </w:pPr>
      <w:r>
        <w:t xml:space="preserve">Article 32: Substantiated Claims, the Performance Bond, and the Standing Ledger</w:t>
      </w:r>
    </w:p>
    <w:bookmarkStart w:id="228" w:name="the-claim-standard"/>
    <w:p>
      <w:pPr>
        <w:pStyle w:val="Heading3"/>
      </w:pPr>
      <w:r>
        <w:t xml:space="preserve">32.1 The claim standard</w:t>
      </w:r>
    </w:p>
    <w:p>
      <w:pPr>
        <w:pStyle w:val="FirstParagraph"/>
      </w:pPr>
      <w:r>
        <w:t xml:space="preserve">A Party, the Neutral Administrator, or an observer state through a Party presents a claim of non-compliance only in writing, with evidence attached, through the Neutral Observation Office. A claim without evidence fails on receipt and records against the claimant’s own standing. The Office acknowledges every claim within 24 hours and opens convergence review within 72 hours.</w:t>
      </w:r>
    </w:p>
    <w:bookmarkEnd w:id="228"/>
    <w:bookmarkStart w:id="229" w:name="the-performance-bond"/>
    <w:p>
      <w:pPr>
        <w:pStyle w:val="Heading3"/>
      </w:pPr>
      <w:r>
        <w:t xml:space="preserve">32.2 The Performance Bond</w:t>
      </w:r>
    </w:p>
    <w:p>
      <w:pPr>
        <w:pStyle w:val="FirstParagraph"/>
      </w:pPr>
      <w:r>
        <w:t xml:space="preserve">Each Founding Party posts a performance bond of 10 million Swiss francs into the Fund’s segregated bond account at entry into force, and each Acceding Party posts a scaled bond at accession per Annex B. A substantiated claim that survives convergence review and the dispute tiers draws costs against the responsible Party’s bond; a frivolous claim draws costs against the claimant’s bond. The bond converts sincerity into the cheapest currency the Pact has: filing false claims costs money, filing true ones does not.</w:t>
      </w:r>
    </w:p>
    <w:bookmarkEnd w:id="229"/>
    <w:bookmarkStart w:id="230" w:name="determination"/>
    <w:p>
      <w:pPr>
        <w:pStyle w:val="Heading3"/>
      </w:pPr>
      <w:r>
        <w:t xml:space="preserve">32.3 Determination</w:t>
      </w:r>
    </w:p>
    <w:p>
      <w:pPr>
        <w:pStyle w:val="FirstParagraph"/>
      </w:pPr>
      <w:r>
        <w:t xml:space="preserve">Claims resolve through the dispute tiers of Article 33. A determination states the facts found, the classification if any, the remediation if any, and the costs. Every determination publishes. The Registry of determinations forms the Pact’s case law, and the Technical Standards Committee cites it in every subsequent review.</w:t>
      </w:r>
    </w:p>
    <w:bookmarkEnd w:id="230"/>
    <w:bookmarkStart w:id="231" w:name="the-standing-ledger"/>
    <w:p>
      <w:pPr>
        <w:pStyle w:val="Heading3"/>
      </w:pPr>
      <w:r>
        <w:t xml:space="preserve">32.4 The Standing Ledger</w:t>
      </w:r>
    </w:p>
    <w:p>
      <w:pPr>
        <w:pStyle w:val="FirstParagraph"/>
      </w:pPr>
      <w:r>
        <w:t xml:space="preserve">The Neutral Observation Office maintains the Standing Ledger, a running public account of each Party’s points, findings, restorations, resets, and clean-operation streaks. The Ledger publishes monthly with the Bulletin. Standing in the Ledger affects three practical things: the acceleration credit of Article 30.4, the rotation order for honorary roles, and the confidence statements of Article 19.7. Standing never affects passage, votes on unrelated business, or any right registered in the Red Lines Register.</w:t>
      </w:r>
    </w:p>
    <w:bookmarkEnd w:id="231"/>
    <w:bookmarkEnd w:id="232"/>
    <w:bookmarkStart w:id="239" w:name="article-33-dispute-resolution"/>
    <w:p>
      <w:pPr>
        <w:pStyle w:val="Heading2"/>
      </w:pPr>
      <w:r>
        <w:t xml:space="preserve">Article 33: Dispute Resolution</w:t>
      </w:r>
    </w:p>
    <w:bookmarkStart w:id="233" w:name="the-tiered-structure"/>
    <w:p>
      <w:pPr>
        <w:pStyle w:val="Heading3"/>
      </w:pPr>
      <w:r>
        <w:t xml:space="preserve">33.1 The tiered structure</w:t>
      </w:r>
    </w:p>
    <w:p>
      <w:pPr>
        <w:pStyle w:val="FirstParagraph"/>
      </w:pPr>
      <w:r>
        <w:t xml:space="preserve">Disputes resolve through four tiers, in sequence, each with its own clock. A dispute enters at tier one and climbs only on failure. No tier exceeds 30 days except by joint written extension, and the total pathway from filing to final determination never exceeds 120 days.</w:t>
      </w:r>
    </w:p>
    <w:bookmarkEnd w:id="233"/>
    <w:bookmarkStart w:id="234" w:name="the-facilitation-tier"/>
    <w:p>
      <w:pPr>
        <w:pStyle w:val="Heading3"/>
      </w:pPr>
      <w:r>
        <w:t xml:space="preserve">33.2 The facilitation tier</w:t>
      </w:r>
    </w:p>
    <w:p>
      <w:pPr>
        <w:pStyle w:val="FirstParagraph"/>
      </w:pPr>
      <w:r>
        <w:t xml:space="preserve">The Mediator of Record convenes the disputing Parties within 7 days of filing and facilitates a negotiated resolution within 30 days. Facilitation is confidential, without prejudice, and off the public record except for the fact of its occurrence and its outcome. Most disputes end here, because most disputes are misunderstandings with better lighting.</w:t>
      </w:r>
    </w:p>
    <w:bookmarkEnd w:id="234"/>
    <w:bookmarkStart w:id="235" w:name="the-independent-technical-referee"/>
    <w:p>
      <w:pPr>
        <w:pStyle w:val="Heading3"/>
      </w:pPr>
      <w:r>
        <w:t xml:space="preserve">33.3 The independent technical referee</w:t>
      </w:r>
    </w:p>
    <w:p>
      <w:pPr>
        <w:pStyle w:val="FirstParagraph"/>
      </w:pPr>
      <w:r>
        <w:t xml:space="preserve">Where a dispute turns on a technical fact, either Party refers the fact to the independent technical referee, appointed from a roster maintained by the Neutral Administrator with the Council’s approval. The referee determines the technical fact within 21 days, on the registry record plus any inspection the Dual Confirmation Standard supports. The determination binds all Parties on the technical fact and touches no policy question. Policy returns to the facilitation tier with the fact settled.</w:t>
      </w:r>
    </w:p>
    <w:bookmarkEnd w:id="235"/>
    <w:bookmarkStart w:id="236" w:name="X147bccb91b8806722c3f36997d5474569fb8dfd"/>
    <w:p>
      <w:pPr>
        <w:pStyle w:val="Heading3"/>
      </w:pPr>
      <w:r>
        <w:t xml:space="preserve">33.4 The Guarantor and Facilitation Panel tier</w:t>
      </w:r>
    </w:p>
    <w:p>
      <w:pPr>
        <w:pStyle w:val="FirstParagraph"/>
      </w:pPr>
      <w:r>
        <w:t xml:space="preserve">A dispute unresolved at facilitation arrives at the Guarantor and Facilitation Panel, which convenes within 48 hours, issues a preliminary determination within 72 hours, and issues a final determination within 120 hours of convening. The Panel’s final determination binds the operation of the mechanisms. The Panel possesses no military, police, or sanctioning power; its authority flows from the automaticity of the mechanisms it certifies and from the Parties’ standing consent recorded in this Article.</w:t>
      </w:r>
    </w:p>
    <w:bookmarkEnd w:id="236"/>
    <w:bookmarkStart w:id="237" w:name="X31b958f81160771c37527e5fd99123701c316ac"/>
    <w:p>
      <w:pPr>
        <w:pStyle w:val="Heading3"/>
      </w:pPr>
      <w:r>
        <w:t xml:space="preserve">33.5 The Escalation Cap and the silence clause</w:t>
      </w:r>
    </w:p>
    <w:p>
      <w:pPr>
        <w:pStyle w:val="FirstParagraph"/>
      </w:pPr>
      <w:r>
        <w:t xml:space="preserve">The dispute pathway ends at the Panel. The architecture caps escalation there: no dispute under this Pact travels to sanctions, force, or public denunciation as an instrument of Pact enforcement, and no Party invokes an external forum to overturn a Panel determination on a matter this Pact governs. Between clocks, silence governs: where a Party fails to respond within a tier’s clock, the record as it stands governs the interim, operations continue, and the clock rolls to the next tier. No actor profits from silence, and no actor suffers for it beyond the interim state.</w:t>
      </w:r>
    </w:p>
    <w:bookmarkEnd w:id="237"/>
    <w:bookmarkStart w:id="238" w:name="interim-measures"/>
    <w:p>
      <w:pPr>
        <w:pStyle w:val="Heading3"/>
      </w:pPr>
      <w:r>
        <w:t xml:space="preserve">33.6 Interim measures</w:t>
      </w:r>
    </w:p>
    <w:p>
      <w:pPr>
        <w:pStyle w:val="FirstParagraph"/>
      </w:pPr>
      <w:r>
        <w:t xml:space="preserve">Where a dispute touches an active safety risk, the Center applies interim measures at once: a flow-state adjustment, a routing notice, a cautionary broadcast. Interim measures protect the water while the tiers protect the process, and they expire automatically when the pathway closes.</w:t>
      </w:r>
    </w:p>
    <w:p>
      <w:r>
        <w:pict>
          <v:rect style="width:0;height:1.5pt" o:hralign="center" o:hrstd="t" o:hr="t"/>
        </w:pict>
      </w:r>
    </w:p>
    <w:bookmarkEnd w:id="238"/>
    <w:bookmarkEnd w:id="239"/>
    <w:bookmarkEnd w:id="240"/>
    <w:bookmarkStart w:id="271" w:name="Xc16a92a2d69b9a6b2ae46d905c36fa4a61a9cff"/>
    <w:p>
      <w:pPr>
        <w:pStyle w:val="Heading1"/>
      </w:pPr>
      <w:r>
        <w:t xml:space="preserve">PART VIII: CONTINUITY, ACCESSION, AND FINAL PROVISIONS</w:t>
      </w:r>
    </w:p>
    <w:bookmarkStart w:id="246" w:name="X1b0571e7150fa722b528d9d370252287086e3c8"/>
    <w:p>
      <w:pPr>
        <w:pStyle w:val="Heading2"/>
      </w:pPr>
      <w:r>
        <w:t xml:space="preserve">Article 34: Accession and the Multilateral Expansion Path</w:t>
      </w:r>
    </w:p>
    <w:bookmarkStart w:id="241" w:name="the-open-path"/>
    <w:p>
      <w:pPr>
        <w:pStyle w:val="Heading3"/>
      </w:pPr>
      <w:r>
        <w:t xml:space="preserve">34.1 The open path</w:t>
      </w:r>
    </w:p>
    <w:p>
      <w:pPr>
        <w:pStyle w:val="FirstParagraph"/>
      </w:pPr>
      <w:r>
        <w:t xml:space="preserve">The Pact holds a standing open door to every Gulf littoral state: the United Arab Emirates, the Kingdom of Saudi Arabia, the State of Qatar, the Kingdom of Bahrain, the State of Kuwait, and the Republic of Iraq. The door has no time limit, no political precondition, and no queue. A state joins when it decides, on the text as it stands.</w:t>
      </w:r>
    </w:p>
    <w:bookmarkEnd w:id="241"/>
    <w:bookmarkStart w:id="242" w:name="the-accession-sequence"/>
    <w:p>
      <w:pPr>
        <w:pStyle w:val="Heading3"/>
      </w:pPr>
      <w:r>
        <w:t xml:space="preserve">34.2 The accession sequence</w:t>
      </w:r>
    </w:p>
    <w:p>
      <w:pPr>
        <w:pStyle w:val="FirstParagraph"/>
      </w:pPr>
      <w:r>
        <w:t xml:space="preserve">Accession follows four steps: (1) the state deposits a model accession instrument of Annex F with the Depositary; (2) the Depositary notifies all Parties within 7 days; (3) the accession takes effect 30 days after deposit, with the staffing additions of Annex E and the contribution schedule of Annex B engaging automatically; and (4) the Council welcomes the new Party at its next session, with the paired seats, the vote, and the obligations all active from the effective date.</w:t>
      </w:r>
    </w:p>
    <w:bookmarkEnd w:id="242"/>
    <w:bookmarkStart w:id="243" w:name="effect-of-accession"/>
    <w:p>
      <w:pPr>
        <w:pStyle w:val="Heading3"/>
      </w:pPr>
      <w:r>
        <w:t xml:space="preserve">34.3 Effect of accession</w:t>
      </w:r>
    </w:p>
    <w:p>
      <w:pPr>
        <w:pStyle w:val="FirstParagraph"/>
      </w:pPr>
      <w:r>
        <w:t xml:space="preserve">An Acceding Party holds every right and obligation of a Littoral Party from its effective date: Council seats, watch-floor pairing, access to the full record, the development allocation formula, and the Twin Key’s protection against decisions that bind it without its voice. The Twin Key itself remains with the Founding Parties; all other passage-operative decisions engage the acceding state’s vote through the consensus rule of Article 17.3.</w:t>
      </w:r>
    </w:p>
    <w:bookmarkEnd w:id="243"/>
    <w:bookmarkStart w:id="244" w:name="the-attachment-module-1"/>
    <w:p>
      <w:pPr>
        <w:pStyle w:val="Heading3"/>
      </w:pPr>
      <w:r>
        <w:t xml:space="preserve">34.4 The attachment module</w:t>
      </w:r>
    </w:p>
    <w:p>
      <w:pPr>
        <w:pStyle w:val="FirstParagraph"/>
      </w:pPr>
      <w:r>
        <w:t xml:space="preserve">The wider settlement attaches this Pact through the model instruments of Annex F, per Article 25.2. Attachment is a political act of the MOU parties; the Pact’s organs note it, synchronize calendars where elected, and change nothing else.</w:t>
      </w:r>
    </w:p>
    <w:bookmarkEnd w:id="244"/>
    <w:bookmarkStart w:id="245" w:name="adherence-by-security-liaisons"/>
    <w:p>
      <w:pPr>
        <w:pStyle w:val="Heading3"/>
      </w:pPr>
      <w:r>
        <w:t xml:space="preserve">34.5 Adherence by security liaisons</w:t>
      </w:r>
    </w:p>
    <w:p>
      <w:pPr>
        <w:pStyle w:val="FirstParagraph"/>
      </w:pPr>
      <w:r>
        <w:t xml:space="preserve">A state with naval forces operating near the Governance Area adheres to the Non-Interdiction Protocol and the standoff geometry through the adherence instrument of Annex F, without becoming a Party and without any governance role. Adherence binds the adhering state’s forces to Articles 10 and 27 within the Governance Area and opens the military deconfliction channel to its liaison officer. Adherence revokes on 90 days’ notice, and revocation touches nothing else.</w:t>
      </w:r>
    </w:p>
    <w:bookmarkEnd w:id="245"/>
    <w:bookmarkEnd w:id="246"/>
    <w:bookmarkStart w:id="251" w:name="article-35-amendment-and-review"/>
    <w:p>
      <w:pPr>
        <w:pStyle w:val="Heading2"/>
      </w:pPr>
      <w:r>
        <w:t xml:space="preserve">Article 35: Amendment and Review</w:t>
      </w:r>
    </w:p>
    <w:bookmarkStart w:id="247" w:name="ordinary-amendment"/>
    <w:p>
      <w:pPr>
        <w:pStyle w:val="Heading3"/>
      </w:pPr>
      <w:r>
        <w:t xml:space="preserve">35.1 Ordinary amendment</w:t>
      </w:r>
    </w:p>
    <w:p>
      <w:pPr>
        <w:pStyle w:val="FirstParagraph"/>
      </w:pPr>
      <w:r>
        <w:t xml:space="preserve">A Party proposes an amendment in writing to the Council. An ordinary amendment, touching no Red Line and no corridor geometry, adopts by consensus of the Littoral Parties and takes effect 30 days after adoption. The full text publishes with the adoption record.</w:t>
      </w:r>
    </w:p>
    <w:bookmarkEnd w:id="247"/>
    <w:bookmarkStart w:id="248" w:name="elevated-amendment"/>
    <w:p>
      <w:pPr>
        <w:pStyle w:val="Heading3"/>
      </w:pPr>
      <w:r>
        <w:t xml:space="preserve">35.2 Elevated amendment</w:t>
      </w:r>
    </w:p>
    <w:p>
      <w:pPr>
        <w:pStyle w:val="FirstParagraph"/>
      </w:pPr>
      <w:r>
        <w:t xml:space="preserve">An amendment touching a Red Line entry, corridor geometry, the Zero-Toll Rule, the Twin Key Rule, or this Article adopts by consensus of all Littoral Parties plus ratification by each of them under their respective constitutional procedures. The elevated bar reflects the stakes: the core bargain changes only when every capital chooses the change twice.</w:t>
      </w:r>
    </w:p>
    <w:bookmarkEnd w:id="248"/>
    <w:bookmarkStart w:id="249" w:name="the-symmetry-review"/>
    <w:p>
      <w:pPr>
        <w:pStyle w:val="Heading3"/>
      </w:pPr>
      <w:r>
        <w:t xml:space="preserve">35.3 The symmetry review</w:t>
      </w:r>
    </w:p>
    <w:p>
      <w:pPr>
        <w:pStyle w:val="FirstParagraph"/>
      </w:pPr>
      <w:r>
        <w:t xml:space="preserve">Every proposed amendment passes the political acceptability rule of Article 3.1 before adoption: the Council records a written symmetry review stating how the amendment binds every Party through the same architecture, what visible benefit it produces for every public, and how each Party presents it domestically as co-governance. An amendment that fails the symmetry review returns to its sponsor with the review attached.</w:t>
      </w:r>
    </w:p>
    <w:bookmarkEnd w:id="249"/>
    <w:bookmarkStart w:id="250" w:name="the-annual-review-conference"/>
    <w:p>
      <w:pPr>
        <w:pStyle w:val="Heading3"/>
      </w:pPr>
      <w:r>
        <w:t xml:space="preserve">35.4 The annual review conference</w:t>
      </w:r>
    </w:p>
    <w:p>
      <w:pPr>
        <w:pStyle w:val="FirstParagraph"/>
      </w:pPr>
      <w:r>
        <w:t xml:space="preserve">The Council convenes an annual Open Water Review Conference, open to every participant layer, to review the year’s record: the Stability Audit results, the audit reports, the Prosperity Report, the Standing Ledger, and the user feedback channel’s findings. The Conference issues a public communiqué and a forward work program. The Conference amends nothing by itself; it illuminates everything.</w:t>
      </w:r>
    </w:p>
    <w:bookmarkEnd w:id="250"/>
    <w:bookmarkEnd w:id="251"/>
    <w:bookmarkStart w:id="258" w:name="X1137e1a2a660afc60763d26fab7e37546cf13f4"/>
    <w:p>
      <w:pPr>
        <w:pStyle w:val="Heading2"/>
      </w:pPr>
      <w:r>
        <w:t xml:space="preserve">Article 36: Transition, Succession, Withdrawal, and Reconstitution</w:t>
      </w:r>
    </w:p>
    <w:bookmarkStart w:id="252" w:name="phased-activation"/>
    <w:p>
      <w:pPr>
        <w:pStyle w:val="Heading3"/>
      </w:pPr>
      <w:r>
        <w:t xml:space="preserve">36.1 Phased activation</w:t>
      </w:r>
    </w:p>
    <w:p>
      <w:pPr>
        <w:pStyle w:val="FirstParagraph"/>
      </w:pPr>
      <w:r>
        <w:t xml:space="preserve">The Pact activates in phases per Annex E: stand-up of the Center and the registry, the Day One declarations, the survey sequence, sequential corridor activation, the pilot period of reduced rates and intensified verification, the Stability Audit, and full operation. Each phase certifies through the Neutral Observation Office, and each certification banks permanently.</w:t>
      </w:r>
    </w:p>
    <w:bookmarkEnd w:id="252"/>
    <w:bookmarkStart w:id="253" w:name="succession"/>
    <w:p>
      <w:pPr>
        <w:pStyle w:val="Heading3"/>
      </w:pPr>
      <w:r>
        <w:t xml:space="preserve">36.2 Succession</w:t>
      </w:r>
    </w:p>
    <w:p>
      <w:pPr>
        <w:pStyle w:val="FirstParagraph"/>
      </w:pPr>
      <w:r>
        <w:t xml:space="preserve">The obligations of this Pact attach to each Party as a state. A change of government, head of state, or administration changes nothing: every incoming authority inherits the Pact in full from its first day, and the Depositary notes the succession on the record.</w:t>
      </w:r>
    </w:p>
    <w:bookmarkEnd w:id="253"/>
    <w:bookmarkStart w:id="254" w:name="succession-of-prior-structures"/>
    <w:p>
      <w:pPr>
        <w:pStyle w:val="Heading3"/>
      </w:pPr>
      <w:r>
        <w:t xml:space="preserve">36.3 Succession of prior structures</w:t>
      </w:r>
    </w:p>
    <w:p>
      <w:pPr>
        <w:pStyle w:val="FirstParagraph"/>
      </w:pPr>
      <w:r>
        <w:t xml:space="preserve">The passage functions, records, and operational practices of prior national control structures touching the Strait fold into the Center at activation: notification archives transfer into dual custody, watchstanding practices harmonize to the Mariners’ Handbook, and prior bilateral routing understandings between the Founding Parties operate as the technical baseline of Annex A until the Council’s first geometry review. Nothing built at the negotiating table goes to waste.</w:t>
      </w:r>
    </w:p>
    <w:bookmarkEnd w:id="254"/>
    <w:bookmarkStart w:id="255" w:name="withdrawal"/>
    <w:p>
      <w:pPr>
        <w:pStyle w:val="Heading3"/>
      </w:pPr>
      <w:r>
        <w:t xml:space="preserve">36.4 Withdrawal</w:t>
      </w:r>
    </w:p>
    <w:p>
      <w:pPr>
        <w:pStyle w:val="FirstParagraph"/>
      </w:pPr>
      <w:r>
        <w:t xml:space="preserve">A Party withdraws by written notice to the Depositary, and withdrawal takes effect 12 months after notice. During the notice period the Party participates in full, the corridors operate at full standard, and the withdrawing Party’s earned benefits bank under the Continuity Guarantee. Withdrawal ends membership; it erases no record, no certification, and no obligation accrued before the effective date. Withdrawal is a door, not a detonator.</w:t>
      </w:r>
    </w:p>
    <w:bookmarkEnd w:id="255"/>
    <w:bookmarkStart w:id="256" w:name="reconstitution"/>
    <w:p>
      <w:pPr>
        <w:pStyle w:val="Heading3"/>
      </w:pPr>
      <w:r>
        <w:t xml:space="preserve">36.5 Reconstitution</w:t>
      </w:r>
    </w:p>
    <w:p>
      <w:pPr>
        <w:pStyle w:val="FirstParagraph"/>
      </w:pPr>
      <w:r>
        <w:t xml:space="preserve">Where every Party but one withdraws, the remaining Party, the Neutral Administrator, and the facilitators convene within 60 days to reconstitute the architecture’s essential functions: the registry, the Bulletin, the distress priority, and the custody of the record. The essential functions persist as a caretaker framework until Parties return, and the reconstitution plan publishes to every former Party. The Pact designs even its own dormancy to be reversible.</w:t>
      </w:r>
    </w:p>
    <w:bookmarkEnd w:id="256"/>
    <w:bookmarkStart w:id="257" w:name="X4a1161b4c00fc98207039e3f84957e4ba925f25"/>
    <w:p>
      <w:pPr>
        <w:pStyle w:val="Heading3"/>
      </w:pPr>
      <w:r>
        <w:t xml:space="preserve">36.6 The Essential Functions Protocol and the Continuity of Operations Plan</w:t>
      </w:r>
    </w:p>
    <w:p>
      <w:pPr>
        <w:pStyle w:val="FirstParagraph"/>
      </w:pPr>
      <w:r>
        <w:t xml:space="preserve">Five functions never stop under any circumstance, including mass withdrawal, financial crisis, or external conflict: the shared registry and archive, the Open Water Bulletin, the distress priority link, the dual-custody record, and the humanitarian locks. The Neutral Administrator holds the standing Continuity of Operations Plan for these five functions, reviews it annually, and tests it through the failover drills of Article 14.1. The plan’s resources ride the humanitarian reserve of Article 20.2.</w:t>
      </w:r>
    </w:p>
    <w:bookmarkEnd w:id="257"/>
    <w:bookmarkEnd w:id="258"/>
    <w:bookmarkStart w:id="270" w:name="article-37-final-provisions"/>
    <w:p>
      <w:pPr>
        <w:pStyle w:val="Heading2"/>
      </w:pPr>
      <w:r>
        <w:t xml:space="preserve">Article 37: Final Provisions</w:t>
      </w:r>
    </w:p>
    <w:bookmarkStart w:id="259" w:name="entry-into-force"/>
    <w:p>
      <w:pPr>
        <w:pStyle w:val="Heading3"/>
      </w:pPr>
      <w:r>
        <w:t xml:space="preserve">37.1 Entry into force</w:t>
      </w:r>
    </w:p>
    <w:p>
      <w:pPr>
        <w:pStyle w:val="FirstParagraph"/>
      </w:pPr>
      <w:r>
        <w:t xml:space="preserve">This Pact enters into force upon signature by both Founding Parties and deposit of the instruments with the Depositary. The Day One declarations of Article 12.2 and Annex E execute within 24 hours of entry into force.</w:t>
      </w:r>
    </w:p>
    <w:bookmarkEnd w:id="259"/>
    <w:bookmarkStart w:id="260" w:name="depositary"/>
    <w:p>
      <w:pPr>
        <w:pStyle w:val="Heading3"/>
      </w:pPr>
      <w:r>
        <w:t xml:space="preserve">37.2 Depositary</w:t>
      </w:r>
    </w:p>
    <w:p>
      <w:pPr>
        <w:pStyle w:val="FirstParagraph"/>
      </w:pPr>
      <w:r>
        <w:t xml:space="preserve">The Sultanate of Oman, Ministry of Foreign Affairs, serves as Depositary: it receives instruments, notifies Parties, maintains the authentic texts, and performs the functions this instrument assigns to it.</w:t>
      </w:r>
    </w:p>
    <w:bookmarkEnd w:id="260"/>
    <w:bookmarkStart w:id="261" w:name="authentic-texts"/>
    <w:p>
      <w:pPr>
        <w:pStyle w:val="Heading3"/>
      </w:pPr>
      <w:r>
        <w:t xml:space="preserve">37.3 Authentic texts</w:t>
      </w:r>
    </w:p>
    <w:p>
      <w:pPr>
        <w:pStyle w:val="FirstParagraph"/>
      </w:pPr>
      <w:r>
        <w:t xml:space="preserve">This Pact exists in Persian, Arabic, and English, each text equally authentic. Where the texts diverge in a technical matter, the English text governs the technical annexes and the Council resolves divergence in the articles by consensus.</w:t>
      </w:r>
    </w:p>
    <w:bookmarkEnd w:id="261"/>
    <w:bookmarkStart w:id="262" w:name="registration"/>
    <w:p>
      <w:pPr>
        <w:pStyle w:val="Heading3"/>
      </w:pPr>
      <w:r>
        <w:t xml:space="preserve">37.4 Registration</w:t>
      </w:r>
    </w:p>
    <w:p>
      <w:pPr>
        <w:pStyle w:val="FirstParagraph"/>
      </w:pPr>
      <w:r>
        <w:t xml:space="preserve">The Depositary registers this Pact with the Secretariat of the United Nations under Article 102 of the Charter, and the Parties jointly notify the corridor geometry of Annex A to the International Maritime Organization under Article 2.5.</w:t>
      </w:r>
    </w:p>
    <w:bookmarkEnd w:id="262"/>
    <w:bookmarkStart w:id="263" w:name="security-assurances"/>
    <w:p>
      <w:pPr>
        <w:pStyle w:val="Heading3"/>
      </w:pPr>
      <w:r>
        <w:t xml:space="preserve">37.5 Security assurances</w:t>
      </w:r>
    </w:p>
    <w:p>
      <w:pPr>
        <w:pStyle w:val="FirstParagraph"/>
      </w:pPr>
      <w:r>
        <w:t xml:space="preserve">Nothing in this Pact constitutes a security guarantee, an alliance obligation, or a commitment of forces by any Party or participant. The Pact’s security contribution is structural: it removes the reasons the waterway becomes a battlefield, and it does so with rules, evidence, and money rather than with promises of war.</w:t>
      </w:r>
    </w:p>
    <w:bookmarkEnd w:id="263"/>
    <w:bookmarkStart w:id="264" w:name="parallel-sovereign-tracks"/>
    <w:p>
      <w:pPr>
        <w:pStyle w:val="Heading3"/>
      </w:pPr>
      <w:r>
        <w:t xml:space="preserve">37.6 Parallel sovereign tracks</w:t>
      </w:r>
    </w:p>
    <w:p>
      <w:pPr>
        <w:pStyle w:val="FirstParagraph"/>
      </w:pPr>
      <w:r>
        <w:t xml:space="preserve">Each Party conducts its wider foreign, defense, and nuclear policies on its own sovereign tracks, wholly outside this Pact. The Pact neither constrains nor legitimizes any position on any external track, and no external track’s failure suspends any Pact mechanism, per Article 25.2.</w:t>
      </w:r>
    </w:p>
    <w:bookmarkEnd w:id="264"/>
    <w:bookmarkStart w:id="265" w:name="the-implementation-manual"/>
    <w:p>
      <w:pPr>
        <w:pStyle w:val="Heading3"/>
      </w:pPr>
      <w:r>
        <w:t xml:space="preserve">37.7 The Implementation Manual</w:t>
      </w:r>
    </w:p>
    <w:p>
      <w:pPr>
        <w:pStyle w:val="FirstParagraph"/>
      </w:pPr>
      <w:r>
        <w:t xml:space="preserve">The Technical Standards Committee maintains the Implementation Manual, a living compilation of the one-page procedure cards of Annex D, updated through the silence procedure of Article 17.4. The Manual binds operations exactly as the Articles and Annexes bind them.</w:t>
      </w:r>
    </w:p>
    <w:bookmarkEnd w:id="265"/>
    <w:bookmarkStart w:id="266" w:name="training-and-certification"/>
    <w:p>
      <w:pPr>
        <w:pStyle w:val="Heading3"/>
      </w:pPr>
      <w:r>
        <w:t xml:space="preserve">37.8 Training and certification</w:t>
      </w:r>
    </w:p>
    <w:p>
      <w:pPr>
        <w:pStyle w:val="FirstParagraph"/>
      </w:pPr>
      <w:r>
        <w:t xml:space="preserve">The Center operates a standing training program, financed as a Catalog service, through which every watchkeeper, observer, notification officer, and liaison certifies against the Implementation Manual before assuming duty and recertifies annually. The skills window of Article 23.5 extends the same training to the wider maritime administrations of the Littoral Parties.</w:t>
      </w:r>
    </w:p>
    <w:bookmarkEnd w:id="266"/>
    <w:bookmarkStart w:id="267" w:name="diplomatic-notification-protocol"/>
    <w:p>
      <w:pPr>
        <w:pStyle w:val="Heading3"/>
      </w:pPr>
      <w:r>
        <w:t xml:space="preserve">37.9 Diplomatic notification protocol</w:t>
      </w:r>
    </w:p>
    <w:p>
      <w:pPr>
        <w:pStyle w:val="FirstParagraph"/>
      </w:pPr>
      <w:r>
        <w:t xml:space="preserve">Every formal communication under this Pact travels through the Depositary on the published notification format, with simultaneous delivery to every Party at identical latency. A communication outside the protocol carries no operative effect. The protocol keeps the record whole.</w:t>
      </w:r>
    </w:p>
    <w:bookmarkEnd w:id="267"/>
    <w:bookmarkStart w:id="268" w:name="the-lessons-learned-process"/>
    <w:p>
      <w:pPr>
        <w:pStyle w:val="Heading3"/>
      </w:pPr>
      <w:r>
        <w:t xml:space="preserve">37.10 The Lessons Learned process</w:t>
      </w:r>
    </w:p>
    <w:p>
      <w:pPr>
        <w:pStyle w:val="FirstParagraph"/>
      </w:pPr>
      <w:r>
        <w:t xml:space="preserve">The Neutral Observation Office conducts an annual lessons-learned review: what the architecture handled well, what it handled badly, what the users reported, and what the metrics showed. The review publishes with specific recommendations, and the Council answers every recommendation on the record within 90 days. A governance system that studies itself outlives one that defends itself.</w:t>
      </w:r>
    </w:p>
    <w:bookmarkEnd w:id="268"/>
    <w:bookmarkStart w:id="269" w:name="the-guardians-charge"/>
    <w:p>
      <w:pPr>
        <w:pStyle w:val="Heading3"/>
      </w:pPr>
      <w:r>
        <w:t xml:space="preserve">37.11 The guardian’s charge</w:t>
      </w:r>
    </w:p>
    <w:p>
      <w:pPr>
        <w:pStyle w:val="FirstParagraph"/>
      </w:pPr>
      <w:r>
        <w:t xml:space="preserve">The Parties charge every organ, officer, observer, and reader of this Pact with a single standing instruction, stated once and binding always: keep the water open, keep the record honest, keep the dividend flowing, and keep the lamp lit.</w:t>
      </w:r>
    </w:p>
    <w:p>
      <w:r>
        <w:pict>
          <v:rect style="width:0;height:1.5pt" o:hralign="center" o:hrstd="t" o:hr="t"/>
        </w:pict>
      </w:r>
    </w:p>
    <w:bookmarkEnd w:id="269"/>
    <w:bookmarkEnd w:id="270"/>
    <w:bookmarkEnd w:id="271"/>
    <w:bookmarkStart w:id="272" w:name="signature-block"/>
    <w:p>
      <w:pPr>
        <w:pStyle w:val="Heading1"/>
      </w:pPr>
      <w:r>
        <w:t xml:space="preserve">Signature Block</w:t>
      </w:r>
    </w:p>
    <w:p>
      <w:pPr>
        <w:pStyle w:val="FirstParagraph"/>
      </w:pPr>
      <w:r>
        <w:t xml:space="preserve">Done at Muscat, in three original texts, in the Persian, Arabic, and English languages, each equally authentic.</w:t>
      </w:r>
    </w:p>
    <w:p>
      <w:pPr>
        <w:pStyle w:val="BodyText"/>
      </w:pPr>
      <w:r>
        <w:t xml:space="preserve">For the Islamic Republic of Iran: ______________________________</w:t>
      </w:r>
    </w:p>
    <w:p>
      <w:pPr>
        <w:pStyle w:val="BodyText"/>
      </w:pPr>
      <w:r>
        <w:t xml:space="preserve">For the Sultanate of Oman: ______________________________</w:t>
      </w:r>
    </w:p>
    <w:p>
      <w:pPr>
        <w:pStyle w:val="BodyText"/>
      </w:pPr>
      <w:r>
        <w:t xml:space="preserve">Witnessed by the Mediator of Record: ______________________________</w:t>
      </w:r>
    </w:p>
    <w:p>
      <w:pPr>
        <w:pStyle w:val="BodyText"/>
      </w:pPr>
      <w:r>
        <w:t xml:space="preserve">Witnessed by the Neutral Administrator, the Swiss Confederation: ______________________________</w:t>
      </w:r>
    </w:p>
    <w:p>
      <w:pPr>
        <w:pStyle w:val="BodyText"/>
      </w:pPr>
      <w:r>
        <w:t xml:space="preserve">Witnessed by the Supporting Facilitators, the State of Qatar and the Islamic Republic of Pakistan: ______________________________</w:t>
      </w:r>
    </w:p>
    <w:p>
      <w:pPr>
        <w:pStyle w:val="BodyText"/>
      </w:pPr>
      <w:r>
        <w:t xml:space="preserve">Endorsement recorded for the United States of America, as Endorsing Stakeholder under Article 16.2: ______________________________</w:t>
      </w:r>
    </w:p>
    <w:p>
      <w:pPr>
        <w:pStyle w:val="BodyText"/>
      </w:pPr>
      <w:r>
        <w:t xml:space="preserve">Endorsement recorded for the European Union, as Observer under Article 16.3: ______________________________</w:t>
      </w:r>
    </w:p>
    <w:p>
      <w:r>
        <w:pict>
          <v:rect style="width:0;height:1.5pt" o:hralign="center" o:hrstd="t" o:hr="t"/>
        </w:pict>
      </w:r>
    </w:p>
    <w:bookmarkEnd w:id="272"/>
    <w:bookmarkStart w:id="273" w:name="annexes"/>
    <w:p>
      <w:pPr>
        <w:pStyle w:val="Heading1"/>
      </w:pPr>
      <w:r>
        <w:t xml:space="preserve">ANNEXES</w:t>
      </w:r>
    </w:p>
    <w:bookmarkEnd w:id="273"/>
    <w:bookmarkStart w:id="282" w:name="X0e9d18ce7a8d0ee78f7f0eca7694145c0bc51be"/>
    <w:p>
      <w:pPr>
        <w:pStyle w:val="Heading1"/>
      </w:pPr>
      <w:r>
        <w:t xml:space="preserve">Annex A: Passage Coordinates and Geometry Registry</w:t>
      </w:r>
    </w:p>
    <w:p>
      <w:pPr>
        <w:pStyle w:val="FirstParagraph"/>
      </w:pPr>
      <w:r>
        <w:t xml:space="preserve">All positions in this Annex use the WGS-84 datum. The Neutral Administrator holds the master register; the Pact Operations Center maintains the working charts; amendments follow Article 7.4. The coordinates below constitute the provisional published set for the pilot phase; the final certified set publishes at full activation under Article 36.1 and registers with the International Maritime Organization.</w:t>
      </w:r>
    </w:p>
    <w:bookmarkStart w:id="274" w:name="a.1-governance-area-boundary"/>
    <w:p>
      <w:pPr>
        <w:pStyle w:val="Heading2"/>
      </w:pPr>
      <w:r>
        <w:t xml:space="preserve">A.1 Governance Area boundary</w:t>
      </w:r>
    </w:p>
    <w:p>
      <w:pPr>
        <w:pStyle w:val="FirstParagraph"/>
      </w:pPr>
      <w:r>
        <w:t xml:space="preserve">Table A.1: The twelve boundary vertices of the Governance Area polygon.</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Vertex</w:t>
            </w:r>
          </w:p>
        </w:tc>
        <w:tc>
          <w:tcPr/>
          <w:p>
            <w:pPr>
              <w:pStyle w:val="Compact"/>
              <w:jc w:val="left"/>
            </w:pPr>
            <w:r>
              <w:t xml:space="preserve">Latitude</w:t>
            </w:r>
          </w:p>
        </w:tc>
        <w:tc>
          <w:tcPr/>
          <w:p>
            <w:pPr>
              <w:pStyle w:val="Compact"/>
              <w:jc w:val="left"/>
            </w:pPr>
            <w:r>
              <w:t xml:space="preserve">Longitude</w:t>
            </w:r>
          </w:p>
        </w:tc>
        <w:tc>
          <w:tcPr/>
          <w:p>
            <w:pPr>
              <w:pStyle w:val="Compact"/>
              <w:jc w:val="left"/>
            </w:pPr>
            <w:r>
              <w:t xml:space="preserve">Description</w:t>
            </w:r>
          </w:p>
        </w:tc>
      </w:tr>
      <w:tr>
        <w:tc>
          <w:tcPr/>
          <w:p>
            <w:pPr>
              <w:pStyle w:val="Compact"/>
              <w:jc w:val="left"/>
            </w:pPr>
            <w:r>
              <w:t xml:space="preserve">GA-01</w:t>
            </w:r>
          </w:p>
        </w:tc>
        <w:tc>
          <w:tcPr/>
          <w:p>
            <w:pPr>
              <w:pStyle w:val="Compact"/>
              <w:jc w:val="left"/>
            </w:pPr>
            <w:r>
              <w:t xml:space="preserve">26 44.0 N</w:t>
            </w:r>
          </w:p>
        </w:tc>
        <w:tc>
          <w:tcPr/>
          <w:p>
            <w:pPr>
              <w:pStyle w:val="Compact"/>
              <w:jc w:val="left"/>
            </w:pPr>
            <w:r>
              <w:t xml:space="preserve">057 00.0 E</w:t>
            </w:r>
          </w:p>
        </w:tc>
        <w:tc>
          <w:tcPr/>
          <w:p>
            <w:pPr>
              <w:pStyle w:val="Compact"/>
              <w:jc w:val="left"/>
            </w:pPr>
            <w:r>
              <w:t xml:space="preserve">Eastern boundary, Musandam coast</w:t>
            </w:r>
          </w:p>
        </w:tc>
      </w:tr>
      <w:tr>
        <w:tc>
          <w:tcPr/>
          <w:p>
            <w:pPr>
              <w:pStyle w:val="Compact"/>
              <w:jc w:val="left"/>
            </w:pPr>
            <w:r>
              <w:t xml:space="preserve">GA-02</w:t>
            </w:r>
          </w:p>
        </w:tc>
        <w:tc>
          <w:tcPr/>
          <w:p>
            <w:pPr>
              <w:pStyle w:val="Compact"/>
              <w:jc w:val="left"/>
            </w:pPr>
            <w:r>
              <w:t xml:space="preserve">26 12.0 N</w:t>
            </w:r>
          </w:p>
        </w:tc>
        <w:tc>
          <w:tcPr/>
          <w:p>
            <w:pPr>
              <w:pStyle w:val="Compact"/>
              <w:jc w:val="left"/>
            </w:pPr>
            <w:r>
              <w:t xml:space="preserve">057 00.0 E</w:t>
            </w:r>
          </w:p>
        </w:tc>
        <w:tc>
          <w:tcPr/>
          <w:p>
            <w:pPr>
              <w:pStyle w:val="Compact"/>
              <w:jc w:val="left"/>
            </w:pPr>
            <w:r>
              <w:t xml:space="preserve">Eastern boundary, mid-water</w:t>
            </w:r>
          </w:p>
        </w:tc>
      </w:tr>
      <w:tr>
        <w:tc>
          <w:tcPr/>
          <w:p>
            <w:pPr>
              <w:pStyle w:val="Compact"/>
              <w:jc w:val="left"/>
            </w:pPr>
            <w:r>
              <w:t xml:space="preserve">GA-03</w:t>
            </w:r>
          </w:p>
        </w:tc>
        <w:tc>
          <w:tcPr/>
          <w:p>
            <w:pPr>
              <w:pStyle w:val="Compact"/>
              <w:jc w:val="left"/>
            </w:pPr>
            <w:r>
              <w:t xml:space="preserve">25 58.0 N</w:t>
            </w:r>
          </w:p>
        </w:tc>
        <w:tc>
          <w:tcPr/>
          <w:p>
            <w:pPr>
              <w:pStyle w:val="Compact"/>
              <w:jc w:val="left"/>
            </w:pPr>
            <w:r>
              <w:t xml:space="preserve">057 00.0 E</w:t>
            </w:r>
          </w:p>
        </w:tc>
        <w:tc>
          <w:tcPr/>
          <w:p>
            <w:pPr>
              <w:pStyle w:val="Compact"/>
              <w:jc w:val="left"/>
            </w:pPr>
            <w:r>
              <w:t xml:space="preserve">Eastern boundary, Iran coast intersection</w:t>
            </w:r>
          </w:p>
        </w:tc>
      </w:tr>
      <w:tr>
        <w:tc>
          <w:tcPr/>
          <w:p>
            <w:pPr>
              <w:pStyle w:val="Compact"/>
              <w:jc w:val="left"/>
            </w:pPr>
            <w:r>
              <w:t xml:space="preserve">GA-04</w:t>
            </w:r>
          </w:p>
        </w:tc>
        <w:tc>
          <w:tcPr/>
          <w:p>
            <w:pPr>
              <w:pStyle w:val="Compact"/>
              <w:jc w:val="left"/>
            </w:pPr>
            <w:r>
              <w:t xml:space="preserve">26 30.0 N</w:t>
            </w:r>
          </w:p>
        </w:tc>
        <w:tc>
          <w:tcPr/>
          <w:p>
            <w:pPr>
              <w:pStyle w:val="Compact"/>
              <w:jc w:val="left"/>
            </w:pPr>
            <w:r>
              <w:t xml:space="preserve">056 40.0 E</w:t>
            </w:r>
          </w:p>
        </w:tc>
        <w:tc>
          <w:tcPr/>
          <w:p>
            <w:pPr>
              <w:pStyle w:val="Compact"/>
              <w:jc w:val="left"/>
            </w:pPr>
            <w:r>
              <w:t xml:space="preserve">Northeast inner reference</w:t>
            </w:r>
          </w:p>
        </w:tc>
      </w:tr>
      <w:tr>
        <w:tc>
          <w:tcPr/>
          <w:p>
            <w:pPr>
              <w:pStyle w:val="Compact"/>
              <w:jc w:val="left"/>
            </w:pPr>
            <w:r>
              <w:t xml:space="preserve">GA-05</w:t>
            </w:r>
          </w:p>
        </w:tc>
        <w:tc>
          <w:tcPr/>
          <w:p>
            <w:pPr>
              <w:pStyle w:val="Compact"/>
              <w:jc w:val="left"/>
            </w:pPr>
            <w:r>
              <w:t xml:space="preserve">26 50.0 N</w:t>
            </w:r>
          </w:p>
        </w:tc>
        <w:tc>
          <w:tcPr/>
          <w:p>
            <w:pPr>
              <w:pStyle w:val="Compact"/>
              <w:jc w:val="left"/>
            </w:pPr>
            <w:r>
              <w:t xml:space="preserve">056 20.0 E</w:t>
            </w:r>
          </w:p>
        </w:tc>
        <w:tc>
          <w:tcPr/>
          <w:p>
            <w:pPr>
              <w:pStyle w:val="Compact"/>
              <w:jc w:val="left"/>
            </w:pPr>
            <w:r>
              <w:t xml:space="preserve">Northern inner reference, off Larak</w:t>
            </w:r>
          </w:p>
        </w:tc>
      </w:tr>
      <w:tr>
        <w:tc>
          <w:tcPr/>
          <w:p>
            <w:pPr>
              <w:pStyle w:val="Compact"/>
              <w:jc w:val="left"/>
            </w:pPr>
            <w:r>
              <w:t xml:space="preserve">GA-06</w:t>
            </w:r>
          </w:p>
        </w:tc>
        <w:tc>
          <w:tcPr/>
          <w:p>
            <w:pPr>
              <w:pStyle w:val="Compact"/>
              <w:jc w:val="left"/>
            </w:pPr>
            <w:r>
              <w:t xml:space="preserve">26 44.0 N</w:t>
            </w:r>
          </w:p>
        </w:tc>
        <w:tc>
          <w:tcPr/>
          <w:p>
            <w:pPr>
              <w:pStyle w:val="Compact"/>
              <w:jc w:val="left"/>
            </w:pPr>
            <w:r>
              <w:t xml:space="preserve">055 50.0 E</w:t>
            </w:r>
          </w:p>
        </w:tc>
        <w:tc>
          <w:tcPr/>
          <w:p>
            <w:pPr>
              <w:pStyle w:val="Compact"/>
              <w:jc w:val="left"/>
            </w:pPr>
            <w:r>
              <w:t xml:space="preserve">Northwest inner reference</w:t>
            </w:r>
          </w:p>
        </w:tc>
      </w:tr>
      <w:tr>
        <w:tc>
          <w:tcPr/>
          <w:p>
            <w:pPr>
              <w:pStyle w:val="Compact"/>
              <w:jc w:val="left"/>
            </w:pPr>
            <w:r>
              <w:t xml:space="preserve">GA-07</w:t>
            </w:r>
          </w:p>
        </w:tc>
        <w:tc>
          <w:tcPr/>
          <w:p>
            <w:pPr>
              <w:pStyle w:val="Compact"/>
              <w:jc w:val="left"/>
            </w:pPr>
            <w:r>
              <w:t xml:space="preserve">26 40.0 N</w:t>
            </w:r>
          </w:p>
        </w:tc>
        <w:tc>
          <w:tcPr/>
          <w:p>
            <w:pPr>
              <w:pStyle w:val="Compact"/>
              <w:jc w:val="left"/>
            </w:pPr>
            <w:r>
              <w:t xml:space="preserve">055 30.0 E</w:t>
            </w:r>
          </w:p>
        </w:tc>
        <w:tc>
          <w:tcPr/>
          <w:p>
            <w:pPr>
              <w:pStyle w:val="Compact"/>
              <w:jc w:val="left"/>
            </w:pPr>
            <w:r>
              <w:t xml:space="preserve">Western boundary, Iran coast intersection</w:t>
            </w:r>
          </w:p>
        </w:tc>
      </w:tr>
      <w:tr>
        <w:tc>
          <w:tcPr/>
          <w:p>
            <w:pPr>
              <w:pStyle w:val="Compact"/>
              <w:jc w:val="left"/>
            </w:pPr>
            <w:r>
              <w:t xml:space="preserve">GA-08</w:t>
            </w:r>
          </w:p>
        </w:tc>
        <w:tc>
          <w:tcPr/>
          <w:p>
            <w:pPr>
              <w:pStyle w:val="Compact"/>
              <w:jc w:val="left"/>
            </w:pPr>
            <w:r>
              <w:t xml:space="preserve">26 20.0 N</w:t>
            </w:r>
          </w:p>
        </w:tc>
        <w:tc>
          <w:tcPr/>
          <w:p>
            <w:pPr>
              <w:pStyle w:val="Compact"/>
              <w:jc w:val="left"/>
            </w:pPr>
            <w:r>
              <w:t xml:space="preserve">055 30.0 E</w:t>
            </w:r>
          </w:p>
        </w:tc>
        <w:tc>
          <w:tcPr/>
          <w:p>
            <w:pPr>
              <w:pStyle w:val="Compact"/>
              <w:jc w:val="left"/>
            </w:pPr>
            <w:r>
              <w:t xml:space="preserve">Western boundary, mid-water</w:t>
            </w:r>
          </w:p>
        </w:tc>
      </w:tr>
      <w:tr>
        <w:tc>
          <w:tcPr/>
          <w:p>
            <w:pPr>
              <w:pStyle w:val="Compact"/>
              <w:jc w:val="left"/>
            </w:pPr>
            <w:r>
              <w:t xml:space="preserve">GA-09</w:t>
            </w:r>
          </w:p>
        </w:tc>
        <w:tc>
          <w:tcPr/>
          <w:p>
            <w:pPr>
              <w:pStyle w:val="Compact"/>
              <w:jc w:val="left"/>
            </w:pPr>
            <w:r>
              <w:t xml:space="preserve">26 24.0 N</w:t>
            </w:r>
          </w:p>
        </w:tc>
        <w:tc>
          <w:tcPr/>
          <w:p>
            <w:pPr>
              <w:pStyle w:val="Compact"/>
              <w:jc w:val="left"/>
            </w:pPr>
            <w:r>
              <w:t xml:space="preserve">055 30.0 E</w:t>
            </w:r>
          </w:p>
        </w:tc>
        <w:tc>
          <w:tcPr/>
          <w:p>
            <w:pPr>
              <w:pStyle w:val="Compact"/>
              <w:jc w:val="left"/>
            </w:pPr>
            <w:r>
              <w:t xml:space="preserve">Western boundary, south mid-water</w:t>
            </w:r>
          </w:p>
        </w:tc>
      </w:tr>
      <w:tr>
        <w:tc>
          <w:tcPr/>
          <w:p>
            <w:pPr>
              <w:pStyle w:val="Compact"/>
              <w:jc w:val="left"/>
            </w:pPr>
            <w:r>
              <w:t xml:space="preserve">GA-10</w:t>
            </w:r>
          </w:p>
        </w:tc>
        <w:tc>
          <w:tcPr/>
          <w:p>
            <w:pPr>
              <w:pStyle w:val="Compact"/>
              <w:jc w:val="left"/>
            </w:pPr>
            <w:r>
              <w:t xml:space="preserve">26 10.0 N</w:t>
            </w:r>
          </w:p>
        </w:tc>
        <w:tc>
          <w:tcPr/>
          <w:p>
            <w:pPr>
              <w:pStyle w:val="Compact"/>
              <w:jc w:val="left"/>
            </w:pPr>
            <w:r>
              <w:t xml:space="preserve">055 40.0 E</w:t>
            </w:r>
          </w:p>
        </w:tc>
        <w:tc>
          <w:tcPr/>
          <w:p>
            <w:pPr>
              <w:pStyle w:val="Compact"/>
              <w:jc w:val="left"/>
            </w:pPr>
            <w:r>
              <w:t xml:space="preserve">Southwest inner reference</w:t>
            </w:r>
          </w:p>
        </w:tc>
      </w:tr>
      <w:tr>
        <w:tc>
          <w:tcPr/>
          <w:p>
            <w:pPr>
              <w:pStyle w:val="Compact"/>
              <w:jc w:val="left"/>
            </w:pPr>
            <w:r>
              <w:t xml:space="preserve">GA-11</w:t>
            </w:r>
          </w:p>
        </w:tc>
        <w:tc>
          <w:tcPr/>
          <w:p>
            <w:pPr>
              <w:pStyle w:val="Compact"/>
              <w:jc w:val="left"/>
            </w:pPr>
            <w:r>
              <w:t xml:space="preserve">26 05.0 N</w:t>
            </w:r>
          </w:p>
        </w:tc>
        <w:tc>
          <w:tcPr/>
          <w:p>
            <w:pPr>
              <w:pStyle w:val="Compact"/>
              <w:jc w:val="left"/>
            </w:pPr>
            <w:r>
              <w:t xml:space="preserve">056 10.0 E</w:t>
            </w:r>
          </w:p>
        </w:tc>
        <w:tc>
          <w:tcPr/>
          <w:p>
            <w:pPr>
              <w:pStyle w:val="Compact"/>
              <w:jc w:val="left"/>
            </w:pPr>
            <w:r>
              <w:t xml:space="preserve">Southern inner reference, off Musandam</w:t>
            </w:r>
          </w:p>
        </w:tc>
      </w:tr>
      <w:tr>
        <w:tc>
          <w:tcPr/>
          <w:p>
            <w:pPr>
              <w:pStyle w:val="Compact"/>
              <w:jc w:val="left"/>
            </w:pPr>
            <w:r>
              <w:t xml:space="preserve">GA-12</w:t>
            </w:r>
          </w:p>
        </w:tc>
        <w:tc>
          <w:tcPr/>
          <w:p>
            <w:pPr>
              <w:pStyle w:val="Compact"/>
              <w:jc w:val="left"/>
            </w:pPr>
            <w:r>
              <w:t xml:space="preserve">26 20.0 N</w:t>
            </w:r>
          </w:p>
        </w:tc>
        <w:tc>
          <w:tcPr/>
          <w:p>
            <w:pPr>
              <w:pStyle w:val="Compact"/>
              <w:jc w:val="left"/>
            </w:pPr>
            <w:r>
              <w:t xml:space="preserve">056 50.0 E</w:t>
            </w:r>
          </w:p>
        </w:tc>
        <w:tc>
          <w:tcPr/>
          <w:p>
            <w:pPr>
              <w:pStyle w:val="Compact"/>
              <w:jc w:val="left"/>
            </w:pPr>
            <w:r>
              <w:t xml:space="preserve">Southeast inner reference</w:t>
            </w:r>
          </w:p>
        </w:tc>
      </w:tr>
    </w:tbl>
    <w:bookmarkEnd w:id="274"/>
    <w:bookmarkStart w:id="275" w:name="X66f2883fed415721e5b92dde5764c8d13ff8eea"/>
    <w:p>
      <w:pPr>
        <w:pStyle w:val="Heading2"/>
      </w:pPr>
      <w:r>
        <w:t xml:space="preserve">A.2 Outbound Assurance Corridor waypoints</w:t>
      </w:r>
    </w:p>
    <w:p>
      <w:pPr>
        <w:pStyle w:val="FirstParagraph"/>
      </w:pPr>
      <w:r>
        <w:t xml:space="preserve">Table A.2: Centerline waypoints, Omani waters, southern route.</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Waypoint</w:t>
            </w:r>
          </w:p>
        </w:tc>
        <w:tc>
          <w:tcPr/>
          <w:p>
            <w:pPr>
              <w:pStyle w:val="Compact"/>
              <w:jc w:val="left"/>
            </w:pPr>
            <w:r>
              <w:t xml:space="preserve">Latitude</w:t>
            </w:r>
          </w:p>
        </w:tc>
        <w:tc>
          <w:tcPr/>
          <w:p>
            <w:pPr>
              <w:pStyle w:val="Compact"/>
              <w:jc w:val="left"/>
            </w:pPr>
            <w:r>
              <w:t xml:space="preserve">Longitude</w:t>
            </w:r>
          </w:p>
        </w:tc>
        <w:tc>
          <w:tcPr/>
          <w:p>
            <w:pPr>
              <w:pStyle w:val="Compact"/>
              <w:jc w:val="left"/>
            </w:pPr>
            <w:r>
              <w:t xml:space="preserve">Note</w:t>
            </w:r>
          </w:p>
        </w:tc>
      </w:tr>
      <w:tr>
        <w:tc>
          <w:tcPr/>
          <w:p>
            <w:pPr>
              <w:pStyle w:val="Compact"/>
              <w:jc w:val="left"/>
            </w:pPr>
            <w:r>
              <w:t xml:space="preserve">O-1</w:t>
            </w:r>
          </w:p>
        </w:tc>
        <w:tc>
          <w:tcPr/>
          <w:p>
            <w:pPr>
              <w:pStyle w:val="Compact"/>
              <w:jc w:val="left"/>
            </w:pPr>
            <w:r>
              <w:t xml:space="preserve">26 38.0 N</w:t>
            </w:r>
          </w:p>
        </w:tc>
        <w:tc>
          <w:tcPr/>
          <w:p>
            <w:pPr>
              <w:pStyle w:val="Compact"/>
              <w:jc w:val="left"/>
            </w:pPr>
            <w:r>
              <w:t xml:space="preserve">056 52.0 E</w:t>
            </w:r>
          </w:p>
        </w:tc>
        <w:tc>
          <w:tcPr/>
          <w:p>
            <w:pPr>
              <w:pStyle w:val="Compact"/>
              <w:jc w:val="left"/>
            </w:pPr>
            <w:r>
              <w:t xml:space="preserve">Eastern entry, Gulf of Oman</w:t>
            </w:r>
          </w:p>
        </w:tc>
      </w:tr>
      <w:tr>
        <w:tc>
          <w:tcPr/>
          <w:p>
            <w:pPr>
              <w:pStyle w:val="Compact"/>
              <w:jc w:val="left"/>
            </w:pPr>
            <w:r>
              <w:t xml:space="preserve">O-2</w:t>
            </w:r>
          </w:p>
        </w:tc>
        <w:tc>
          <w:tcPr/>
          <w:p>
            <w:pPr>
              <w:pStyle w:val="Compact"/>
              <w:jc w:val="left"/>
            </w:pPr>
            <w:r>
              <w:t xml:space="preserve">26 32.0 N</w:t>
            </w:r>
          </w:p>
        </w:tc>
        <w:tc>
          <w:tcPr/>
          <w:p>
            <w:pPr>
              <w:pStyle w:val="Compact"/>
              <w:jc w:val="left"/>
            </w:pPr>
            <w:r>
              <w:t xml:space="preserve">056 38.0 E</w:t>
            </w:r>
          </w:p>
        </w:tc>
        <w:tc>
          <w:tcPr/>
          <w:p>
            <w:pPr>
              <w:pStyle w:val="Compact"/>
              <w:jc w:val="left"/>
            </w:pPr>
            <w:r>
              <w:t xml:space="preserve">Off Khasab approach</w:t>
            </w:r>
          </w:p>
        </w:tc>
      </w:tr>
      <w:tr>
        <w:tc>
          <w:tcPr/>
          <w:p>
            <w:pPr>
              <w:pStyle w:val="Compact"/>
              <w:jc w:val="left"/>
            </w:pPr>
            <w:r>
              <w:t xml:space="preserve">O-3</w:t>
            </w:r>
          </w:p>
        </w:tc>
        <w:tc>
          <w:tcPr/>
          <w:p>
            <w:pPr>
              <w:pStyle w:val="Compact"/>
              <w:jc w:val="left"/>
            </w:pPr>
            <w:r>
              <w:t xml:space="preserve">26 27.0 N</w:t>
            </w:r>
          </w:p>
        </w:tc>
        <w:tc>
          <w:tcPr/>
          <w:p>
            <w:pPr>
              <w:pStyle w:val="Compact"/>
              <w:jc w:val="left"/>
            </w:pPr>
            <w:r>
              <w:t xml:space="preserve">056 22.0 E</w:t>
            </w:r>
          </w:p>
        </w:tc>
        <w:tc>
          <w:tcPr/>
          <w:p>
            <w:pPr>
              <w:pStyle w:val="Compact"/>
              <w:jc w:val="left"/>
            </w:pPr>
            <w:r>
              <w:t xml:space="preserve">Mid-strait southern lane</w:t>
            </w:r>
          </w:p>
        </w:tc>
      </w:tr>
      <w:tr>
        <w:tc>
          <w:tcPr/>
          <w:p>
            <w:pPr>
              <w:pStyle w:val="Compact"/>
              <w:jc w:val="left"/>
            </w:pPr>
            <w:r>
              <w:t xml:space="preserve">O-4</w:t>
            </w:r>
          </w:p>
        </w:tc>
        <w:tc>
          <w:tcPr/>
          <w:p>
            <w:pPr>
              <w:pStyle w:val="Compact"/>
              <w:jc w:val="left"/>
            </w:pPr>
            <w:r>
              <w:t xml:space="preserve">26 24.0 N</w:t>
            </w:r>
          </w:p>
        </w:tc>
        <w:tc>
          <w:tcPr/>
          <w:p>
            <w:pPr>
              <w:pStyle w:val="Compact"/>
              <w:jc w:val="left"/>
            </w:pPr>
            <w:r>
              <w:t xml:space="preserve">056 05.0 E</w:t>
            </w:r>
          </w:p>
        </w:tc>
        <w:tc>
          <w:tcPr/>
          <w:p>
            <w:pPr>
              <w:pStyle w:val="Compact"/>
              <w:jc w:val="left"/>
            </w:pPr>
            <w:r>
              <w:t xml:space="preserve">Mid-strait southern lane, west</w:t>
            </w:r>
          </w:p>
        </w:tc>
      </w:tr>
      <w:tr>
        <w:tc>
          <w:tcPr/>
          <w:p>
            <w:pPr>
              <w:pStyle w:val="Compact"/>
              <w:jc w:val="left"/>
            </w:pPr>
            <w:r>
              <w:t xml:space="preserve">O-5</w:t>
            </w:r>
          </w:p>
        </w:tc>
        <w:tc>
          <w:tcPr/>
          <w:p>
            <w:pPr>
              <w:pStyle w:val="Compact"/>
              <w:jc w:val="left"/>
            </w:pPr>
            <w:r>
              <w:t xml:space="preserve">26 23.0 N</w:t>
            </w:r>
          </w:p>
        </w:tc>
        <w:tc>
          <w:tcPr/>
          <w:p>
            <w:pPr>
              <w:pStyle w:val="Compact"/>
              <w:jc w:val="left"/>
            </w:pPr>
            <w:r>
              <w:t xml:space="preserve">055 50.0 E</w:t>
            </w:r>
          </w:p>
        </w:tc>
        <w:tc>
          <w:tcPr/>
          <w:p>
            <w:pPr>
              <w:pStyle w:val="Compact"/>
              <w:jc w:val="left"/>
            </w:pPr>
            <w:r>
              <w:t xml:space="preserve">Western approach</w:t>
            </w:r>
          </w:p>
        </w:tc>
      </w:tr>
      <w:tr>
        <w:tc>
          <w:tcPr/>
          <w:p>
            <w:pPr>
              <w:pStyle w:val="Compact"/>
              <w:jc w:val="left"/>
            </w:pPr>
            <w:r>
              <w:t xml:space="preserve">O-6</w:t>
            </w:r>
          </w:p>
        </w:tc>
        <w:tc>
          <w:tcPr/>
          <w:p>
            <w:pPr>
              <w:pStyle w:val="Compact"/>
              <w:jc w:val="left"/>
            </w:pPr>
            <w:r>
              <w:t xml:space="preserve">26 24.0 N</w:t>
            </w:r>
          </w:p>
        </w:tc>
        <w:tc>
          <w:tcPr/>
          <w:p>
            <w:pPr>
              <w:pStyle w:val="Compact"/>
              <w:jc w:val="left"/>
            </w:pPr>
            <w:r>
              <w:t xml:space="preserve">055 38.0 E</w:t>
            </w:r>
          </w:p>
        </w:tc>
        <w:tc>
          <w:tcPr/>
          <w:p>
            <w:pPr>
              <w:pStyle w:val="Compact"/>
              <w:jc w:val="left"/>
            </w:pPr>
            <w:r>
              <w:t xml:space="preserve">Western exit into the Gulf</w:t>
            </w:r>
          </w:p>
        </w:tc>
      </w:tr>
    </w:tbl>
    <w:p>
      <w:pPr>
        <w:pStyle w:val="BodyText"/>
      </w:pPr>
      <w:r>
        <w:t xml:space="preserve">Lane width: 2.0 nautical miles each direction; separation zone: 1.0 nautical mile. Speed band per flow state under Article 11.1.</w:t>
      </w:r>
    </w:p>
    <w:bookmarkEnd w:id="275"/>
    <w:bookmarkStart w:id="276" w:name="X35ff88f6f1e2b8c15041bc4e9b4ecc513a3eefe"/>
    <w:p>
      <w:pPr>
        <w:pStyle w:val="Heading2"/>
      </w:pPr>
      <w:r>
        <w:t xml:space="preserve">A.3 Inbound Coordination Corridor waypoints</w:t>
      </w:r>
    </w:p>
    <w:p>
      <w:pPr>
        <w:pStyle w:val="FirstParagraph"/>
      </w:pPr>
      <w:r>
        <w:t xml:space="preserve">Table A.3: Centerline waypoints, Iranian waters, northern deep-water route.</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Waypoint</w:t>
            </w:r>
          </w:p>
        </w:tc>
        <w:tc>
          <w:tcPr/>
          <w:p>
            <w:pPr>
              <w:pStyle w:val="Compact"/>
              <w:jc w:val="left"/>
            </w:pPr>
            <w:r>
              <w:t xml:space="preserve">Latitude</w:t>
            </w:r>
          </w:p>
        </w:tc>
        <w:tc>
          <w:tcPr/>
          <w:p>
            <w:pPr>
              <w:pStyle w:val="Compact"/>
              <w:jc w:val="left"/>
            </w:pPr>
            <w:r>
              <w:t xml:space="preserve">Longitude</w:t>
            </w:r>
          </w:p>
        </w:tc>
        <w:tc>
          <w:tcPr/>
          <w:p>
            <w:pPr>
              <w:pStyle w:val="Compact"/>
              <w:jc w:val="left"/>
            </w:pPr>
            <w:r>
              <w:t xml:space="preserve">Note</w:t>
            </w:r>
          </w:p>
        </w:tc>
      </w:tr>
      <w:tr>
        <w:tc>
          <w:tcPr/>
          <w:p>
            <w:pPr>
              <w:pStyle w:val="Compact"/>
              <w:jc w:val="left"/>
            </w:pPr>
            <w:r>
              <w:t xml:space="preserve">I-1</w:t>
            </w:r>
          </w:p>
        </w:tc>
        <w:tc>
          <w:tcPr/>
          <w:p>
            <w:pPr>
              <w:pStyle w:val="Compact"/>
              <w:jc w:val="left"/>
            </w:pPr>
            <w:r>
              <w:t xml:space="preserve">26 50.0 N</w:t>
            </w:r>
          </w:p>
        </w:tc>
        <w:tc>
          <w:tcPr/>
          <w:p>
            <w:pPr>
              <w:pStyle w:val="Compact"/>
              <w:jc w:val="left"/>
            </w:pPr>
            <w:r>
              <w:t xml:space="preserve">056 44.0 E</w:t>
            </w:r>
          </w:p>
        </w:tc>
        <w:tc>
          <w:tcPr/>
          <w:p>
            <w:pPr>
              <w:pStyle w:val="Compact"/>
              <w:jc w:val="left"/>
            </w:pPr>
            <w:r>
              <w:t xml:space="preserve">Eastern entry, north of the separation belt</w:t>
            </w:r>
          </w:p>
        </w:tc>
      </w:tr>
      <w:tr>
        <w:tc>
          <w:tcPr/>
          <w:p>
            <w:pPr>
              <w:pStyle w:val="Compact"/>
              <w:jc w:val="left"/>
            </w:pPr>
            <w:r>
              <w:t xml:space="preserve">I-2</w:t>
            </w:r>
          </w:p>
        </w:tc>
        <w:tc>
          <w:tcPr/>
          <w:p>
            <w:pPr>
              <w:pStyle w:val="Compact"/>
              <w:jc w:val="left"/>
            </w:pPr>
            <w:r>
              <w:t xml:space="preserve">26 48.0 N</w:t>
            </w:r>
          </w:p>
        </w:tc>
        <w:tc>
          <w:tcPr/>
          <w:p>
            <w:pPr>
              <w:pStyle w:val="Compact"/>
              <w:jc w:val="left"/>
            </w:pPr>
            <w:r>
              <w:t xml:space="preserve">056 30.0 E</w:t>
            </w:r>
          </w:p>
        </w:tc>
        <w:tc>
          <w:tcPr/>
          <w:p>
            <w:pPr>
              <w:pStyle w:val="Compact"/>
              <w:jc w:val="left"/>
            </w:pPr>
            <w:r>
              <w:t xml:space="preserve">North of Larak Island</w:t>
            </w:r>
          </w:p>
        </w:tc>
      </w:tr>
      <w:tr>
        <w:tc>
          <w:tcPr/>
          <w:p>
            <w:pPr>
              <w:pStyle w:val="Compact"/>
              <w:jc w:val="left"/>
            </w:pPr>
            <w:r>
              <w:t xml:space="preserve">I-3</w:t>
            </w:r>
          </w:p>
        </w:tc>
        <w:tc>
          <w:tcPr/>
          <w:p>
            <w:pPr>
              <w:pStyle w:val="Compact"/>
              <w:jc w:val="left"/>
            </w:pPr>
            <w:r>
              <w:t xml:space="preserve">26 46.0 N</w:t>
            </w:r>
          </w:p>
        </w:tc>
        <w:tc>
          <w:tcPr/>
          <w:p>
            <w:pPr>
              <w:pStyle w:val="Compact"/>
              <w:jc w:val="left"/>
            </w:pPr>
            <w:r>
              <w:t xml:space="preserve">056 12.0 E</w:t>
            </w:r>
          </w:p>
        </w:tc>
        <w:tc>
          <w:tcPr/>
          <w:p>
            <w:pPr>
              <w:pStyle w:val="Compact"/>
              <w:jc w:val="left"/>
            </w:pPr>
            <w:r>
              <w:t xml:space="preserve">Between Larak and Hormuz Islands</w:t>
            </w:r>
          </w:p>
        </w:tc>
      </w:tr>
      <w:tr>
        <w:tc>
          <w:tcPr/>
          <w:p>
            <w:pPr>
              <w:pStyle w:val="Compact"/>
              <w:jc w:val="left"/>
            </w:pPr>
            <w:r>
              <w:t xml:space="preserve">I-4</w:t>
            </w:r>
          </w:p>
        </w:tc>
        <w:tc>
          <w:tcPr/>
          <w:p>
            <w:pPr>
              <w:pStyle w:val="Compact"/>
              <w:jc w:val="left"/>
            </w:pPr>
            <w:r>
              <w:t xml:space="preserve">26 44.0 N</w:t>
            </w:r>
          </w:p>
        </w:tc>
        <w:tc>
          <w:tcPr/>
          <w:p>
            <w:pPr>
              <w:pStyle w:val="Compact"/>
              <w:jc w:val="left"/>
            </w:pPr>
            <w:r>
              <w:t xml:space="preserve">055 55.0 E</w:t>
            </w:r>
          </w:p>
        </w:tc>
        <w:tc>
          <w:tcPr/>
          <w:p>
            <w:pPr>
              <w:pStyle w:val="Compact"/>
              <w:jc w:val="left"/>
            </w:pPr>
            <w:r>
              <w:t xml:space="preserve">North of Hormuz Island</w:t>
            </w:r>
          </w:p>
        </w:tc>
      </w:tr>
      <w:tr>
        <w:tc>
          <w:tcPr/>
          <w:p>
            <w:pPr>
              <w:pStyle w:val="Compact"/>
              <w:jc w:val="left"/>
            </w:pPr>
            <w:r>
              <w:t xml:space="preserve">I-5</w:t>
            </w:r>
          </w:p>
        </w:tc>
        <w:tc>
          <w:tcPr/>
          <w:p>
            <w:pPr>
              <w:pStyle w:val="Compact"/>
              <w:jc w:val="left"/>
            </w:pPr>
            <w:r>
              <w:t xml:space="preserve">26 42.0 N</w:t>
            </w:r>
          </w:p>
        </w:tc>
        <w:tc>
          <w:tcPr/>
          <w:p>
            <w:pPr>
              <w:pStyle w:val="Compact"/>
              <w:jc w:val="left"/>
            </w:pPr>
            <w:r>
              <w:t xml:space="preserve">055 42.0 E</w:t>
            </w:r>
          </w:p>
        </w:tc>
        <w:tc>
          <w:tcPr/>
          <w:p>
            <w:pPr>
              <w:pStyle w:val="Compact"/>
              <w:jc w:val="left"/>
            </w:pPr>
            <w:r>
              <w:t xml:space="preserve">Western approach, Qeshm southeast</w:t>
            </w:r>
          </w:p>
        </w:tc>
      </w:tr>
      <w:tr>
        <w:tc>
          <w:tcPr/>
          <w:p>
            <w:pPr>
              <w:pStyle w:val="Compact"/>
              <w:jc w:val="left"/>
            </w:pPr>
            <w:r>
              <w:t xml:space="preserve">I-6</w:t>
            </w:r>
          </w:p>
        </w:tc>
        <w:tc>
          <w:tcPr/>
          <w:p>
            <w:pPr>
              <w:pStyle w:val="Compact"/>
              <w:jc w:val="left"/>
            </w:pPr>
            <w:r>
              <w:t xml:space="preserve">26 40.0 N</w:t>
            </w:r>
          </w:p>
        </w:tc>
        <w:tc>
          <w:tcPr/>
          <w:p>
            <w:pPr>
              <w:pStyle w:val="Compact"/>
              <w:jc w:val="left"/>
            </w:pPr>
            <w:r>
              <w:t xml:space="preserve">055 32.0 E</w:t>
            </w:r>
          </w:p>
        </w:tc>
        <w:tc>
          <w:tcPr/>
          <w:p>
            <w:pPr>
              <w:pStyle w:val="Compact"/>
              <w:jc w:val="left"/>
            </w:pPr>
            <w:r>
              <w:t xml:space="preserve">Western exit into the Gulf</w:t>
            </w:r>
          </w:p>
        </w:tc>
      </w:tr>
    </w:tbl>
    <w:p>
      <w:pPr>
        <w:pStyle w:val="BodyText"/>
      </w:pPr>
      <w:r>
        <w:t xml:space="preserve">Lane width: 2.0 nautical miles each direction; separation zone: 1.0 nautical mile. Notification regime per Article 8.3.</w:t>
      </w:r>
    </w:p>
    <w:bookmarkEnd w:id="276"/>
    <w:bookmarkStart w:id="277" w:name="a.4-central-safety-corridor-waypoints"/>
    <w:p>
      <w:pPr>
        <w:pStyle w:val="Heading2"/>
      </w:pPr>
      <w:r>
        <w:t xml:space="preserve">A.4 Central Safety Corridor waypoints</w:t>
      </w:r>
    </w:p>
    <w:p>
      <w:pPr>
        <w:pStyle w:val="FirstParagraph"/>
      </w:pPr>
      <w:r>
        <w:t xml:space="preserve">Table A.4: Centerline waypoints, joint administration, historic separation lane.</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Waypoint</w:t>
            </w:r>
          </w:p>
        </w:tc>
        <w:tc>
          <w:tcPr/>
          <w:p>
            <w:pPr>
              <w:pStyle w:val="Compact"/>
              <w:jc w:val="left"/>
            </w:pPr>
            <w:r>
              <w:t xml:space="preserve">Latitude</w:t>
            </w:r>
          </w:p>
        </w:tc>
        <w:tc>
          <w:tcPr/>
          <w:p>
            <w:pPr>
              <w:pStyle w:val="Compact"/>
              <w:jc w:val="left"/>
            </w:pPr>
            <w:r>
              <w:t xml:space="preserve">Longitude</w:t>
            </w:r>
          </w:p>
        </w:tc>
        <w:tc>
          <w:tcPr/>
          <w:p>
            <w:pPr>
              <w:pStyle w:val="Compact"/>
              <w:jc w:val="left"/>
            </w:pPr>
            <w:r>
              <w:t xml:space="preserve">Note</w:t>
            </w:r>
          </w:p>
        </w:tc>
      </w:tr>
      <w:tr>
        <w:tc>
          <w:tcPr/>
          <w:p>
            <w:pPr>
              <w:pStyle w:val="Compact"/>
              <w:jc w:val="left"/>
            </w:pPr>
            <w:r>
              <w:t xml:space="preserve">C-1</w:t>
            </w:r>
          </w:p>
        </w:tc>
        <w:tc>
          <w:tcPr/>
          <w:p>
            <w:pPr>
              <w:pStyle w:val="Compact"/>
              <w:jc w:val="left"/>
            </w:pPr>
            <w:r>
              <w:t xml:space="preserve">26 44.0 N</w:t>
            </w:r>
          </w:p>
        </w:tc>
        <w:tc>
          <w:tcPr/>
          <w:p>
            <w:pPr>
              <w:pStyle w:val="Compact"/>
              <w:jc w:val="left"/>
            </w:pPr>
            <w:r>
              <w:t xml:space="preserve">056 48.0 E</w:t>
            </w:r>
          </w:p>
        </w:tc>
        <w:tc>
          <w:tcPr/>
          <w:p>
            <w:pPr>
              <w:pStyle w:val="Compact"/>
              <w:jc w:val="left"/>
            </w:pPr>
            <w:r>
              <w:t xml:space="preserve">Eastern entry</w:t>
            </w:r>
          </w:p>
        </w:tc>
      </w:tr>
      <w:tr>
        <w:tc>
          <w:tcPr/>
          <w:p>
            <w:pPr>
              <w:pStyle w:val="Compact"/>
              <w:jc w:val="left"/>
            </w:pPr>
            <w:r>
              <w:t xml:space="preserve">C-2</w:t>
            </w:r>
          </w:p>
        </w:tc>
        <w:tc>
          <w:tcPr/>
          <w:p>
            <w:pPr>
              <w:pStyle w:val="Compact"/>
              <w:jc w:val="left"/>
            </w:pPr>
            <w:r>
              <w:t xml:space="preserve">26 40.0 N</w:t>
            </w:r>
          </w:p>
        </w:tc>
        <w:tc>
          <w:tcPr/>
          <w:p>
            <w:pPr>
              <w:pStyle w:val="Compact"/>
              <w:jc w:val="left"/>
            </w:pPr>
            <w:r>
              <w:t xml:space="preserve">056 34.0 E</w:t>
            </w:r>
          </w:p>
        </w:tc>
        <w:tc>
          <w:tcPr/>
          <w:p>
            <w:pPr>
              <w:pStyle w:val="Compact"/>
              <w:jc w:val="left"/>
            </w:pPr>
            <w:r>
              <w:t xml:space="preserve">Central reach, east</w:t>
            </w:r>
          </w:p>
        </w:tc>
      </w:tr>
      <w:tr>
        <w:tc>
          <w:tcPr/>
          <w:p>
            <w:pPr>
              <w:pStyle w:val="Compact"/>
              <w:jc w:val="left"/>
            </w:pPr>
            <w:r>
              <w:t xml:space="preserve">C-3</w:t>
            </w:r>
          </w:p>
        </w:tc>
        <w:tc>
          <w:tcPr/>
          <w:p>
            <w:pPr>
              <w:pStyle w:val="Compact"/>
              <w:jc w:val="left"/>
            </w:pPr>
            <w:r>
              <w:t xml:space="preserve">26 36.0 N</w:t>
            </w:r>
          </w:p>
        </w:tc>
        <w:tc>
          <w:tcPr/>
          <w:p>
            <w:pPr>
              <w:pStyle w:val="Compact"/>
              <w:jc w:val="left"/>
            </w:pPr>
            <w:r>
              <w:t xml:space="preserve">056 18.0 E</w:t>
            </w:r>
          </w:p>
        </w:tc>
        <w:tc>
          <w:tcPr/>
          <w:p>
            <w:pPr>
              <w:pStyle w:val="Compact"/>
              <w:jc w:val="left"/>
            </w:pPr>
            <w:r>
              <w:t xml:space="preserve">Central reach, mid</w:t>
            </w:r>
          </w:p>
        </w:tc>
      </w:tr>
      <w:tr>
        <w:tc>
          <w:tcPr/>
          <w:p>
            <w:pPr>
              <w:pStyle w:val="Compact"/>
              <w:jc w:val="left"/>
            </w:pPr>
            <w:r>
              <w:t xml:space="preserve">C-4</w:t>
            </w:r>
          </w:p>
        </w:tc>
        <w:tc>
          <w:tcPr/>
          <w:p>
            <w:pPr>
              <w:pStyle w:val="Compact"/>
              <w:jc w:val="left"/>
            </w:pPr>
            <w:r>
              <w:t xml:space="preserve">26 33.0 N</w:t>
            </w:r>
          </w:p>
        </w:tc>
        <w:tc>
          <w:tcPr/>
          <w:p>
            <w:pPr>
              <w:pStyle w:val="Compact"/>
              <w:jc w:val="left"/>
            </w:pPr>
            <w:r>
              <w:t xml:space="preserve">056 00.0 E</w:t>
            </w:r>
          </w:p>
        </w:tc>
        <w:tc>
          <w:tcPr/>
          <w:p>
            <w:pPr>
              <w:pStyle w:val="Compact"/>
              <w:jc w:val="left"/>
            </w:pPr>
            <w:r>
              <w:t xml:space="preserve">Central reach, west</w:t>
            </w:r>
          </w:p>
        </w:tc>
      </w:tr>
      <w:tr>
        <w:tc>
          <w:tcPr/>
          <w:p>
            <w:pPr>
              <w:pStyle w:val="Compact"/>
              <w:jc w:val="left"/>
            </w:pPr>
            <w:r>
              <w:t xml:space="preserve">C-5</w:t>
            </w:r>
          </w:p>
        </w:tc>
        <w:tc>
          <w:tcPr/>
          <w:p>
            <w:pPr>
              <w:pStyle w:val="Compact"/>
              <w:jc w:val="left"/>
            </w:pPr>
            <w:r>
              <w:t xml:space="preserve">26 31.0 N</w:t>
            </w:r>
          </w:p>
        </w:tc>
        <w:tc>
          <w:tcPr/>
          <w:p>
            <w:pPr>
              <w:pStyle w:val="Compact"/>
              <w:jc w:val="left"/>
            </w:pPr>
            <w:r>
              <w:t xml:space="preserve">055 44.0 E</w:t>
            </w:r>
          </w:p>
        </w:tc>
        <w:tc>
          <w:tcPr/>
          <w:p>
            <w:pPr>
              <w:pStyle w:val="Compact"/>
              <w:jc w:val="left"/>
            </w:pPr>
            <w:r>
              <w:t xml:space="preserve">Western approach</w:t>
            </w:r>
          </w:p>
        </w:tc>
      </w:tr>
      <w:tr>
        <w:tc>
          <w:tcPr/>
          <w:p>
            <w:pPr>
              <w:pStyle w:val="Compact"/>
              <w:jc w:val="left"/>
            </w:pPr>
            <w:r>
              <w:t xml:space="preserve">C-6</w:t>
            </w:r>
          </w:p>
        </w:tc>
        <w:tc>
          <w:tcPr/>
          <w:p>
            <w:pPr>
              <w:pStyle w:val="Compact"/>
              <w:jc w:val="left"/>
            </w:pPr>
            <w:r>
              <w:t xml:space="preserve">26 30.0 N</w:t>
            </w:r>
          </w:p>
        </w:tc>
        <w:tc>
          <w:tcPr/>
          <w:p>
            <w:pPr>
              <w:pStyle w:val="Compact"/>
              <w:jc w:val="left"/>
            </w:pPr>
            <w:r>
              <w:t xml:space="preserve">055 34.0 E</w:t>
            </w:r>
          </w:p>
        </w:tc>
        <w:tc>
          <w:tcPr/>
          <w:p>
            <w:pPr>
              <w:pStyle w:val="Compact"/>
              <w:jc w:val="left"/>
            </w:pPr>
            <w:r>
              <w:t xml:space="preserve">Western exit</w:t>
            </w:r>
          </w:p>
        </w:tc>
      </w:tr>
    </w:tbl>
    <w:p>
      <w:pPr>
        <w:pStyle w:val="BodyText"/>
      </w:pPr>
      <w:r>
        <w:t xml:space="preserve">Corridor width: 3.0 nautical miles total, undivided, reserved for the four functions of Article 8.4. Routine commercial transit uses the Inbound and Outbound corridors; the Central Safety Corridor carries emergency diversion, survey traffic, escorted windows where scheduled, and search and rescue routing.</w:t>
      </w:r>
    </w:p>
    <w:bookmarkEnd w:id="277"/>
    <w:bookmarkStart w:id="278" w:name="a.5-separation-belts"/>
    <w:p>
      <w:pPr>
        <w:pStyle w:val="Heading2"/>
      </w:pPr>
      <w:r>
        <w:t xml:space="preserve">A.5 Separation belts</w:t>
      </w:r>
    </w:p>
    <w:p>
      <w:pPr>
        <w:pStyle w:val="FirstParagraph"/>
      </w:pPr>
      <w:r>
        <w:t xml:space="preserve">Two separation belts divide the three corridors: Belt North between the Inbound Coordination Corridor and the Central Safety Corridor, and Belt South between the Central Safety Corridor and the Outbound Assurance Corridor. Each belt measures 0.5 nautical miles in width and carries a no-anchor, no-fishing, no-loitering rule for all classes except Class F survey traffic on Center instruction.</w:t>
      </w:r>
    </w:p>
    <w:bookmarkEnd w:id="278"/>
    <w:bookmarkStart w:id="279" w:name="X8124bb9f0842ef622baa07bd9eb4fa4b023d3e0"/>
    <w:p>
      <w:pPr>
        <w:pStyle w:val="Heading2"/>
      </w:pPr>
      <w:r>
        <w:t xml:space="preserve">A.6 Precautionary zones and holding anchorages</w:t>
      </w:r>
    </w:p>
    <w:p>
      <w:pPr>
        <w:pStyle w:val="FirstParagraph"/>
      </w:pPr>
      <w:r>
        <w:t xml:space="preserve">Table A.6: Holding anchorages for the Anchor-and-Verify Protocol and casualty shelter.</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Anchorage</w:t>
            </w:r>
          </w:p>
        </w:tc>
        <w:tc>
          <w:tcPr/>
          <w:p>
            <w:pPr>
              <w:pStyle w:val="Compact"/>
              <w:jc w:val="left"/>
            </w:pPr>
            <w:r>
              <w:t xml:space="preserve">Position</w:t>
            </w:r>
          </w:p>
        </w:tc>
        <w:tc>
          <w:tcPr/>
          <w:p>
            <w:pPr>
              <w:pStyle w:val="Compact"/>
              <w:jc w:val="left"/>
            </w:pPr>
            <w:r>
              <w:t xml:space="preserve">Capacity</w:t>
            </w:r>
          </w:p>
        </w:tc>
        <w:tc>
          <w:tcPr/>
          <w:p>
            <w:pPr>
              <w:pStyle w:val="Compact"/>
              <w:jc w:val="left"/>
            </w:pPr>
            <w:r>
              <w:t xml:space="preserve">Administering authority</w:t>
            </w:r>
          </w:p>
        </w:tc>
      </w:tr>
      <w:tr>
        <w:tc>
          <w:tcPr/>
          <w:p>
            <w:pPr>
              <w:pStyle w:val="Compact"/>
              <w:jc w:val="left"/>
            </w:pPr>
            <w:r>
              <w:t xml:space="preserve">East Holding Anchorage</w:t>
            </w:r>
          </w:p>
        </w:tc>
        <w:tc>
          <w:tcPr/>
          <w:p>
            <w:pPr>
              <w:pStyle w:val="Compact"/>
              <w:jc w:val="left"/>
            </w:pPr>
            <w:r>
              <w:t xml:space="preserve">26 36.0 N, 056 55.0 E</w:t>
            </w:r>
          </w:p>
        </w:tc>
        <w:tc>
          <w:tcPr/>
          <w:p>
            <w:pPr>
              <w:pStyle w:val="Compact"/>
              <w:jc w:val="left"/>
            </w:pPr>
            <w:r>
              <w:t xml:space="preserve">12 deep-draft vessels</w:t>
            </w:r>
          </w:p>
        </w:tc>
        <w:tc>
          <w:tcPr/>
          <w:p>
            <w:pPr>
              <w:pStyle w:val="Compact"/>
              <w:jc w:val="left"/>
            </w:pPr>
            <w:r>
              <w:t xml:space="preserve">Pact Operations Center, Omani desk</w:t>
            </w:r>
          </w:p>
        </w:tc>
      </w:tr>
      <w:tr>
        <w:tc>
          <w:tcPr/>
          <w:p>
            <w:pPr>
              <w:pStyle w:val="Compact"/>
              <w:jc w:val="left"/>
            </w:pPr>
            <w:r>
              <w:t xml:space="preserve">West Holding Anchorage</w:t>
            </w:r>
          </w:p>
        </w:tc>
        <w:tc>
          <w:tcPr/>
          <w:p>
            <w:pPr>
              <w:pStyle w:val="Compact"/>
              <w:jc w:val="left"/>
            </w:pPr>
            <w:r>
              <w:t xml:space="preserve">26 28.0 N, 055 33.0 E</w:t>
            </w:r>
          </w:p>
        </w:tc>
        <w:tc>
          <w:tcPr/>
          <w:p>
            <w:pPr>
              <w:pStyle w:val="Compact"/>
              <w:jc w:val="left"/>
            </w:pPr>
            <w:r>
              <w:t xml:space="preserve">12 deep-draft vessels</w:t>
            </w:r>
          </w:p>
        </w:tc>
        <w:tc>
          <w:tcPr/>
          <w:p>
            <w:pPr>
              <w:pStyle w:val="Compact"/>
              <w:jc w:val="left"/>
            </w:pPr>
            <w:r>
              <w:t xml:space="preserve">Pact Operations Center, Iranian desk</w:t>
            </w:r>
          </w:p>
        </w:tc>
      </w:tr>
      <w:tr>
        <w:tc>
          <w:tcPr/>
          <w:p>
            <w:pPr>
              <w:pStyle w:val="Compact"/>
              <w:jc w:val="left"/>
            </w:pPr>
            <w:r>
              <w:t xml:space="preserve">Khasab Shelter Anchorage</w:t>
            </w:r>
          </w:p>
        </w:tc>
        <w:tc>
          <w:tcPr/>
          <w:p>
            <w:pPr>
              <w:pStyle w:val="Compact"/>
              <w:jc w:val="left"/>
            </w:pPr>
            <w:r>
              <w:t xml:space="preserve">26 12.0 N, 056 45.0 E</w:t>
            </w:r>
          </w:p>
        </w:tc>
        <w:tc>
          <w:tcPr/>
          <w:p>
            <w:pPr>
              <w:pStyle w:val="Compact"/>
              <w:jc w:val="left"/>
            </w:pPr>
            <w:r>
              <w:t xml:space="preserve">8 vessels</w:t>
            </w:r>
          </w:p>
        </w:tc>
        <w:tc>
          <w:tcPr/>
          <w:p>
            <w:pPr>
              <w:pStyle w:val="Compact"/>
              <w:jc w:val="left"/>
            </w:pPr>
            <w:r>
              <w:t xml:space="preserve">Oman VTS, coordinated</w:t>
            </w:r>
          </w:p>
        </w:tc>
      </w:tr>
      <w:tr>
        <w:tc>
          <w:tcPr/>
          <w:p>
            <w:pPr>
              <w:pStyle w:val="Compact"/>
              <w:jc w:val="left"/>
            </w:pPr>
            <w:r>
              <w:t xml:space="preserve">Bandar Abbas Shelter Anchorage</w:t>
            </w:r>
          </w:p>
        </w:tc>
        <w:tc>
          <w:tcPr/>
          <w:p>
            <w:pPr>
              <w:pStyle w:val="Compact"/>
              <w:jc w:val="left"/>
            </w:pPr>
            <w:r>
              <w:t xml:space="preserve">27 06.0 N, 056 16.0 E</w:t>
            </w:r>
          </w:p>
        </w:tc>
        <w:tc>
          <w:tcPr/>
          <w:p>
            <w:pPr>
              <w:pStyle w:val="Compact"/>
              <w:jc w:val="left"/>
            </w:pPr>
            <w:r>
              <w:t xml:space="preserve">8 vessels</w:t>
            </w:r>
          </w:p>
        </w:tc>
        <w:tc>
          <w:tcPr/>
          <w:p>
            <w:pPr>
              <w:pStyle w:val="Compact"/>
              <w:jc w:val="left"/>
            </w:pPr>
            <w:r>
              <w:t xml:space="preserve">Iran maritime administration, coordinated</w:t>
            </w:r>
          </w:p>
        </w:tc>
      </w:tr>
    </w:tbl>
    <w:p>
      <w:pPr>
        <w:pStyle w:val="BodyText"/>
      </w:pPr>
      <w:r>
        <w:t xml:space="preserve">Precautionary zones sit at the eastern and western approaches, radius 5 nautical miles centered on waypoints O-1 and I-6 respectively, with heightened watch and mandatory speed discipline of 12 knots maximum for deep-draft vessels.</w:t>
      </w:r>
    </w:p>
    <w:bookmarkEnd w:id="279"/>
    <w:bookmarkStart w:id="280" w:name="X985c6ec890b98417ef9fda9a2ea477835c67dd1"/>
    <w:p>
      <w:pPr>
        <w:pStyle w:val="Heading2"/>
      </w:pPr>
      <w:r>
        <w:t xml:space="preserve">A.7 Crossing gates, inshore bands, and reporting points</w:t>
      </w:r>
    </w:p>
    <w:p>
      <w:pPr>
        <w:pStyle w:val="FirstParagraph"/>
      </w:pPr>
      <w:r>
        <w:t xml:space="preserve">Class D local craft cross the corridors only at the published crossing gates: Gate East (26 30.0 N, 056 40.0 E) and Gate West (26 26.0 N, 055 46.0 E), each marked on the working charts, each under Center coordination during Free Flow and Managed Flow. Inshore bands of 3 nautical miles along each littoral reserve local craft traffic. Reporting points for the notification regime sit at each corridor entry waypoint and publish in the Mariners’ Handbook.</w:t>
      </w:r>
    </w:p>
    <w:bookmarkEnd w:id="280"/>
    <w:bookmarkStart w:id="281" w:name="a.8-chart-edition"/>
    <w:p>
      <w:pPr>
        <w:pStyle w:val="Heading2"/>
      </w:pPr>
      <w:r>
        <w:t xml:space="preserve">A.8 Chart edition</w:t>
      </w:r>
    </w:p>
    <w:p>
      <w:pPr>
        <w:pStyle w:val="FirstParagraph"/>
      </w:pPr>
      <w:r>
        <w:t xml:space="preserve">The working chart edition at entry into force is Pact Chart H-1, first edition, August 2026. The Center issues chart corrections by Notice to Mariners, co-signed by both coastal desks, and the IHO receives every edition and every correction.</w:t>
      </w:r>
    </w:p>
    <w:p>
      <w:r>
        <w:pict>
          <v:rect style="width:0;height:1.5pt" o:hralign="center" o:hrstd="t" o:hr="t"/>
        </w:pict>
      </w:r>
    </w:p>
    <w:bookmarkEnd w:id="281"/>
    <w:bookmarkEnd w:id="282"/>
    <w:bookmarkStart w:id="292" w:name="X204f55b14e2994db7d3891831ecc39fbb80d085"/>
    <w:p>
      <w:pPr>
        <w:pStyle w:val="Heading1"/>
      </w:pPr>
      <w:r>
        <w:t xml:space="preserve">Annex B: Fund Charter, Rate Card, and Contribution Schedule</w:t>
      </w:r>
    </w:p>
    <w:bookmarkStart w:id="283" w:name="b.1-legal-form-and-accounts"/>
    <w:p>
      <w:pPr>
        <w:pStyle w:val="Heading2"/>
      </w:pPr>
      <w:r>
        <w:t xml:space="preserve">B.1 Legal form and accounts</w:t>
      </w:r>
    </w:p>
    <w:p>
      <w:pPr>
        <w:pStyle w:val="FirstParagraph"/>
      </w:pPr>
      <w:r>
        <w:t xml:space="preserve">The Maritime Services Fund and the Hormuz Development Facility operate as two ledgers of one multilateral fiduciary facility under Swiss law, administered by the Neutral Administrator. Principal accounts sit in Switzerland; mirror settlement accounts sit in Muscat; the escrow channel operates per Article 20.4. All accounts are denominated in Swiss francs for record purposes, with settlement accepted in Swiss francs, euros, and other convertible currencies the Administrator approves and publishes.</w:t>
      </w:r>
    </w:p>
    <w:bookmarkEnd w:id="283"/>
    <w:bookmarkStart w:id="284" w:name="b.2-initial-capitalization"/>
    <w:p>
      <w:pPr>
        <w:pStyle w:val="Heading2"/>
      </w:pPr>
      <w:r>
        <w:t xml:space="preserve">B.2 Initial capitalization</w:t>
      </w:r>
    </w:p>
    <w:p>
      <w:pPr>
        <w:pStyle w:val="FirstParagraph"/>
      </w:pPr>
      <w:r>
        <w:t xml:space="preserve">Table B.2: Endowment contributions at entry into force or accession (indicative, in millions of Swiss francs).</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Contributor</w:t>
            </w:r>
          </w:p>
        </w:tc>
        <w:tc>
          <w:tcPr/>
          <w:p>
            <w:pPr>
              <w:pStyle w:val="Compact"/>
              <w:jc w:val="left"/>
            </w:pPr>
            <w:r>
              <w:t xml:space="preserve">Maritime Services Fund</w:t>
            </w:r>
          </w:p>
        </w:tc>
        <w:tc>
          <w:tcPr/>
          <w:p>
            <w:pPr>
              <w:pStyle w:val="Compact"/>
              <w:jc w:val="left"/>
            </w:pPr>
            <w:r>
              <w:t xml:space="preserve">Development Facility</w:t>
            </w:r>
          </w:p>
        </w:tc>
      </w:tr>
      <w:tr>
        <w:tc>
          <w:tcPr/>
          <w:p>
            <w:pPr>
              <w:pStyle w:val="Compact"/>
              <w:jc w:val="left"/>
            </w:pPr>
            <w:r>
              <w:t xml:space="preserve">Islamic Republic of Iran</w:t>
            </w:r>
          </w:p>
        </w:tc>
        <w:tc>
          <w:tcPr/>
          <w:p>
            <w:pPr>
              <w:pStyle w:val="Compact"/>
              <w:jc w:val="left"/>
            </w:pPr>
            <w:r>
              <w:t xml:space="preserve">12.0</w:t>
            </w:r>
          </w:p>
        </w:tc>
        <w:tc>
          <w:tcPr/>
          <w:p>
            <w:pPr>
              <w:pStyle w:val="Compact"/>
              <w:jc w:val="left"/>
            </w:pPr>
            <w:r>
              <w:t xml:space="preserve">10.0</w:t>
            </w:r>
          </w:p>
        </w:tc>
      </w:tr>
      <w:tr>
        <w:tc>
          <w:tcPr/>
          <w:p>
            <w:pPr>
              <w:pStyle w:val="Compact"/>
              <w:jc w:val="left"/>
            </w:pPr>
            <w:r>
              <w:t xml:space="preserve">Sultanate of Oman</w:t>
            </w:r>
          </w:p>
        </w:tc>
        <w:tc>
          <w:tcPr/>
          <w:p>
            <w:pPr>
              <w:pStyle w:val="Compact"/>
              <w:jc w:val="left"/>
            </w:pPr>
            <w:r>
              <w:t xml:space="preserve">12.0</w:t>
            </w:r>
          </w:p>
        </w:tc>
        <w:tc>
          <w:tcPr/>
          <w:p>
            <w:pPr>
              <w:pStyle w:val="Compact"/>
              <w:jc w:val="left"/>
            </w:pPr>
            <w:r>
              <w:t xml:space="preserve">10.0</w:t>
            </w:r>
          </w:p>
        </w:tc>
      </w:tr>
      <w:tr>
        <w:tc>
          <w:tcPr/>
          <w:p>
            <w:pPr>
              <w:pStyle w:val="Compact"/>
              <w:jc w:val="left"/>
            </w:pPr>
            <w:r>
              <w:t xml:space="preserve">Each Acceding Littoral Party</w:t>
            </w:r>
          </w:p>
        </w:tc>
        <w:tc>
          <w:tcPr/>
          <w:p>
            <w:pPr>
              <w:pStyle w:val="Compact"/>
              <w:jc w:val="left"/>
            </w:pPr>
            <w:r>
              <w:t xml:space="preserve">6.0</w:t>
            </w:r>
          </w:p>
        </w:tc>
        <w:tc>
          <w:tcPr/>
          <w:p>
            <w:pPr>
              <w:pStyle w:val="Compact"/>
              <w:jc w:val="left"/>
            </w:pPr>
            <w:r>
              <w:t xml:space="preserve">5.0</w:t>
            </w:r>
          </w:p>
        </w:tc>
      </w:tr>
      <w:tr>
        <w:tc>
          <w:tcPr/>
          <w:p>
            <w:pPr>
              <w:pStyle w:val="Compact"/>
              <w:jc w:val="left"/>
            </w:pPr>
            <w:r>
              <w:t xml:space="preserve">Endorsing Stakeholder (voluntary, technical programs only)</w:t>
            </w:r>
          </w:p>
        </w:tc>
        <w:tc>
          <w:tcPr/>
          <w:p>
            <w:pPr>
              <w:pStyle w:val="Compact"/>
              <w:jc w:val="left"/>
            </w:pPr>
            <w:r>
              <w:t xml:space="preserve">0.0</w:t>
            </w:r>
          </w:p>
        </w:tc>
        <w:tc>
          <w:tcPr/>
          <w:p>
            <w:pPr>
              <w:pStyle w:val="Compact"/>
              <w:jc w:val="left"/>
            </w:pPr>
            <w:r>
              <w:t xml:space="preserve">0.0</w:t>
            </w:r>
          </w:p>
        </w:tc>
      </w:tr>
      <w:tr>
        <w:tc>
          <w:tcPr/>
          <w:p>
            <w:pPr>
              <w:pStyle w:val="Compact"/>
              <w:jc w:val="left"/>
            </w:pPr>
            <w:r>
              <w:t xml:space="preserve">Observer states (voluntary, published)</w:t>
            </w:r>
          </w:p>
        </w:tc>
        <w:tc>
          <w:tcPr/>
          <w:p>
            <w:pPr>
              <w:pStyle w:val="Compact"/>
              <w:jc w:val="left"/>
            </w:pPr>
            <w:r>
              <w:t xml:space="preserve">per election</w:t>
            </w:r>
          </w:p>
        </w:tc>
        <w:tc>
          <w:tcPr/>
          <w:p>
            <w:pPr>
              <w:pStyle w:val="Compact"/>
              <w:jc w:val="left"/>
            </w:pPr>
            <w:r>
              <w:t xml:space="preserve">per election</w:t>
            </w:r>
          </w:p>
        </w:tc>
      </w:tr>
      <w:tr>
        <w:tc>
          <w:tcPr/>
          <w:p>
            <w:pPr>
              <w:pStyle w:val="Compact"/>
              <w:jc w:val="left"/>
            </w:pPr>
            <w:r>
              <w:t xml:space="preserve">Gulf Cooperation Council Secretariat</w:t>
            </w:r>
          </w:p>
        </w:tc>
        <w:tc>
          <w:tcPr/>
          <w:p>
            <w:pPr>
              <w:pStyle w:val="Compact"/>
              <w:jc w:val="left"/>
            </w:pPr>
            <w:r>
              <w:t xml:space="preserve">2.0</w:t>
            </w:r>
          </w:p>
        </w:tc>
        <w:tc>
          <w:tcPr/>
          <w:p>
            <w:pPr>
              <w:pStyle w:val="Compact"/>
              <w:jc w:val="left"/>
            </w:pPr>
            <w:r>
              <w:t xml:space="preserve">2.0</w:t>
            </w:r>
          </w:p>
        </w:tc>
      </w:tr>
    </w:tbl>
    <w:p>
      <w:pPr>
        <w:pStyle w:val="BodyText"/>
      </w:pPr>
      <w:r>
        <w:t xml:space="preserve">The schedule reviews annually under the silence procedure; the review never reduces a paid endowment and never conditions a Party’s rights on additional payment.</w:t>
      </w:r>
    </w:p>
    <w:bookmarkEnd w:id="284"/>
    <w:bookmarkStart w:id="285" w:name="b.3-payment-mechanics"/>
    <w:p>
      <w:pPr>
        <w:pStyle w:val="Heading2"/>
      </w:pPr>
      <w:r>
        <w:t xml:space="preserve">B.3 Payment mechanics</w:t>
      </w:r>
    </w:p>
    <w:p>
      <w:pPr>
        <w:pStyle w:val="FirstParagraph"/>
      </w:pPr>
      <w:r>
        <w:t xml:space="preserve">Payments follow four steps: (1) the contributor instructs its bank to the Omani escrow account; (2) the escrow converts, screens under the firewall protocol, and records; (3) the Administrator credits the relevant ledger and publishes the inflow; (4) the audit trail carries the transaction to the quarterly audit. Payment mechanics never touch passage, and no vessel’s operator pays into this system at any point.</w:t>
      </w:r>
    </w:p>
    <w:bookmarkEnd w:id="285"/>
    <w:bookmarkStart w:id="286" w:name="b.4-initial-rate-card"/>
    <w:p>
      <w:pPr>
        <w:pStyle w:val="Heading2"/>
      </w:pPr>
      <w:r>
        <w:t xml:space="preserve">B.4 Initial rate card</w:t>
      </w:r>
    </w:p>
    <w:p>
      <w:pPr>
        <w:pStyle w:val="FirstParagraph"/>
      </w:pPr>
      <w:r>
        <w:t xml:space="preserve">Table B.4: The Verified Services Catalog, initial rates (in Swiss francs).</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Service</w:t>
            </w:r>
          </w:p>
        </w:tc>
        <w:tc>
          <w:tcPr/>
          <w:p>
            <w:pPr>
              <w:pStyle w:val="Compact"/>
              <w:jc w:val="left"/>
            </w:pPr>
            <w:r>
              <w:t xml:space="preserve">Unit</w:t>
            </w:r>
          </w:p>
        </w:tc>
        <w:tc>
          <w:tcPr/>
          <w:p>
            <w:pPr>
              <w:pStyle w:val="Compact"/>
              <w:jc w:val="left"/>
            </w:pPr>
            <w:r>
              <w:t xml:space="preserve">Rate</w:t>
            </w:r>
          </w:p>
        </w:tc>
        <w:tc>
          <w:tcPr/>
          <w:p>
            <w:pPr>
              <w:pStyle w:val="Compact"/>
              <w:jc w:val="left"/>
            </w:pPr>
            <w:r>
              <w:t xml:space="preserve">Deliverer</w:t>
            </w:r>
          </w:p>
        </w:tc>
      </w:tr>
      <w:tr>
        <w:tc>
          <w:tcPr/>
          <w:p>
            <w:pPr>
              <w:pStyle w:val="Compact"/>
              <w:jc w:val="left"/>
            </w:pPr>
            <w:r>
              <w:t xml:space="preserve">Vessel traffic service operation, Inbound Coordination Corridor</w:t>
            </w:r>
          </w:p>
        </w:tc>
        <w:tc>
          <w:tcPr/>
          <w:p>
            <w:pPr>
              <w:pStyle w:val="Compact"/>
              <w:jc w:val="left"/>
            </w:pPr>
            <w:r>
              <w:t xml:space="preserve">per operating day</w:t>
            </w:r>
          </w:p>
        </w:tc>
        <w:tc>
          <w:tcPr/>
          <w:p>
            <w:pPr>
              <w:pStyle w:val="Compact"/>
              <w:jc w:val="left"/>
            </w:pPr>
            <w:r>
              <w:t xml:space="preserve">9,500</w:t>
            </w:r>
          </w:p>
        </w:tc>
        <w:tc>
          <w:tcPr/>
          <w:p>
            <w:pPr>
              <w:pStyle w:val="Compact"/>
              <w:jc w:val="left"/>
            </w:pPr>
            <w:r>
              <w:t xml:space="preserve">Iran maritime administration</w:t>
            </w:r>
          </w:p>
        </w:tc>
      </w:tr>
      <w:tr>
        <w:tc>
          <w:tcPr/>
          <w:p>
            <w:pPr>
              <w:pStyle w:val="Compact"/>
              <w:jc w:val="left"/>
            </w:pPr>
            <w:r>
              <w:t xml:space="preserve">Vessel traffic service operation, Outbound Assurance Corridor</w:t>
            </w:r>
          </w:p>
        </w:tc>
        <w:tc>
          <w:tcPr/>
          <w:p>
            <w:pPr>
              <w:pStyle w:val="Compact"/>
              <w:jc w:val="left"/>
            </w:pPr>
            <w:r>
              <w:t xml:space="preserve">per operating day</w:t>
            </w:r>
          </w:p>
        </w:tc>
        <w:tc>
          <w:tcPr/>
          <w:p>
            <w:pPr>
              <w:pStyle w:val="Compact"/>
              <w:jc w:val="left"/>
            </w:pPr>
            <w:r>
              <w:t xml:space="preserve">9,500</w:t>
            </w:r>
          </w:p>
        </w:tc>
        <w:tc>
          <w:tcPr/>
          <w:p>
            <w:pPr>
              <w:pStyle w:val="Compact"/>
              <w:jc w:val="left"/>
            </w:pPr>
            <w:r>
              <w:t xml:space="preserve">Oman VTS</w:t>
            </w:r>
          </w:p>
        </w:tc>
      </w:tr>
      <w:tr>
        <w:tc>
          <w:tcPr/>
          <w:p>
            <w:pPr>
              <w:pStyle w:val="Compact"/>
              <w:jc w:val="left"/>
            </w:pPr>
            <w:r>
              <w:t xml:space="preserve">Central Safety Corridor coordination</w:t>
            </w:r>
          </w:p>
        </w:tc>
        <w:tc>
          <w:tcPr/>
          <w:p>
            <w:pPr>
              <w:pStyle w:val="Compact"/>
              <w:jc w:val="left"/>
            </w:pPr>
            <w:r>
              <w:t xml:space="preserve">per operating day</w:t>
            </w:r>
          </w:p>
        </w:tc>
        <w:tc>
          <w:tcPr/>
          <w:p>
            <w:pPr>
              <w:pStyle w:val="Compact"/>
              <w:jc w:val="left"/>
            </w:pPr>
            <w:r>
              <w:t xml:space="preserve">6,000</w:t>
            </w:r>
          </w:p>
        </w:tc>
        <w:tc>
          <w:tcPr/>
          <w:p>
            <w:pPr>
              <w:pStyle w:val="Compact"/>
              <w:jc w:val="left"/>
            </w:pPr>
            <w:r>
              <w:t xml:space="preserve">Pact Operations Center</w:t>
            </w:r>
          </w:p>
        </w:tc>
      </w:tr>
      <w:tr>
        <w:tc>
          <w:tcPr/>
          <w:p>
            <w:pPr>
              <w:pStyle w:val="Compact"/>
              <w:jc w:val="left"/>
            </w:pPr>
            <w:r>
              <w:t xml:space="preserve">Escorted transit window</w:t>
            </w:r>
          </w:p>
        </w:tc>
        <w:tc>
          <w:tcPr/>
          <w:p>
            <w:pPr>
              <w:pStyle w:val="Compact"/>
              <w:jc w:val="left"/>
            </w:pPr>
            <w:r>
              <w:t xml:space="preserve">per window</w:t>
            </w:r>
          </w:p>
        </w:tc>
        <w:tc>
          <w:tcPr/>
          <w:p>
            <w:pPr>
              <w:pStyle w:val="Compact"/>
              <w:jc w:val="left"/>
            </w:pPr>
            <w:r>
              <w:t xml:space="preserve">14,000</w:t>
            </w:r>
          </w:p>
        </w:tc>
        <w:tc>
          <w:tcPr/>
          <w:p>
            <w:pPr>
              <w:pStyle w:val="Compact"/>
              <w:jc w:val="left"/>
            </w:pPr>
            <w:r>
              <w:t xml:space="preserve">Lead-escort coastal state</w:t>
            </w:r>
          </w:p>
        </w:tc>
      </w:tr>
      <w:tr>
        <w:tc>
          <w:tcPr/>
          <w:p>
            <w:pPr>
              <w:pStyle w:val="Compact"/>
              <w:jc w:val="left"/>
            </w:pPr>
            <w:r>
              <w:t xml:space="preserve">Verification patrol</w:t>
            </w:r>
          </w:p>
        </w:tc>
        <w:tc>
          <w:tcPr/>
          <w:p>
            <w:pPr>
              <w:pStyle w:val="Compact"/>
              <w:jc w:val="left"/>
            </w:pPr>
            <w:r>
              <w:t xml:space="preserve">per patrol</w:t>
            </w:r>
          </w:p>
        </w:tc>
        <w:tc>
          <w:tcPr/>
          <w:p>
            <w:pPr>
              <w:pStyle w:val="Compact"/>
              <w:jc w:val="left"/>
            </w:pPr>
            <w:r>
              <w:t xml:space="preserve">11,000</w:t>
            </w:r>
          </w:p>
        </w:tc>
        <w:tc>
          <w:tcPr/>
          <w:p>
            <w:pPr>
              <w:pStyle w:val="Compact"/>
              <w:jc w:val="left"/>
            </w:pPr>
            <w:r>
              <w:t xml:space="preserve">Rotating coastal provider</w:t>
            </w:r>
          </w:p>
        </w:tc>
      </w:tr>
      <w:tr>
        <w:tc>
          <w:tcPr/>
          <w:p>
            <w:pPr>
              <w:pStyle w:val="Compact"/>
              <w:jc w:val="left"/>
            </w:pPr>
            <w:r>
              <w:t xml:space="preserve">Hydrographic survey</w:t>
            </w:r>
          </w:p>
        </w:tc>
        <w:tc>
          <w:tcPr/>
          <w:p>
            <w:pPr>
              <w:pStyle w:val="Compact"/>
              <w:jc w:val="left"/>
            </w:pPr>
            <w:r>
              <w:t xml:space="preserve">per survey day</w:t>
            </w:r>
          </w:p>
        </w:tc>
        <w:tc>
          <w:tcPr/>
          <w:p>
            <w:pPr>
              <w:pStyle w:val="Compact"/>
              <w:jc w:val="left"/>
            </w:pPr>
            <w:r>
              <w:t xml:space="preserve">18,000</w:t>
            </w:r>
          </w:p>
        </w:tc>
        <w:tc>
          <w:tcPr/>
          <w:p>
            <w:pPr>
              <w:pStyle w:val="Compact"/>
              <w:jc w:val="left"/>
            </w:pPr>
            <w:r>
              <w:t xml:space="preserve">Contracted survey unit</w:t>
            </w:r>
          </w:p>
        </w:tc>
      </w:tr>
      <w:tr>
        <w:tc>
          <w:tcPr/>
          <w:p>
            <w:pPr>
              <w:pStyle w:val="Compact"/>
              <w:jc w:val="left"/>
            </w:pPr>
            <w:r>
              <w:t xml:space="preserve">Aids to navigation maintenance</w:t>
            </w:r>
          </w:p>
        </w:tc>
        <w:tc>
          <w:tcPr/>
          <w:p>
            <w:pPr>
              <w:pStyle w:val="Compact"/>
              <w:jc w:val="left"/>
            </w:pPr>
            <w:r>
              <w:t xml:space="preserve">per aid per year</w:t>
            </w:r>
          </w:p>
        </w:tc>
        <w:tc>
          <w:tcPr/>
          <w:p>
            <w:pPr>
              <w:pStyle w:val="Compact"/>
              <w:jc w:val="left"/>
            </w:pPr>
            <w:r>
              <w:t xml:space="preserve">4,200</w:t>
            </w:r>
          </w:p>
        </w:tc>
        <w:tc>
          <w:tcPr/>
          <w:p>
            <w:pPr>
              <w:pStyle w:val="Compact"/>
              <w:jc w:val="left"/>
            </w:pPr>
            <w:r>
              <w:t xml:space="preserve">Coastal authority</w:t>
            </w:r>
          </w:p>
        </w:tc>
      </w:tr>
      <w:tr>
        <w:tc>
          <w:tcPr/>
          <w:p>
            <w:pPr>
              <w:pStyle w:val="Compact"/>
              <w:jc w:val="left"/>
            </w:pPr>
            <w:r>
              <w:t xml:space="preserve">Search and rescue standby</w:t>
            </w:r>
          </w:p>
        </w:tc>
        <w:tc>
          <w:tcPr/>
          <w:p>
            <w:pPr>
              <w:pStyle w:val="Compact"/>
              <w:jc w:val="left"/>
            </w:pPr>
            <w:r>
              <w:t xml:space="preserve">per day</w:t>
            </w:r>
          </w:p>
        </w:tc>
        <w:tc>
          <w:tcPr/>
          <w:p>
            <w:pPr>
              <w:pStyle w:val="Compact"/>
              <w:jc w:val="left"/>
            </w:pPr>
            <w:r>
              <w:t xml:space="preserve">7,500</w:t>
            </w:r>
          </w:p>
        </w:tc>
        <w:tc>
          <w:tcPr/>
          <w:p>
            <w:pPr>
              <w:pStyle w:val="Compact"/>
              <w:jc w:val="left"/>
            </w:pPr>
            <w:r>
              <w:t xml:space="preserve">Coastal authorities, split</w:t>
            </w:r>
          </w:p>
        </w:tc>
      </w:tr>
      <w:tr>
        <w:tc>
          <w:tcPr/>
          <w:p>
            <w:pPr>
              <w:pStyle w:val="Compact"/>
              <w:jc w:val="left"/>
            </w:pPr>
            <w:r>
              <w:t xml:space="preserve">Pollution response standby</w:t>
            </w:r>
          </w:p>
        </w:tc>
        <w:tc>
          <w:tcPr/>
          <w:p>
            <w:pPr>
              <w:pStyle w:val="Compact"/>
              <w:jc w:val="left"/>
            </w:pPr>
            <w:r>
              <w:t xml:space="preserve">per day</w:t>
            </w:r>
          </w:p>
        </w:tc>
        <w:tc>
          <w:tcPr/>
          <w:p>
            <w:pPr>
              <w:pStyle w:val="Compact"/>
              <w:jc w:val="left"/>
            </w:pPr>
            <w:r>
              <w:t xml:space="preserve">6,500</w:t>
            </w:r>
          </w:p>
        </w:tc>
        <w:tc>
          <w:tcPr/>
          <w:p>
            <w:pPr>
              <w:pStyle w:val="Compact"/>
              <w:jc w:val="left"/>
            </w:pPr>
            <w:r>
              <w:t xml:space="preserve">Contracted response unit</w:t>
            </w:r>
          </w:p>
        </w:tc>
      </w:tr>
      <w:tr>
        <w:tc>
          <w:tcPr/>
          <w:p>
            <w:pPr>
              <w:pStyle w:val="Compact"/>
              <w:jc w:val="left"/>
            </w:pPr>
            <w:r>
              <w:t xml:space="preserve">Environmental monitoring station operation</w:t>
            </w:r>
          </w:p>
        </w:tc>
        <w:tc>
          <w:tcPr/>
          <w:p>
            <w:pPr>
              <w:pStyle w:val="Compact"/>
              <w:jc w:val="left"/>
            </w:pPr>
            <w:r>
              <w:t xml:space="preserve">per station per year</w:t>
            </w:r>
          </w:p>
        </w:tc>
        <w:tc>
          <w:tcPr/>
          <w:p>
            <w:pPr>
              <w:pStyle w:val="Compact"/>
              <w:jc w:val="left"/>
            </w:pPr>
            <w:r>
              <w:t xml:space="preserve">95,000</w:t>
            </w:r>
          </w:p>
        </w:tc>
        <w:tc>
          <w:tcPr/>
          <w:p>
            <w:pPr>
              <w:pStyle w:val="Compact"/>
              <w:jc w:val="left"/>
            </w:pPr>
            <w:r>
              <w:t xml:space="preserve">Coastal authorities, six stations each</w:t>
            </w:r>
          </w:p>
        </w:tc>
      </w:tr>
      <w:tr>
        <w:tc>
          <w:tcPr/>
          <w:p>
            <w:pPr>
              <w:pStyle w:val="Compact"/>
              <w:jc w:val="left"/>
            </w:pPr>
            <w:r>
              <w:t xml:space="preserve">Watch floor and registry operation</w:t>
            </w:r>
          </w:p>
        </w:tc>
        <w:tc>
          <w:tcPr/>
          <w:p>
            <w:pPr>
              <w:pStyle w:val="Compact"/>
              <w:jc w:val="left"/>
            </w:pPr>
            <w:r>
              <w:t xml:space="preserve">per operating day</w:t>
            </w:r>
          </w:p>
        </w:tc>
        <w:tc>
          <w:tcPr/>
          <w:p>
            <w:pPr>
              <w:pStyle w:val="Compact"/>
              <w:jc w:val="left"/>
            </w:pPr>
            <w:r>
              <w:t xml:space="preserve">12,000</w:t>
            </w:r>
          </w:p>
        </w:tc>
        <w:tc>
          <w:tcPr/>
          <w:p>
            <w:pPr>
              <w:pStyle w:val="Compact"/>
              <w:jc w:val="left"/>
            </w:pPr>
            <w:r>
              <w:t xml:space="preserve">Pact Operations Center</w:t>
            </w:r>
          </w:p>
        </w:tc>
      </w:tr>
      <w:tr>
        <w:tc>
          <w:tcPr/>
          <w:p>
            <w:pPr>
              <w:pStyle w:val="Compact"/>
              <w:jc w:val="left"/>
            </w:pPr>
            <w:r>
              <w:t xml:space="preserve">Neutral Observation Office operation</w:t>
            </w:r>
          </w:p>
        </w:tc>
        <w:tc>
          <w:tcPr/>
          <w:p>
            <w:pPr>
              <w:pStyle w:val="Compact"/>
              <w:jc w:val="left"/>
            </w:pPr>
            <w:r>
              <w:t xml:space="preserve">per operating day</w:t>
            </w:r>
          </w:p>
        </w:tc>
        <w:tc>
          <w:tcPr/>
          <w:p>
            <w:pPr>
              <w:pStyle w:val="Compact"/>
              <w:jc w:val="left"/>
            </w:pPr>
            <w:r>
              <w:t xml:space="preserve">10,000</w:t>
            </w:r>
          </w:p>
        </w:tc>
        <w:tc>
          <w:tcPr/>
          <w:p>
            <w:pPr>
              <w:pStyle w:val="Compact"/>
              <w:jc w:val="left"/>
            </w:pPr>
            <w:r>
              <w:t xml:space="preserve">Neutral Observation Office</w:t>
            </w:r>
          </w:p>
        </w:tc>
      </w:tr>
    </w:tbl>
    <w:p>
      <w:pPr>
        <w:pStyle w:val="BodyText"/>
      </w:pPr>
      <w:r>
        <w:t xml:space="preserve">Rates index annually to a published cost basket; the index never exceeds 4 percent in any year absent a Twin Key decision.</w:t>
      </w:r>
    </w:p>
    <w:bookmarkEnd w:id="286"/>
    <w:bookmarkStart w:id="287" w:name="b.5-apportionment-mechanics"/>
    <w:p>
      <w:pPr>
        <w:pStyle w:val="Heading2"/>
      </w:pPr>
      <w:r>
        <w:t xml:space="preserve">B.5 Apportionment mechanics</w:t>
      </w:r>
    </w:p>
    <w:p>
      <w:pPr>
        <w:pStyle w:val="FirstParagraph"/>
      </w:pPr>
      <w:r>
        <w:t xml:space="preserve">Access contributions follow the apportionment band of Article 19.4: the Administrator computes each participant’s verified service consumption from the delivery record, applies the baseline deduction of 500 service units, and invoices the excess at the Catalog rates, capped at 25 percent of the annual services budget per participant. Invoices issue quarterly, in arrears, against published records.</w:t>
      </w:r>
    </w:p>
    <w:bookmarkEnd w:id="287"/>
    <w:bookmarkStart w:id="288" w:name="b.6-compensation-window-schedule"/>
    <w:p>
      <w:pPr>
        <w:pStyle w:val="Heading2"/>
      </w:pPr>
      <w:r>
        <w:t xml:space="preserve">B.6 Compensation window schedule</w:t>
      </w:r>
    </w:p>
    <w:p>
      <w:pPr>
        <w:pStyle w:val="FirstParagraph"/>
      </w:pPr>
      <w:r>
        <w:t xml:space="preserve">Claims under Article 20.6 file on the standard form, with documented loss evidence, within 90 days of the certified disruption. The window pays verified claims within 60 days, in order of receipt, up to a per-event ceiling of 40 million Swiss francs; claims above the ceiling roll to the next quarter with priority. The window’s reserve stands at 20 million Swiss francs, replenished as a fourth-priority call on Fund revenue.</w:t>
      </w:r>
    </w:p>
    <w:bookmarkEnd w:id="288"/>
    <w:bookmarkStart w:id="289" w:name="b.7-insurance-normalization-schedule"/>
    <w:p>
      <w:pPr>
        <w:pStyle w:val="Heading2"/>
      </w:pPr>
      <w:r>
        <w:t xml:space="preserve">B.7 Insurance normalization schedule</w:t>
      </w:r>
    </w:p>
    <w:p>
      <w:pPr>
        <w:pStyle w:val="FirstParagraph"/>
      </w:pPr>
      <w:r>
        <w:t xml:space="preserve">Table B.7: War-risk premium normalization targets.</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Milestone</w:t>
            </w:r>
          </w:p>
        </w:tc>
        <w:tc>
          <w:tcPr/>
          <w:p>
            <w:pPr>
              <w:pStyle w:val="Compact"/>
              <w:jc w:val="left"/>
            </w:pPr>
            <w:r>
              <w:t xml:space="preserve">Target</w:t>
            </w:r>
          </w:p>
        </w:tc>
        <w:tc>
          <w:tcPr/>
          <w:p>
            <w:pPr>
              <w:pStyle w:val="Compact"/>
              <w:jc w:val="left"/>
            </w:pPr>
            <w:r>
              <w:t xml:space="preserve">Verification</w:t>
            </w:r>
          </w:p>
        </w:tc>
      </w:tr>
      <w:tr>
        <w:tc>
          <w:tcPr/>
          <w:p>
            <w:pPr>
              <w:pStyle w:val="Compact"/>
              <w:jc w:val="left"/>
            </w:pPr>
            <w:r>
              <w:t xml:space="preserve">Survey completion</w:t>
            </w:r>
          </w:p>
        </w:tc>
        <w:tc>
          <w:tcPr/>
          <w:p>
            <w:pPr>
              <w:pStyle w:val="Compact"/>
              <w:jc w:val="left"/>
            </w:pPr>
            <w:r>
              <w:t xml:space="preserve">Certification broadcast to the P&amp;I clubs</w:t>
            </w:r>
          </w:p>
        </w:tc>
        <w:tc>
          <w:tcPr/>
          <w:p>
            <w:pPr>
              <w:pStyle w:val="Compact"/>
              <w:jc w:val="left"/>
            </w:pPr>
            <w:r>
              <w:t xml:space="preserve">IMO certification, Article 12.4</w:t>
            </w:r>
          </w:p>
        </w:tc>
      </w:tr>
      <w:tr>
        <w:tc>
          <w:tcPr/>
          <w:p>
            <w:pPr>
              <w:pStyle w:val="Compact"/>
              <w:jc w:val="left"/>
            </w:pPr>
            <w:r>
              <w:t xml:space="preserve">Two quarters of clean operation</w:t>
            </w:r>
          </w:p>
        </w:tc>
        <w:tc>
          <w:tcPr/>
          <w:p>
            <w:pPr>
              <w:pStyle w:val="Compact"/>
              <w:jc w:val="left"/>
            </w:pPr>
            <w:r>
              <w:t xml:space="preserve">War-risk premium at or below 1.5 times pre-crisis level</w:t>
            </w:r>
          </w:p>
        </w:tc>
        <w:tc>
          <w:tcPr/>
          <w:p>
            <w:pPr>
              <w:pStyle w:val="Compact"/>
              <w:jc w:val="left"/>
            </w:pPr>
            <w:r>
              <w:t xml:space="preserve">Quarterly Insurance Confidence Statement</w:t>
            </w:r>
          </w:p>
        </w:tc>
      </w:tr>
      <w:tr>
        <w:tc>
          <w:tcPr/>
          <w:p>
            <w:pPr>
              <w:pStyle w:val="Compact"/>
              <w:jc w:val="left"/>
            </w:pPr>
            <w:r>
              <w:t xml:space="preserve">Four quarters of clean operation</w:t>
            </w:r>
          </w:p>
        </w:tc>
        <w:tc>
          <w:tcPr/>
          <w:p>
            <w:pPr>
              <w:pStyle w:val="Compact"/>
              <w:jc w:val="left"/>
            </w:pPr>
            <w:r>
              <w:t xml:space="preserve">Pre-crisis premium levels restored</w:t>
            </w:r>
          </w:p>
        </w:tc>
        <w:tc>
          <w:tcPr/>
          <w:p>
            <w:pPr>
              <w:pStyle w:val="Compact"/>
              <w:jc w:val="left"/>
            </w:pPr>
            <w:r>
              <w:t xml:space="preserve">Quarterly Insurance Confidence Statement</w:t>
            </w:r>
          </w:p>
        </w:tc>
      </w:tr>
      <w:tr>
        <w:tc>
          <w:tcPr/>
          <w:p>
            <w:pPr>
              <w:pStyle w:val="Compact"/>
              <w:jc w:val="left"/>
            </w:pPr>
            <w:r>
              <w:t xml:space="preserve">Continuous</w:t>
            </w:r>
          </w:p>
        </w:tc>
        <w:tc>
          <w:tcPr/>
          <w:p>
            <w:pPr>
              <w:pStyle w:val="Compact"/>
              <w:jc w:val="left"/>
            </w:pPr>
            <w:r>
              <w:t xml:space="preserve">Lloyd’s and market consultation each quarter</w:t>
            </w:r>
          </w:p>
        </w:tc>
        <w:tc>
          <w:tcPr/>
          <w:p>
            <w:pPr>
              <w:pStyle w:val="Compact"/>
              <w:jc w:val="left"/>
            </w:pPr>
            <w:r>
              <w:t xml:space="preserve">Stakeholder Panel record</w:t>
            </w:r>
          </w:p>
        </w:tc>
      </w:tr>
    </w:tbl>
    <w:bookmarkEnd w:id="289"/>
    <w:bookmarkStart w:id="290" w:name="b.8-development-endowment-schedule"/>
    <w:p>
      <w:pPr>
        <w:pStyle w:val="Heading2"/>
      </w:pPr>
      <w:r>
        <w:t xml:space="preserve">B.8 Development endowment schedule</w:t>
      </w:r>
    </w:p>
    <w:p>
      <w:pPr>
        <w:pStyle w:val="FirstParagraph"/>
      </w:pPr>
      <w:r>
        <w:t xml:space="preserve">Development endowments per Table B.2, payable in two tranches: 50 percent at entry into force or accession, 50 percent at the first anniversary. Observer-state development contributions publish on receipt, and no contribution purchases any governance role.</w:t>
      </w:r>
    </w:p>
    <w:bookmarkEnd w:id="290"/>
    <w:bookmarkStart w:id="291" w:name="Xcebb833eb969c5e7a387071252614cdd281e429"/>
    <w:p>
      <w:pPr>
        <w:pStyle w:val="Heading2"/>
      </w:pPr>
      <w:r>
        <w:t xml:space="preserve">B.9 Five-year resource envelope (indicative)</w:t>
      </w:r>
    </w:p>
    <w:p>
      <w:pPr>
        <w:pStyle w:val="FirstParagraph"/>
      </w:pPr>
      <w:r>
        <w:t xml:space="preserve">Table B.9: Indicative resource envelope, in millions of Swiss francs.</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Source</w:t>
            </w:r>
          </w:p>
        </w:tc>
        <w:tc>
          <w:tcPr/>
          <w:p>
            <w:pPr>
              <w:pStyle w:val="Compact"/>
              <w:jc w:val="left"/>
            </w:pPr>
            <w:r>
              <w:t xml:space="preserve">Year 1</w:t>
            </w:r>
          </w:p>
        </w:tc>
        <w:tc>
          <w:tcPr/>
          <w:p>
            <w:pPr>
              <w:pStyle w:val="Compact"/>
              <w:jc w:val="left"/>
            </w:pPr>
            <w:r>
              <w:t xml:space="preserve">Year 2</w:t>
            </w:r>
          </w:p>
        </w:tc>
        <w:tc>
          <w:tcPr/>
          <w:p>
            <w:pPr>
              <w:pStyle w:val="Compact"/>
              <w:jc w:val="left"/>
            </w:pPr>
            <w:r>
              <w:t xml:space="preserve">Year 3</w:t>
            </w:r>
          </w:p>
        </w:tc>
        <w:tc>
          <w:tcPr/>
          <w:p>
            <w:pPr>
              <w:pStyle w:val="Compact"/>
              <w:jc w:val="left"/>
            </w:pPr>
            <w:r>
              <w:t xml:space="preserve">Year 4</w:t>
            </w:r>
          </w:p>
        </w:tc>
        <w:tc>
          <w:tcPr/>
          <w:p>
            <w:pPr>
              <w:pStyle w:val="Compact"/>
              <w:jc w:val="left"/>
            </w:pPr>
            <w:r>
              <w:t xml:space="preserve">Year 5</w:t>
            </w:r>
          </w:p>
        </w:tc>
      </w:tr>
      <w:tr>
        <w:tc>
          <w:tcPr/>
          <w:p>
            <w:pPr>
              <w:pStyle w:val="Compact"/>
              <w:jc w:val="left"/>
            </w:pPr>
            <w:r>
              <w:t xml:space="preserve">Services endowments</w:t>
            </w:r>
          </w:p>
        </w:tc>
        <w:tc>
          <w:tcPr/>
          <w:p>
            <w:pPr>
              <w:pStyle w:val="Compact"/>
              <w:jc w:val="left"/>
            </w:pPr>
            <w:r>
              <w:t xml:space="preserve">26.0</w:t>
            </w:r>
          </w:p>
        </w:tc>
        <w:tc>
          <w:tcPr/>
          <w:p>
            <w:pPr>
              <w:pStyle w:val="Compact"/>
              <w:jc w:val="left"/>
            </w:pPr>
            <w:r>
              <w:t xml:space="preserve">14.0</w:t>
            </w:r>
          </w:p>
        </w:tc>
        <w:tc>
          <w:tcPr/>
          <w:p>
            <w:pPr>
              <w:pStyle w:val="Compact"/>
              <w:jc w:val="left"/>
            </w:pPr>
            <w:r>
              <w:t xml:space="preserve">14.0</w:t>
            </w:r>
          </w:p>
        </w:tc>
        <w:tc>
          <w:tcPr/>
          <w:p>
            <w:pPr>
              <w:pStyle w:val="Compact"/>
              <w:jc w:val="left"/>
            </w:pPr>
            <w:r>
              <w:t xml:space="preserve">14.0</w:t>
            </w:r>
          </w:p>
        </w:tc>
        <w:tc>
          <w:tcPr/>
          <w:p>
            <w:pPr>
              <w:pStyle w:val="Compact"/>
              <w:jc w:val="left"/>
            </w:pPr>
            <w:r>
              <w:t xml:space="preserve">14.0</w:t>
            </w:r>
          </w:p>
        </w:tc>
      </w:tr>
      <w:tr>
        <w:tc>
          <w:tcPr/>
          <w:p>
            <w:pPr>
              <w:pStyle w:val="Compact"/>
              <w:jc w:val="left"/>
            </w:pPr>
            <w:r>
              <w:t xml:space="preserve">Access contributions</w:t>
            </w:r>
          </w:p>
        </w:tc>
        <w:tc>
          <w:tcPr/>
          <w:p>
            <w:pPr>
              <w:pStyle w:val="Compact"/>
              <w:jc w:val="left"/>
            </w:pPr>
            <w:r>
              <w:t xml:space="preserve">18.0</w:t>
            </w:r>
          </w:p>
        </w:tc>
        <w:tc>
          <w:tcPr/>
          <w:p>
            <w:pPr>
              <w:pStyle w:val="Compact"/>
              <w:jc w:val="left"/>
            </w:pPr>
            <w:r>
              <w:t xml:space="preserve">26.0</w:t>
            </w:r>
          </w:p>
        </w:tc>
        <w:tc>
          <w:tcPr/>
          <w:p>
            <w:pPr>
              <w:pStyle w:val="Compact"/>
              <w:jc w:val="left"/>
            </w:pPr>
            <w:r>
              <w:t xml:space="preserve">30.0</w:t>
            </w:r>
          </w:p>
        </w:tc>
        <w:tc>
          <w:tcPr/>
          <w:p>
            <w:pPr>
              <w:pStyle w:val="Compact"/>
              <w:jc w:val="left"/>
            </w:pPr>
            <w:r>
              <w:t xml:space="preserve">32.0</w:t>
            </w:r>
          </w:p>
        </w:tc>
        <w:tc>
          <w:tcPr/>
          <w:p>
            <w:pPr>
              <w:pStyle w:val="Compact"/>
              <w:jc w:val="left"/>
            </w:pPr>
            <w:r>
              <w:t xml:space="preserve">34.0</w:t>
            </w:r>
          </w:p>
        </w:tc>
      </w:tr>
      <w:tr>
        <w:tc>
          <w:tcPr/>
          <w:p>
            <w:pPr>
              <w:pStyle w:val="Compact"/>
              <w:jc w:val="left"/>
            </w:pPr>
            <w:r>
              <w:t xml:space="preserve">Data subscriptions</w:t>
            </w:r>
          </w:p>
        </w:tc>
        <w:tc>
          <w:tcPr/>
          <w:p>
            <w:pPr>
              <w:pStyle w:val="Compact"/>
              <w:jc w:val="left"/>
            </w:pPr>
            <w:r>
              <w:t xml:space="preserve">1.5</w:t>
            </w:r>
          </w:p>
        </w:tc>
        <w:tc>
          <w:tcPr/>
          <w:p>
            <w:pPr>
              <w:pStyle w:val="Compact"/>
              <w:jc w:val="left"/>
            </w:pPr>
            <w:r>
              <w:t xml:space="preserve">3.0</w:t>
            </w:r>
          </w:p>
        </w:tc>
        <w:tc>
          <w:tcPr/>
          <w:p>
            <w:pPr>
              <w:pStyle w:val="Compact"/>
              <w:jc w:val="left"/>
            </w:pPr>
            <w:r>
              <w:t xml:space="preserve">4.0</w:t>
            </w:r>
          </w:p>
        </w:tc>
        <w:tc>
          <w:tcPr/>
          <w:p>
            <w:pPr>
              <w:pStyle w:val="Compact"/>
              <w:jc w:val="left"/>
            </w:pPr>
            <w:r>
              <w:t xml:space="preserve">5.0</w:t>
            </w:r>
          </w:p>
        </w:tc>
        <w:tc>
          <w:tcPr/>
          <w:p>
            <w:pPr>
              <w:pStyle w:val="Compact"/>
              <w:jc w:val="left"/>
            </w:pPr>
            <w:r>
              <w:t xml:space="preserve">6.0</w:t>
            </w:r>
          </w:p>
        </w:tc>
      </w:tr>
      <w:tr>
        <w:tc>
          <w:tcPr/>
          <w:p>
            <w:pPr>
              <w:pStyle w:val="Compact"/>
              <w:jc w:val="left"/>
            </w:pPr>
            <w:r>
              <w:t xml:space="preserve">Development endowments</w:t>
            </w:r>
          </w:p>
        </w:tc>
        <w:tc>
          <w:tcPr/>
          <w:p>
            <w:pPr>
              <w:pStyle w:val="Compact"/>
              <w:jc w:val="left"/>
            </w:pPr>
            <w:r>
              <w:t xml:space="preserve">22.0</w:t>
            </w:r>
          </w:p>
        </w:tc>
        <w:tc>
          <w:tcPr/>
          <w:p>
            <w:pPr>
              <w:pStyle w:val="Compact"/>
              <w:jc w:val="left"/>
            </w:pPr>
            <w:r>
              <w:t xml:space="preserve">11.0</w:t>
            </w:r>
          </w:p>
        </w:tc>
        <w:tc>
          <w:tcPr/>
          <w:p>
            <w:pPr>
              <w:pStyle w:val="Compact"/>
              <w:jc w:val="left"/>
            </w:pPr>
            <w:r>
              <w:t xml:space="preserve">11.0</w:t>
            </w:r>
          </w:p>
        </w:tc>
        <w:tc>
          <w:tcPr/>
          <w:p>
            <w:pPr>
              <w:pStyle w:val="Compact"/>
              <w:jc w:val="left"/>
            </w:pPr>
            <w:r>
              <w:t xml:space="preserve">11.0</w:t>
            </w:r>
          </w:p>
        </w:tc>
        <w:tc>
          <w:tcPr/>
          <w:p>
            <w:pPr>
              <w:pStyle w:val="Compact"/>
              <w:jc w:val="left"/>
            </w:pPr>
            <w:r>
              <w:t xml:space="preserve">11.0</w:t>
            </w:r>
          </w:p>
        </w:tc>
      </w:tr>
      <w:tr>
        <w:tc>
          <w:tcPr/>
          <w:p>
            <w:pPr>
              <w:pStyle w:val="Compact"/>
              <w:jc w:val="left"/>
            </w:pPr>
            <w:r>
              <w:t xml:space="preserve">Development allocation (8 percent rule)</w:t>
            </w:r>
          </w:p>
        </w:tc>
        <w:tc>
          <w:tcPr/>
          <w:p>
            <w:pPr>
              <w:pStyle w:val="Compact"/>
              <w:jc w:val="left"/>
            </w:pPr>
            <w:r>
              <w:t xml:space="preserve">2.8</w:t>
            </w:r>
          </w:p>
        </w:tc>
        <w:tc>
          <w:tcPr/>
          <w:p>
            <w:pPr>
              <w:pStyle w:val="Compact"/>
              <w:jc w:val="left"/>
            </w:pPr>
            <w:r>
              <w:t xml:space="preserve">3.6</w:t>
            </w:r>
          </w:p>
        </w:tc>
        <w:tc>
          <w:tcPr/>
          <w:p>
            <w:pPr>
              <w:pStyle w:val="Compact"/>
              <w:jc w:val="left"/>
            </w:pPr>
            <w:r>
              <w:t xml:space="preserve">4.1</w:t>
            </w:r>
          </w:p>
        </w:tc>
        <w:tc>
          <w:tcPr/>
          <w:p>
            <w:pPr>
              <w:pStyle w:val="Compact"/>
              <w:jc w:val="left"/>
            </w:pPr>
            <w:r>
              <w:t xml:space="preserve">4.4</w:t>
            </w:r>
          </w:p>
        </w:tc>
        <w:tc>
          <w:tcPr/>
          <w:p>
            <w:pPr>
              <w:pStyle w:val="Compact"/>
              <w:jc w:val="left"/>
            </w:pPr>
            <w:r>
              <w:t xml:space="preserve">4.7</w:t>
            </w:r>
          </w:p>
        </w:tc>
      </w:tr>
      <w:tr>
        <w:tc>
          <w:tcPr/>
          <w:p>
            <w:pPr>
              <w:pStyle w:val="Compact"/>
              <w:jc w:val="left"/>
            </w:pPr>
            <w:r>
              <w:t xml:space="preserve">Co-financing (indicative)</w:t>
            </w:r>
          </w:p>
        </w:tc>
        <w:tc>
          <w:tcPr/>
          <w:p>
            <w:pPr>
              <w:pStyle w:val="Compact"/>
              <w:jc w:val="left"/>
            </w:pPr>
            <w:r>
              <w:t xml:space="preserve">10.0</w:t>
            </w:r>
          </w:p>
        </w:tc>
        <w:tc>
          <w:tcPr/>
          <w:p>
            <w:pPr>
              <w:pStyle w:val="Compact"/>
              <w:jc w:val="left"/>
            </w:pPr>
            <w:r>
              <w:t xml:space="preserve">15.0</w:t>
            </w:r>
          </w:p>
        </w:tc>
        <w:tc>
          <w:tcPr/>
          <w:p>
            <w:pPr>
              <w:pStyle w:val="Compact"/>
              <w:jc w:val="left"/>
            </w:pPr>
            <w:r>
              <w:t xml:space="preserve">20.0</w:t>
            </w:r>
          </w:p>
        </w:tc>
        <w:tc>
          <w:tcPr/>
          <w:p>
            <w:pPr>
              <w:pStyle w:val="Compact"/>
              <w:jc w:val="left"/>
            </w:pPr>
            <w:r>
              <w:t xml:space="preserve">20.0</w:t>
            </w:r>
          </w:p>
        </w:tc>
        <w:tc>
          <w:tcPr/>
          <w:p>
            <w:pPr>
              <w:pStyle w:val="Compact"/>
              <w:jc w:val="left"/>
            </w:pPr>
            <w:r>
              <w:t xml:space="preserve">20.0</w:t>
            </w:r>
          </w:p>
        </w:tc>
      </w:tr>
    </w:tbl>
    <w:p>
      <w:r>
        <w:pict>
          <v:rect style="width:0;height:1.5pt" o:hralign="center" o:hrstd="t" o:hr="t"/>
        </w:pict>
      </w:r>
    </w:p>
    <w:bookmarkEnd w:id="291"/>
    <w:bookmarkEnd w:id="292"/>
    <w:bookmarkStart w:id="298" w:name="annex-c-compliance-point-schedule"/>
    <w:p>
      <w:pPr>
        <w:pStyle w:val="Heading1"/>
      </w:pPr>
      <w:r>
        <w:t xml:space="preserve">Annex C: Compliance Point Schedule</w:t>
      </w:r>
    </w:p>
    <w:p>
      <w:pPr>
        <w:pStyle w:val="FirstParagraph"/>
      </w:pPr>
      <w:r>
        <w:t xml:space="preserve">Points accumulate on the rolling 180-day ledger of Article 30.3. Classification follows the Dual Confirmation Standard. Values below are the schedule’s full operative content.</w:t>
      </w:r>
    </w:p>
    <w:bookmarkStart w:id="293" w:name="Xc7235d253ceaf5939c45202cdbf708482381bda"/>
    <w:p>
      <w:pPr>
        <w:pStyle w:val="Heading2"/>
      </w:pPr>
      <w:r>
        <w:t xml:space="preserve">C.1 Category T: Technical Deviations (no points)</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Code</w:t>
            </w:r>
          </w:p>
        </w:tc>
        <w:tc>
          <w:tcPr/>
          <w:p>
            <w:pPr>
              <w:pStyle w:val="Compact"/>
              <w:jc w:val="left"/>
            </w:pPr>
            <w:r>
              <w:t xml:space="preserve">Event</w:t>
            </w:r>
          </w:p>
        </w:tc>
        <w:tc>
          <w:tcPr/>
          <w:p>
            <w:pPr>
              <w:pStyle w:val="Compact"/>
              <w:jc w:val="left"/>
            </w:pPr>
            <w:r>
              <w:t xml:space="preserve">Response</w:t>
            </w:r>
          </w:p>
        </w:tc>
      </w:tr>
      <w:tr>
        <w:tc>
          <w:tcPr/>
          <w:p>
            <w:pPr>
              <w:pStyle w:val="Compact"/>
              <w:jc w:val="left"/>
            </w:pPr>
            <w:r>
              <w:t xml:space="preserve">T-1</w:t>
            </w:r>
          </w:p>
        </w:tc>
        <w:tc>
          <w:tcPr/>
          <w:p>
            <w:pPr>
              <w:pStyle w:val="Compact"/>
              <w:jc w:val="left"/>
            </w:pPr>
            <w:r>
              <w:t xml:space="preserve">Late routine report, corrected within 24 hours</w:t>
            </w:r>
          </w:p>
        </w:tc>
        <w:tc>
          <w:tcPr/>
          <w:p>
            <w:pPr>
              <w:pStyle w:val="Compact"/>
              <w:jc w:val="left"/>
            </w:pPr>
            <w:r>
              <w:t xml:space="preserve">Quiet correction</w:t>
            </w:r>
          </w:p>
        </w:tc>
      </w:tr>
      <w:tr>
        <w:tc>
          <w:tcPr/>
          <w:p>
            <w:pPr>
              <w:pStyle w:val="Compact"/>
              <w:jc w:val="left"/>
            </w:pPr>
            <w:r>
              <w:t xml:space="preserve">T-2</w:t>
            </w:r>
          </w:p>
        </w:tc>
        <w:tc>
          <w:tcPr/>
          <w:p>
            <w:pPr>
              <w:pStyle w:val="Compact"/>
              <w:jc w:val="left"/>
            </w:pPr>
            <w:r>
              <w:t xml:space="preserve">Single data formatting failure</w:t>
            </w:r>
          </w:p>
        </w:tc>
        <w:tc>
          <w:tcPr/>
          <w:p>
            <w:pPr>
              <w:pStyle w:val="Compact"/>
              <w:jc w:val="left"/>
            </w:pPr>
            <w:r>
              <w:t xml:space="preserve">Quiet correction</w:t>
            </w:r>
          </w:p>
        </w:tc>
      </w:tr>
      <w:tr>
        <w:tc>
          <w:tcPr/>
          <w:p>
            <w:pPr>
              <w:pStyle w:val="Compact"/>
              <w:jc w:val="left"/>
            </w:pPr>
            <w:r>
              <w:t xml:space="preserve">T-3</w:t>
            </w:r>
          </w:p>
        </w:tc>
        <w:tc>
          <w:tcPr/>
          <w:p>
            <w:pPr>
              <w:pStyle w:val="Compact"/>
              <w:jc w:val="left"/>
            </w:pPr>
            <w:r>
              <w:t xml:space="preserve">Scheduling error corrected within 24 hours</w:t>
            </w:r>
          </w:p>
        </w:tc>
        <w:tc>
          <w:tcPr/>
          <w:p>
            <w:pPr>
              <w:pStyle w:val="Compact"/>
              <w:jc w:val="left"/>
            </w:pPr>
            <w:r>
              <w:t xml:space="preserve">Quiet correction</w:t>
            </w:r>
          </w:p>
        </w:tc>
      </w:tr>
    </w:tbl>
    <w:bookmarkEnd w:id="293"/>
    <w:bookmarkStart w:id="294" w:name="c.2-category-m-material-disruptions"/>
    <w:p>
      <w:pPr>
        <w:pStyle w:val="Heading2"/>
      </w:pPr>
      <w:r>
        <w:t xml:space="preserve">C.2 Category M: Material Disruptions</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Code</w:t>
            </w:r>
          </w:p>
        </w:tc>
        <w:tc>
          <w:tcPr/>
          <w:p>
            <w:pPr>
              <w:pStyle w:val="Compact"/>
              <w:jc w:val="left"/>
            </w:pPr>
            <w:r>
              <w:t xml:space="preserve">Event</w:t>
            </w:r>
          </w:p>
        </w:tc>
        <w:tc>
          <w:tcPr/>
          <w:p>
            <w:pPr>
              <w:pStyle w:val="Compact"/>
              <w:jc w:val="left"/>
            </w:pPr>
            <w:r>
              <w:t xml:space="preserve">Points</w:t>
            </w:r>
          </w:p>
        </w:tc>
      </w:tr>
      <w:tr>
        <w:tc>
          <w:tcPr/>
          <w:p>
            <w:pPr>
              <w:pStyle w:val="Compact"/>
              <w:jc w:val="left"/>
            </w:pPr>
            <w:r>
              <w:t xml:space="preserve">M-1</w:t>
            </w:r>
          </w:p>
        </w:tc>
        <w:tc>
          <w:tcPr/>
          <w:p>
            <w:pPr>
              <w:pStyle w:val="Compact"/>
              <w:jc w:val="left"/>
            </w:pPr>
            <w:r>
              <w:t xml:space="preserve">Unexcused monitoring outage beyond 72 hours</w:t>
            </w:r>
          </w:p>
        </w:tc>
        <w:tc>
          <w:tcPr/>
          <w:p>
            <w:pPr>
              <w:pStyle w:val="Compact"/>
              <w:jc w:val="left"/>
            </w:pPr>
            <w:r>
              <w:t xml:space="preserve">3</w:t>
            </w:r>
          </w:p>
        </w:tc>
      </w:tr>
      <w:tr>
        <w:tc>
          <w:tcPr/>
          <w:p>
            <w:pPr>
              <w:pStyle w:val="Compact"/>
              <w:jc w:val="left"/>
            </w:pPr>
            <w:r>
              <w:t xml:space="preserve">M-2</w:t>
            </w:r>
          </w:p>
        </w:tc>
        <w:tc>
          <w:tcPr/>
          <w:p>
            <w:pPr>
              <w:pStyle w:val="Compact"/>
              <w:jc w:val="left"/>
            </w:pPr>
            <w:r>
              <w:t xml:space="preserve">Obstruction of a scheduled verification patrol</w:t>
            </w:r>
          </w:p>
        </w:tc>
        <w:tc>
          <w:tcPr/>
          <w:p>
            <w:pPr>
              <w:pStyle w:val="Compact"/>
              <w:jc w:val="left"/>
            </w:pPr>
            <w:r>
              <w:t xml:space="preserve">4</w:t>
            </w:r>
          </w:p>
        </w:tc>
      </w:tr>
      <w:tr>
        <w:tc>
          <w:tcPr/>
          <w:p>
            <w:pPr>
              <w:pStyle w:val="Compact"/>
              <w:jc w:val="left"/>
            </w:pPr>
            <w:r>
              <w:t xml:space="preserve">M-3</w:t>
            </w:r>
          </w:p>
        </w:tc>
        <w:tc>
          <w:tcPr/>
          <w:p>
            <w:pPr>
              <w:pStyle w:val="Compact"/>
              <w:jc w:val="left"/>
            </w:pPr>
            <w:r>
              <w:t xml:space="preserve">Military deconfliction channel outage beyond 24 hours</w:t>
            </w:r>
          </w:p>
        </w:tc>
        <w:tc>
          <w:tcPr/>
          <w:p>
            <w:pPr>
              <w:pStyle w:val="Compact"/>
              <w:jc w:val="left"/>
            </w:pPr>
            <w:r>
              <w:t xml:space="preserve">2</w:t>
            </w:r>
          </w:p>
        </w:tc>
      </w:tr>
      <w:tr>
        <w:tc>
          <w:tcPr/>
          <w:p>
            <w:pPr>
              <w:pStyle w:val="Compact"/>
              <w:jc w:val="left"/>
            </w:pPr>
            <w:r>
              <w:t xml:space="preserve">M-4</w:t>
            </w:r>
          </w:p>
        </w:tc>
        <w:tc>
          <w:tcPr/>
          <w:p>
            <w:pPr>
              <w:pStyle w:val="Compact"/>
              <w:jc w:val="left"/>
            </w:pPr>
            <w:r>
              <w:t xml:space="preserve">Confirmed interference event (signal jamming, spoofing, unauthorized hailing)</w:t>
            </w:r>
          </w:p>
        </w:tc>
        <w:tc>
          <w:tcPr/>
          <w:p>
            <w:pPr>
              <w:pStyle w:val="Compact"/>
              <w:jc w:val="left"/>
            </w:pPr>
            <w:r>
              <w:t xml:space="preserve">4</w:t>
            </w:r>
          </w:p>
        </w:tc>
      </w:tr>
      <w:tr>
        <w:tc>
          <w:tcPr/>
          <w:p>
            <w:pPr>
              <w:pStyle w:val="Compact"/>
              <w:jc w:val="left"/>
            </w:pPr>
            <w:r>
              <w:t xml:space="preserve">M-5</w:t>
            </w:r>
          </w:p>
        </w:tc>
        <w:tc>
          <w:tcPr/>
          <w:p>
            <w:pPr>
              <w:pStyle w:val="Compact"/>
              <w:jc w:val="left"/>
            </w:pPr>
            <w:r>
              <w:t xml:space="preserve">Flow-state change outside the rules of Article 11</w:t>
            </w:r>
          </w:p>
        </w:tc>
        <w:tc>
          <w:tcPr/>
          <w:p>
            <w:pPr>
              <w:pStyle w:val="Compact"/>
              <w:jc w:val="left"/>
            </w:pPr>
            <w:r>
              <w:t xml:space="preserve">3</w:t>
            </w:r>
          </w:p>
        </w:tc>
      </w:tr>
      <w:tr>
        <w:tc>
          <w:tcPr/>
          <w:p>
            <w:pPr>
              <w:pStyle w:val="Compact"/>
              <w:jc w:val="left"/>
            </w:pPr>
            <w:r>
              <w:t xml:space="preserve">M-6</w:t>
            </w:r>
          </w:p>
        </w:tc>
        <w:tc>
          <w:tcPr/>
          <w:p>
            <w:pPr>
              <w:pStyle w:val="Compact"/>
              <w:jc w:val="left"/>
            </w:pPr>
            <w:r>
              <w:t xml:space="preserve">Personnel vetting deficiency</w:t>
            </w:r>
          </w:p>
        </w:tc>
        <w:tc>
          <w:tcPr/>
          <w:p>
            <w:pPr>
              <w:pStyle w:val="Compact"/>
              <w:jc w:val="left"/>
            </w:pPr>
            <w:r>
              <w:t xml:space="preserve">2</w:t>
            </w:r>
          </w:p>
        </w:tc>
      </w:tr>
      <w:tr>
        <w:tc>
          <w:tcPr/>
          <w:p>
            <w:pPr>
              <w:pStyle w:val="Compact"/>
              <w:jc w:val="left"/>
            </w:pPr>
            <w:r>
              <w:t xml:space="preserve">M-7</w:t>
            </w:r>
          </w:p>
        </w:tc>
        <w:tc>
          <w:tcPr/>
          <w:p>
            <w:pPr>
              <w:pStyle w:val="Compact"/>
              <w:jc w:val="left"/>
            </w:pPr>
            <w:r>
              <w:t xml:space="preserve">Notification desk failure beyond 4 hours</w:t>
            </w:r>
          </w:p>
        </w:tc>
        <w:tc>
          <w:tcPr/>
          <w:p>
            <w:pPr>
              <w:pStyle w:val="Compact"/>
              <w:jc w:val="left"/>
            </w:pPr>
            <w:r>
              <w:t xml:space="preserve">2</w:t>
            </w:r>
          </w:p>
        </w:tc>
      </w:tr>
      <w:tr>
        <w:tc>
          <w:tcPr/>
          <w:p>
            <w:pPr>
              <w:pStyle w:val="Compact"/>
              <w:jc w:val="left"/>
            </w:pPr>
            <w:r>
              <w:t xml:space="preserve">M-8</w:t>
            </w:r>
          </w:p>
        </w:tc>
        <w:tc>
          <w:tcPr/>
          <w:p>
            <w:pPr>
              <w:pStyle w:val="Compact"/>
              <w:jc w:val="left"/>
            </w:pPr>
            <w:r>
              <w:t xml:space="preserve">Publication failure of a scheduled Bulletin beyond 12 hours</w:t>
            </w:r>
          </w:p>
        </w:tc>
        <w:tc>
          <w:tcPr/>
          <w:p>
            <w:pPr>
              <w:pStyle w:val="Compact"/>
              <w:jc w:val="left"/>
            </w:pPr>
            <w:r>
              <w:t xml:space="preserve">2</w:t>
            </w:r>
          </w:p>
        </w:tc>
      </w:tr>
    </w:tbl>
    <w:bookmarkEnd w:id="294"/>
    <w:bookmarkStart w:id="295" w:name="c.3-category-a-architectural-breaches"/>
    <w:p>
      <w:pPr>
        <w:pStyle w:val="Heading2"/>
      </w:pPr>
      <w:r>
        <w:t xml:space="preserve">C.3 Category A: Architectural Breaches</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Code</w:t>
            </w:r>
          </w:p>
        </w:tc>
        <w:tc>
          <w:tcPr/>
          <w:p>
            <w:pPr>
              <w:pStyle w:val="Compact"/>
              <w:jc w:val="left"/>
            </w:pPr>
            <w:r>
              <w:t xml:space="preserve">Event</w:t>
            </w:r>
          </w:p>
        </w:tc>
        <w:tc>
          <w:tcPr/>
          <w:p>
            <w:pPr>
              <w:pStyle w:val="Compact"/>
              <w:jc w:val="left"/>
            </w:pPr>
            <w:r>
              <w:t xml:space="preserve">Points</w:t>
            </w:r>
          </w:p>
        </w:tc>
      </w:tr>
      <w:tr>
        <w:tc>
          <w:tcPr/>
          <w:p>
            <w:pPr>
              <w:pStyle w:val="Compact"/>
              <w:jc w:val="left"/>
            </w:pPr>
            <w:r>
              <w:t xml:space="preserve">A-1</w:t>
            </w:r>
          </w:p>
        </w:tc>
        <w:tc>
          <w:tcPr/>
          <w:p>
            <w:pPr>
              <w:pStyle w:val="Compact"/>
              <w:jc w:val="left"/>
            </w:pPr>
            <w:r>
              <w:t xml:space="preserve">Violation of the Non-Interdiction Protocol</w:t>
            </w:r>
          </w:p>
        </w:tc>
        <w:tc>
          <w:tcPr/>
          <w:p>
            <w:pPr>
              <w:pStyle w:val="Compact"/>
              <w:jc w:val="left"/>
            </w:pPr>
            <w:r>
              <w:t xml:space="preserve">12</w:t>
            </w:r>
          </w:p>
        </w:tc>
      </w:tr>
      <w:tr>
        <w:tc>
          <w:tcPr/>
          <w:p>
            <w:pPr>
              <w:pStyle w:val="Compact"/>
              <w:jc w:val="left"/>
            </w:pPr>
            <w:r>
              <w:t xml:space="preserve">A-2</w:t>
            </w:r>
          </w:p>
        </w:tc>
        <w:tc>
          <w:tcPr/>
          <w:p>
            <w:pPr>
              <w:pStyle w:val="Compact"/>
              <w:jc w:val="left"/>
            </w:pPr>
            <w:r>
              <w:t xml:space="preserve">Placing of a hazard or mine in the Governance Area</w:t>
            </w:r>
          </w:p>
        </w:tc>
        <w:tc>
          <w:tcPr/>
          <w:p>
            <w:pPr>
              <w:pStyle w:val="Compact"/>
              <w:jc w:val="left"/>
            </w:pPr>
            <w:r>
              <w:t xml:space="preserve">12</w:t>
            </w:r>
          </w:p>
        </w:tc>
      </w:tr>
      <w:tr>
        <w:tc>
          <w:tcPr/>
          <w:p>
            <w:pPr>
              <w:pStyle w:val="Compact"/>
              <w:jc w:val="left"/>
            </w:pPr>
            <w:r>
              <w:t xml:space="preserve">A-3</w:t>
            </w:r>
          </w:p>
        </w:tc>
        <w:tc>
          <w:tcPr/>
          <w:p>
            <w:pPr>
              <w:pStyle w:val="Compact"/>
              <w:jc w:val="left"/>
            </w:pPr>
            <w:r>
              <w:t xml:space="preserve">Falsification of the shared record</w:t>
            </w:r>
          </w:p>
        </w:tc>
        <w:tc>
          <w:tcPr/>
          <w:p>
            <w:pPr>
              <w:pStyle w:val="Compact"/>
              <w:jc w:val="left"/>
            </w:pPr>
            <w:r>
              <w:t xml:space="preserve">12</w:t>
            </w:r>
          </w:p>
        </w:tc>
      </w:tr>
      <w:tr>
        <w:tc>
          <w:tcPr/>
          <w:p>
            <w:pPr>
              <w:pStyle w:val="Compact"/>
              <w:jc w:val="left"/>
            </w:pPr>
            <w:r>
              <w:t xml:space="preserve">A-4</w:t>
            </w:r>
          </w:p>
        </w:tc>
        <w:tc>
          <w:tcPr/>
          <w:p>
            <w:pPr>
              <w:pStyle w:val="Compact"/>
              <w:jc w:val="left"/>
            </w:pPr>
            <w:r>
              <w:t xml:space="preserve">Diversion of Fund or Facility resources</w:t>
            </w:r>
          </w:p>
        </w:tc>
        <w:tc>
          <w:tcPr/>
          <w:p>
            <w:pPr>
              <w:pStyle w:val="Compact"/>
              <w:jc w:val="left"/>
            </w:pPr>
            <w:r>
              <w:t xml:space="preserve">8 (doubled per Article 21.3)</w:t>
            </w:r>
          </w:p>
        </w:tc>
      </w:tr>
      <w:tr>
        <w:tc>
          <w:tcPr/>
          <w:p>
            <w:pPr>
              <w:pStyle w:val="Compact"/>
              <w:jc w:val="left"/>
            </w:pPr>
            <w:r>
              <w:t xml:space="preserve">A-5</w:t>
            </w:r>
          </w:p>
        </w:tc>
        <w:tc>
          <w:tcPr/>
          <w:p>
            <w:pPr>
              <w:pStyle w:val="Compact"/>
              <w:jc w:val="left"/>
            </w:pPr>
            <w:r>
              <w:t xml:space="preserve">Obstruction of the Neutral Observation Office</w:t>
            </w:r>
          </w:p>
        </w:tc>
        <w:tc>
          <w:tcPr/>
          <w:p>
            <w:pPr>
              <w:pStyle w:val="Compact"/>
              <w:jc w:val="left"/>
            </w:pPr>
            <w:r>
              <w:t xml:space="preserve">8</w:t>
            </w:r>
          </w:p>
        </w:tc>
      </w:tr>
      <w:tr>
        <w:tc>
          <w:tcPr/>
          <w:p>
            <w:pPr>
              <w:pStyle w:val="Compact"/>
              <w:jc w:val="left"/>
            </w:pPr>
            <w:r>
              <w:t xml:space="preserve">A-6</w:t>
            </w:r>
          </w:p>
        </w:tc>
        <w:tc>
          <w:tcPr/>
          <w:p>
            <w:pPr>
              <w:pStyle w:val="Compact"/>
              <w:jc w:val="left"/>
            </w:pPr>
            <w:r>
              <w:t xml:space="preserve">Conversion of notification into permission</w:t>
            </w:r>
          </w:p>
        </w:tc>
        <w:tc>
          <w:tcPr/>
          <w:p>
            <w:pPr>
              <w:pStyle w:val="Compact"/>
              <w:jc w:val="left"/>
            </w:pPr>
            <w:r>
              <w:t xml:space="preserve">8</w:t>
            </w:r>
          </w:p>
        </w:tc>
      </w:tr>
    </w:tbl>
    <w:bookmarkEnd w:id="295"/>
    <w:bookmarkStart w:id="296" w:name="c.4-standing-formula"/>
    <w:p>
      <w:pPr>
        <w:pStyle w:val="Heading2"/>
      </w:pPr>
      <w:r>
        <w:t xml:space="preserve">C.4 Standing formula</w:t>
      </w:r>
    </w:p>
    <w:p>
      <w:pPr>
        <w:pStyle w:val="FirstParagraph"/>
      </w:pPr>
      <w:r>
        <w:t xml:space="preserve">Standing level equals 12 minus active points, floored at zero. Standing level 9 or above earns the acceleration credit of Article 30.4. The Standing Ledger publishes levels monthly.</w:t>
      </w:r>
    </w:p>
    <w:bookmarkEnd w:id="296"/>
    <w:bookmarkStart w:id="297" w:name="c.5-escalation-thresholds"/>
    <w:p>
      <w:pPr>
        <w:pStyle w:val="Heading2"/>
      </w:pPr>
      <w:r>
        <w:t xml:space="preserve">C.5 Escalation thresholds</w:t>
      </w:r>
    </w:p>
    <w:p>
      <w:pPr>
        <w:pStyle w:val="FirstParagraph"/>
      </w:pPr>
      <w:r>
        <w:t xml:space="preserve">0 to 4 points: base response only. 5 to 7 points: formal Council notice on the record. 8 to 11 points: second rung of the ladder engages per Article 30.2. 12 or more points: maximum graduated response for 30 days, intensive verification for 90 days, restoration always available. No threshold produces snapback, expulsion, or corridor suspension.</w:t>
      </w:r>
    </w:p>
    <w:p>
      <w:r>
        <w:pict>
          <v:rect style="width:0;height:1.5pt" o:hralign="center" o:hrstd="t" o:hr="t"/>
        </w:pict>
      </w:r>
    </w:p>
    <w:bookmarkEnd w:id="297"/>
    <w:bookmarkEnd w:id="298"/>
    <w:bookmarkStart w:id="304" w:name="Xbff20214499a168f4ca30310f29dd5277a3c696"/>
    <w:p>
      <w:pPr>
        <w:pStyle w:val="Heading1"/>
      </w:pPr>
      <w:r>
        <w:t xml:space="preserve">Annex D: Communications Formats and the Mariners’ Handbook</w:t>
      </w:r>
    </w:p>
    <w:bookmarkStart w:id="299" w:name="d.1-the-twelve-field-transit-notice"/>
    <w:p>
      <w:pPr>
        <w:pStyle w:val="Heading2"/>
      </w:pPr>
      <w:r>
        <w:t xml:space="preserve">D.1 The twelve-field transit notice</w:t>
      </w:r>
    </w:p>
    <w:p>
      <w:pPr>
        <w:pStyle w:val="FirstParagraph"/>
      </w:pPr>
      <w:r>
        <w:t xml:space="preserve">A vessel transiting the Inbound Coordination Corridor or the Central Safety Corridor files the following twelve fields, between 72 and 6 hours before entry:</w:t>
      </w:r>
    </w:p>
    <w:p>
      <w:pPr>
        <w:numPr>
          <w:ilvl w:val="0"/>
          <w:numId w:val="1006"/>
        </w:numPr>
        <w:pStyle w:val="Compact"/>
      </w:pPr>
      <w:r>
        <w:t xml:space="preserve">Vessel name and IMO number</w:t>
      </w:r>
    </w:p>
    <w:p>
      <w:pPr>
        <w:numPr>
          <w:ilvl w:val="0"/>
          <w:numId w:val="1006"/>
        </w:numPr>
        <w:pStyle w:val="Compact"/>
      </w:pPr>
      <w:r>
        <w:t xml:space="preserve">Flag state</w:t>
      </w:r>
    </w:p>
    <w:p>
      <w:pPr>
        <w:numPr>
          <w:ilvl w:val="0"/>
          <w:numId w:val="1006"/>
        </w:numPr>
        <w:pStyle w:val="Compact"/>
      </w:pPr>
      <w:r>
        <w:t xml:space="preserve">Call sign and MMSI</w:t>
      </w:r>
    </w:p>
    <w:p>
      <w:pPr>
        <w:numPr>
          <w:ilvl w:val="0"/>
          <w:numId w:val="1006"/>
        </w:numPr>
        <w:pStyle w:val="Compact"/>
      </w:pPr>
      <w:r>
        <w:t xml:space="preserve">Vessel class under Article 9.2</w:t>
      </w:r>
    </w:p>
    <w:p>
      <w:pPr>
        <w:numPr>
          <w:ilvl w:val="0"/>
          <w:numId w:val="1006"/>
        </w:numPr>
        <w:pStyle w:val="Compact"/>
      </w:pPr>
      <w:r>
        <w:t xml:space="preserve">Gross tonnage and draft</w:t>
      </w:r>
    </w:p>
    <w:p>
      <w:pPr>
        <w:numPr>
          <w:ilvl w:val="0"/>
          <w:numId w:val="1006"/>
        </w:numPr>
        <w:pStyle w:val="Compact"/>
      </w:pPr>
      <w:r>
        <w:t xml:space="preserve">Last port and next port</w:t>
      </w:r>
    </w:p>
    <w:p>
      <w:pPr>
        <w:numPr>
          <w:ilvl w:val="0"/>
          <w:numId w:val="1006"/>
        </w:numPr>
        <w:pStyle w:val="Compact"/>
      </w:pPr>
      <w:r>
        <w:t xml:space="preserve">Cargo category in general terms (one of eight published categories)</w:t>
      </w:r>
    </w:p>
    <w:p>
      <w:pPr>
        <w:numPr>
          <w:ilvl w:val="0"/>
          <w:numId w:val="1006"/>
        </w:numPr>
        <w:pStyle w:val="Compact"/>
      </w:pPr>
      <w:r>
        <w:t xml:space="preserve">Dangerous goods declaration, yes or no, with IMO class if yes</w:t>
      </w:r>
    </w:p>
    <w:p>
      <w:pPr>
        <w:numPr>
          <w:ilvl w:val="0"/>
          <w:numId w:val="1006"/>
        </w:numPr>
        <w:pStyle w:val="Compact"/>
      </w:pPr>
      <w:r>
        <w:t xml:space="preserve">Intended corridor and lane</w:t>
      </w:r>
    </w:p>
    <w:p>
      <w:pPr>
        <w:numPr>
          <w:ilvl w:val="0"/>
          <w:numId w:val="1006"/>
        </w:numPr>
        <w:pStyle w:val="Compact"/>
      </w:pPr>
      <w:r>
        <w:t xml:space="preserve">Intended entry time, UTC</w:t>
      </w:r>
    </w:p>
    <w:p>
      <w:pPr>
        <w:numPr>
          <w:ilvl w:val="0"/>
          <w:numId w:val="1006"/>
        </w:numPr>
        <w:pStyle w:val="Compact"/>
      </w:pPr>
      <w:r>
        <w:t xml:space="preserve">Master or operator contact</w:t>
      </w:r>
    </w:p>
    <w:p>
      <w:pPr>
        <w:numPr>
          <w:ilvl w:val="0"/>
          <w:numId w:val="1006"/>
        </w:numPr>
        <w:pStyle w:val="Compact"/>
      </w:pPr>
      <w:r>
        <w:t xml:space="preserve">Insurance certificate reference</w:t>
      </w:r>
    </w:p>
    <w:p>
      <w:pPr>
        <w:pStyle w:val="FirstParagraph"/>
      </w:pPr>
      <w:r>
        <w:t xml:space="preserve">The Center acknowledges automatically within 30 minutes. Silence beyond 30 minutes constitutes acknowledgment by default. No field sells, conditions, or delays passage.</w:t>
      </w:r>
    </w:p>
    <w:bookmarkEnd w:id="299"/>
    <w:bookmarkStart w:id="300" w:name="d.2-the-voice-discipline"/>
    <w:p>
      <w:pPr>
        <w:pStyle w:val="Heading2"/>
      </w:pPr>
      <w:r>
        <w:t xml:space="preserve">D.2 The voice discipline</w:t>
      </w:r>
    </w:p>
    <w:p>
      <w:pPr>
        <w:pStyle w:val="FirstParagraph"/>
      </w:pPr>
      <w:r>
        <w:t xml:space="preserve">All operational voice traffic uses the Standard Marine Communication Phrases, on the published channels: working channel 16 bridge-to-bridge, Pact working channel 71, and the deconfliction channel per Article 27.4. Voice traffic follows four rules: identify first, state the message once plainly, read back every instruction, and log every exchange. Ambiguous hailing of merchant vessels constitutes an interference event under Article 28.3.</w:t>
      </w:r>
    </w:p>
    <w:bookmarkEnd w:id="300"/>
    <w:bookmarkStart w:id="301" w:name="d.3-the-non-telemetry-mode"/>
    <w:p>
      <w:pPr>
        <w:pStyle w:val="Heading2"/>
      </w:pPr>
      <w:r>
        <w:t xml:space="preserve">D.3 The non-telemetry mode</w:t>
      </w:r>
    </w:p>
    <w:p>
      <w:pPr>
        <w:pStyle w:val="FirstParagraph"/>
      </w:pPr>
      <w:r>
        <w:t xml:space="preserve">Where a vessel’s AIS fails inside the Governance Area, the vessel reports position by voice every 30 minutes to the Center, maintains 12 knots maximum, and proceeds to the nearest repair-capable port. The Center logs non-telemetry transits and publishes aggregate statistics monthly. Non-telemetry status never grounds a vessel mid-passage.</w:t>
      </w:r>
    </w:p>
    <w:bookmarkEnd w:id="301"/>
    <w:bookmarkStart w:id="302" w:name="Xb08fd6c44b9f6e785735370a1780c03bd36be87"/>
    <w:p>
      <w:pPr>
        <w:pStyle w:val="Heading2"/>
      </w:pPr>
      <w:r>
        <w:t xml:space="preserve">D.4 The standing pre-authorization for clearance</w:t>
      </w:r>
    </w:p>
    <w:p>
      <w:pPr>
        <w:pStyle w:val="FirstParagraph"/>
      </w:pPr>
      <w:r>
        <w:t xml:space="preserve">Mine clearance and survey units of either coastal state operate in the other’s notification regime under a standing pre-authorization: the unit files its operating area 48 hours in advance, the Center broadcasts the area, and the unit proceeds without further reference. The pre-authorization covers clearance, survey, and search and rescue activity only, and it never extends to any enforcement function.</w:t>
      </w:r>
    </w:p>
    <w:bookmarkEnd w:id="302"/>
    <w:bookmarkStart w:id="303" w:name="d.5-the-one-page-cards"/>
    <w:p>
      <w:pPr>
        <w:pStyle w:val="Heading2"/>
      </w:pPr>
      <w:r>
        <w:t xml:space="preserve">D.5 The one-page cards</w:t>
      </w:r>
    </w:p>
    <w:p>
      <w:pPr>
        <w:pStyle w:val="FirstParagraph"/>
      </w:pPr>
      <w:r>
        <w:t xml:space="preserve">The Mariners’ Handbook carries each operational procedure as a one-page card: the notice card, the acknowledgment card, the flow-state card, the escort card, the anchorage card, the distress card, the interference-reporting card, and the crossing-gate card. Each card states its steps (four, never more than five), its clocks, its channels, and its responsible officer. The Handbook publishes in Persian, Arabic, and English, and the Center distributes it free to every user.</w:t>
      </w:r>
    </w:p>
    <w:p>
      <w:r>
        <w:pict>
          <v:rect style="width:0;height:1.5pt" o:hralign="center" o:hrstd="t" o:hr="t"/>
        </w:pict>
      </w:r>
    </w:p>
    <w:bookmarkEnd w:id="303"/>
    <w:bookmarkEnd w:id="304"/>
    <w:bookmarkStart w:id="309" w:name="X8f241c621497aee4eb2d4b2a9e067290c20c91f"/>
    <w:p>
      <w:pPr>
        <w:pStyle w:val="Heading1"/>
      </w:pPr>
      <w:r>
        <w:t xml:space="preserve">Annex E: Implementation Timeline, Activation Checklists, and Staffing Table</w:t>
      </w:r>
    </w:p>
    <w:bookmarkStart w:id="305" w:name="e.1-the-activation-phases"/>
    <w:p>
      <w:pPr>
        <w:pStyle w:val="Heading2"/>
      </w:pPr>
      <w:r>
        <w:t xml:space="preserve">E.1 The activation phases</w:t>
      </w:r>
    </w:p>
    <w:p>
      <w:pPr>
        <w:pStyle w:val="FirstParagraph"/>
      </w:pPr>
      <w:r>
        <w:t xml:space="preserve">Table E.1: The six activation phases, synchronized per Annex K.</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Phase</w:t>
            </w:r>
          </w:p>
        </w:tc>
        <w:tc>
          <w:tcPr/>
          <w:p>
            <w:pPr>
              <w:pStyle w:val="Compact"/>
              <w:jc w:val="left"/>
            </w:pPr>
            <w:r>
              <w:t xml:space="preserve">Days</w:t>
            </w:r>
          </w:p>
        </w:tc>
        <w:tc>
          <w:tcPr/>
          <w:p>
            <w:pPr>
              <w:pStyle w:val="Compact"/>
              <w:jc w:val="left"/>
            </w:pPr>
            <w:r>
              <w:t xml:space="preserve">Content</w:t>
            </w:r>
          </w:p>
        </w:tc>
        <w:tc>
          <w:tcPr/>
          <w:p>
            <w:pPr>
              <w:pStyle w:val="Compact"/>
              <w:jc w:val="left"/>
            </w:pPr>
            <w:r>
              <w:t xml:space="preserve">Exit gate</w:t>
            </w:r>
          </w:p>
        </w:tc>
      </w:tr>
      <w:tr>
        <w:tc>
          <w:tcPr/>
          <w:p>
            <w:pPr>
              <w:pStyle w:val="Compact"/>
              <w:jc w:val="left"/>
            </w:pPr>
            <w:r>
              <w:t xml:space="preserve">Phase 0: Stand-up</w:t>
            </w:r>
          </w:p>
        </w:tc>
        <w:tc>
          <w:tcPr/>
          <w:p>
            <w:pPr>
              <w:pStyle w:val="Compact"/>
              <w:jc w:val="left"/>
            </w:pPr>
            <w:r>
              <w:t xml:space="preserve">Days minus 10 to 0</w:t>
            </w:r>
          </w:p>
        </w:tc>
        <w:tc>
          <w:tcPr/>
          <w:p>
            <w:pPr>
              <w:pStyle w:val="Compact"/>
              <w:jc w:val="left"/>
            </w:pPr>
            <w:r>
              <w:t xml:space="preserve">Center staffing, registry initialization, escrow opening, observer rostering</w:t>
            </w:r>
          </w:p>
        </w:tc>
        <w:tc>
          <w:tcPr/>
          <w:p>
            <w:pPr>
              <w:pStyle w:val="Compact"/>
              <w:jc w:val="left"/>
            </w:pPr>
            <w:r>
              <w:t xml:space="preserve">Neutral Observation Office readiness certificate</w:t>
            </w:r>
          </w:p>
        </w:tc>
      </w:tr>
      <w:tr>
        <w:tc>
          <w:tcPr/>
          <w:p>
            <w:pPr>
              <w:pStyle w:val="Compact"/>
              <w:jc w:val="left"/>
            </w:pPr>
            <w:r>
              <w:t xml:space="preserve">Phase 1: Day One</w:t>
            </w:r>
          </w:p>
        </w:tc>
        <w:tc>
          <w:tcPr/>
          <w:p>
            <w:pPr>
              <w:pStyle w:val="Compact"/>
              <w:jc w:val="left"/>
            </w:pPr>
            <w:r>
              <w:t xml:space="preserve">Days 0 to 3</w:t>
            </w:r>
          </w:p>
        </w:tc>
        <w:tc>
          <w:tcPr/>
          <w:p>
            <w:pPr>
              <w:pStyle w:val="Compact"/>
              <w:jc w:val="left"/>
            </w:pPr>
            <w:r>
              <w:t xml:space="preserve">Mine-hazard declaration, joint openness declaration, Bulletin first issue, provisional corridor guidance publication</w:t>
            </w:r>
          </w:p>
        </w:tc>
        <w:tc>
          <w:tcPr/>
          <w:p>
            <w:pPr>
              <w:pStyle w:val="Compact"/>
              <w:jc w:val="left"/>
            </w:pPr>
            <w:r>
              <w:t xml:space="preserve">Bulletin operating on cycle</w:t>
            </w:r>
          </w:p>
        </w:tc>
      </w:tr>
      <w:tr>
        <w:tc>
          <w:tcPr/>
          <w:p>
            <w:pPr>
              <w:pStyle w:val="Compact"/>
              <w:jc w:val="left"/>
            </w:pPr>
            <w:r>
              <w:t xml:space="preserve">Phase 2: Survey</w:t>
            </w:r>
          </w:p>
        </w:tc>
        <w:tc>
          <w:tcPr/>
          <w:p>
            <w:pPr>
              <w:pStyle w:val="Compact"/>
              <w:jc w:val="left"/>
            </w:pPr>
            <w:r>
              <w:t xml:space="preserve">Days 3 to 21</w:t>
            </w:r>
          </w:p>
        </w:tc>
        <w:tc>
          <w:tcPr/>
          <w:p>
            <w:pPr>
              <w:pStyle w:val="Compact"/>
              <w:jc w:val="left"/>
            </w:pPr>
            <w:r>
              <w:t xml:space="preserve">Joint hazard survey, zone-by-zone certification, daylight transits in the Outbound Assurance Corridor from Day 3</w:t>
            </w:r>
          </w:p>
        </w:tc>
        <w:tc>
          <w:tcPr/>
          <w:p>
            <w:pPr>
              <w:pStyle w:val="Compact"/>
              <w:jc w:val="left"/>
            </w:pPr>
            <w:r>
              <w:t xml:space="preserve">Zone certificates for all three corridors</w:t>
            </w:r>
          </w:p>
        </w:tc>
      </w:tr>
      <w:tr>
        <w:tc>
          <w:tcPr/>
          <w:p>
            <w:pPr>
              <w:pStyle w:val="Compact"/>
              <w:jc w:val="left"/>
            </w:pPr>
            <w:r>
              <w:t xml:space="preserve">Phase 3: Sequential activation</w:t>
            </w:r>
          </w:p>
        </w:tc>
        <w:tc>
          <w:tcPr/>
          <w:p>
            <w:pPr>
              <w:pStyle w:val="Compact"/>
              <w:jc w:val="left"/>
            </w:pPr>
            <w:r>
              <w:t xml:space="preserve">Days 21 to 45</w:t>
            </w:r>
          </w:p>
        </w:tc>
        <w:tc>
          <w:tcPr/>
          <w:p>
            <w:pPr>
              <w:pStyle w:val="Compact"/>
              <w:jc w:val="left"/>
            </w:pPr>
            <w:r>
              <w:t xml:space="preserve">Central Safety Corridor, then Outbound Assurance Corridor full, then Inbound Coordination Corridor; night transit on certification</w:t>
            </w:r>
          </w:p>
        </w:tc>
        <w:tc>
          <w:tcPr/>
          <w:p>
            <w:pPr>
              <w:pStyle w:val="Compact"/>
              <w:jc w:val="left"/>
            </w:pPr>
            <w:r>
              <w:t xml:space="preserve">Full three-corridor operation at pilot rates</w:t>
            </w:r>
          </w:p>
        </w:tc>
      </w:tr>
      <w:tr>
        <w:tc>
          <w:tcPr/>
          <w:p>
            <w:pPr>
              <w:pStyle w:val="Compact"/>
              <w:jc w:val="left"/>
            </w:pPr>
            <w:r>
              <w:t xml:space="preserve">Phase 4: Pilot operation</w:t>
            </w:r>
          </w:p>
        </w:tc>
        <w:tc>
          <w:tcPr/>
          <w:p>
            <w:pPr>
              <w:pStyle w:val="Compact"/>
              <w:jc w:val="left"/>
            </w:pPr>
            <w:r>
              <w:t xml:space="preserve">Days 45 to 105</w:t>
            </w:r>
          </w:p>
        </w:tc>
        <w:tc>
          <w:tcPr/>
          <w:p>
            <w:pPr>
              <w:pStyle w:val="Compact"/>
              <w:jc w:val="left"/>
            </w:pPr>
            <w:r>
              <w:t xml:space="preserve">Reduced service rates at 50 percent, intensified verification, weekly metrics publication, payment channel live</w:t>
            </w:r>
          </w:p>
        </w:tc>
        <w:tc>
          <w:tcPr/>
          <w:p>
            <w:pPr>
              <w:pStyle w:val="Compact"/>
              <w:jc w:val="left"/>
            </w:pPr>
            <w:r>
              <w:t xml:space="preserve">Pilot completion report</w:t>
            </w:r>
          </w:p>
        </w:tc>
      </w:tr>
      <w:tr>
        <w:tc>
          <w:tcPr/>
          <w:p>
            <w:pPr>
              <w:pStyle w:val="Compact"/>
              <w:jc w:val="left"/>
            </w:pPr>
            <w:r>
              <w:t xml:space="preserve">Phase 5: Stability Audit and full activation</w:t>
            </w:r>
          </w:p>
        </w:tc>
        <w:tc>
          <w:tcPr/>
          <w:p>
            <w:pPr>
              <w:pStyle w:val="Compact"/>
              <w:jc w:val="left"/>
            </w:pPr>
            <w:r>
              <w:t xml:space="preserve">Days 105 to 135</w:t>
            </w:r>
          </w:p>
        </w:tc>
        <w:tc>
          <w:tcPr/>
          <w:p>
            <w:pPr>
              <w:pStyle w:val="Compact"/>
              <w:jc w:val="left"/>
            </w:pPr>
            <w:r>
              <w:t xml:space="preserve">The Stability Audit of Annex H, Council certification, IMO final technical certification, full rates, full operation</w:t>
            </w:r>
          </w:p>
        </w:tc>
        <w:tc>
          <w:tcPr/>
          <w:p>
            <w:pPr>
              <w:pStyle w:val="Compact"/>
              <w:jc w:val="left"/>
            </w:pPr>
            <w:r>
              <w:t xml:space="preserve">Full activation certificate</w:t>
            </w:r>
          </w:p>
        </w:tc>
      </w:tr>
    </w:tbl>
    <w:p>
      <w:pPr>
        <w:pStyle w:val="BodyText"/>
      </w:pPr>
      <w:r>
        <w:t xml:space="preserve">The total pathway from signature to full activation runs 90 to 135 days. Every phase gate certification posts to the registry and banks permanently.</w:t>
      </w:r>
    </w:p>
    <w:bookmarkEnd w:id="305"/>
    <w:bookmarkStart w:id="306" w:name="e.2-day-one-checklist"/>
    <w:p>
      <w:pPr>
        <w:pStyle w:val="Heading2"/>
      </w:pPr>
      <w:r>
        <w:t xml:space="preserve">E.2 Day One checklist</w:t>
      </w:r>
    </w:p>
    <w:p>
      <w:pPr>
        <w:numPr>
          <w:ilvl w:val="0"/>
          <w:numId w:val="1007"/>
        </w:numPr>
        <w:pStyle w:val="Compact"/>
      </w:pPr>
      <w:r>
        <w:t xml:space="preserve">The Center issues the Mine Hazard Area (Awaiting Survey) Notice to Mariners.</w:t>
      </w:r>
    </w:p>
    <w:p>
      <w:pPr>
        <w:numPr>
          <w:ilvl w:val="0"/>
          <w:numId w:val="1007"/>
        </w:numPr>
        <w:pStyle w:val="Compact"/>
      </w:pPr>
      <w:r>
        <w:t xml:space="preserve">The Parties issue the joint openness declaration of Article 10.4.</w:t>
      </w:r>
    </w:p>
    <w:p>
      <w:pPr>
        <w:numPr>
          <w:ilvl w:val="0"/>
          <w:numId w:val="1007"/>
        </w:numPr>
        <w:pStyle w:val="Compact"/>
      </w:pPr>
      <w:r>
        <w:t xml:space="preserve">The Bulletin publishes its first issue on the 6-hour cycle.</w:t>
      </w:r>
    </w:p>
    <w:p>
      <w:pPr>
        <w:numPr>
          <w:ilvl w:val="0"/>
          <w:numId w:val="1007"/>
        </w:numPr>
        <w:pStyle w:val="Compact"/>
      </w:pPr>
      <w:r>
        <w:t xml:space="preserve">The provisional corridor guidance publishes to all channels.</w:t>
      </w:r>
    </w:p>
    <w:p>
      <w:pPr>
        <w:numPr>
          <w:ilvl w:val="0"/>
          <w:numId w:val="1007"/>
        </w:numPr>
        <w:pStyle w:val="Compact"/>
      </w:pPr>
      <w:r>
        <w:t xml:space="preserve">The escrow channel opens and the endowment tranches instruct.</w:t>
      </w:r>
    </w:p>
    <w:p>
      <w:pPr>
        <w:numPr>
          <w:ilvl w:val="0"/>
          <w:numId w:val="1007"/>
        </w:numPr>
        <w:pStyle w:val="Compact"/>
      </w:pPr>
      <w:r>
        <w:t xml:space="preserve">The notification desk goes live and the first twelve-field notice processes.</w:t>
      </w:r>
    </w:p>
    <w:p>
      <w:pPr>
        <w:numPr>
          <w:ilvl w:val="0"/>
          <w:numId w:val="1007"/>
        </w:numPr>
        <w:pStyle w:val="Compact"/>
      </w:pPr>
      <w:r>
        <w:t xml:space="preserve">The military deconfliction channel completes its first scheduled test.</w:t>
      </w:r>
    </w:p>
    <w:p>
      <w:pPr>
        <w:numPr>
          <w:ilvl w:val="0"/>
          <w:numId w:val="1007"/>
        </w:numPr>
        <w:pStyle w:val="Compact"/>
      </w:pPr>
      <w:r>
        <w:t xml:space="preserve">The Neutral Observation Office opens the registry and the Standing Ledger.</w:t>
      </w:r>
    </w:p>
    <w:p>
      <w:pPr>
        <w:numPr>
          <w:ilvl w:val="0"/>
          <w:numId w:val="1007"/>
        </w:numPr>
        <w:pStyle w:val="Compact"/>
      </w:pPr>
      <w:r>
        <w:t xml:space="preserve">The signal-integrity watch activates at both sites.</w:t>
      </w:r>
    </w:p>
    <w:p>
      <w:pPr>
        <w:numPr>
          <w:ilvl w:val="0"/>
          <w:numId w:val="1007"/>
        </w:numPr>
        <w:pStyle w:val="Compact"/>
      </w:pPr>
      <w:r>
        <w:t xml:space="preserve">The distress priority link tests end-to-end.</w:t>
      </w:r>
    </w:p>
    <w:bookmarkEnd w:id="306"/>
    <w:bookmarkStart w:id="307" w:name="e.3-early-harvest"/>
    <w:p>
      <w:pPr>
        <w:pStyle w:val="Heading2"/>
      </w:pPr>
      <w:r>
        <w:t xml:space="preserve">E.3 Early harvest</w:t>
      </w:r>
    </w:p>
    <w:p>
      <w:pPr>
        <w:pStyle w:val="FirstParagraph"/>
      </w:pPr>
      <w:r>
        <w:t xml:space="preserve">The following deliver within the first 30 days, as visible proof of function: the Bulletin on cycle; the first certified survey zone; the first escorted window; the first verification patrol in each corridor; the first Insurance Confidence Statement; the first payment through the escrow channel; and the first published metrics pack. Early harvest is deliberate: the Pact earns confidence in public, in weeks, not in years.</w:t>
      </w:r>
    </w:p>
    <w:bookmarkEnd w:id="307"/>
    <w:bookmarkStart w:id="308" w:name="e.4-staffing-table-parity-band"/>
    <w:p>
      <w:pPr>
        <w:pStyle w:val="Heading2"/>
      </w:pPr>
      <w:r>
        <w:t xml:space="preserve">E.4 Staffing table parity band</w:t>
      </w:r>
    </w:p>
    <w:p>
      <w:pPr>
        <w:pStyle w:val="FirstParagraph"/>
      </w:pPr>
      <w:r>
        <w:t xml:space="preserve">Table E.4: Core staffing at the Center and the mirror facility.</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Post</w:t>
            </w:r>
          </w:p>
        </w:tc>
        <w:tc>
          <w:tcPr/>
          <w:p>
            <w:pPr>
              <w:pStyle w:val="Compact"/>
              <w:jc w:val="left"/>
            </w:pPr>
            <w:r>
              <w:t xml:space="preserve">Muscat seat</w:t>
            </w:r>
          </w:p>
        </w:tc>
        <w:tc>
          <w:tcPr/>
          <w:p>
            <w:pPr>
              <w:pStyle w:val="Compact"/>
              <w:jc w:val="left"/>
            </w:pPr>
            <w:r>
              <w:t xml:space="preserve">Bandar Abbas mirror</w:t>
            </w:r>
          </w:p>
        </w:tc>
      </w:tr>
      <w:tr>
        <w:tc>
          <w:tcPr/>
          <w:p>
            <w:pPr>
              <w:pStyle w:val="Compact"/>
              <w:jc w:val="left"/>
            </w:pPr>
            <w:r>
              <w:t xml:space="preserve">Co-Directors</w:t>
            </w:r>
          </w:p>
        </w:tc>
        <w:tc>
          <w:tcPr/>
          <w:p>
            <w:pPr>
              <w:pStyle w:val="Compact"/>
              <w:jc w:val="left"/>
            </w:pPr>
            <w:r>
              <w:t xml:space="preserve">1 Iranian, 1 Omani</w:t>
            </w:r>
          </w:p>
        </w:tc>
        <w:tc>
          <w:tcPr/>
          <w:p>
            <w:pPr>
              <w:pStyle w:val="Compact"/>
              <w:jc w:val="left"/>
            </w:pPr>
            <w:r>
              <w:t xml:space="preserve">1 Iranian, 1 Omani</w:t>
            </w:r>
          </w:p>
        </w:tc>
      </w:tr>
      <w:tr>
        <w:tc>
          <w:tcPr/>
          <w:p>
            <w:pPr>
              <w:pStyle w:val="Compact"/>
              <w:jc w:val="left"/>
            </w:pPr>
            <w:r>
              <w:t xml:space="preserve">Duty officers (per watch, three watches)</w:t>
            </w:r>
          </w:p>
        </w:tc>
        <w:tc>
          <w:tcPr/>
          <w:p>
            <w:pPr>
              <w:pStyle w:val="Compact"/>
              <w:jc w:val="left"/>
            </w:pPr>
            <w:r>
              <w:t xml:space="preserve">1 Iranian, 1 Omani</w:t>
            </w:r>
          </w:p>
        </w:tc>
        <w:tc>
          <w:tcPr/>
          <w:p>
            <w:pPr>
              <w:pStyle w:val="Compact"/>
              <w:jc w:val="left"/>
            </w:pPr>
            <w:r>
              <w:t xml:space="preserve">1 Iranian, 1 Omani</w:t>
            </w:r>
          </w:p>
        </w:tc>
      </w:tr>
      <w:tr>
        <w:tc>
          <w:tcPr/>
          <w:p>
            <w:pPr>
              <w:pStyle w:val="Compact"/>
              <w:jc w:val="left"/>
            </w:pPr>
            <w:r>
              <w:t xml:space="preserve">Notification desk (per shift)</w:t>
            </w:r>
          </w:p>
        </w:tc>
        <w:tc>
          <w:tcPr/>
          <w:p>
            <w:pPr>
              <w:pStyle w:val="Compact"/>
              <w:jc w:val="left"/>
            </w:pPr>
            <w:r>
              <w:t xml:space="preserve">1 Iranian, 1 Omani</w:t>
            </w:r>
          </w:p>
        </w:tc>
        <w:tc>
          <w:tcPr/>
          <w:p>
            <w:pPr>
              <w:pStyle w:val="Compact"/>
              <w:jc w:val="left"/>
            </w:pPr>
            <w:r>
              <w:t xml:space="preserve">1 Iranian, 1 Omani</w:t>
            </w:r>
          </w:p>
        </w:tc>
      </w:tr>
      <w:tr>
        <w:tc>
          <w:tcPr/>
          <w:p>
            <w:pPr>
              <w:pStyle w:val="Compact"/>
              <w:jc w:val="left"/>
            </w:pPr>
            <w:r>
              <w:t xml:space="preserve">Hydrographers</w:t>
            </w:r>
          </w:p>
        </w:tc>
        <w:tc>
          <w:tcPr/>
          <w:p>
            <w:pPr>
              <w:pStyle w:val="Compact"/>
              <w:jc w:val="left"/>
            </w:pPr>
            <w:r>
              <w:t xml:space="preserve">1 Iranian, 1 Omani</w:t>
            </w:r>
          </w:p>
        </w:tc>
        <w:tc>
          <w:tcPr/>
          <w:p>
            <w:pPr>
              <w:pStyle w:val="Compact"/>
              <w:jc w:val="left"/>
            </w:pPr>
            <w:r>
              <w:t xml:space="preserve">1 Iranian, 1 Omani</w:t>
            </w:r>
          </w:p>
        </w:tc>
      </w:tr>
      <w:tr>
        <w:tc>
          <w:tcPr/>
          <w:p>
            <w:pPr>
              <w:pStyle w:val="Compact"/>
              <w:jc w:val="left"/>
            </w:pPr>
            <w:r>
              <w:t xml:space="preserve">Legal desk</w:t>
            </w:r>
          </w:p>
        </w:tc>
        <w:tc>
          <w:tcPr/>
          <w:p>
            <w:pPr>
              <w:pStyle w:val="Compact"/>
              <w:jc w:val="left"/>
            </w:pPr>
            <w:r>
              <w:t xml:space="preserve">1 Iranian, 1 Omani</w:t>
            </w:r>
          </w:p>
        </w:tc>
        <w:tc>
          <w:tcPr/>
          <w:p>
            <w:pPr>
              <w:pStyle w:val="Compact"/>
              <w:jc w:val="left"/>
            </w:pPr>
            <w:r>
              <w:t xml:space="preserve">1 Iranian, 1 Omani</w:t>
            </w:r>
          </w:p>
        </w:tc>
      </w:tr>
      <w:tr>
        <w:tc>
          <w:tcPr/>
          <w:p>
            <w:pPr>
              <w:pStyle w:val="Compact"/>
              <w:jc w:val="left"/>
            </w:pPr>
            <w:r>
              <w:t xml:space="preserve">Bulletin desk</w:t>
            </w:r>
          </w:p>
        </w:tc>
        <w:tc>
          <w:tcPr/>
          <w:p>
            <w:pPr>
              <w:pStyle w:val="Compact"/>
              <w:jc w:val="left"/>
            </w:pPr>
            <w:r>
              <w:t xml:space="preserve">Mixed pair, rotating</w:t>
            </w:r>
          </w:p>
        </w:tc>
        <w:tc>
          <w:tcPr/>
          <w:p>
            <w:pPr>
              <w:pStyle w:val="Compact"/>
              <w:jc w:val="left"/>
            </w:pPr>
            <w:r>
              <w:t xml:space="preserve">Mixed pair, rotating</w:t>
            </w:r>
          </w:p>
        </w:tc>
      </w:tr>
      <w:tr>
        <w:tc>
          <w:tcPr/>
          <w:p>
            <w:pPr>
              <w:pStyle w:val="Compact"/>
              <w:jc w:val="left"/>
            </w:pPr>
            <w:r>
              <w:t xml:space="preserve">Acceding Party paired posts</w:t>
            </w:r>
          </w:p>
        </w:tc>
        <w:tc>
          <w:tcPr/>
          <w:p>
            <w:pPr>
              <w:pStyle w:val="Compact"/>
              <w:jc w:val="left"/>
            </w:pPr>
            <w:r>
              <w:t xml:space="preserve">added per accession</w:t>
            </w:r>
          </w:p>
        </w:tc>
        <w:tc>
          <w:tcPr/>
          <w:p>
            <w:pPr>
              <w:pStyle w:val="Compact"/>
              <w:jc w:val="left"/>
            </w:pPr>
            <w:r>
              <w:t xml:space="preserve">added per accession</w:t>
            </w:r>
          </w:p>
        </w:tc>
      </w:tr>
    </w:tbl>
    <w:p>
      <w:pPr>
        <w:pStyle w:val="BodyText"/>
      </w:pPr>
      <w:r>
        <w:t xml:space="preserve">Technical staff beyond the core pairs are recruited on merit from any nationality, and every watch retains the paired structure.</w:t>
      </w:r>
    </w:p>
    <w:p>
      <w:r>
        <w:pict>
          <v:rect style="width:0;height:1.5pt" o:hralign="center" o:hrstd="t" o:hr="t"/>
        </w:pict>
      </w:r>
    </w:p>
    <w:bookmarkEnd w:id="308"/>
    <w:bookmarkEnd w:id="309"/>
    <w:bookmarkStart w:id="314" w:name="X4942ab1e23c12184162e30fc8c7c3067752cac3"/>
    <w:p>
      <w:pPr>
        <w:pStyle w:val="Heading1"/>
      </w:pPr>
      <w:r>
        <w:t xml:space="preserve">Annex F: Accession, Adherence, and Participation Instruments</w:t>
      </w:r>
    </w:p>
    <w:bookmarkStart w:id="310" w:name="f.1-model-accession-instrument"/>
    <w:p>
      <w:pPr>
        <w:pStyle w:val="Heading2"/>
      </w:pPr>
      <w:r>
        <w:t xml:space="preserve">F.1 Model accession instrument</w:t>
      </w:r>
    </w:p>
    <w:p>
      <w:pPr>
        <w:pStyle w:val="FirstParagraph"/>
      </w:pPr>
      <w:r>
        <w:t xml:space="preserve">The undersigned state, guided by the purposes of the Hormuz Economic Development and Security Pact, accepts the instrument in full as it stands, deposits this instrument with the Depositary, and assumes the rights and obligations of an Acceding Littoral Party from the effective date of Article 34.2. The state designates its Council members, its watch-floor officers, and its contribution instructions under Annex B. Signature, place, date.</w:t>
      </w:r>
    </w:p>
    <w:bookmarkEnd w:id="310"/>
    <w:bookmarkStart w:id="311" w:name="X1a0331b66ad6bea3e58b2c48578485a98fc8852"/>
    <w:p>
      <w:pPr>
        <w:pStyle w:val="Heading2"/>
      </w:pPr>
      <w:r>
        <w:t xml:space="preserve">F.2 Model adherence instrument for security liaisons</w:t>
      </w:r>
    </w:p>
    <w:p>
      <w:pPr>
        <w:pStyle w:val="FirstParagraph"/>
      </w:pPr>
      <w:r>
        <w:t xml:space="preserve">The undersigned state adheres, for its forces operating in or near the Governance Area, to the Non-Interdiction Protocol of Article 10 and the standoff geometry of Article 27, designates its military liaison officer to the deconfliction channel, and accepts the information flows of the Bulletin. This adherence confers no governance role and no obligation beyond the two Articles named. Adherence revokes on 90 days’ written notice. Signature, place, date.</w:t>
      </w:r>
    </w:p>
    <w:bookmarkEnd w:id="311"/>
    <w:bookmarkStart w:id="312" w:name="Xccccef25fbd724bfb9bd584d7c817fe88b257e7"/>
    <w:p>
      <w:pPr>
        <w:pStyle w:val="Heading2"/>
      </w:pPr>
      <w:r>
        <w:t xml:space="preserve">F.3 Model attachment instrument for the wider settlement</w:t>
      </w:r>
    </w:p>
    <w:p>
      <w:pPr>
        <w:pStyle w:val="FirstParagraph"/>
      </w:pPr>
      <w:r>
        <w:t xml:space="preserve">The parties to the Islamabad Memorandum of Understanding, noting the Hormuz Economic Development and Security Pact, attach the Pact to the wider settlement architecture as its maritime governance and coastal development module. Attachment records political linkage, synchronizes review calendars where both architectures elect it, and adds no obligation beyond the texts of the respective instruments. Signature, place, date.</w:t>
      </w:r>
    </w:p>
    <w:bookmarkEnd w:id="312"/>
    <w:bookmarkStart w:id="313" w:name="f.4-standing-invitations"/>
    <w:p>
      <w:pPr>
        <w:pStyle w:val="Heading2"/>
      </w:pPr>
      <w:r>
        <w:t xml:space="preserve">F.4 Standing invitations</w:t>
      </w:r>
    </w:p>
    <w:p>
      <w:pPr>
        <w:pStyle w:val="FirstParagraph"/>
      </w:pPr>
      <w:r>
        <w:t xml:space="preserve">The Council holds standing invitations, open without time limit: observer invitations to the European Union, India, China, Japan, the Republic of Korea, and the United Kingdom; technical participation invitations to the International Maritime Organization, the International Hydrographic Organization, and the United Nations Mine Action Service; and adherence invitations to the United States, the United Kingdom, and France as security liaisons. Each invitation remains open until accepted or declined in writing, and the record publishes every response.</w:t>
      </w:r>
    </w:p>
    <w:p>
      <w:r>
        <w:pict>
          <v:rect style="width:0;height:1.5pt" o:hralign="center" o:hrstd="t" o:hr="t"/>
        </w:pict>
      </w:r>
    </w:p>
    <w:bookmarkEnd w:id="313"/>
    <w:bookmarkEnd w:id="314"/>
    <w:bookmarkStart w:id="315" w:name="X7c20e71b6a0d6ed1d4362897a9ac4f5af25b05b"/>
    <w:p>
      <w:pPr>
        <w:pStyle w:val="Heading1"/>
      </w:pPr>
      <w:r>
        <w:t xml:space="preserve">Annex G: The Red Lines Register (Full Operative Text)</w:t>
      </w:r>
    </w:p>
    <w:p>
      <w:pPr>
        <w:pStyle w:val="FirstParagraph"/>
      </w:pPr>
      <w:r>
        <w:t xml:space="preserve">Each entry states the line, the interest it protects, and the architectural safeguard that holds it. The Perimeter Screen of Article 6.2 tests every measure against this Register.</w:t>
      </w:r>
    </w:p>
    <w:p>
      <w:pPr>
        <w:pStyle w:val="BodyText"/>
      </w:pPr>
      <w:r>
        <w:rPr>
          <w:bCs/>
          <w:b/>
        </w:rPr>
        <w:t xml:space="preserve">RL-1. Transit carries no charge, in any corridor, for any vessel, ever.</w:t>
      </w:r>
      <w:r>
        <w:t xml:space="preserve"> </w:t>
      </w:r>
      <w:r>
        <w:t xml:space="preserve">Protects the user-state interest in free navigation and the Omani and international opposition to tolls. Safeguard: the Zero-Toll Rule of Article 18, permanent under Article 5.5, enforced through the payment architecture of Article 20, which routes every payment around, never across, the act of passage.</w:t>
      </w:r>
    </w:p>
    <w:p>
      <w:pPr>
        <w:pStyle w:val="BodyText"/>
      </w:pPr>
      <w:r>
        <w:rPr>
          <w:bCs/>
          <w:b/>
        </w:rPr>
        <w:t xml:space="preserve">RL-2. No permission regime operates anywhere in this Pact.</w:t>
      </w:r>
      <w:r>
        <w:t xml:space="preserve"> </w:t>
      </w:r>
      <w:r>
        <w:t xml:space="preserve">Protects the freedom-of-navigation interest of every user state and the legal position of all Parties. Safeguard: the automatic acknowledgment rule of Article 8.3, the default-acknowledgment clock, and the classification of any conversion of notification into permission as an Architectural Breach under Annex C, category A-6.</w:t>
      </w:r>
    </w:p>
    <w:p>
      <w:pPr>
        <w:pStyle w:val="BodyText"/>
      </w:pPr>
      <w:r>
        <w:rPr>
          <w:bCs/>
          <w:b/>
        </w:rPr>
        <w:t xml:space="preserve">RL-3. The northern littoral holds a recognized, formal, continuous management function in its own waters.</w:t>
      </w:r>
      <w:r>
        <w:t xml:space="preserve"> </w:t>
      </w:r>
      <w:r>
        <w:t xml:space="preserve">Protects Iran’s core sovereign interest. Safeguard: the notification regime’s documented real-time traffic picture, Iranian lead management of the Inbound Coordination Corridor under Article 8.5, Iranian co-direction of the Center, and the Twin Key of Article 17.2.</w:t>
      </w:r>
    </w:p>
    <w:p>
      <w:pPr>
        <w:pStyle w:val="BodyText"/>
      </w:pPr>
      <w:r>
        <w:rPr>
          <w:bCs/>
          <w:b/>
        </w:rPr>
        <w:t xml:space="preserve">RL-4. The southern littoral holds a recognized, formal, continuous management function in its own waters.</w:t>
      </w:r>
      <w:r>
        <w:t xml:space="preserve"> </w:t>
      </w:r>
      <w:r>
        <w:t xml:space="preserve">Protects Oman’s core sovereign interest. Safeguard: Omani lead management of the Outbound Assurance Corridor, the Muscat seat, the escrow administration, and the Twin Key.</w:t>
      </w:r>
    </w:p>
    <w:p>
      <w:pPr>
        <w:pStyle w:val="BodyText"/>
      </w:pPr>
      <w:r>
        <w:rPr>
          <w:bCs/>
          <w:b/>
        </w:rPr>
        <w:t xml:space="preserve">RL-5. No boarding, diversion, seizure, or inspection occurs inside a passage.</w:t>
      </w:r>
      <w:r>
        <w:t xml:space="preserve"> </w:t>
      </w:r>
      <w:r>
        <w:t xml:space="preserve">Protects every flag state’s commercial fleet and the Non-Interdiction Protocol’s integrity. Safeguard: Article 10.2’s absolute protocol and the Anchor-and-Verify Protocol’s anchorage discipline.</w:t>
      </w:r>
    </w:p>
    <w:p>
      <w:pPr>
        <w:pStyle w:val="BodyText"/>
      </w:pPr>
      <w:r>
        <w:rPr>
          <w:bCs/>
          <w:b/>
        </w:rPr>
        <w:t xml:space="preserve">RL-6. The Pact’s operational bodies remain civilian, always.</w:t>
      </w:r>
      <w:r>
        <w:t xml:space="preserve"> </w:t>
      </w:r>
      <w:r>
        <w:t xml:space="preserve">Protects both littorals against the securitization of a commercial waterway and protects external participants against entanglement. Safeguard: the Civilian Character Clause of Article 14.6 and annual verification by the Neutral Observation Office.</w:t>
      </w:r>
    </w:p>
    <w:p>
      <w:pPr>
        <w:pStyle w:val="BodyText"/>
      </w:pPr>
      <w:r>
        <w:rPr>
          <w:bCs/>
          <w:b/>
        </w:rPr>
        <w:t xml:space="preserve">RL-7. No shipper or operator pays any Party directly for anything.</w:t>
      </w:r>
      <w:r>
        <w:t xml:space="preserve"> </w:t>
      </w:r>
      <w:r>
        <w:t xml:space="preserve">Protects commerce against politicized extraction and protects the Parties against the accusation of toll-taking. Safeguard: the escrow architecture of Article 20.4 and the direct-collection exclusion of Article 18.4.</w:t>
      </w:r>
    </w:p>
    <w:p>
      <w:pPr>
        <w:pStyle w:val="BodyText"/>
      </w:pPr>
      <w:r>
        <w:rPr>
          <w:bCs/>
          <w:b/>
        </w:rPr>
        <w:t xml:space="preserve">RL-8. Each Party’s sovereignty over its own waters stands intact.</w:t>
      </w:r>
      <w:r>
        <w:t xml:space="preserve"> </w:t>
      </w:r>
      <w:r>
        <w:t xml:space="preserve">Protects the constitutional position of every littoral. Safeguard: the jurisdictional layers of Article 1.6 and the non-prejudice rule of Article 2.6.</w:t>
      </w:r>
    </w:p>
    <w:p>
      <w:pPr>
        <w:pStyle w:val="BodyText"/>
      </w:pPr>
      <w:r>
        <w:rPr>
          <w:bCs/>
          <w:b/>
        </w:rPr>
        <w:t xml:space="preserve">RL-9. No commitment expires, lapses, or dilutes by time, silence, or routine.</w:t>
      </w:r>
      <w:r>
        <w:t xml:space="preserve"> </w:t>
      </w:r>
      <w:r>
        <w:t xml:space="preserve">Protects the durability interest of every participant. Safeguard: the Continuity Guarantee of Article 5 in full.</w:t>
      </w:r>
    </w:p>
    <w:p>
      <w:pPr>
        <w:pStyle w:val="BodyText"/>
      </w:pPr>
      <w:r>
        <w:rPr>
          <w:bCs/>
          <w:b/>
        </w:rPr>
        <w:t xml:space="preserve">RL-10. Humanitarian traffic moves in every flow state, dispute, pause, and transition.</w:t>
      </w:r>
      <w:r>
        <w:t xml:space="preserve"> </w:t>
      </w:r>
      <w:r>
        <w:t xml:space="preserve">Protects the populations of the region and the humanitarian convictions of every participant. Safeguard: the humanitarian absolute of Article 3, the humanitarian locks of Articles 20.2 and 22.5, and the Class E regime of Article 9.2.</w:t>
      </w:r>
    </w:p>
    <w:p>
      <w:pPr>
        <w:pStyle w:val="BodyText"/>
      </w:pPr>
      <w:r>
        <w:rPr>
          <w:bCs/>
          <w:b/>
        </w:rPr>
        <w:t xml:space="preserve">RL-11. No finding of fact rests on a single input.</w:t>
      </w:r>
      <w:r>
        <w:t xml:space="preserve"> </w:t>
      </w:r>
      <w:r>
        <w:t xml:space="preserve">Protects every Party against accusation built on one sensor, one source, or one narrative. Safeguard: the Dual Confirmation Standard of Article 26.2.</w:t>
      </w:r>
    </w:p>
    <w:p>
      <w:pPr>
        <w:pStyle w:val="BodyText"/>
      </w:pPr>
      <w:r>
        <w:rPr>
          <w:bCs/>
          <w:b/>
        </w:rPr>
        <w:t xml:space="preserve">RL-12. Pact assets, data, and channels never support kinetic action by any actor.</w:t>
      </w:r>
      <w:r>
        <w:t xml:space="preserve"> </w:t>
      </w:r>
      <w:r>
        <w:t xml:space="preserve">Protects every Party and every participant against the instrumentalization of a civilian architecture. Safeguard: Article 27.6 and the integrity watch of Article 14.9.</w:t>
      </w:r>
    </w:p>
    <w:p>
      <w:pPr>
        <w:pStyle w:val="BodyText"/>
      </w:pPr>
      <w:r>
        <w:rPr>
          <w:bCs/>
          <w:b/>
        </w:rPr>
        <w:t xml:space="preserve">RL-13. No single coastal state governs the Strait alone.</w:t>
      </w:r>
      <w:r>
        <w:t xml:space="preserve"> </w:t>
      </w:r>
      <w:r>
        <w:t xml:space="preserve">Protects the multilateral interest of the Gulf states, the user states, and the United States. Safeguard: the Twin Key, the Central Corridor Board’s three-vote rule, and the Council composition of Article 13.1.</w:t>
      </w:r>
    </w:p>
    <w:p>
      <w:pPr>
        <w:pStyle w:val="BodyText"/>
      </w:pPr>
      <w:r>
        <w:rPr>
          <w:bCs/>
          <w:b/>
        </w:rPr>
        <w:t xml:space="preserve">RL-14. No external state or body commands any element of this Pact.</w:t>
      </w:r>
      <w:r>
        <w:t xml:space="preserve"> </w:t>
      </w:r>
      <w:r>
        <w:t xml:space="preserve">Protects the regional-ownership interest of every littoral and the neutrality of the facilitators. Safeguard: Article 16.5 and the defined, bounded interfaces of Article 16.</w:t>
      </w:r>
    </w:p>
    <w:p>
      <w:pPr>
        <w:pStyle w:val="BodyText"/>
      </w:pPr>
      <w:r>
        <w:rPr>
          <w:bCs/>
          <w:b/>
        </w:rPr>
        <w:t xml:space="preserve">RL-15. Development benefits flow to both littorals in visible balance, and no financial mechanism serves as a lever of political pressure.</w:t>
      </w:r>
      <w:r>
        <w:t xml:space="preserve"> </w:t>
      </w:r>
      <w:r>
        <w:t xml:space="preserve">Protects the coastal populations of both states and the integrity of the funds. Safeguard: the balance rule of Article 22.4, the Earned Dividend Link’s collective design of Article 24, and the spillover protection of Article 30.6.</w:t>
      </w:r>
    </w:p>
    <w:p>
      <w:r>
        <w:pict>
          <v:rect style="width:0;height:1.5pt" o:hralign="center" o:hrstd="t" o:hr="t"/>
        </w:pict>
      </w:r>
    </w:p>
    <w:bookmarkEnd w:id="315"/>
    <w:bookmarkStart w:id="324" w:name="Xca323049002921e8d26fc8df0adba86ad833dba"/>
    <w:p>
      <w:pPr>
        <w:pStyle w:val="Heading1"/>
      </w:pPr>
      <w:r>
        <w:t xml:space="preserve">Annex H: The Verification Schedule and the Stability Audit Metrics</w:t>
      </w:r>
    </w:p>
    <w:bookmarkStart w:id="316" w:name="h.1-the-verification-schedule"/>
    <w:p>
      <w:pPr>
        <w:pStyle w:val="Heading2"/>
      </w:pPr>
      <w:r>
        <w:t xml:space="preserve">H.1 The verification schedule</w:t>
      </w:r>
    </w:p>
    <w:p>
      <w:pPr>
        <w:pStyle w:val="FirstParagraph"/>
      </w:pPr>
      <w:r>
        <w:t xml:space="preserve">Table H.1: Standing verification rhythms.</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Activity</w:t>
            </w:r>
          </w:p>
        </w:tc>
        <w:tc>
          <w:tcPr/>
          <w:p>
            <w:pPr>
              <w:pStyle w:val="Compact"/>
              <w:jc w:val="left"/>
            </w:pPr>
            <w:r>
              <w:t xml:space="preserve">Cadence</w:t>
            </w:r>
          </w:p>
        </w:tc>
        <w:tc>
          <w:tcPr/>
          <w:p>
            <w:pPr>
              <w:pStyle w:val="Compact"/>
              <w:jc w:val="left"/>
            </w:pPr>
            <w:r>
              <w:t xml:space="preserve">Executor</w:t>
            </w:r>
          </w:p>
        </w:tc>
        <w:tc>
          <w:tcPr/>
          <w:p>
            <w:pPr>
              <w:pStyle w:val="Compact"/>
              <w:jc w:val="left"/>
            </w:pPr>
            <w:r>
              <w:t xml:space="preserve">Publication</w:t>
            </w:r>
          </w:p>
        </w:tc>
      </w:tr>
      <w:tr>
        <w:tc>
          <w:tcPr/>
          <w:p>
            <w:pPr>
              <w:pStyle w:val="Compact"/>
              <w:jc w:val="left"/>
            </w:pPr>
            <w:r>
              <w:t xml:space="preserve">Bulletin</w:t>
            </w:r>
          </w:p>
        </w:tc>
        <w:tc>
          <w:tcPr/>
          <w:p>
            <w:pPr>
              <w:pStyle w:val="Compact"/>
              <w:jc w:val="left"/>
            </w:pPr>
            <w:r>
              <w:t xml:space="preserve">Every 6 hours</w:t>
            </w:r>
          </w:p>
        </w:tc>
        <w:tc>
          <w:tcPr/>
          <w:p>
            <w:pPr>
              <w:pStyle w:val="Compact"/>
              <w:jc w:val="left"/>
            </w:pPr>
            <w:r>
              <w:t xml:space="preserve">Pact Operations Center</w:t>
            </w:r>
          </w:p>
        </w:tc>
        <w:tc>
          <w:tcPr/>
          <w:p>
            <w:pPr>
              <w:pStyle w:val="Compact"/>
              <w:jc w:val="left"/>
            </w:pPr>
            <w:r>
              <w:t xml:space="preserve">All channels, identical latency</w:t>
            </w:r>
          </w:p>
        </w:tc>
      </w:tr>
      <w:tr>
        <w:tc>
          <w:tcPr/>
          <w:p>
            <w:pPr>
              <w:pStyle w:val="Compact"/>
              <w:jc w:val="left"/>
            </w:pPr>
            <w:r>
              <w:t xml:space="preserve">Verification patrol</w:t>
            </w:r>
          </w:p>
        </w:tc>
        <w:tc>
          <w:tcPr/>
          <w:p>
            <w:pPr>
              <w:pStyle w:val="Compact"/>
              <w:jc w:val="left"/>
            </w:pPr>
            <w:r>
              <w:t xml:space="preserve">Weekly per corridor</w:t>
            </w:r>
          </w:p>
        </w:tc>
        <w:tc>
          <w:tcPr/>
          <w:p>
            <w:pPr>
              <w:pStyle w:val="Compact"/>
              <w:jc w:val="left"/>
            </w:pPr>
            <w:r>
              <w:t xml:space="preserve">Rotating coastal provider with embarked observer</w:t>
            </w:r>
          </w:p>
        </w:tc>
        <w:tc>
          <w:tcPr/>
          <w:p>
            <w:pPr>
              <w:pStyle w:val="Compact"/>
              <w:jc w:val="left"/>
            </w:pPr>
            <w:r>
              <w:t xml:space="preserve">Findings within 24 hours</w:t>
            </w:r>
          </w:p>
        </w:tc>
      </w:tr>
      <w:tr>
        <w:tc>
          <w:tcPr/>
          <w:p>
            <w:pPr>
              <w:pStyle w:val="Compact"/>
              <w:jc w:val="left"/>
            </w:pPr>
            <w:r>
              <w:t xml:space="preserve">Mirror failover drill</w:t>
            </w:r>
          </w:p>
        </w:tc>
        <w:tc>
          <w:tcPr/>
          <w:p>
            <w:pPr>
              <w:pStyle w:val="Compact"/>
              <w:jc w:val="left"/>
            </w:pPr>
            <w:r>
              <w:t xml:space="preserve">Monthly</w:t>
            </w:r>
          </w:p>
        </w:tc>
        <w:tc>
          <w:tcPr/>
          <w:p>
            <w:pPr>
              <w:pStyle w:val="Compact"/>
              <w:jc w:val="left"/>
            </w:pPr>
            <w:r>
              <w:t xml:space="preserve">Both sites</w:t>
            </w:r>
          </w:p>
        </w:tc>
        <w:tc>
          <w:tcPr/>
          <w:p>
            <w:pPr>
              <w:pStyle w:val="Compact"/>
              <w:jc w:val="left"/>
            </w:pPr>
            <w:r>
              <w:t xml:space="preserve">Certification with Bulletin</w:t>
            </w:r>
          </w:p>
        </w:tc>
      </w:tr>
      <w:tr>
        <w:tc>
          <w:tcPr/>
          <w:p>
            <w:pPr>
              <w:pStyle w:val="Compact"/>
              <w:jc w:val="left"/>
            </w:pPr>
            <w:r>
              <w:t xml:space="preserve">Deconfliction channel test</w:t>
            </w:r>
          </w:p>
        </w:tc>
        <w:tc>
          <w:tcPr/>
          <w:p>
            <w:pPr>
              <w:pStyle w:val="Compact"/>
              <w:jc w:val="left"/>
            </w:pPr>
            <w:r>
              <w:t xml:space="preserve">Weekly</w:t>
            </w:r>
          </w:p>
        </w:tc>
        <w:tc>
          <w:tcPr/>
          <w:p>
            <w:pPr>
              <w:pStyle w:val="Compact"/>
              <w:jc w:val="left"/>
            </w:pPr>
            <w:r>
              <w:t xml:space="preserve">Military liaisons</w:t>
            </w:r>
          </w:p>
        </w:tc>
        <w:tc>
          <w:tcPr/>
          <w:p>
            <w:pPr>
              <w:pStyle w:val="Compact"/>
              <w:jc w:val="left"/>
            </w:pPr>
            <w:r>
              <w:t xml:space="preserve">Result with Bulletin</w:t>
            </w:r>
          </w:p>
        </w:tc>
      </w:tr>
      <w:tr>
        <w:tc>
          <w:tcPr/>
          <w:p>
            <w:pPr>
              <w:pStyle w:val="Compact"/>
              <w:jc w:val="left"/>
            </w:pPr>
            <w:r>
              <w:t xml:space="preserve">Escort window review</w:t>
            </w:r>
          </w:p>
        </w:tc>
        <w:tc>
          <w:tcPr/>
          <w:p>
            <w:pPr>
              <w:pStyle w:val="Compact"/>
              <w:jc w:val="left"/>
            </w:pPr>
            <w:r>
              <w:t xml:space="preserve">Monthly</w:t>
            </w:r>
          </w:p>
        </w:tc>
        <w:tc>
          <w:tcPr/>
          <w:p>
            <w:pPr>
              <w:pStyle w:val="Compact"/>
              <w:jc w:val="left"/>
            </w:pPr>
            <w:r>
              <w:t xml:space="preserve">Center with coastal authorities</w:t>
            </w:r>
          </w:p>
        </w:tc>
        <w:tc>
          <w:tcPr/>
          <w:p>
            <w:pPr>
              <w:pStyle w:val="Compact"/>
              <w:jc w:val="left"/>
            </w:pPr>
            <w:r>
              <w:t xml:space="preserve">Bulletin summary</w:t>
            </w:r>
          </w:p>
        </w:tc>
      </w:tr>
      <w:tr>
        <w:tc>
          <w:tcPr/>
          <w:p>
            <w:pPr>
              <w:pStyle w:val="Compact"/>
              <w:jc w:val="left"/>
            </w:pPr>
            <w:r>
              <w:t xml:space="preserve">Financial audit</w:t>
            </w:r>
          </w:p>
        </w:tc>
        <w:tc>
          <w:tcPr/>
          <w:p>
            <w:pPr>
              <w:pStyle w:val="Compact"/>
              <w:jc w:val="left"/>
            </w:pPr>
            <w:r>
              <w:t xml:space="preserve">Quarterly</w:t>
            </w:r>
          </w:p>
        </w:tc>
        <w:tc>
          <w:tcPr/>
          <w:p>
            <w:pPr>
              <w:pStyle w:val="Compact"/>
              <w:jc w:val="left"/>
            </w:pPr>
            <w:r>
              <w:t xml:space="preserve">Neutral Observation Office</w:t>
            </w:r>
          </w:p>
        </w:tc>
        <w:tc>
          <w:tcPr/>
          <w:p>
            <w:pPr>
              <w:pStyle w:val="Compact"/>
              <w:jc w:val="left"/>
            </w:pPr>
            <w:r>
              <w:t xml:space="preserve">Published in full</w:t>
            </w:r>
          </w:p>
        </w:tc>
      </w:tr>
      <w:tr>
        <w:tc>
          <w:tcPr/>
          <w:p>
            <w:pPr>
              <w:pStyle w:val="Compact"/>
              <w:jc w:val="left"/>
            </w:pPr>
            <w:r>
              <w:t xml:space="preserve">External financial audit</w:t>
            </w:r>
          </w:p>
        </w:tc>
        <w:tc>
          <w:tcPr/>
          <w:p>
            <w:pPr>
              <w:pStyle w:val="Compact"/>
              <w:jc w:val="left"/>
            </w:pPr>
            <w:r>
              <w:t xml:space="preserve">Annual</w:t>
            </w:r>
          </w:p>
        </w:tc>
        <w:tc>
          <w:tcPr/>
          <w:p>
            <w:pPr>
              <w:pStyle w:val="Compact"/>
              <w:jc w:val="left"/>
            </w:pPr>
            <w:r>
              <w:t xml:space="preserve">International firm</w:t>
            </w:r>
          </w:p>
        </w:tc>
        <w:tc>
          <w:tcPr/>
          <w:p>
            <w:pPr>
              <w:pStyle w:val="Compact"/>
              <w:jc w:val="left"/>
            </w:pPr>
            <w:r>
              <w:t xml:space="preserve">Published in full</w:t>
            </w:r>
          </w:p>
        </w:tc>
      </w:tr>
      <w:tr>
        <w:tc>
          <w:tcPr/>
          <w:p>
            <w:pPr>
              <w:pStyle w:val="Compact"/>
              <w:jc w:val="left"/>
            </w:pPr>
            <w:r>
              <w:t xml:space="preserve">Stability Audit</w:t>
            </w:r>
          </w:p>
        </w:tc>
        <w:tc>
          <w:tcPr/>
          <w:p>
            <w:pPr>
              <w:pStyle w:val="Compact"/>
              <w:jc w:val="left"/>
            </w:pPr>
            <w:r>
              <w:t xml:space="preserve">At pilot close, then annual</w:t>
            </w:r>
          </w:p>
        </w:tc>
        <w:tc>
          <w:tcPr/>
          <w:p>
            <w:pPr>
              <w:pStyle w:val="Compact"/>
              <w:jc w:val="left"/>
            </w:pPr>
            <w:r>
              <w:t xml:space="preserve">Neutral Observation Office with the Technical Standards Committee</w:t>
            </w:r>
          </w:p>
        </w:tc>
        <w:tc>
          <w:tcPr/>
          <w:p>
            <w:pPr>
              <w:pStyle w:val="Compact"/>
              <w:jc w:val="left"/>
            </w:pPr>
            <w:r>
              <w:t xml:space="preserve">Published in full</w:t>
            </w:r>
          </w:p>
        </w:tc>
      </w:tr>
      <w:tr>
        <w:tc>
          <w:tcPr/>
          <w:p>
            <w:pPr>
              <w:pStyle w:val="Compact"/>
              <w:jc w:val="left"/>
            </w:pPr>
            <w:r>
              <w:t xml:space="preserve">Complexity audit</w:t>
            </w:r>
          </w:p>
        </w:tc>
        <w:tc>
          <w:tcPr/>
          <w:p>
            <w:pPr>
              <w:pStyle w:val="Compact"/>
              <w:jc w:val="left"/>
            </w:pPr>
            <w:r>
              <w:t xml:space="preserve">Annual</w:t>
            </w:r>
          </w:p>
        </w:tc>
        <w:tc>
          <w:tcPr/>
          <w:p>
            <w:pPr>
              <w:pStyle w:val="Compact"/>
              <w:jc w:val="left"/>
            </w:pPr>
            <w:r>
              <w:t xml:space="preserve">Neutral Observation Office</w:t>
            </w:r>
          </w:p>
        </w:tc>
        <w:tc>
          <w:tcPr/>
          <w:p>
            <w:pPr>
              <w:pStyle w:val="Compact"/>
              <w:jc w:val="left"/>
            </w:pPr>
            <w:r>
              <w:t xml:space="preserve">Published in full</w:t>
            </w:r>
          </w:p>
        </w:tc>
      </w:tr>
      <w:tr>
        <w:tc>
          <w:tcPr/>
          <w:p>
            <w:pPr>
              <w:pStyle w:val="Compact"/>
              <w:jc w:val="left"/>
            </w:pPr>
            <w:r>
              <w:t xml:space="preserve">Environmental baseline</w:t>
            </w:r>
          </w:p>
        </w:tc>
        <w:tc>
          <w:tcPr/>
          <w:p>
            <w:pPr>
              <w:pStyle w:val="Compact"/>
              <w:jc w:val="left"/>
            </w:pPr>
            <w:r>
              <w:t xml:space="preserve">Quarterly</w:t>
            </w:r>
          </w:p>
        </w:tc>
        <w:tc>
          <w:tcPr/>
          <w:p>
            <w:pPr>
              <w:pStyle w:val="Compact"/>
              <w:jc w:val="left"/>
            </w:pPr>
            <w:r>
              <w:t xml:space="preserve">Twelve-station network</w:t>
            </w:r>
          </w:p>
        </w:tc>
        <w:tc>
          <w:tcPr/>
          <w:p>
            <w:pPr>
              <w:pStyle w:val="Compact"/>
              <w:jc w:val="left"/>
            </w:pPr>
            <w:r>
              <w:t xml:space="preserve">Published with trend lines</w:t>
            </w:r>
          </w:p>
        </w:tc>
      </w:tr>
    </w:tbl>
    <w:bookmarkEnd w:id="316"/>
    <w:bookmarkStart w:id="322" w:name="h.2-the-stability-audit-metrics"/>
    <w:p>
      <w:pPr>
        <w:pStyle w:val="Heading2"/>
      </w:pPr>
      <w:r>
        <w:t xml:space="preserve">H.2 The Stability Audit metrics</w:t>
      </w:r>
    </w:p>
    <w:p>
      <w:pPr>
        <w:pStyle w:val="FirstParagraph"/>
      </w:pPr>
      <w:r>
        <w:t xml:space="preserve">The Stability Audit evaluates five domains against the thresholds below and produces one of three outcomes: Pass, Conditional Pass, or Extend. Pass activates full operation. Conditional Pass activates full operation with named annex adjustments on a 90-day clock. Extend continues the pilot for up to 60 days with a published remediation plan. The audit never produces failure as a terminal state; the architecture extends and repairs, always.</w:t>
      </w:r>
    </w:p>
    <w:bookmarkStart w:id="317" w:name="domain-1-navigation-and-ais-compliance"/>
    <w:p>
      <w:pPr>
        <w:pStyle w:val="Heading3"/>
      </w:pPr>
      <w:r>
        <w:t xml:space="preserve">Domain 1: Navigation and AIS compliance</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Metric</w:t>
            </w:r>
          </w:p>
        </w:tc>
        <w:tc>
          <w:tcPr/>
          <w:p>
            <w:pPr>
              <w:pStyle w:val="Compact"/>
              <w:jc w:val="left"/>
            </w:pPr>
            <w:r>
              <w:t xml:space="preserve">Pass threshold</w:t>
            </w:r>
          </w:p>
        </w:tc>
      </w:tr>
      <w:tr>
        <w:tc>
          <w:tcPr/>
          <w:p>
            <w:pPr>
              <w:pStyle w:val="Compact"/>
              <w:jc w:val="left"/>
            </w:pPr>
            <w:r>
              <w:t xml:space="preserve">AIS continuity rate</w:t>
            </w:r>
          </w:p>
        </w:tc>
        <w:tc>
          <w:tcPr/>
          <w:p>
            <w:pPr>
              <w:pStyle w:val="Compact"/>
              <w:jc w:val="left"/>
            </w:pPr>
            <w:r>
              <w:t xml:space="preserve">97 percent or higher</w:t>
            </w:r>
          </w:p>
        </w:tc>
      </w:tr>
      <w:tr>
        <w:tc>
          <w:tcPr/>
          <w:p>
            <w:pPr>
              <w:pStyle w:val="Compact"/>
              <w:jc w:val="left"/>
            </w:pPr>
            <w:r>
              <w:t xml:space="preserve">Corridor adherence rate</w:t>
            </w:r>
          </w:p>
        </w:tc>
        <w:tc>
          <w:tcPr/>
          <w:p>
            <w:pPr>
              <w:pStyle w:val="Compact"/>
              <w:jc w:val="left"/>
            </w:pPr>
            <w:r>
              <w:t xml:space="preserve">95 percent or higher</w:t>
            </w:r>
          </w:p>
        </w:tc>
      </w:tr>
      <w:tr>
        <w:tc>
          <w:tcPr/>
          <w:p>
            <w:pPr>
              <w:pStyle w:val="Compact"/>
              <w:jc w:val="left"/>
            </w:pPr>
            <w:r>
              <w:t xml:space="preserve">Unauthorized routing deviations</w:t>
            </w:r>
          </w:p>
        </w:tc>
        <w:tc>
          <w:tcPr/>
          <w:p>
            <w:pPr>
              <w:pStyle w:val="Compact"/>
              <w:jc w:val="left"/>
            </w:pPr>
            <w:r>
              <w:t xml:space="preserve">3 or fewer per week</w:t>
            </w:r>
          </w:p>
        </w:tc>
      </w:tr>
      <w:tr>
        <w:tc>
          <w:tcPr/>
          <w:p>
            <w:pPr>
              <w:pStyle w:val="Compact"/>
              <w:jc w:val="left"/>
            </w:pPr>
            <w:r>
              <w:t xml:space="preserve">Navigation incidents (collision, near-miss)</w:t>
            </w:r>
          </w:p>
        </w:tc>
        <w:tc>
          <w:tcPr/>
          <w:p>
            <w:pPr>
              <w:pStyle w:val="Compact"/>
              <w:jc w:val="left"/>
            </w:pPr>
            <w:r>
              <w:t xml:space="preserve">Zero reportable incidents in the audit window</w:t>
            </w:r>
          </w:p>
        </w:tc>
      </w:tr>
      <w:tr>
        <w:tc>
          <w:tcPr/>
          <w:p>
            <w:pPr>
              <w:pStyle w:val="Compact"/>
              <w:jc w:val="left"/>
            </w:pPr>
            <w:r>
              <w:t xml:space="preserve">Buffer usage for emergencies</w:t>
            </w:r>
          </w:p>
        </w:tc>
        <w:tc>
          <w:tcPr/>
          <w:p>
            <w:pPr>
              <w:pStyle w:val="Compact"/>
              <w:jc w:val="left"/>
            </w:pPr>
            <w:r>
              <w:t xml:space="preserve">Any usage resolved within published clocks</w:t>
            </w:r>
          </w:p>
        </w:tc>
      </w:tr>
    </w:tbl>
    <w:bookmarkEnd w:id="317"/>
    <w:bookmarkStart w:id="318" w:name="domain-2-security-and-deconfliction"/>
    <w:p>
      <w:pPr>
        <w:pStyle w:val="Heading3"/>
      </w:pPr>
      <w:r>
        <w:t xml:space="preserve">Domain 2: Security and deconfliction</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Metric</w:t>
            </w:r>
          </w:p>
        </w:tc>
        <w:tc>
          <w:tcPr/>
          <w:p>
            <w:pPr>
              <w:pStyle w:val="Compact"/>
              <w:jc w:val="left"/>
            </w:pPr>
            <w:r>
              <w:t xml:space="preserve">Pass threshold</w:t>
            </w:r>
          </w:p>
        </w:tc>
      </w:tr>
      <w:tr>
        <w:tc>
          <w:tcPr/>
          <w:p>
            <w:pPr>
              <w:pStyle w:val="Compact"/>
              <w:jc w:val="left"/>
            </w:pPr>
            <w:r>
              <w:t xml:space="preserve">Twin Key and dual-authorization execution</w:t>
            </w:r>
          </w:p>
        </w:tc>
        <w:tc>
          <w:tcPr/>
          <w:p>
            <w:pPr>
              <w:pStyle w:val="Compact"/>
              <w:jc w:val="left"/>
            </w:pPr>
            <w:r>
              <w:t xml:space="preserve">100 percent conformance in sampled record</w:t>
            </w:r>
          </w:p>
        </w:tc>
      </w:tr>
      <w:tr>
        <w:tc>
          <w:tcPr/>
          <w:p>
            <w:pPr>
              <w:pStyle w:val="Compact"/>
              <w:jc w:val="left"/>
            </w:pPr>
            <w:r>
              <w:t xml:space="preserve">Unilateral interdiction attempts</w:t>
            </w:r>
          </w:p>
        </w:tc>
        <w:tc>
          <w:tcPr/>
          <w:p>
            <w:pPr>
              <w:pStyle w:val="Compact"/>
              <w:jc w:val="left"/>
            </w:pPr>
            <w:r>
              <w:t xml:space="preserve">Zero</w:t>
            </w:r>
          </w:p>
        </w:tc>
      </w:tr>
      <w:tr>
        <w:tc>
          <w:tcPr/>
          <w:p>
            <w:pPr>
              <w:pStyle w:val="Compact"/>
              <w:jc w:val="left"/>
            </w:pPr>
            <w:r>
              <w:t xml:space="preserve">Deconfliction channel response time</w:t>
            </w:r>
          </w:p>
        </w:tc>
        <w:tc>
          <w:tcPr/>
          <w:p>
            <w:pPr>
              <w:pStyle w:val="Compact"/>
              <w:jc w:val="left"/>
            </w:pPr>
            <w:r>
              <w:t xml:space="preserve">5 minutes or less to acknowledgment</w:t>
            </w:r>
          </w:p>
        </w:tc>
      </w:tr>
      <w:tr>
        <w:tc>
          <w:tcPr/>
          <w:p>
            <w:pPr>
              <w:pStyle w:val="Compact"/>
              <w:jc w:val="left"/>
            </w:pPr>
            <w:r>
              <w:t xml:space="preserve">Interference events</w:t>
            </w:r>
          </w:p>
        </w:tc>
        <w:tc>
          <w:tcPr/>
          <w:p>
            <w:pPr>
              <w:pStyle w:val="Compact"/>
              <w:jc w:val="left"/>
            </w:pPr>
            <w:r>
              <w:t xml:space="preserve">Zero confirmed, or all resolved through Article 28.3</w:t>
            </w:r>
          </w:p>
        </w:tc>
      </w:tr>
      <w:tr>
        <w:tc>
          <w:tcPr/>
          <w:p>
            <w:pPr>
              <w:pStyle w:val="Compact"/>
              <w:jc w:val="left"/>
            </w:pPr>
            <w:r>
              <w:t xml:space="preserve">Mine-risk alert handling</w:t>
            </w:r>
          </w:p>
        </w:tc>
        <w:tc>
          <w:tcPr/>
          <w:p>
            <w:pPr>
              <w:pStyle w:val="Compact"/>
              <w:jc w:val="left"/>
            </w:pPr>
            <w:r>
              <w:t xml:space="preserve">All alerts resolved within published clocks</w:t>
            </w:r>
          </w:p>
        </w:tc>
      </w:tr>
    </w:tbl>
    <w:bookmarkEnd w:id="318"/>
    <w:bookmarkStart w:id="319" w:name="domain-3-monitoring-and-transparency"/>
    <w:p>
      <w:pPr>
        <w:pStyle w:val="Heading3"/>
      </w:pPr>
      <w:r>
        <w:t xml:space="preserve">Domain 3: Monitoring and transparency</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Metric</w:t>
            </w:r>
          </w:p>
        </w:tc>
        <w:tc>
          <w:tcPr/>
          <w:p>
            <w:pPr>
              <w:pStyle w:val="Compact"/>
              <w:jc w:val="left"/>
            </w:pPr>
            <w:r>
              <w:t xml:space="preserve">Pass threshold</w:t>
            </w:r>
          </w:p>
        </w:tc>
      </w:tr>
      <w:tr>
        <w:tc>
          <w:tcPr/>
          <w:p>
            <w:pPr>
              <w:pStyle w:val="Compact"/>
              <w:jc w:val="left"/>
            </w:pPr>
            <w:r>
              <w:t xml:space="preserve">Radar-AIS fusion accuracy</w:t>
            </w:r>
          </w:p>
        </w:tc>
        <w:tc>
          <w:tcPr/>
          <w:p>
            <w:pPr>
              <w:pStyle w:val="Compact"/>
              <w:jc w:val="left"/>
            </w:pPr>
            <w:r>
              <w:t xml:space="preserve">95 percent alignment or higher</w:t>
            </w:r>
          </w:p>
        </w:tc>
      </w:tr>
      <w:tr>
        <w:tc>
          <w:tcPr/>
          <w:p>
            <w:pPr>
              <w:pStyle w:val="Compact"/>
              <w:jc w:val="left"/>
            </w:pPr>
            <w:r>
              <w:t xml:space="preserve">Incident reporting timeliness</w:t>
            </w:r>
          </w:p>
        </w:tc>
        <w:tc>
          <w:tcPr/>
          <w:p>
            <w:pPr>
              <w:pStyle w:val="Compact"/>
              <w:jc w:val="left"/>
            </w:pPr>
            <w:r>
              <w:t xml:space="preserve">Preliminary notice within 2 hours, every case</w:t>
            </w:r>
          </w:p>
        </w:tc>
      </w:tr>
      <w:tr>
        <w:tc>
          <w:tcPr/>
          <w:p>
            <w:pPr>
              <w:pStyle w:val="Compact"/>
              <w:jc w:val="left"/>
            </w:pPr>
            <w:r>
              <w:t xml:space="preserve">Observer access uptime</w:t>
            </w:r>
          </w:p>
        </w:tc>
        <w:tc>
          <w:tcPr/>
          <w:p>
            <w:pPr>
              <w:pStyle w:val="Compact"/>
              <w:jc w:val="left"/>
            </w:pPr>
            <w:r>
              <w:t xml:space="preserve">99 percent or higher</w:t>
            </w:r>
          </w:p>
        </w:tc>
      </w:tr>
      <w:tr>
        <w:tc>
          <w:tcPr/>
          <w:p>
            <w:pPr>
              <w:pStyle w:val="Compact"/>
              <w:jc w:val="left"/>
            </w:pPr>
            <w:r>
              <w:t xml:space="preserve">Data integrity</w:t>
            </w:r>
          </w:p>
        </w:tc>
        <w:tc>
          <w:tcPr/>
          <w:p>
            <w:pPr>
              <w:pStyle w:val="Compact"/>
              <w:jc w:val="left"/>
            </w:pPr>
            <w:r>
              <w:t xml:space="preserve">Zero unexplained gaps</w:t>
            </w:r>
          </w:p>
        </w:tc>
      </w:tr>
      <w:tr>
        <w:tc>
          <w:tcPr/>
          <w:p>
            <w:pPr>
              <w:pStyle w:val="Compact"/>
              <w:jc w:val="left"/>
            </w:pPr>
            <w:r>
              <w:t xml:space="preserve">Bulletin cycle conformance</w:t>
            </w:r>
          </w:p>
        </w:tc>
        <w:tc>
          <w:tcPr/>
          <w:p>
            <w:pPr>
              <w:pStyle w:val="Compact"/>
              <w:jc w:val="left"/>
            </w:pPr>
            <w:r>
              <w:t xml:space="preserve">100 percent of scheduled issues published</w:t>
            </w:r>
          </w:p>
        </w:tc>
      </w:tr>
    </w:tbl>
    <w:bookmarkEnd w:id="319"/>
    <w:bookmarkStart w:id="320" w:name="domain-4-environment-and-safety"/>
    <w:p>
      <w:pPr>
        <w:pStyle w:val="Heading3"/>
      </w:pPr>
      <w:r>
        <w:t xml:space="preserve">Domain 4: Environment and safety</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Metric</w:t>
            </w:r>
          </w:p>
        </w:tc>
        <w:tc>
          <w:tcPr/>
          <w:p>
            <w:pPr>
              <w:pStyle w:val="Compact"/>
              <w:jc w:val="left"/>
            </w:pPr>
            <w:r>
              <w:t xml:space="preserve">Pass threshold</w:t>
            </w:r>
          </w:p>
        </w:tc>
      </w:tr>
      <w:tr>
        <w:tc>
          <w:tcPr/>
          <w:p>
            <w:pPr>
              <w:pStyle w:val="Compact"/>
              <w:jc w:val="left"/>
            </w:pPr>
            <w:r>
              <w:t xml:space="preserve">Environmental baseline deviation</w:t>
            </w:r>
          </w:p>
        </w:tc>
        <w:tc>
          <w:tcPr/>
          <w:p>
            <w:pPr>
              <w:pStyle w:val="Compact"/>
              <w:jc w:val="left"/>
            </w:pPr>
            <w:r>
              <w:t xml:space="preserve">Within the published tolerance band at all twelve stations</w:t>
            </w:r>
          </w:p>
        </w:tc>
      </w:tr>
      <w:tr>
        <w:tc>
          <w:tcPr/>
          <w:p>
            <w:pPr>
              <w:pStyle w:val="Compact"/>
              <w:jc w:val="left"/>
            </w:pPr>
            <w:r>
              <w:t xml:space="preserve">Distress response time</w:t>
            </w:r>
          </w:p>
        </w:tc>
        <w:tc>
          <w:tcPr/>
          <w:p>
            <w:pPr>
              <w:pStyle w:val="Compact"/>
              <w:jc w:val="left"/>
            </w:pPr>
            <w:r>
              <w:t xml:space="preserve">First unit on scene within 45 minutes, every case</w:t>
            </w:r>
          </w:p>
        </w:tc>
      </w:tr>
      <w:tr>
        <w:tc>
          <w:tcPr/>
          <w:p>
            <w:pPr>
              <w:pStyle w:val="Compact"/>
              <w:jc w:val="left"/>
            </w:pPr>
            <w:r>
              <w:t xml:space="preserve">Search and rescue exercise conformance</w:t>
            </w:r>
          </w:p>
        </w:tc>
        <w:tc>
          <w:tcPr/>
          <w:p>
            <w:pPr>
              <w:pStyle w:val="Compact"/>
              <w:jc w:val="left"/>
            </w:pPr>
            <w:r>
              <w:t xml:space="preserve">Quarterly exercise completed and observed</w:t>
            </w:r>
          </w:p>
        </w:tc>
      </w:tr>
      <w:tr>
        <w:tc>
          <w:tcPr/>
          <w:p>
            <w:pPr>
              <w:pStyle w:val="Compact"/>
              <w:jc w:val="left"/>
            </w:pPr>
            <w:r>
              <w:t xml:space="preserve">Safety protocol audit score</w:t>
            </w:r>
          </w:p>
        </w:tc>
        <w:tc>
          <w:tcPr/>
          <w:p>
            <w:pPr>
              <w:pStyle w:val="Compact"/>
              <w:jc w:val="left"/>
            </w:pPr>
            <w:r>
              <w:t xml:space="preserve">90 percent or higher on the published checklist</w:t>
            </w:r>
          </w:p>
        </w:tc>
      </w:tr>
    </w:tbl>
    <w:bookmarkEnd w:id="320"/>
    <w:bookmarkStart w:id="321" w:name="X02abf0c5dd84550d11957df87b79f098d712094"/>
    <w:p>
      <w:pPr>
        <w:pStyle w:val="Heading3"/>
      </w:pPr>
      <w:r>
        <w:t xml:space="preserve">Domain 5: Fees, payments, and sanctions compatibility</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Metric</w:t>
            </w:r>
          </w:p>
        </w:tc>
        <w:tc>
          <w:tcPr/>
          <w:p>
            <w:pPr>
              <w:pStyle w:val="Compact"/>
              <w:jc w:val="left"/>
            </w:pPr>
            <w:r>
              <w:t xml:space="preserve">Pass threshold</w:t>
            </w:r>
          </w:p>
        </w:tc>
      </w:tr>
      <w:tr>
        <w:tc>
          <w:tcPr/>
          <w:p>
            <w:pPr>
              <w:pStyle w:val="Compact"/>
              <w:jc w:val="left"/>
            </w:pPr>
            <w:r>
              <w:t xml:space="preserve">Service-charge stability</w:t>
            </w:r>
          </w:p>
        </w:tc>
        <w:tc>
          <w:tcPr/>
          <w:p>
            <w:pPr>
              <w:pStyle w:val="Compact"/>
              <w:jc w:val="left"/>
            </w:pPr>
            <w:r>
              <w:t xml:space="preserve">Zero unscheduled rate changes</w:t>
            </w:r>
          </w:p>
        </w:tc>
      </w:tr>
      <w:tr>
        <w:tc>
          <w:tcPr/>
          <w:p>
            <w:pPr>
              <w:pStyle w:val="Compact"/>
              <w:jc w:val="left"/>
            </w:pPr>
            <w:r>
              <w:t xml:space="preserve">Payment routing success</w:t>
            </w:r>
          </w:p>
        </w:tc>
        <w:tc>
          <w:tcPr/>
          <w:p>
            <w:pPr>
              <w:pStyle w:val="Compact"/>
              <w:jc w:val="left"/>
            </w:pPr>
            <w:r>
              <w:t xml:space="preserve">100 percent of transactions through the escrow channel</w:t>
            </w:r>
          </w:p>
        </w:tc>
      </w:tr>
      <w:tr>
        <w:tc>
          <w:tcPr/>
          <w:p>
            <w:pPr>
              <w:pStyle w:val="Compact"/>
              <w:jc w:val="left"/>
            </w:pPr>
            <w:r>
              <w:t xml:space="preserve">Audit conformance</w:t>
            </w:r>
          </w:p>
        </w:tc>
        <w:tc>
          <w:tcPr/>
          <w:p>
            <w:pPr>
              <w:pStyle w:val="Compact"/>
              <w:jc w:val="left"/>
            </w:pPr>
            <w:r>
              <w:t xml:space="preserve">Zero unresolved audit findings older than 90 days</w:t>
            </w:r>
          </w:p>
        </w:tc>
      </w:tr>
      <w:tr>
        <w:tc>
          <w:tcPr/>
          <w:p>
            <w:pPr>
              <w:pStyle w:val="Compact"/>
              <w:jc w:val="left"/>
            </w:pPr>
            <w:r>
              <w:t xml:space="preserve">Insurer risk-tier movement</w:t>
            </w:r>
          </w:p>
        </w:tc>
        <w:tc>
          <w:tcPr/>
          <w:p>
            <w:pPr>
              <w:pStyle w:val="Compact"/>
              <w:jc w:val="left"/>
            </w:pPr>
            <w:r>
              <w:t xml:space="preserve">Stable or improving across the audit window</w:t>
            </w:r>
          </w:p>
        </w:tc>
      </w:tr>
      <w:tr>
        <w:tc>
          <w:tcPr/>
          <w:p>
            <w:pPr>
              <w:pStyle w:val="Compact"/>
              <w:jc w:val="left"/>
            </w:pPr>
            <w:r>
              <w:t xml:space="preserve">Fee disputes</w:t>
            </w:r>
          </w:p>
        </w:tc>
        <w:tc>
          <w:tcPr/>
          <w:p>
            <w:pPr>
              <w:pStyle w:val="Compact"/>
              <w:jc w:val="left"/>
            </w:pPr>
            <w:r>
              <w:t xml:space="preserve">All disputes resolved within the Article 33 clocks</w:t>
            </w:r>
          </w:p>
        </w:tc>
      </w:tr>
    </w:tbl>
    <w:bookmarkEnd w:id="321"/>
    <w:bookmarkEnd w:id="322"/>
    <w:bookmarkStart w:id="323" w:name="h.3-audit-conduct"/>
    <w:p>
      <w:pPr>
        <w:pStyle w:val="Heading2"/>
      </w:pPr>
      <w:r>
        <w:t xml:space="preserve">H.3 Audit conduct</w:t>
      </w:r>
    </w:p>
    <w:p>
      <w:pPr>
        <w:pStyle w:val="FirstParagraph"/>
      </w:pPr>
      <w:r>
        <w:t xml:space="preserve">The audit follows four steps: (1) the Neutral Observation Office compiles the metric record from the registry; (2) the Technical Standards Committee verifies the compilation against source data; (3) the Council receives the draft outcome and any Party comments within 14 days; (4) the Council publishes the final outcome and activates the corresponding gate. The audit record publishes in full, and every metric’s source data stands open to every participant.</w:t>
      </w:r>
    </w:p>
    <w:p>
      <w:r>
        <w:pict>
          <v:rect style="width:0;height:1.5pt" o:hralign="center" o:hrstd="t" o:hr="t"/>
        </w:pict>
      </w:r>
    </w:p>
    <w:bookmarkEnd w:id="323"/>
    <w:bookmarkEnd w:id="324"/>
    <w:bookmarkStart w:id="330" w:name="X4e131d9627a29d649cb7ba82ea865d4a312f9f4"/>
    <w:p>
      <w:pPr>
        <w:pStyle w:val="Heading1"/>
      </w:pPr>
      <w:r>
        <w:t xml:space="preserve">Annex I: Development Project Windows and Selection Criteria</w:t>
      </w:r>
    </w:p>
    <w:bookmarkStart w:id="325" w:name="i.1-window-parameters"/>
    <w:p>
      <w:pPr>
        <w:pStyle w:val="Heading2"/>
      </w:pPr>
      <w:r>
        <w:t xml:space="preserve">I.1 Window parameters</w:t>
      </w:r>
    </w:p>
    <w:p>
      <w:pPr>
        <w:pStyle w:val="FirstParagraph"/>
      </w:pPr>
      <w:r>
        <w:t xml:space="preserve">Table I.1: The six development windows, cost ceilings, and delivery standards.</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Window</w:t>
            </w:r>
          </w:p>
        </w:tc>
        <w:tc>
          <w:tcPr/>
          <w:p>
            <w:pPr>
              <w:pStyle w:val="Compact"/>
              <w:jc w:val="left"/>
            </w:pPr>
            <w:r>
              <w:t xml:space="preserve">Single-project ceiling (Swiss francs)</w:t>
            </w:r>
          </w:p>
        </w:tc>
        <w:tc>
          <w:tcPr/>
          <w:p>
            <w:pPr>
              <w:pStyle w:val="Compact"/>
              <w:jc w:val="left"/>
            </w:pPr>
            <w:r>
              <w:t xml:space="preserve">Delivery standard</w:t>
            </w:r>
          </w:p>
        </w:tc>
      </w:tr>
      <w:tr>
        <w:tc>
          <w:tcPr/>
          <w:p>
            <w:pPr>
              <w:pStyle w:val="Compact"/>
              <w:jc w:val="left"/>
            </w:pPr>
            <w:r>
              <w:t xml:space="preserve">1. Ports and maritime logistics</w:t>
            </w:r>
          </w:p>
        </w:tc>
        <w:tc>
          <w:tcPr/>
          <w:p>
            <w:pPr>
              <w:pStyle w:val="Compact"/>
              <w:jc w:val="left"/>
            </w:pPr>
            <w:r>
              <w:t xml:space="preserve">8 million</w:t>
            </w:r>
          </w:p>
        </w:tc>
        <w:tc>
          <w:tcPr/>
          <w:p>
            <w:pPr>
              <w:pStyle w:val="Compact"/>
              <w:jc w:val="left"/>
            </w:pPr>
            <w:r>
              <w:t xml:space="preserve">Published completion milestones; independent quantity survey</w:t>
            </w:r>
          </w:p>
        </w:tc>
      </w:tr>
      <w:tr>
        <w:tc>
          <w:tcPr/>
          <w:p>
            <w:pPr>
              <w:pStyle w:val="Compact"/>
              <w:jc w:val="left"/>
            </w:pPr>
            <w:r>
              <w:t xml:space="preserve">2. Water and environment</w:t>
            </w:r>
          </w:p>
        </w:tc>
        <w:tc>
          <w:tcPr/>
          <w:p>
            <w:pPr>
              <w:pStyle w:val="Compact"/>
              <w:jc w:val="left"/>
            </w:pPr>
            <w:r>
              <w:t xml:space="preserve">6 million</w:t>
            </w:r>
          </w:p>
        </w:tc>
        <w:tc>
          <w:tcPr/>
          <w:p>
            <w:pPr>
              <w:pStyle w:val="Compact"/>
              <w:jc w:val="left"/>
            </w:pPr>
            <w:r>
              <w:t xml:space="preserve">Output-verified: cubic meters delivered, hectares restored</w:t>
            </w:r>
          </w:p>
        </w:tc>
      </w:tr>
      <w:tr>
        <w:tc>
          <w:tcPr/>
          <w:p>
            <w:pPr>
              <w:pStyle w:val="Compact"/>
              <w:jc w:val="left"/>
            </w:pPr>
            <w:r>
              <w:t xml:space="preserve">3. Energy</w:t>
            </w:r>
          </w:p>
        </w:tc>
        <w:tc>
          <w:tcPr/>
          <w:p>
            <w:pPr>
              <w:pStyle w:val="Compact"/>
              <w:jc w:val="left"/>
            </w:pPr>
            <w:r>
              <w:t xml:space="preserve">6 million</w:t>
            </w:r>
          </w:p>
        </w:tc>
        <w:tc>
          <w:tcPr/>
          <w:p>
            <w:pPr>
              <w:pStyle w:val="Compact"/>
              <w:jc w:val="left"/>
            </w:pPr>
            <w:r>
              <w:t xml:space="preserve">Output-verified: megawatt-hours, connections completed</w:t>
            </w:r>
          </w:p>
        </w:tc>
      </w:tr>
      <w:tr>
        <w:tc>
          <w:tcPr/>
          <w:p>
            <w:pPr>
              <w:pStyle w:val="Compact"/>
              <w:jc w:val="left"/>
            </w:pPr>
            <w:r>
              <w:t xml:space="preserve">4. Fisheries and food security</w:t>
            </w:r>
          </w:p>
        </w:tc>
        <w:tc>
          <w:tcPr/>
          <w:p>
            <w:pPr>
              <w:pStyle w:val="Compact"/>
              <w:jc w:val="left"/>
            </w:pPr>
            <w:r>
              <w:t xml:space="preserve">4 million</w:t>
            </w:r>
          </w:p>
        </w:tc>
        <w:tc>
          <w:tcPr/>
          <w:p>
            <w:pPr>
              <w:pStyle w:val="Compact"/>
              <w:jc w:val="left"/>
            </w:pPr>
            <w:r>
              <w:t xml:space="preserve">Output-verified: cold-chain capacity, vessels equipped</w:t>
            </w:r>
          </w:p>
        </w:tc>
      </w:tr>
      <w:tr>
        <w:tc>
          <w:tcPr/>
          <w:p>
            <w:pPr>
              <w:pStyle w:val="Compact"/>
              <w:jc w:val="left"/>
            </w:pPr>
            <w:r>
              <w:t xml:space="preserve">5. Skills and maritime professions</w:t>
            </w:r>
          </w:p>
        </w:tc>
        <w:tc>
          <w:tcPr/>
          <w:p>
            <w:pPr>
              <w:pStyle w:val="Compact"/>
              <w:jc w:val="left"/>
            </w:pPr>
            <w:r>
              <w:t xml:space="preserve">2 million</w:t>
            </w:r>
          </w:p>
        </w:tc>
        <w:tc>
          <w:tcPr/>
          <w:p>
            <w:pPr>
              <w:pStyle w:val="Compact"/>
              <w:jc w:val="left"/>
            </w:pPr>
            <w:r>
              <w:t xml:space="preserve">Output-verified: certified graduates, exchanges completed</w:t>
            </w:r>
          </w:p>
        </w:tc>
      </w:tr>
      <w:tr>
        <w:tc>
          <w:tcPr/>
          <w:p>
            <w:pPr>
              <w:pStyle w:val="Compact"/>
              <w:jc w:val="left"/>
            </w:pPr>
            <w:r>
              <w:t xml:space="preserve">6. Digital and data infrastructure</w:t>
            </w:r>
          </w:p>
        </w:tc>
        <w:tc>
          <w:tcPr/>
          <w:p>
            <w:pPr>
              <w:pStyle w:val="Compact"/>
              <w:jc w:val="left"/>
            </w:pPr>
            <w:r>
              <w:t xml:space="preserve">4 million</w:t>
            </w:r>
          </w:p>
        </w:tc>
        <w:tc>
          <w:tcPr/>
          <w:p>
            <w:pPr>
              <w:pStyle w:val="Compact"/>
              <w:jc w:val="left"/>
            </w:pPr>
            <w:r>
              <w:t xml:space="preserve">Output-verified: coverage, uptime, users served</w:t>
            </w:r>
          </w:p>
        </w:tc>
      </w:tr>
    </w:tbl>
    <w:bookmarkEnd w:id="325"/>
    <w:bookmarkStart w:id="326" w:name="i.2-selection-criteria-and-scoring"/>
    <w:p>
      <w:pPr>
        <w:pStyle w:val="Heading2"/>
      </w:pPr>
      <w:r>
        <w:t xml:space="preserve">I.2 Selection criteria and scoring</w:t>
      </w:r>
    </w:p>
    <w:p>
      <w:pPr>
        <w:pStyle w:val="FirstParagraph"/>
      </w:pPr>
      <w:r>
        <w:t xml:space="preserve">Each project concept scores out of 100: local employment content (25 points), humanitarian or safety impact (25 points), cost efficiency (20 points), environmental effect (15 points), joint-littoral linkage (15 points). The selection threshold is 60 points. Joint projects under Article 23.4 carry a 10-point bonus. The Technical Standards Committee publishes every score, including for rejected concepts, with reasons.</w:t>
      </w:r>
    </w:p>
    <w:bookmarkEnd w:id="326"/>
    <w:bookmarkStart w:id="327" w:name="i.3-the-submission-template"/>
    <w:p>
      <w:pPr>
        <w:pStyle w:val="Heading2"/>
      </w:pPr>
      <w:r>
        <w:t xml:space="preserve">I.3 The submission template</w:t>
      </w:r>
    </w:p>
    <w:p>
      <w:pPr>
        <w:pStyle w:val="FirstParagraph"/>
      </w:pPr>
      <w:r>
        <w:t xml:space="preserve">The two-page template carries: the problem in one paragraph; the output in measurable terms; the milestone schedule; the budget against the ceiling; the local delivery plan; and the sustaining plan for operation after completion. A concept that exceeds two pages returns unread, because discipline in paper disciplines delivery.</w:t>
      </w:r>
    </w:p>
    <w:bookmarkEnd w:id="327"/>
    <w:bookmarkStart w:id="328" w:name="i.4-delivery-and-disbursement"/>
    <w:p>
      <w:pPr>
        <w:pStyle w:val="Heading2"/>
      </w:pPr>
      <w:r>
        <w:t xml:space="preserve">I.4 Delivery and disbursement</w:t>
      </w:r>
    </w:p>
    <w:p>
      <w:pPr>
        <w:pStyle w:val="FirstParagraph"/>
      </w:pPr>
      <w:r>
        <w:t xml:space="preserve">Delivery follows four steps: (1) contract signature against the milestone schedule; (2) milestone execution with photographic and documentary evidence; (3) Neutral Observation Office verification of the milestone on site or on record; (4) disbursement within 21 days of verification. A project that misses two consecutive milestones enters a published remediation review; a project that misses four terminates, with completed milestones paid and lessons published.</w:t>
      </w:r>
    </w:p>
    <w:bookmarkEnd w:id="328"/>
    <w:bookmarkStart w:id="329" w:name="i.5-the-humanitarian-sub-window"/>
    <w:p>
      <w:pPr>
        <w:pStyle w:val="Heading2"/>
      </w:pPr>
      <w:r>
        <w:t xml:space="preserve">I.5 The humanitarian sub-window</w:t>
      </w:r>
    </w:p>
    <w:p>
      <w:pPr>
        <w:pStyle w:val="FirstParagraph"/>
      </w:pPr>
      <w:r>
        <w:t xml:space="preserve">The humanitarian sub-window of Article 22.5 finances water, health, and food-security projects on an accelerated clock: scoring within 14 days, first disbursement within 30 days of approval. No compliance event touches this window.</w:t>
      </w:r>
    </w:p>
    <w:p>
      <w:r>
        <w:pict>
          <v:rect style="width:0;height:1.5pt" o:hralign="center" o:hrstd="t" o:hr="t"/>
        </w:pict>
      </w:r>
    </w:p>
    <w:bookmarkEnd w:id="329"/>
    <w:bookmarkEnd w:id="330"/>
    <w:bookmarkStart w:id="337" w:name="annex-j-the-positions-convergence-map"/>
    <w:p>
      <w:pPr>
        <w:pStyle w:val="Heading1"/>
      </w:pPr>
      <w:r>
        <w:t xml:space="preserve">Annex J: The Positions Convergence Map</w:t>
      </w:r>
    </w:p>
    <w:p>
      <w:pPr>
        <w:pStyle w:val="FirstParagraph"/>
      </w:pPr>
      <w:r>
        <w:t xml:space="preserve">This Annex maps the publicly stated positions of each participant bloc, as recorded in the negotiating record of June through August 2026, onto the mechanisms of this Pact. It exists so that every delegation verifies, in one table, that its core demands find a home in the architecture.</w:t>
      </w:r>
    </w:p>
    <w:bookmarkStart w:id="331" w:name="j.1-united-states-positions"/>
    <w:p>
      <w:pPr>
        <w:pStyle w:val="Heading2"/>
      </w:pPr>
      <w:r>
        <w:t xml:space="preserve">J.1 United States positions</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Stated position</w:t>
            </w:r>
          </w:p>
        </w:tc>
        <w:tc>
          <w:tcPr/>
          <w:p>
            <w:pPr>
              <w:pStyle w:val="Compact"/>
              <w:jc w:val="left"/>
            </w:pPr>
            <w:r>
              <w:t xml:space="preserve">Pact mechanism</w:t>
            </w:r>
          </w:p>
        </w:tc>
      </w:tr>
      <w:tr>
        <w:tc>
          <w:tcPr/>
          <w:p>
            <w:pPr>
              <w:pStyle w:val="Compact"/>
              <w:jc w:val="left"/>
            </w:pPr>
            <w:r>
              <w:t xml:space="preserve">No unilateral control of the Strait by any state</w:t>
            </w:r>
          </w:p>
        </w:tc>
        <w:tc>
          <w:tcPr/>
          <w:p>
            <w:pPr>
              <w:pStyle w:val="Compact"/>
              <w:jc w:val="left"/>
            </w:pPr>
            <w:r>
              <w:t xml:space="preserve">Twin Key Rule (17.2); Central Corridor Board three-vote rule (13.4); RL-13</w:t>
            </w:r>
          </w:p>
        </w:tc>
      </w:tr>
      <w:tr>
        <w:tc>
          <w:tcPr/>
          <w:p>
            <w:pPr>
              <w:pStyle w:val="Compact"/>
              <w:jc w:val="left"/>
            </w:pPr>
            <w:r>
              <w:t xml:space="preserve">Mandatory multilateral oversight</w:t>
            </w:r>
          </w:p>
        </w:tc>
        <w:tc>
          <w:tcPr/>
          <w:p>
            <w:pPr>
              <w:pStyle w:val="Compact"/>
              <w:jc w:val="left"/>
            </w:pPr>
            <w:r>
              <w:t xml:space="preserve">Council composition (13.1); observer layers (16.3); GCC seat (13.4)</w:t>
            </w:r>
          </w:p>
        </w:tc>
      </w:tr>
      <w:tr>
        <w:tc>
          <w:tcPr/>
          <w:p>
            <w:pPr>
              <w:pStyle w:val="Compact"/>
              <w:jc w:val="left"/>
            </w:pPr>
            <w:r>
              <w:t xml:space="preserve">Published, internationally registered coordinates</w:t>
            </w:r>
          </w:p>
        </w:tc>
        <w:tc>
          <w:tcPr/>
          <w:p>
            <w:pPr>
              <w:pStyle w:val="Compact"/>
              <w:jc w:val="left"/>
            </w:pPr>
            <w:r>
              <w:t xml:space="preserve">Article 7; Annex A; IMO notification (2.5, 37.4)</w:t>
            </w:r>
          </w:p>
        </w:tc>
      </w:tr>
      <w:tr>
        <w:tc>
          <w:tcPr/>
          <w:p>
            <w:pPr>
              <w:pStyle w:val="Compact"/>
              <w:jc w:val="left"/>
            </w:pPr>
            <w:r>
              <w:t xml:space="preserve">Joint security functions, not sovereign claims</w:t>
            </w:r>
          </w:p>
        </w:tc>
        <w:tc>
          <w:tcPr/>
          <w:p>
            <w:pPr>
              <w:pStyle w:val="Compact"/>
              <w:jc w:val="left"/>
            </w:pPr>
            <w:r>
              <w:t xml:space="preserve">Functional management split (8.5); joint enforcement rule (8.4)</w:t>
            </w:r>
          </w:p>
        </w:tc>
      </w:tr>
      <w:tr>
        <w:tc>
          <w:tcPr/>
          <w:p>
            <w:pPr>
              <w:pStyle w:val="Compact"/>
              <w:jc w:val="left"/>
            </w:pPr>
            <w:r>
              <w:t xml:space="preserve">Guaranteed freedom of navigation, commercial and military</w:t>
            </w:r>
          </w:p>
        </w:tc>
        <w:tc>
          <w:tcPr/>
          <w:p>
            <w:pPr>
              <w:pStyle w:val="Compact"/>
              <w:jc w:val="left"/>
            </w:pPr>
            <w:r>
              <w:t xml:space="preserve">Articles 2.2, 8, 10, 27.5</w:t>
            </w:r>
          </w:p>
        </w:tc>
      </w:tr>
      <w:tr>
        <w:tc>
          <w:tcPr/>
          <w:p>
            <w:pPr>
              <w:pStyle w:val="Compact"/>
              <w:jc w:val="left"/>
            </w:pPr>
            <w:r>
              <w:t xml:space="preserve">Sanctions-compatible fee system</w:t>
            </w:r>
          </w:p>
        </w:tc>
        <w:tc>
          <w:tcPr/>
          <w:p>
            <w:pPr>
              <w:pStyle w:val="Compact"/>
              <w:jc w:val="left"/>
            </w:pPr>
            <w:r>
              <w:t xml:space="preserve">Escrow channel (20.4); firewall (21.4)</w:t>
            </w:r>
          </w:p>
        </w:tc>
      </w:tr>
      <w:tr>
        <w:tc>
          <w:tcPr/>
          <w:p>
            <w:pPr>
              <w:pStyle w:val="Compact"/>
              <w:jc w:val="left"/>
            </w:pPr>
            <w:r>
              <w:t xml:space="preserve">Transparent fee auditing</w:t>
            </w:r>
          </w:p>
        </w:tc>
        <w:tc>
          <w:tcPr/>
          <w:p>
            <w:pPr>
              <w:pStyle w:val="Compact"/>
              <w:jc w:val="left"/>
            </w:pPr>
            <w:r>
              <w:t xml:space="preserve">Articles 19.2, 21.2; Annex B</w:t>
            </w:r>
          </w:p>
        </w:tc>
      </w:tr>
      <w:tr>
        <w:tc>
          <w:tcPr/>
          <w:p>
            <w:pPr>
              <w:pStyle w:val="Compact"/>
              <w:jc w:val="left"/>
            </w:pPr>
            <w:r>
              <w:t xml:space="preserve">Neutral dispute resolution</w:t>
            </w:r>
          </w:p>
        </w:tc>
        <w:tc>
          <w:tcPr/>
          <w:p>
            <w:pPr>
              <w:pStyle w:val="Compact"/>
              <w:jc w:val="left"/>
            </w:pPr>
            <w:r>
              <w:t xml:space="preserve">Article 33; Guarantor and Facilitation Panel (17.6)</w:t>
            </w:r>
          </w:p>
        </w:tc>
      </w:tr>
      <w:tr>
        <w:tc>
          <w:tcPr/>
          <w:p>
            <w:pPr>
              <w:pStyle w:val="Compact"/>
              <w:jc w:val="left"/>
            </w:pPr>
            <w:r>
              <w:t xml:space="preserve">Shared radar and AIS picture with observer access</w:t>
            </w:r>
          </w:p>
        </w:tc>
        <w:tc>
          <w:tcPr/>
          <w:p>
            <w:pPr>
              <w:pStyle w:val="Compact"/>
              <w:jc w:val="left"/>
            </w:pPr>
            <w:r>
              <w:t xml:space="preserve">Articles 14.3, 26.4; Bulletin (11.2)</w:t>
            </w:r>
          </w:p>
        </w:tc>
      </w:tr>
      <w:tr>
        <w:tc>
          <w:tcPr/>
          <w:p>
            <w:pPr>
              <w:pStyle w:val="Compact"/>
              <w:jc w:val="left"/>
            </w:pPr>
            <w:r>
              <w:t xml:space="preserve">No unilateral corridor changes</w:t>
            </w:r>
          </w:p>
        </w:tc>
        <w:tc>
          <w:tcPr/>
          <w:p>
            <w:pPr>
              <w:pStyle w:val="Compact"/>
              <w:jc w:val="left"/>
            </w:pPr>
            <w:r>
              <w:t xml:space="preserve">Article 7.4 four-step sequence</w:t>
            </w:r>
          </w:p>
        </w:tc>
      </w:tr>
      <w:tr>
        <w:tc>
          <w:tcPr/>
          <w:p>
            <w:pPr>
              <w:pStyle w:val="Compact"/>
              <w:jc w:val="left"/>
            </w:pPr>
            <w:r>
              <w:t xml:space="preserve">International registration of the treaty</w:t>
            </w:r>
          </w:p>
        </w:tc>
        <w:tc>
          <w:tcPr/>
          <w:p>
            <w:pPr>
              <w:pStyle w:val="Compact"/>
              <w:jc w:val="left"/>
            </w:pPr>
            <w:r>
              <w:t xml:space="preserve">Article 37.4</w:t>
            </w:r>
          </w:p>
        </w:tc>
      </w:tr>
      <w:tr>
        <w:tc>
          <w:tcPr/>
          <w:p>
            <w:pPr>
              <w:pStyle w:val="Compact"/>
              <w:jc w:val="left"/>
            </w:pPr>
            <w:r>
              <w:t xml:space="preserve">Environmental compliance standards</w:t>
            </w:r>
          </w:p>
        </w:tc>
        <w:tc>
          <w:tcPr/>
          <w:p>
            <w:pPr>
              <w:pStyle w:val="Compact"/>
              <w:jc w:val="left"/>
            </w:pPr>
            <w:r>
              <w:t xml:space="preserve">Article 29.3; Annex H Domain 4</w:t>
            </w:r>
          </w:p>
        </w:tc>
      </w:tr>
      <w:tr>
        <w:tc>
          <w:tcPr/>
          <w:p>
            <w:pPr>
              <w:pStyle w:val="Compact"/>
              <w:jc w:val="left"/>
            </w:pPr>
            <w:r>
              <w:t xml:space="preserve">Incident-reporting transparency</w:t>
            </w:r>
          </w:p>
        </w:tc>
        <w:tc>
          <w:tcPr/>
          <w:p>
            <w:pPr>
              <w:pStyle w:val="Compact"/>
              <w:jc w:val="left"/>
            </w:pPr>
            <w:r>
              <w:t xml:space="preserve">Articles 28.1, 11.2; Annex H Domain 3</w:t>
            </w:r>
          </w:p>
        </w:tc>
      </w:tr>
      <w:tr>
        <w:tc>
          <w:tcPr/>
          <w:p>
            <w:pPr>
              <w:pStyle w:val="Compact"/>
              <w:jc w:val="left"/>
            </w:pPr>
            <w:r>
              <w:t xml:space="preserve">Observer access for military deconfliction</w:t>
            </w:r>
          </w:p>
        </w:tc>
        <w:tc>
          <w:tcPr/>
          <w:p>
            <w:pPr>
              <w:pStyle w:val="Compact"/>
              <w:jc w:val="left"/>
            </w:pPr>
            <w:r>
              <w:t xml:space="preserve">Article 27.4; Annex F.2</w:t>
            </w:r>
          </w:p>
        </w:tc>
      </w:tr>
      <w:tr>
        <w:tc>
          <w:tcPr/>
          <w:p>
            <w:pPr>
              <w:pStyle w:val="Compact"/>
              <w:jc w:val="left"/>
            </w:pPr>
            <w:r>
              <w:t xml:space="preserve">No recognition of sovereign tolls</w:t>
            </w:r>
          </w:p>
        </w:tc>
        <w:tc>
          <w:tcPr/>
          <w:p>
            <w:pPr>
              <w:pStyle w:val="Compact"/>
              <w:jc w:val="left"/>
            </w:pPr>
            <w:r>
              <w:t xml:space="preserve">Zero-Toll Rule (18); RL-1</w:t>
            </w:r>
          </w:p>
        </w:tc>
      </w:tr>
    </w:tbl>
    <w:bookmarkEnd w:id="331"/>
    <w:bookmarkStart w:id="332" w:name="j.2-iranian-positions"/>
    <w:p>
      <w:pPr>
        <w:pStyle w:val="Heading2"/>
      </w:pPr>
      <w:r>
        <w:t xml:space="preserve">J.2 Iranian positions</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Stated position</w:t>
            </w:r>
          </w:p>
        </w:tc>
        <w:tc>
          <w:tcPr/>
          <w:p>
            <w:pPr>
              <w:pStyle w:val="Compact"/>
              <w:jc w:val="left"/>
            </w:pPr>
            <w:r>
              <w:t xml:space="preserve">Pact mechanism</w:t>
            </w:r>
          </w:p>
        </w:tc>
      </w:tr>
      <w:tr>
        <w:tc>
          <w:tcPr/>
          <w:p>
            <w:pPr>
              <w:pStyle w:val="Compact"/>
              <w:jc w:val="left"/>
            </w:pPr>
            <w:r>
              <w:t xml:space="preserve">Inbound corridor functional role</w:t>
            </w:r>
          </w:p>
        </w:tc>
        <w:tc>
          <w:tcPr/>
          <w:p>
            <w:pPr>
              <w:pStyle w:val="Compact"/>
              <w:jc w:val="left"/>
            </w:pPr>
            <w:r>
              <w:t xml:space="preserve">Article 8.3, 8.5; RL-3</w:t>
            </w:r>
          </w:p>
        </w:tc>
      </w:tr>
      <w:tr>
        <w:tc>
          <w:tcPr/>
          <w:p>
            <w:pPr>
              <w:pStyle w:val="Compact"/>
              <w:jc w:val="left"/>
            </w:pPr>
            <w:r>
              <w:t xml:space="preserve">Recognized role in mine-risk response</w:t>
            </w:r>
          </w:p>
        </w:tc>
        <w:tc>
          <w:tcPr/>
          <w:p>
            <w:pPr>
              <w:pStyle w:val="Compact"/>
              <w:jc w:val="left"/>
            </w:pPr>
            <w:r>
              <w:t xml:space="preserve">Article 12.3 (northern clearance lead)</w:t>
            </w:r>
          </w:p>
        </w:tc>
      </w:tr>
      <w:tr>
        <w:tc>
          <w:tcPr/>
          <w:p>
            <w:pPr>
              <w:pStyle w:val="Compact"/>
              <w:jc w:val="left"/>
            </w:pPr>
            <w:r>
              <w:t xml:space="preserve">Environmental monitoring authority in northern waters</w:t>
            </w:r>
          </w:p>
        </w:tc>
        <w:tc>
          <w:tcPr/>
          <w:p>
            <w:pPr>
              <w:pStyle w:val="Compact"/>
              <w:jc w:val="left"/>
            </w:pPr>
            <w:r>
              <w:t xml:space="preserve">Article 29.3; six northern stations (Annex B.4)</w:t>
            </w:r>
          </w:p>
        </w:tc>
      </w:tr>
      <w:tr>
        <w:tc>
          <w:tcPr/>
          <w:p>
            <w:pPr>
              <w:pStyle w:val="Compact"/>
              <w:jc w:val="left"/>
            </w:pPr>
            <w:r>
              <w:t xml:space="preserve">Inbound service compensation</w:t>
            </w:r>
          </w:p>
        </w:tc>
        <w:tc>
          <w:tcPr/>
          <w:p>
            <w:pPr>
              <w:pStyle w:val="Compact"/>
              <w:jc w:val="left"/>
            </w:pPr>
            <w:r>
              <w:t xml:space="preserve">Catalog and rate card (19.1, Annex B.4)</w:t>
            </w:r>
          </w:p>
        </w:tc>
      </w:tr>
      <w:tr>
        <w:tc>
          <w:tcPr/>
          <w:p>
            <w:pPr>
              <w:pStyle w:val="Compact"/>
              <w:jc w:val="left"/>
            </w:pPr>
            <w:r>
              <w:t xml:space="preserve">Radar and AIS integration into the shared picture</w:t>
            </w:r>
          </w:p>
        </w:tc>
        <w:tc>
          <w:tcPr/>
          <w:p>
            <w:pPr>
              <w:pStyle w:val="Compact"/>
              <w:jc w:val="left"/>
            </w:pPr>
            <w:r>
              <w:t xml:space="preserve">Article 14.3; dual custody (14.5)</w:t>
            </w:r>
          </w:p>
        </w:tc>
      </w:tr>
      <w:tr>
        <w:tc>
          <w:tcPr/>
          <w:p>
            <w:pPr>
              <w:pStyle w:val="Compact"/>
              <w:jc w:val="left"/>
            </w:pPr>
            <w:r>
              <w:t xml:space="preserve">Formal recognition of routing through Iranian waters</w:t>
            </w:r>
          </w:p>
        </w:tc>
        <w:tc>
          <w:tcPr/>
          <w:p>
            <w:pPr>
              <w:pStyle w:val="Compact"/>
              <w:jc w:val="left"/>
            </w:pPr>
            <w:r>
              <w:t xml:space="preserve">Articles 7.2, 8.3; Annex A.3</w:t>
            </w:r>
          </w:p>
        </w:tc>
      </w:tr>
      <w:tr>
        <w:tc>
          <w:tcPr/>
          <w:p>
            <w:pPr>
              <w:pStyle w:val="Compact"/>
              <w:jc w:val="left"/>
            </w:pPr>
            <w:r>
              <w:t xml:space="preserve">Co-lead emergency response</w:t>
            </w:r>
          </w:p>
        </w:tc>
        <w:tc>
          <w:tcPr/>
          <w:p>
            <w:pPr>
              <w:pStyle w:val="Compact"/>
              <w:jc w:val="left"/>
            </w:pPr>
            <w:r>
              <w:t xml:space="preserve">Articles 29.1, 29.2; escort lead (10.5)</w:t>
            </w:r>
          </w:p>
        </w:tc>
      </w:tr>
      <w:tr>
        <w:tc>
          <w:tcPr/>
          <w:p>
            <w:pPr>
              <w:pStyle w:val="Compact"/>
              <w:jc w:val="left"/>
            </w:pPr>
            <w:r>
              <w:t xml:space="preserve">Equal representation in governance</w:t>
            </w:r>
          </w:p>
        </w:tc>
        <w:tc>
          <w:tcPr/>
          <w:p>
            <w:pPr>
              <w:pStyle w:val="Compact"/>
              <w:jc w:val="left"/>
            </w:pPr>
            <w:r>
              <w:t xml:space="preserve">Paired seats (13.1, 14.2, Annex E.4); Twin Key</w:t>
            </w:r>
          </w:p>
        </w:tc>
      </w:tr>
      <w:tr>
        <w:tc>
          <w:tcPr/>
          <w:p>
            <w:pPr>
              <w:pStyle w:val="Compact"/>
              <w:jc w:val="left"/>
            </w:pPr>
            <w:r>
              <w:t xml:space="preserve">Protection of Iranian commercial shipping</w:t>
            </w:r>
          </w:p>
        </w:tc>
        <w:tc>
          <w:tcPr/>
          <w:p>
            <w:pPr>
              <w:pStyle w:val="Compact"/>
              <w:jc w:val="left"/>
            </w:pPr>
            <w:r>
              <w:t xml:space="preserve">Non-Interdiction Protocol (10.2); non-discrimination (9.5)</w:t>
            </w:r>
          </w:p>
        </w:tc>
      </w:tr>
      <w:tr>
        <w:tc>
          <w:tcPr/>
          <w:p>
            <w:pPr>
              <w:pStyle w:val="Compact"/>
              <w:jc w:val="left"/>
            </w:pPr>
            <w:r>
              <w:t xml:space="preserve">Neutral dispute resolution, not external adjudication</w:t>
            </w:r>
          </w:p>
        </w:tc>
        <w:tc>
          <w:tcPr/>
          <w:p>
            <w:pPr>
              <w:pStyle w:val="Compact"/>
              <w:jc w:val="left"/>
            </w:pPr>
            <w:r>
              <w:t xml:space="preserve">Article 33 tiers</w:t>
            </w:r>
          </w:p>
        </w:tc>
      </w:tr>
      <w:tr>
        <w:tc>
          <w:tcPr/>
          <w:p>
            <w:pPr>
              <w:pStyle w:val="Compact"/>
              <w:jc w:val="left"/>
            </w:pPr>
            <w:r>
              <w:t xml:space="preserve">Pilot-phase flexibility</w:t>
            </w:r>
          </w:p>
        </w:tc>
        <w:tc>
          <w:tcPr/>
          <w:p>
            <w:pPr>
              <w:pStyle w:val="Compact"/>
              <w:jc w:val="left"/>
            </w:pPr>
            <w:r>
              <w:t xml:space="preserve">Annex E.1 Phase 4; flow-state rules (11)</w:t>
            </w:r>
          </w:p>
        </w:tc>
      </w:tr>
      <w:tr>
        <w:tc>
          <w:tcPr/>
          <w:p>
            <w:pPr>
              <w:pStyle w:val="Compact"/>
              <w:jc w:val="left"/>
            </w:pPr>
            <w:r>
              <w:t xml:space="preserve">Recognized deconfliction role</w:t>
            </w:r>
          </w:p>
        </w:tc>
        <w:tc>
          <w:tcPr/>
          <w:p>
            <w:pPr>
              <w:pStyle w:val="Compact"/>
              <w:jc w:val="left"/>
            </w:pPr>
            <w:r>
              <w:t xml:space="preserve">Military liaison (14.6); channel (27.4)</w:t>
            </w:r>
          </w:p>
        </w:tc>
      </w:tr>
      <w:tr>
        <w:tc>
          <w:tcPr/>
          <w:p>
            <w:pPr>
              <w:pStyle w:val="Compact"/>
              <w:jc w:val="left"/>
            </w:pPr>
            <w:r>
              <w:t xml:space="preserve">Sanctions-insulated payment routing</w:t>
            </w:r>
          </w:p>
        </w:tc>
        <w:tc>
          <w:tcPr/>
          <w:p>
            <w:pPr>
              <w:pStyle w:val="Compact"/>
              <w:jc w:val="left"/>
            </w:pPr>
            <w:r>
              <w:t xml:space="preserve">Escrow channel (20.4); firewall (21.4)</w:t>
            </w:r>
          </w:p>
        </w:tc>
      </w:tr>
      <w:tr>
        <w:tc>
          <w:tcPr/>
          <w:p>
            <w:pPr>
              <w:pStyle w:val="Compact"/>
              <w:jc w:val="left"/>
            </w:pPr>
            <w:r>
              <w:t xml:space="preserve">Transparency into outbound operations</w:t>
            </w:r>
          </w:p>
        </w:tc>
        <w:tc>
          <w:tcPr/>
          <w:p>
            <w:pPr>
              <w:pStyle w:val="Compact"/>
              <w:jc w:val="left"/>
            </w:pPr>
            <w:r>
              <w:t xml:space="preserve">Full record access (14.3); identical latency (11.2)</w:t>
            </w:r>
          </w:p>
        </w:tc>
      </w:tr>
      <w:tr>
        <w:tc>
          <w:tcPr/>
          <w:p>
            <w:pPr>
              <w:pStyle w:val="Compact"/>
              <w:jc w:val="left"/>
            </w:pPr>
            <w:r>
              <w:t xml:space="preserve">No foreign sovereign tolls</w:t>
            </w:r>
          </w:p>
        </w:tc>
        <w:tc>
          <w:tcPr/>
          <w:p>
            <w:pPr>
              <w:pStyle w:val="Compact"/>
              <w:jc w:val="left"/>
            </w:pPr>
            <w:r>
              <w:t xml:space="preserve">Zero-Toll Rule binds all Parties equally (18.3)</w:t>
            </w:r>
          </w:p>
        </w:tc>
      </w:tr>
    </w:tbl>
    <w:bookmarkEnd w:id="332"/>
    <w:bookmarkStart w:id="333" w:name="j.3-omani-positions"/>
    <w:p>
      <w:pPr>
        <w:pStyle w:val="Heading2"/>
      </w:pPr>
      <w:r>
        <w:t xml:space="preserve">J.3 Omani positions</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Stated position</w:t>
            </w:r>
          </w:p>
        </w:tc>
        <w:tc>
          <w:tcPr/>
          <w:p>
            <w:pPr>
              <w:pStyle w:val="Compact"/>
              <w:jc w:val="left"/>
            </w:pPr>
            <w:r>
              <w:t xml:space="preserve">Pact mechanism</w:t>
            </w:r>
          </w:p>
        </w:tc>
      </w:tr>
      <w:tr>
        <w:tc>
          <w:tcPr/>
          <w:p>
            <w:pPr>
              <w:pStyle w:val="Compact"/>
              <w:jc w:val="left"/>
            </w:pPr>
            <w:r>
              <w:t xml:space="preserve">Outbound corridor administrative role</w:t>
            </w:r>
          </w:p>
        </w:tc>
        <w:tc>
          <w:tcPr/>
          <w:p>
            <w:pPr>
              <w:pStyle w:val="Compact"/>
              <w:jc w:val="left"/>
            </w:pPr>
            <w:r>
              <w:t xml:space="preserve">Article 8.2, 8.5; RL-4</w:t>
            </w:r>
          </w:p>
        </w:tc>
      </w:tr>
      <w:tr>
        <w:tc>
          <w:tcPr/>
          <w:p>
            <w:pPr>
              <w:pStyle w:val="Compact"/>
              <w:jc w:val="left"/>
            </w:pPr>
            <w:r>
              <w:t xml:space="preserve">Neutral governance anchor</w:t>
            </w:r>
          </w:p>
        </w:tc>
        <w:tc>
          <w:tcPr/>
          <w:p>
            <w:pPr>
              <w:pStyle w:val="Compact"/>
              <w:jc w:val="left"/>
            </w:pPr>
            <w:r>
              <w:t xml:space="preserve">Mediator of Record; Muscat seat; Depositary</w:t>
            </w:r>
          </w:p>
        </w:tc>
      </w:tr>
      <w:tr>
        <w:tc>
          <w:tcPr/>
          <w:p>
            <w:pPr>
              <w:pStyle w:val="Compact"/>
              <w:jc w:val="left"/>
            </w:pPr>
            <w:r>
              <w:t xml:space="preserve">Joint monitoring hub in Oman</w:t>
            </w:r>
          </w:p>
        </w:tc>
        <w:tc>
          <w:tcPr/>
          <w:p>
            <w:pPr>
              <w:pStyle w:val="Compact"/>
              <w:jc w:val="left"/>
            </w:pPr>
            <w:r>
              <w:t xml:space="preserve">Center seat (14.1); escrow administration (20.4)</w:t>
            </w:r>
          </w:p>
        </w:tc>
      </w:tr>
      <w:tr>
        <w:tc>
          <w:tcPr/>
          <w:p>
            <w:pPr>
              <w:pStyle w:val="Compact"/>
              <w:jc w:val="left"/>
            </w:pPr>
            <w:r>
              <w:t xml:space="preserve">Equal representation</w:t>
            </w:r>
          </w:p>
        </w:tc>
        <w:tc>
          <w:tcPr/>
          <w:p>
            <w:pPr>
              <w:pStyle w:val="Compact"/>
              <w:jc w:val="left"/>
            </w:pPr>
            <w:r>
              <w:t xml:space="preserve">Paired seats throughout; Twin Key</w:t>
            </w:r>
          </w:p>
        </w:tc>
      </w:tr>
      <w:tr>
        <w:tc>
          <w:tcPr/>
          <w:p>
            <w:pPr>
              <w:pStyle w:val="Compact"/>
              <w:jc w:val="left"/>
            </w:pPr>
            <w:r>
              <w:t xml:space="preserve">Outbound service compensation</w:t>
            </w:r>
          </w:p>
        </w:tc>
        <w:tc>
          <w:tcPr/>
          <w:p>
            <w:pPr>
              <w:pStyle w:val="Compact"/>
              <w:jc w:val="left"/>
            </w:pPr>
            <w:r>
              <w:t xml:space="preserve">Catalog and rate card (Annex B.4)</w:t>
            </w:r>
          </w:p>
        </w:tc>
      </w:tr>
      <w:tr>
        <w:tc>
          <w:tcPr/>
          <w:p>
            <w:pPr>
              <w:pStyle w:val="Compact"/>
              <w:jc w:val="left"/>
            </w:pPr>
            <w:r>
              <w:t xml:space="preserve">Neutral dispute-resolution facilitation</w:t>
            </w:r>
          </w:p>
        </w:tc>
        <w:tc>
          <w:tcPr/>
          <w:p>
            <w:pPr>
              <w:pStyle w:val="Compact"/>
              <w:jc w:val="left"/>
            </w:pPr>
            <w:r>
              <w:t xml:space="preserve">Facilitation tier (33.2)</w:t>
            </w:r>
          </w:p>
        </w:tc>
      </w:tr>
      <w:tr>
        <w:tc>
          <w:tcPr/>
          <w:p>
            <w:pPr>
              <w:pStyle w:val="Compact"/>
              <w:jc w:val="left"/>
            </w:pPr>
            <w:r>
              <w:t xml:space="preserve">Transparency into inbound operations</w:t>
            </w:r>
          </w:p>
        </w:tc>
        <w:tc>
          <w:tcPr/>
          <w:p>
            <w:pPr>
              <w:pStyle w:val="Compact"/>
              <w:jc w:val="left"/>
            </w:pPr>
            <w:r>
              <w:t xml:space="preserve">Full record access (14.3)</w:t>
            </w:r>
          </w:p>
        </w:tc>
      </w:tr>
      <w:tr>
        <w:tc>
          <w:tcPr/>
          <w:p>
            <w:pPr>
              <w:pStyle w:val="Compact"/>
              <w:jc w:val="left"/>
            </w:pPr>
            <w:r>
              <w:t xml:space="preserve">Joint emergency-response authority</w:t>
            </w:r>
          </w:p>
        </w:tc>
        <w:tc>
          <w:tcPr/>
          <w:p>
            <w:pPr>
              <w:pStyle w:val="Compact"/>
              <w:jc w:val="left"/>
            </w:pPr>
            <w:r>
              <w:t xml:space="preserve">Articles 29.1, 29.2; escort lead (10.5)</w:t>
            </w:r>
          </w:p>
        </w:tc>
      </w:tr>
      <w:tr>
        <w:tc>
          <w:tcPr/>
          <w:p>
            <w:pPr>
              <w:pStyle w:val="Compact"/>
              <w:jc w:val="left"/>
            </w:pPr>
            <w:r>
              <w:t xml:space="preserve">Pilot-phase flexibility</w:t>
            </w:r>
          </w:p>
        </w:tc>
        <w:tc>
          <w:tcPr/>
          <w:p>
            <w:pPr>
              <w:pStyle w:val="Compact"/>
              <w:jc w:val="left"/>
            </w:pPr>
            <w:r>
              <w:t xml:space="preserve">Annex E.1 Phase 4</w:t>
            </w:r>
          </w:p>
        </w:tc>
      </w:tr>
      <w:tr>
        <w:tc>
          <w:tcPr/>
          <w:p>
            <w:pPr>
              <w:pStyle w:val="Compact"/>
              <w:jc w:val="left"/>
            </w:pPr>
            <w:r>
              <w:t xml:space="preserve">International registration of coordinates</w:t>
            </w:r>
          </w:p>
        </w:tc>
        <w:tc>
          <w:tcPr/>
          <w:p>
            <w:pPr>
              <w:pStyle w:val="Compact"/>
              <w:jc w:val="left"/>
            </w:pPr>
            <w:r>
              <w:t xml:space="preserve">Articles 2.5, 37.4</w:t>
            </w:r>
          </w:p>
        </w:tc>
      </w:tr>
      <w:tr>
        <w:tc>
          <w:tcPr/>
          <w:p>
            <w:pPr>
              <w:pStyle w:val="Compact"/>
              <w:jc w:val="left"/>
            </w:pPr>
            <w:r>
              <w:t xml:space="preserve">Environmental compliance oversight</w:t>
            </w:r>
          </w:p>
        </w:tc>
        <w:tc>
          <w:tcPr/>
          <w:p>
            <w:pPr>
              <w:pStyle w:val="Compact"/>
              <w:jc w:val="left"/>
            </w:pPr>
            <w:r>
              <w:t xml:space="preserve">Article 29.3; Annex H Domain 4</w:t>
            </w:r>
          </w:p>
        </w:tc>
      </w:tr>
      <w:tr>
        <w:tc>
          <w:tcPr/>
          <w:p>
            <w:pPr>
              <w:pStyle w:val="Compact"/>
              <w:jc w:val="left"/>
            </w:pPr>
            <w:r>
              <w:t xml:space="preserve">Co-management of the central corridor</w:t>
            </w:r>
          </w:p>
        </w:tc>
        <w:tc>
          <w:tcPr/>
          <w:p>
            <w:pPr>
              <w:pStyle w:val="Compact"/>
              <w:jc w:val="left"/>
            </w:pPr>
            <w:r>
              <w:t xml:space="preserve">Central Corridor Board (13.4)</w:t>
            </w:r>
          </w:p>
        </w:tc>
      </w:tr>
      <w:tr>
        <w:tc>
          <w:tcPr/>
          <w:p>
            <w:pPr>
              <w:pStyle w:val="Compact"/>
              <w:jc w:val="left"/>
            </w:pPr>
            <w:r>
              <w:t xml:space="preserve">Escrow and clearing administration</w:t>
            </w:r>
          </w:p>
        </w:tc>
        <w:tc>
          <w:tcPr/>
          <w:p>
            <w:pPr>
              <w:pStyle w:val="Compact"/>
              <w:jc w:val="left"/>
            </w:pPr>
            <w:r>
              <w:t xml:space="preserve">Article 20.4</w:t>
            </w:r>
          </w:p>
        </w:tc>
      </w:tr>
      <w:tr>
        <w:tc>
          <w:tcPr/>
          <w:p>
            <w:pPr>
              <w:pStyle w:val="Compact"/>
              <w:jc w:val="left"/>
            </w:pPr>
            <w:r>
              <w:t xml:space="preserve">GCC observer participation</w:t>
            </w:r>
          </w:p>
        </w:tc>
        <w:tc>
          <w:tcPr/>
          <w:p>
            <w:pPr>
              <w:pStyle w:val="Compact"/>
              <w:jc w:val="left"/>
            </w:pPr>
            <w:r>
              <w:t xml:space="preserve">Articles 13.1, 13.4, 16.3</w:t>
            </w:r>
          </w:p>
        </w:tc>
      </w:tr>
      <w:tr>
        <w:tc>
          <w:tcPr/>
          <w:p>
            <w:pPr>
              <w:pStyle w:val="Compact"/>
              <w:jc w:val="left"/>
            </w:pPr>
            <w:r>
              <w:t xml:space="preserve">No sovereign tolls</w:t>
            </w:r>
          </w:p>
        </w:tc>
        <w:tc>
          <w:tcPr/>
          <w:p>
            <w:pPr>
              <w:pStyle w:val="Compact"/>
              <w:jc w:val="left"/>
            </w:pPr>
            <w:r>
              <w:t xml:space="preserve">Zero-Toll Rule; RL-1</w:t>
            </w:r>
          </w:p>
        </w:tc>
      </w:tr>
    </w:tbl>
    <w:bookmarkEnd w:id="333"/>
    <w:bookmarkStart w:id="334" w:name="j.4-gulf-cooperation-council-positions"/>
    <w:p>
      <w:pPr>
        <w:pStyle w:val="Heading2"/>
      </w:pPr>
      <w:r>
        <w:t xml:space="preserve">J.4 Gulf Cooperation Council positions</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Stated position</w:t>
            </w:r>
          </w:p>
        </w:tc>
        <w:tc>
          <w:tcPr/>
          <w:p>
            <w:pPr>
              <w:pStyle w:val="Compact"/>
              <w:jc w:val="left"/>
            </w:pPr>
            <w:r>
              <w:t xml:space="preserve">Pact mechanism</w:t>
            </w:r>
          </w:p>
        </w:tc>
      </w:tr>
      <w:tr>
        <w:tc>
          <w:tcPr/>
          <w:p>
            <w:pPr>
              <w:pStyle w:val="Compact"/>
              <w:jc w:val="left"/>
            </w:pPr>
            <w:r>
              <w:t xml:space="preserve">Observer status in governance</w:t>
            </w:r>
          </w:p>
        </w:tc>
        <w:tc>
          <w:tcPr/>
          <w:p>
            <w:pPr>
              <w:pStyle w:val="Compact"/>
              <w:jc w:val="left"/>
            </w:pPr>
            <w:r>
              <w:t xml:space="preserve">GCC Secretariat seat (13.1); observer layer (16.3)</w:t>
            </w:r>
          </w:p>
        </w:tc>
      </w:tr>
      <w:tr>
        <w:tc>
          <w:tcPr/>
          <w:p>
            <w:pPr>
              <w:pStyle w:val="Compact"/>
              <w:jc w:val="left"/>
            </w:pPr>
            <w:r>
              <w:t xml:space="preserve">Shared emergency-response participation</w:t>
            </w:r>
          </w:p>
        </w:tc>
        <w:tc>
          <w:tcPr/>
          <w:p>
            <w:pPr>
              <w:pStyle w:val="Compact"/>
              <w:jc w:val="left"/>
            </w:pPr>
            <w:r>
              <w:t xml:space="preserve">Joint SAR framework (29.2)</w:t>
            </w:r>
          </w:p>
        </w:tc>
      </w:tr>
      <w:tr>
        <w:tc>
          <w:tcPr/>
          <w:p>
            <w:pPr>
              <w:pStyle w:val="Compact"/>
              <w:jc w:val="left"/>
            </w:pPr>
            <w:r>
              <w:t xml:space="preserve">Transparency into both corridors</w:t>
            </w:r>
          </w:p>
        </w:tc>
        <w:tc>
          <w:tcPr/>
          <w:p>
            <w:pPr>
              <w:pStyle w:val="Compact"/>
              <w:jc w:val="left"/>
            </w:pPr>
            <w:r>
              <w:t xml:space="preserve">Full non-classified record (16.3)</w:t>
            </w:r>
          </w:p>
        </w:tc>
      </w:tr>
      <w:tr>
        <w:tc>
          <w:tcPr/>
          <w:p>
            <w:pPr>
              <w:pStyle w:val="Compact"/>
              <w:jc w:val="left"/>
            </w:pPr>
            <w:r>
              <w:t xml:space="preserve">Protection of GCC commercial shipping</w:t>
            </w:r>
          </w:p>
        </w:tc>
        <w:tc>
          <w:tcPr/>
          <w:p>
            <w:pPr>
              <w:pStyle w:val="Compact"/>
              <w:jc w:val="left"/>
            </w:pPr>
            <w:r>
              <w:t xml:space="preserve">Non-Interdiction Protocol; non-discrimination (9.5)</w:t>
            </w:r>
          </w:p>
        </w:tc>
      </w:tr>
      <w:tr>
        <w:tc>
          <w:tcPr/>
          <w:p>
            <w:pPr>
              <w:pStyle w:val="Compact"/>
              <w:jc w:val="left"/>
            </w:pPr>
            <w:r>
              <w:t xml:space="preserve">Access to the shared monitoring picture</w:t>
            </w:r>
          </w:p>
        </w:tc>
        <w:tc>
          <w:tcPr/>
          <w:p>
            <w:pPr>
              <w:pStyle w:val="Compact"/>
              <w:jc w:val="left"/>
            </w:pPr>
            <w:r>
              <w:t xml:space="preserve">Article 16.3; Bulletin identical latency</w:t>
            </w:r>
          </w:p>
        </w:tc>
      </w:tr>
      <w:tr>
        <w:tc>
          <w:tcPr/>
          <w:p>
            <w:pPr>
              <w:pStyle w:val="Compact"/>
              <w:jc w:val="left"/>
            </w:pPr>
            <w:r>
              <w:t xml:space="preserve">Neutral dispute resolution</w:t>
            </w:r>
          </w:p>
        </w:tc>
        <w:tc>
          <w:tcPr/>
          <w:p>
            <w:pPr>
              <w:pStyle w:val="Compact"/>
              <w:jc w:val="left"/>
            </w:pPr>
            <w:r>
              <w:t xml:space="preserve">Article 33</w:t>
            </w:r>
          </w:p>
        </w:tc>
      </w:tr>
      <w:tr>
        <w:tc>
          <w:tcPr/>
          <w:p>
            <w:pPr>
              <w:pStyle w:val="Compact"/>
              <w:jc w:val="left"/>
            </w:pPr>
            <w:r>
              <w:t xml:space="preserve">Environmental guarantees</w:t>
            </w:r>
          </w:p>
        </w:tc>
        <w:tc>
          <w:tcPr/>
          <w:p>
            <w:pPr>
              <w:pStyle w:val="Compact"/>
              <w:jc w:val="left"/>
            </w:pPr>
            <w:r>
              <w:t xml:space="preserve">Article 29.3; Annex H Domain 4</w:t>
            </w:r>
          </w:p>
        </w:tc>
      </w:tr>
      <w:tr>
        <w:tc>
          <w:tcPr/>
          <w:p>
            <w:pPr>
              <w:pStyle w:val="Compact"/>
              <w:jc w:val="left"/>
            </w:pPr>
            <w:r>
              <w:t xml:space="preserve">No unilateral interdiction</w:t>
            </w:r>
          </w:p>
        </w:tc>
        <w:tc>
          <w:tcPr/>
          <w:p>
            <w:pPr>
              <w:pStyle w:val="Compact"/>
              <w:jc w:val="left"/>
            </w:pPr>
            <w:r>
              <w:t xml:space="preserve">Article 10.2; Annex C category A-1</w:t>
            </w:r>
          </w:p>
        </w:tc>
      </w:tr>
      <w:tr>
        <w:tc>
          <w:tcPr/>
          <w:p>
            <w:pPr>
              <w:pStyle w:val="Compact"/>
              <w:jc w:val="left"/>
            </w:pPr>
            <w:r>
              <w:t xml:space="preserve">Shared authority in the central corridor</w:t>
            </w:r>
          </w:p>
        </w:tc>
        <w:tc>
          <w:tcPr/>
          <w:p>
            <w:pPr>
              <w:pStyle w:val="Compact"/>
              <w:jc w:val="left"/>
            </w:pPr>
            <w:r>
              <w:t xml:space="preserve">Central Corridor Board vote (13.4)</w:t>
            </w:r>
          </w:p>
        </w:tc>
      </w:tr>
      <w:tr>
        <w:tc>
          <w:tcPr/>
          <w:p>
            <w:pPr>
              <w:pStyle w:val="Compact"/>
              <w:jc w:val="left"/>
            </w:pPr>
            <w:r>
              <w:t xml:space="preserve">International registration of coordinates</w:t>
            </w:r>
          </w:p>
        </w:tc>
        <w:tc>
          <w:tcPr/>
          <w:p>
            <w:pPr>
              <w:pStyle w:val="Compact"/>
              <w:jc w:val="left"/>
            </w:pPr>
            <w:r>
              <w:t xml:space="preserve">Articles 2.5, 37.4</w:t>
            </w:r>
          </w:p>
        </w:tc>
      </w:tr>
      <w:tr>
        <w:tc>
          <w:tcPr/>
          <w:p>
            <w:pPr>
              <w:pStyle w:val="Compact"/>
              <w:jc w:val="left"/>
            </w:pPr>
            <w:r>
              <w:t xml:space="preserve">Predictable fee structure</w:t>
            </w:r>
          </w:p>
        </w:tc>
        <w:tc>
          <w:tcPr/>
          <w:p>
            <w:pPr>
              <w:pStyle w:val="Compact"/>
              <w:jc w:val="left"/>
            </w:pPr>
            <w:r>
              <w:t xml:space="preserve">Published rate card; annual review (19.1)</w:t>
            </w:r>
          </w:p>
        </w:tc>
      </w:tr>
      <w:tr>
        <w:tc>
          <w:tcPr/>
          <w:p>
            <w:pPr>
              <w:pStyle w:val="Compact"/>
              <w:jc w:val="left"/>
            </w:pPr>
            <w:r>
              <w:t xml:space="preserve">Sanctions-compatible payment routing</w:t>
            </w:r>
          </w:p>
        </w:tc>
        <w:tc>
          <w:tcPr/>
          <w:p>
            <w:pPr>
              <w:pStyle w:val="Compact"/>
              <w:jc w:val="left"/>
            </w:pPr>
            <w:r>
              <w:t xml:space="preserve">Escrow and firewall (20.4, 21.4)</w:t>
            </w:r>
          </w:p>
        </w:tc>
      </w:tr>
      <w:tr>
        <w:tc>
          <w:tcPr/>
          <w:p>
            <w:pPr>
              <w:pStyle w:val="Compact"/>
              <w:jc w:val="left"/>
            </w:pPr>
            <w:r>
              <w:t xml:space="preserve">Pilot-phase monitoring access</w:t>
            </w:r>
          </w:p>
        </w:tc>
        <w:tc>
          <w:tcPr/>
          <w:p>
            <w:pPr>
              <w:pStyle w:val="Compact"/>
              <w:jc w:val="left"/>
            </w:pPr>
            <w:r>
              <w:t xml:space="preserve">Annex E.1; observer uptime metric (H.2)</w:t>
            </w:r>
          </w:p>
        </w:tc>
      </w:tr>
      <w:tr>
        <w:tc>
          <w:tcPr/>
          <w:p>
            <w:pPr>
              <w:pStyle w:val="Compact"/>
              <w:jc w:val="left"/>
            </w:pPr>
            <w:r>
              <w:t xml:space="preserve">Clear military deconfliction rules</w:t>
            </w:r>
          </w:p>
        </w:tc>
        <w:tc>
          <w:tcPr/>
          <w:p>
            <w:pPr>
              <w:pStyle w:val="Compact"/>
              <w:jc w:val="left"/>
            </w:pPr>
            <w:r>
              <w:t xml:space="preserve">Article 27</w:t>
            </w:r>
          </w:p>
        </w:tc>
      </w:tr>
      <w:tr>
        <w:tc>
          <w:tcPr/>
          <w:p>
            <w:pPr>
              <w:pStyle w:val="Compact"/>
              <w:jc w:val="left"/>
            </w:pPr>
            <w:r>
              <w:t xml:space="preserve">No sovereign tolls</w:t>
            </w:r>
          </w:p>
        </w:tc>
        <w:tc>
          <w:tcPr/>
          <w:p>
            <w:pPr>
              <w:pStyle w:val="Compact"/>
              <w:jc w:val="left"/>
            </w:pPr>
            <w:r>
              <w:t xml:space="preserve">Zero-Toll Rule; RL-1</w:t>
            </w:r>
          </w:p>
        </w:tc>
      </w:tr>
    </w:tbl>
    <w:bookmarkEnd w:id="334"/>
    <w:bookmarkStart w:id="335" w:name="j.5-european-positions"/>
    <w:p>
      <w:pPr>
        <w:pStyle w:val="Heading2"/>
      </w:pPr>
      <w:r>
        <w:t xml:space="preserve">J.5 European positions</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Stated position</w:t>
            </w:r>
          </w:p>
        </w:tc>
        <w:tc>
          <w:tcPr/>
          <w:p>
            <w:pPr>
              <w:pStyle w:val="Compact"/>
              <w:jc w:val="left"/>
            </w:pPr>
            <w:r>
              <w:t xml:space="preserve">Pact mechanism</w:t>
            </w:r>
          </w:p>
        </w:tc>
      </w:tr>
      <w:tr>
        <w:tc>
          <w:tcPr/>
          <w:p>
            <w:pPr>
              <w:pStyle w:val="Compact"/>
              <w:jc w:val="left"/>
            </w:pPr>
            <w:r>
              <w:t xml:space="preserve">IMO-registered coordinates</w:t>
            </w:r>
          </w:p>
        </w:tc>
        <w:tc>
          <w:tcPr/>
          <w:p>
            <w:pPr>
              <w:pStyle w:val="Compact"/>
              <w:jc w:val="left"/>
            </w:pPr>
            <w:r>
              <w:t xml:space="preserve">Articles 2.5, 37.4; Annex A</w:t>
            </w:r>
          </w:p>
        </w:tc>
      </w:tr>
      <w:tr>
        <w:tc>
          <w:tcPr/>
          <w:p>
            <w:pPr>
              <w:pStyle w:val="Compact"/>
              <w:jc w:val="left"/>
            </w:pPr>
            <w:r>
              <w:t xml:space="preserve">Full incident-reporting transparency</w:t>
            </w:r>
          </w:p>
        </w:tc>
        <w:tc>
          <w:tcPr/>
          <w:p>
            <w:pPr>
              <w:pStyle w:val="Compact"/>
              <w:jc w:val="left"/>
            </w:pPr>
            <w:r>
              <w:t xml:space="preserve">Article 28.1; Annex H Domain 3</w:t>
            </w:r>
          </w:p>
        </w:tc>
      </w:tr>
      <w:tr>
        <w:tc>
          <w:tcPr/>
          <w:p>
            <w:pPr>
              <w:pStyle w:val="Compact"/>
              <w:jc w:val="left"/>
            </w:pPr>
            <w:r>
              <w:t xml:space="preserve">Environmental audits</w:t>
            </w:r>
          </w:p>
        </w:tc>
        <w:tc>
          <w:tcPr/>
          <w:p>
            <w:pPr>
              <w:pStyle w:val="Compact"/>
              <w:jc w:val="left"/>
            </w:pPr>
            <w:r>
              <w:t xml:space="preserve">Article 29.3; quarterly baseline (H.1)</w:t>
            </w:r>
          </w:p>
        </w:tc>
      </w:tr>
      <w:tr>
        <w:tc>
          <w:tcPr/>
          <w:p>
            <w:pPr>
              <w:pStyle w:val="Compact"/>
              <w:jc w:val="left"/>
            </w:pPr>
            <w:r>
              <w:t xml:space="preserve">Uniform safety standards</w:t>
            </w:r>
          </w:p>
        </w:tc>
        <w:tc>
          <w:tcPr/>
          <w:p>
            <w:pPr>
              <w:pStyle w:val="Compact"/>
              <w:jc w:val="left"/>
            </w:pPr>
            <w:r>
              <w:t xml:space="preserve">IMO model courses (14.2); Annex D</w:t>
            </w:r>
          </w:p>
        </w:tc>
      </w:tr>
      <w:tr>
        <w:tc>
          <w:tcPr/>
          <w:p>
            <w:pPr>
              <w:pStyle w:val="Compact"/>
              <w:jc w:val="left"/>
            </w:pPr>
            <w:r>
              <w:t xml:space="preserve">Access to the shared picture</w:t>
            </w:r>
          </w:p>
        </w:tc>
        <w:tc>
          <w:tcPr/>
          <w:p>
            <w:pPr>
              <w:pStyle w:val="Compact"/>
              <w:jc w:val="left"/>
            </w:pPr>
            <w:r>
              <w:t xml:space="preserve">Observer layer (16.3)</w:t>
            </w:r>
          </w:p>
        </w:tc>
      </w:tr>
      <w:tr>
        <w:tc>
          <w:tcPr/>
          <w:p>
            <w:pPr>
              <w:pStyle w:val="Compact"/>
              <w:jc w:val="left"/>
            </w:pPr>
            <w:r>
              <w:t xml:space="preserve">Neutral dispute resolution</w:t>
            </w:r>
          </w:p>
        </w:tc>
        <w:tc>
          <w:tcPr/>
          <w:p>
            <w:pPr>
              <w:pStyle w:val="Compact"/>
              <w:jc w:val="left"/>
            </w:pPr>
            <w:r>
              <w:t xml:space="preserve">Article 33</w:t>
            </w:r>
          </w:p>
        </w:tc>
      </w:tr>
      <w:tr>
        <w:tc>
          <w:tcPr/>
          <w:p>
            <w:pPr>
              <w:pStyle w:val="Compact"/>
              <w:jc w:val="left"/>
            </w:pPr>
            <w:r>
              <w:t xml:space="preserve">Predictable, published fees</w:t>
            </w:r>
          </w:p>
        </w:tc>
        <w:tc>
          <w:tcPr/>
          <w:p>
            <w:pPr>
              <w:pStyle w:val="Compact"/>
              <w:jc w:val="left"/>
            </w:pPr>
            <w:r>
              <w:t xml:space="preserve">Rate card (B.4); indexation cap</w:t>
            </w:r>
          </w:p>
        </w:tc>
      </w:tr>
      <w:tr>
        <w:tc>
          <w:tcPr/>
          <w:p>
            <w:pPr>
              <w:pStyle w:val="Compact"/>
              <w:jc w:val="left"/>
            </w:pPr>
            <w:r>
              <w:t xml:space="preserve">Service charges, never sovereign tolls</w:t>
            </w:r>
          </w:p>
        </w:tc>
        <w:tc>
          <w:tcPr/>
          <w:p>
            <w:pPr>
              <w:pStyle w:val="Compact"/>
              <w:jc w:val="left"/>
            </w:pPr>
            <w:r>
              <w:t xml:space="preserve">Articles 2.3, 18</w:t>
            </w:r>
          </w:p>
        </w:tc>
      </w:tr>
      <w:tr>
        <w:tc>
          <w:tcPr/>
          <w:p>
            <w:pPr>
              <w:pStyle w:val="Compact"/>
              <w:jc w:val="left"/>
            </w:pPr>
            <w:r>
              <w:t xml:space="preserve">Freedom of navigation under international law</w:t>
            </w:r>
          </w:p>
        </w:tc>
        <w:tc>
          <w:tcPr/>
          <w:p>
            <w:pPr>
              <w:pStyle w:val="Compact"/>
              <w:jc w:val="left"/>
            </w:pPr>
            <w:r>
              <w:t xml:space="preserve">Articles 2.1, 2.2, 8, 10</w:t>
            </w:r>
          </w:p>
        </w:tc>
      </w:tr>
      <w:tr>
        <w:tc>
          <w:tcPr/>
          <w:p>
            <w:pPr>
              <w:pStyle w:val="Compact"/>
              <w:jc w:val="left"/>
            </w:pPr>
            <w:r>
              <w:t xml:space="preserve">Clear military deconfliction rules</w:t>
            </w:r>
          </w:p>
        </w:tc>
        <w:tc>
          <w:tcPr/>
          <w:p>
            <w:pPr>
              <w:pStyle w:val="Compact"/>
              <w:jc w:val="left"/>
            </w:pPr>
            <w:r>
              <w:t xml:space="preserve">Article 27</w:t>
            </w:r>
          </w:p>
        </w:tc>
      </w:tr>
      <w:tr>
        <w:tc>
          <w:tcPr/>
          <w:p>
            <w:pPr>
              <w:pStyle w:val="Compact"/>
              <w:jc w:val="left"/>
            </w:pPr>
            <w:r>
              <w:t xml:space="preserve">Emergency-response coordination</w:t>
            </w:r>
          </w:p>
        </w:tc>
        <w:tc>
          <w:tcPr/>
          <w:p>
            <w:pPr>
              <w:pStyle w:val="Compact"/>
              <w:jc w:val="left"/>
            </w:pPr>
            <w:r>
              <w:t xml:space="preserve">Article 29</w:t>
            </w:r>
          </w:p>
        </w:tc>
      </w:tr>
      <w:tr>
        <w:tc>
          <w:tcPr/>
          <w:p>
            <w:pPr>
              <w:pStyle w:val="Compact"/>
              <w:jc w:val="left"/>
            </w:pPr>
            <w:r>
              <w:t xml:space="preserve">Pilot-phase transparency</w:t>
            </w:r>
          </w:p>
        </w:tc>
        <w:tc>
          <w:tcPr/>
          <w:p>
            <w:pPr>
              <w:pStyle w:val="Compact"/>
              <w:jc w:val="left"/>
            </w:pPr>
            <w:r>
              <w:t xml:space="preserve">Annex E; observer uptime (H.2)</w:t>
            </w:r>
          </w:p>
        </w:tc>
      </w:tr>
      <w:tr>
        <w:tc>
          <w:tcPr/>
          <w:p>
            <w:pPr>
              <w:pStyle w:val="Compact"/>
              <w:jc w:val="left"/>
            </w:pPr>
            <w:r>
              <w:t xml:space="preserve">Sanctions-compatible payments</w:t>
            </w:r>
          </w:p>
        </w:tc>
        <w:tc>
          <w:tcPr/>
          <w:p>
            <w:pPr>
              <w:pStyle w:val="Compact"/>
              <w:jc w:val="left"/>
            </w:pPr>
            <w:r>
              <w:t xml:space="preserve">Firewall (21.4)</w:t>
            </w:r>
          </w:p>
        </w:tc>
      </w:tr>
      <w:tr>
        <w:tc>
          <w:tcPr/>
          <w:p>
            <w:pPr>
              <w:pStyle w:val="Compact"/>
              <w:jc w:val="left"/>
            </w:pPr>
            <w:r>
              <w:t xml:space="preserve">Central corridor safety guarantees</w:t>
            </w:r>
          </w:p>
        </w:tc>
        <w:tc>
          <w:tcPr/>
          <w:p>
            <w:pPr>
              <w:pStyle w:val="Compact"/>
              <w:jc w:val="left"/>
            </w:pPr>
            <w:r>
              <w:t xml:space="preserve">Article 8.4; joint administration</w:t>
            </w:r>
          </w:p>
        </w:tc>
      </w:tr>
      <w:tr>
        <w:tc>
          <w:tcPr/>
          <w:p>
            <w:pPr>
              <w:pStyle w:val="Compact"/>
              <w:jc w:val="left"/>
            </w:pPr>
            <w:r>
              <w:t xml:space="preserve">Public corridor documentation</w:t>
            </w:r>
          </w:p>
        </w:tc>
        <w:tc>
          <w:tcPr/>
          <w:p>
            <w:pPr>
              <w:pStyle w:val="Compact"/>
              <w:jc w:val="left"/>
            </w:pPr>
            <w:r>
              <w:t xml:space="preserve">Annexes A and D; Mariners’ Handbook</w:t>
            </w:r>
          </w:p>
        </w:tc>
      </w:tr>
    </w:tbl>
    <w:bookmarkEnd w:id="335"/>
    <w:bookmarkStart w:id="336" w:name="X85ac62dfdb77b953922ff0460d5d39dc0152aff"/>
    <w:p>
      <w:pPr>
        <w:pStyle w:val="Heading2"/>
      </w:pPr>
      <w:r>
        <w:t xml:space="preserve">J.6 Insurer and shipping-industry positions</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Stated position</w:t>
            </w:r>
          </w:p>
        </w:tc>
        <w:tc>
          <w:tcPr/>
          <w:p>
            <w:pPr>
              <w:pStyle w:val="Compact"/>
              <w:jc w:val="left"/>
            </w:pPr>
            <w:r>
              <w:t xml:space="preserve">Pact mechanism</w:t>
            </w:r>
          </w:p>
        </w:tc>
      </w:tr>
      <w:tr>
        <w:tc>
          <w:tcPr/>
          <w:p>
            <w:pPr>
              <w:pStyle w:val="Compact"/>
              <w:jc w:val="left"/>
            </w:pPr>
            <w:r>
              <w:t xml:space="preserve">Predictable risk classification</w:t>
            </w:r>
          </w:p>
        </w:tc>
        <w:tc>
          <w:tcPr/>
          <w:p>
            <w:pPr>
              <w:pStyle w:val="Compact"/>
              <w:jc w:val="left"/>
            </w:pPr>
            <w:r>
              <w:t xml:space="preserve">Flow states (11.1); quarterly confidence statements (19.7)</w:t>
            </w:r>
          </w:p>
        </w:tc>
      </w:tr>
      <w:tr>
        <w:tc>
          <w:tcPr/>
          <w:p>
            <w:pPr>
              <w:pStyle w:val="Compact"/>
              <w:jc w:val="left"/>
            </w:pPr>
            <w:r>
              <w:t xml:space="preserve">Transparent incident reporting</w:t>
            </w:r>
          </w:p>
        </w:tc>
        <w:tc>
          <w:tcPr/>
          <w:p>
            <w:pPr>
              <w:pStyle w:val="Compact"/>
              <w:jc w:val="left"/>
            </w:pPr>
            <w:r>
              <w:t xml:space="preserve">Article 28.1; public logs (14.3)</w:t>
            </w:r>
          </w:p>
        </w:tc>
      </w:tr>
      <w:tr>
        <w:tc>
          <w:tcPr/>
          <w:p>
            <w:pPr>
              <w:pStyle w:val="Compact"/>
              <w:jc w:val="left"/>
            </w:pPr>
            <w:r>
              <w:t xml:space="preserve">Clear deconfliction protocols</w:t>
            </w:r>
          </w:p>
        </w:tc>
        <w:tc>
          <w:tcPr/>
          <w:p>
            <w:pPr>
              <w:pStyle w:val="Compact"/>
              <w:jc w:val="left"/>
            </w:pPr>
            <w:r>
              <w:t xml:space="preserve">Article 27</w:t>
            </w:r>
          </w:p>
        </w:tc>
      </w:tr>
      <w:tr>
        <w:tc>
          <w:tcPr/>
          <w:p>
            <w:pPr>
              <w:pStyle w:val="Compact"/>
              <w:jc w:val="left"/>
            </w:pPr>
            <w:r>
              <w:t xml:space="preserve">Monitoring access</w:t>
            </w:r>
          </w:p>
        </w:tc>
        <w:tc>
          <w:tcPr/>
          <w:p>
            <w:pPr>
              <w:pStyle w:val="Compact"/>
              <w:jc w:val="left"/>
            </w:pPr>
            <w:r>
              <w:t xml:space="preserve">Route Assurance Data Service (19.6)</w:t>
            </w:r>
          </w:p>
        </w:tc>
      </w:tr>
      <w:tr>
        <w:tc>
          <w:tcPr/>
          <w:p>
            <w:pPr>
              <w:pStyle w:val="Compact"/>
              <w:jc w:val="left"/>
            </w:pPr>
            <w:r>
              <w:t xml:space="preserve">Stable fee structure</w:t>
            </w:r>
          </w:p>
        </w:tc>
        <w:tc>
          <w:tcPr/>
          <w:p>
            <w:pPr>
              <w:pStyle w:val="Compact"/>
              <w:jc w:val="left"/>
            </w:pPr>
            <w:r>
              <w:t xml:space="preserve">Indexation cap (B.4); default continuity (5.7)</w:t>
            </w:r>
          </w:p>
        </w:tc>
      </w:tr>
      <w:tr>
        <w:tc>
          <w:tcPr/>
          <w:p>
            <w:pPr>
              <w:pStyle w:val="Compact"/>
              <w:jc w:val="left"/>
            </w:pPr>
            <w:r>
              <w:t xml:space="preserve">Environmental verification data</w:t>
            </w:r>
          </w:p>
        </w:tc>
        <w:tc>
          <w:tcPr/>
          <w:p>
            <w:pPr>
              <w:pStyle w:val="Compact"/>
              <w:jc w:val="left"/>
            </w:pPr>
            <w:r>
              <w:t xml:space="preserve">Article 29.3; quarterly baseline</w:t>
            </w:r>
          </w:p>
        </w:tc>
      </w:tr>
      <w:tr>
        <w:tc>
          <w:tcPr/>
          <w:p>
            <w:pPr>
              <w:pStyle w:val="Compact"/>
              <w:jc w:val="left"/>
            </w:pPr>
            <w:r>
              <w:t xml:space="preserve">Emergency-response guarantees</w:t>
            </w:r>
          </w:p>
        </w:tc>
        <w:tc>
          <w:tcPr/>
          <w:p>
            <w:pPr>
              <w:pStyle w:val="Compact"/>
              <w:jc w:val="left"/>
            </w:pPr>
            <w:r>
              <w:t xml:space="preserve">Article 29; 45-minute standard</w:t>
            </w:r>
          </w:p>
        </w:tc>
      </w:tr>
      <w:tr>
        <w:tc>
          <w:tcPr/>
          <w:p>
            <w:pPr>
              <w:pStyle w:val="Compact"/>
              <w:jc w:val="left"/>
            </w:pPr>
            <w:r>
              <w:t xml:space="preserve">No unilateral interdiction</w:t>
            </w:r>
          </w:p>
        </w:tc>
        <w:tc>
          <w:tcPr/>
          <w:p>
            <w:pPr>
              <w:pStyle w:val="Compact"/>
              <w:jc w:val="left"/>
            </w:pPr>
            <w:r>
              <w:t xml:space="preserve">Article 10.2; category A-1</w:t>
            </w:r>
          </w:p>
        </w:tc>
      </w:tr>
      <w:tr>
        <w:tc>
          <w:tcPr/>
          <w:p>
            <w:pPr>
              <w:pStyle w:val="Compact"/>
              <w:jc w:val="left"/>
            </w:pPr>
            <w:r>
              <w:t xml:space="preserve">Pilot-phase data access</w:t>
            </w:r>
          </w:p>
        </w:tc>
        <w:tc>
          <w:tcPr/>
          <w:p>
            <w:pPr>
              <w:pStyle w:val="Compact"/>
              <w:jc w:val="left"/>
            </w:pPr>
            <w:r>
              <w:t xml:space="preserve">Annex E; data service tiers</w:t>
            </w:r>
          </w:p>
        </w:tc>
      </w:tr>
      <w:tr>
        <w:tc>
          <w:tcPr/>
          <w:p>
            <w:pPr>
              <w:pStyle w:val="Compact"/>
              <w:jc w:val="left"/>
            </w:pPr>
            <w:r>
              <w:t xml:space="preserve">Published coordinates</w:t>
            </w:r>
          </w:p>
        </w:tc>
        <w:tc>
          <w:tcPr/>
          <w:p>
            <w:pPr>
              <w:pStyle w:val="Compact"/>
              <w:jc w:val="left"/>
            </w:pPr>
            <w:r>
              <w:t xml:space="preserve">Annex A; IMO registration</w:t>
            </w:r>
          </w:p>
        </w:tc>
      </w:tr>
      <w:tr>
        <w:tc>
          <w:tcPr/>
          <w:p>
            <w:pPr>
              <w:pStyle w:val="Compact"/>
              <w:jc w:val="left"/>
            </w:pPr>
            <w:r>
              <w:t xml:space="preserve">Neutral claims handling</w:t>
            </w:r>
          </w:p>
        </w:tc>
        <w:tc>
          <w:tcPr/>
          <w:p>
            <w:pPr>
              <w:pStyle w:val="Compact"/>
              <w:jc w:val="left"/>
            </w:pPr>
            <w:r>
              <w:t xml:space="preserve">Articles 32, 33; compensation window (20.6)</w:t>
            </w:r>
          </w:p>
        </w:tc>
      </w:tr>
      <w:tr>
        <w:tc>
          <w:tcPr/>
          <w:p>
            <w:pPr>
              <w:pStyle w:val="Compact"/>
              <w:jc w:val="left"/>
            </w:pPr>
            <w:r>
              <w:t xml:space="preserve">Sanctions-compatible payments</w:t>
            </w:r>
          </w:p>
        </w:tc>
        <w:tc>
          <w:tcPr/>
          <w:p>
            <w:pPr>
              <w:pStyle w:val="Compact"/>
              <w:jc w:val="left"/>
            </w:pPr>
            <w:r>
              <w:t xml:space="preserve">Firewall (21.4)</w:t>
            </w:r>
          </w:p>
        </w:tc>
      </w:tr>
      <w:tr>
        <w:tc>
          <w:tcPr/>
          <w:p>
            <w:pPr>
              <w:pStyle w:val="Compact"/>
              <w:jc w:val="left"/>
            </w:pPr>
            <w:r>
              <w:t xml:space="preserve">Buffer corridor safety rules</w:t>
            </w:r>
          </w:p>
        </w:tc>
        <w:tc>
          <w:tcPr/>
          <w:p>
            <w:pPr>
              <w:pStyle w:val="Compact"/>
              <w:jc w:val="left"/>
            </w:pPr>
            <w:r>
              <w:t xml:space="preserve">Article 8.4; Annex A.4</w:t>
            </w:r>
          </w:p>
        </w:tc>
      </w:tr>
      <w:tr>
        <w:tc>
          <w:tcPr/>
          <w:p>
            <w:pPr>
              <w:pStyle w:val="Compact"/>
              <w:jc w:val="left"/>
            </w:pPr>
            <w:r>
              <w:t xml:space="preserve">Continuous AIS carriage</w:t>
            </w:r>
          </w:p>
        </w:tc>
        <w:tc>
          <w:tcPr/>
          <w:p>
            <w:pPr>
              <w:pStyle w:val="Compact"/>
              <w:jc w:val="left"/>
            </w:pPr>
            <w:r>
              <w:t xml:space="preserve">Article 8.3; D.3 fallback</w:t>
            </w:r>
          </w:p>
        </w:tc>
      </w:tr>
      <w:tr>
        <w:tc>
          <w:tcPr/>
          <w:p>
            <w:pPr>
              <w:pStyle w:val="Compact"/>
              <w:jc w:val="left"/>
            </w:pPr>
            <w:r>
              <w:t xml:space="preserve">Public operational manuals</w:t>
            </w:r>
          </w:p>
        </w:tc>
        <w:tc>
          <w:tcPr/>
          <w:p>
            <w:pPr>
              <w:pStyle w:val="Compact"/>
              <w:jc w:val="left"/>
            </w:pPr>
            <w:r>
              <w:t xml:space="preserve">Mariners’ Handbook (D.5)</w:t>
            </w:r>
          </w:p>
        </w:tc>
      </w:tr>
    </w:tbl>
    <w:p>
      <w:r>
        <w:pict>
          <v:rect style="width:0;height:1.5pt" o:hralign="center" o:hrstd="t" o:hr="t"/>
        </w:pict>
      </w:r>
    </w:p>
    <w:bookmarkEnd w:id="336"/>
    <w:bookmarkEnd w:id="337"/>
    <w:bookmarkStart w:id="345" w:name="X4ef01fa8c0963655192b705150f4fb01279435c"/>
    <w:p>
      <w:pPr>
        <w:pStyle w:val="Heading1"/>
      </w:pPr>
      <w:r>
        <w:t xml:space="preserve">Annex K: The Joint Communications and Synchronization Calendar</w:t>
      </w:r>
    </w:p>
    <w:bookmarkStart w:id="338" w:name="k.1-the-daily-rhythm"/>
    <w:p>
      <w:pPr>
        <w:pStyle w:val="Heading2"/>
      </w:pPr>
      <w:r>
        <w:t xml:space="preserve">K.1 The daily rhythm</w:t>
      </w:r>
    </w:p>
    <w:p>
      <w:pPr>
        <w:pStyle w:val="FirstParagraph"/>
      </w:pPr>
      <w:r>
        <w:t xml:space="preserve">The Bulletin publishes at 00:00, 06:00, 12:00, and 18:00 UTC, with extraordinary issues on any state change. The notification desk, the deconfliction channel, and the distress link operate continuously. The daily log closes at 00:00 UTC and posts to the registry within 2 hours.</w:t>
      </w:r>
    </w:p>
    <w:bookmarkEnd w:id="338"/>
    <w:bookmarkStart w:id="339" w:name="k.2-the-weekly-rhythm"/>
    <w:p>
      <w:pPr>
        <w:pStyle w:val="Heading2"/>
      </w:pPr>
      <w:r>
        <w:t xml:space="preserve">K.2 The weekly rhythm</w:t>
      </w:r>
    </w:p>
    <w:p>
      <w:pPr>
        <w:pStyle w:val="FirstParagraph"/>
      </w:pPr>
      <w:r>
        <w:t xml:space="preserve">Monday: working-level video synchronization between the two seats. Wednesday: verification patrol day, rotating corridors. Friday: deconfliction channel scheduled test and publication of the weekly metrics summary.</w:t>
      </w:r>
    </w:p>
    <w:bookmarkEnd w:id="339"/>
    <w:bookmarkStart w:id="340" w:name="k.3-the-monthly-rhythm"/>
    <w:p>
      <w:pPr>
        <w:pStyle w:val="Heading2"/>
      </w:pPr>
      <w:r>
        <w:t xml:space="preserve">K.3 The monthly rhythm</w:t>
      </w:r>
    </w:p>
    <w:p>
      <w:pPr>
        <w:pStyle w:val="FirstParagraph"/>
      </w:pPr>
      <w:r>
        <w:t xml:space="preserve">First Monday: Fund and Facility statements publish. Second week: mirror failover drill and certification. Third week: Central Corridor Board meeting and status review. Month-end: Standing Ledger publication and escort window review.</w:t>
      </w:r>
    </w:p>
    <w:bookmarkEnd w:id="340"/>
    <w:bookmarkStart w:id="341" w:name="k.4-the-quarterly-rhythm"/>
    <w:p>
      <w:pPr>
        <w:pStyle w:val="Heading2"/>
      </w:pPr>
      <w:r>
        <w:t xml:space="preserve">K.4 The quarterly rhythm</w:t>
      </w:r>
    </w:p>
    <w:p>
      <w:pPr>
        <w:pStyle w:val="FirstParagraph"/>
      </w:pPr>
      <w:r>
        <w:t xml:space="preserve">Quarter open: financial audit cycle begins. Mid-quarter: joint SAR exercise, alternating littorals. Quarter close: environmental baseline publication, Insurance Confidence Statement, and Council ordinary session where the calendar aligns.</w:t>
      </w:r>
    </w:p>
    <w:bookmarkEnd w:id="341"/>
    <w:bookmarkStart w:id="342" w:name="k.5-the-annual-rhythm"/>
    <w:p>
      <w:pPr>
        <w:pStyle w:val="Heading2"/>
      </w:pPr>
      <w:r>
        <w:t xml:space="preserve">K.5 The annual rhythm</w:t>
      </w:r>
    </w:p>
    <w:p>
      <w:pPr>
        <w:pStyle w:val="FirstParagraph"/>
      </w:pPr>
      <w:r>
        <w:t xml:space="preserve">The annual cycle runs: external audit and publication (first quarter); Stability Audit and review conference (second quarter); complexity audit and lessons-learned review (third quarter); Prosperity Report and forward work program (fourth quarter). The symmetry review of pending amendments attaches to the review conference.</w:t>
      </w:r>
    </w:p>
    <w:bookmarkEnd w:id="342"/>
    <w:bookmarkStart w:id="343" w:name="k.6-the-joint-communications-protocol"/>
    <w:p>
      <w:pPr>
        <w:pStyle w:val="Heading2"/>
      </w:pPr>
      <w:r>
        <w:t xml:space="preserve">K.6 The joint communications protocol</w:t>
      </w:r>
    </w:p>
    <w:p>
      <w:pPr>
        <w:pStyle w:val="FirstParagraph"/>
      </w:pPr>
      <w:r>
        <w:t xml:space="preserve">Public communications about Pact operations follow four rules: (1) operational facts publish through the Bulletin first, before any capital comments; (2) joint declarations issue from the Depositary with both Founding Parties’ sign-off; (3) a Party commenting publicly on a live incident cites the registry record, not its own narrative; and (4) corrections publish with the same prominence as the original statement. The protocol keeps the public conversation anchored to the shared record, which is where this Pact lives.</w:t>
      </w:r>
    </w:p>
    <w:bookmarkEnd w:id="343"/>
    <w:bookmarkStart w:id="344" w:name="k.7-signature-and-activation-calendar"/>
    <w:p>
      <w:pPr>
        <w:pStyle w:val="Heading2"/>
      </w:pPr>
      <w:r>
        <w:t xml:space="preserve">K.7 Signature and activation calendar</w:t>
      </w:r>
    </w:p>
    <w:p>
      <w:pPr>
        <w:pStyle w:val="FirstParagraph"/>
      </w:pPr>
      <w:r>
        <w:t xml:space="preserve">Table K.7: The synchronized activation calendar.</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Event</w:t>
            </w:r>
          </w:p>
        </w:tc>
        <w:tc>
          <w:tcPr/>
          <w:p>
            <w:pPr>
              <w:pStyle w:val="Compact"/>
              <w:jc w:val="left"/>
            </w:pPr>
            <w:r>
              <w:t xml:space="preserve">Clock</w:t>
            </w:r>
          </w:p>
        </w:tc>
      </w:tr>
      <w:tr>
        <w:tc>
          <w:tcPr/>
          <w:p>
            <w:pPr>
              <w:pStyle w:val="Compact"/>
              <w:jc w:val="left"/>
            </w:pPr>
            <w:r>
              <w:t xml:space="preserve">Signature and deposit</w:t>
            </w:r>
          </w:p>
        </w:tc>
        <w:tc>
          <w:tcPr/>
          <w:p>
            <w:pPr>
              <w:pStyle w:val="Compact"/>
              <w:jc w:val="left"/>
            </w:pPr>
            <w:r>
              <w:t xml:space="preserve">Day 0</w:t>
            </w:r>
          </w:p>
        </w:tc>
      </w:tr>
      <w:tr>
        <w:tc>
          <w:tcPr/>
          <w:p>
            <w:pPr>
              <w:pStyle w:val="Compact"/>
              <w:jc w:val="left"/>
            </w:pPr>
            <w:r>
              <w:t xml:space="preserve">Day One checklist execution</w:t>
            </w:r>
          </w:p>
        </w:tc>
        <w:tc>
          <w:tcPr/>
          <w:p>
            <w:pPr>
              <w:pStyle w:val="Compact"/>
              <w:jc w:val="left"/>
            </w:pPr>
            <w:r>
              <w:t xml:space="preserve">Within 24 hours</w:t>
            </w:r>
          </w:p>
        </w:tc>
      </w:tr>
      <w:tr>
        <w:tc>
          <w:tcPr/>
          <w:p>
            <w:pPr>
              <w:pStyle w:val="Compact"/>
              <w:jc w:val="left"/>
            </w:pPr>
            <w:r>
              <w:t xml:space="preserve">Provisional corridor guidance publication</w:t>
            </w:r>
          </w:p>
        </w:tc>
        <w:tc>
          <w:tcPr/>
          <w:p>
            <w:pPr>
              <w:pStyle w:val="Compact"/>
              <w:jc w:val="left"/>
            </w:pPr>
            <w:r>
              <w:t xml:space="preserve">Day 1</w:t>
            </w:r>
          </w:p>
        </w:tc>
      </w:tr>
      <w:tr>
        <w:tc>
          <w:tcPr/>
          <w:p>
            <w:pPr>
              <w:pStyle w:val="Compact"/>
              <w:jc w:val="left"/>
            </w:pPr>
            <w:r>
              <w:t xml:space="preserve">First Bulletin issue</w:t>
            </w:r>
          </w:p>
        </w:tc>
        <w:tc>
          <w:tcPr/>
          <w:p>
            <w:pPr>
              <w:pStyle w:val="Compact"/>
              <w:jc w:val="left"/>
            </w:pPr>
            <w:r>
              <w:t xml:space="preserve">Day 1</w:t>
            </w:r>
          </w:p>
        </w:tc>
      </w:tr>
      <w:tr>
        <w:tc>
          <w:tcPr/>
          <w:p>
            <w:pPr>
              <w:pStyle w:val="Compact"/>
              <w:jc w:val="left"/>
            </w:pPr>
            <w:r>
              <w:t xml:space="preserve">Escrow channel open</w:t>
            </w:r>
          </w:p>
        </w:tc>
        <w:tc>
          <w:tcPr/>
          <w:p>
            <w:pPr>
              <w:pStyle w:val="Compact"/>
              <w:jc w:val="left"/>
            </w:pPr>
            <w:r>
              <w:t xml:space="preserve">Day 2</w:t>
            </w:r>
          </w:p>
        </w:tc>
      </w:tr>
      <w:tr>
        <w:tc>
          <w:tcPr/>
          <w:p>
            <w:pPr>
              <w:pStyle w:val="Compact"/>
              <w:jc w:val="left"/>
            </w:pPr>
            <w:r>
              <w:t xml:space="preserve">Survey sequence complete</w:t>
            </w:r>
          </w:p>
        </w:tc>
        <w:tc>
          <w:tcPr/>
          <w:p>
            <w:pPr>
              <w:pStyle w:val="Compact"/>
              <w:jc w:val="left"/>
            </w:pPr>
            <w:r>
              <w:t xml:space="preserve">Day 21</w:t>
            </w:r>
          </w:p>
        </w:tc>
      </w:tr>
      <w:tr>
        <w:tc>
          <w:tcPr/>
          <w:p>
            <w:pPr>
              <w:pStyle w:val="Compact"/>
              <w:jc w:val="left"/>
            </w:pPr>
            <w:r>
              <w:t xml:space="preserve">Three-corridor pilot operation</w:t>
            </w:r>
          </w:p>
        </w:tc>
        <w:tc>
          <w:tcPr/>
          <w:p>
            <w:pPr>
              <w:pStyle w:val="Compact"/>
              <w:jc w:val="left"/>
            </w:pPr>
            <w:r>
              <w:t xml:space="preserve">Day 45</w:t>
            </w:r>
          </w:p>
        </w:tc>
      </w:tr>
      <w:tr>
        <w:tc>
          <w:tcPr/>
          <w:p>
            <w:pPr>
              <w:pStyle w:val="Compact"/>
              <w:jc w:val="left"/>
            </w:pPr>
            <w:r>
              <w:t xml:space="preserve">Stability Audit</w:t>
            </w:r>
          </w:p>
        </w:tc>
        <w:tc>
          <w:tcPr/>
          <w:p>
            <w:pPr>
              <w:pStyle w:val="Compact"/>
              <w:jc w:val="left"/>
            </w:pPr>
            <w:r>
              <w:t xml:space="preserve">Days 105 to 120</w:t>
            </w:r>
          </w:p>
        </w:tc>
      </w:tr>
      <w:tr>
        <w:tc>
          <w:tcPr/>
          <w:p>
            <w:pPr>
              <w:pStyle w:val="Compact"/>
              <w:jc w:val="left"/>
            </w:pPr>
            <w:r>
              <w:t xml:space="preserve">Full activation and final coordinate registration</w:t>
            </w:r>
          </w:p>
        </w:tc>
        <w:tc>
          <w:tcPr/>
          <w:p>
            <w:pPr>
              <w:pStyle w:val="Compact"/>
              <w:jc w:val="left"/>
            </w:pPr>
            <w:r>
              <w:t xml:space="preserve">Day 135 at latest</w:t>
            </w:r>
          </w:p>
        </w:tc>
      </w:tr>
    </w:tbl>
    <w:p>
      <w:pPr>
        <w:pStyle w:val="BodyText"/>
      </w:pPr>
      <w:r>
        <w:t xml:space="preserve">Every clock in this calendar publishes, every slippage explains itself on the record, and every completed gate banks permanently under the Continuity Guarantee.</w:t>
      </w:r>
    </w:p>
    <w:p>
      <w:r>
        <w:pict>
          <v:rect style="width:0;height:1.5pt" o:hralign="center" o:hrstd="t" o:hr="t"/>
        </w:pict>
      </w:r>
    </w:p>
    <w:p>
      <w:pPr>
        <w:pStyle w:val="FirstParagraph"/>
      </w:pPr>
      <w:r>
        <w:rPr>
          <w:bCs/>
          <w:b/>
        </w:rPr>
        <w:t xml:space="preserve">End of the Pact text. The water stays open. The lamp stays lit.</w:t>
      </w:r>
    </w:p>
    <w:bookmarkEnd w:id="344"/>
    <w:bookmarkEnd w:id="345"/>
    <w:sectPr>
      <w:headerReference w:type="default" r:id="rId9"/>
      <w:footerReference w:type="default" r:id="rId10"/>
      <w:pgSz w:w="12240" w:h="15840"/>
      <w:pgMar w:top="1440" w:right="1440" w:bottom="1440" w:left="1440" w:header="720" w:footer="720" w:gutter="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Bdr>
        <w:top w:val="single" w:sz="6" w:space="4" w:color="999999"/>
      </w:pBdr>
    </w:pPr>
    <w:r>
      <w:rPr>
        <w:color w:val="595959"/>
        <w:sz w:val="18"/>
      </w:rPr>
      <w:t xml:space="preserve">Page </w:t>
    </w:r>
    <w:r>
      <w:rPr>
        <w:color w:val="595959"/>
        <w:sz w:val="18"/>
      </w:rPr>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http://schemas.openxmlformats.org/wordprocessingml/2006/main" xmlns:r="http://schemas.openxmlformats.org/officeDocument/2006/relationships">
  <w:footnote w:type="separator" w:id="-1">
    <w:p>
      <w:r>
        <w:separator/>
      </w:r>
    </w:p>
  </w:footnote>
  <w:footnote w:type="continuationSeparator" w:id="0">
    <w:p>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6" w:space="4" w:color="999999"/>
      </w:pBdr>
    </w:pPr>
    <w:r>
      <w:rPr>
        <w:b w:val="0"/>
        <w:smallCaps/>
        <w:color w:val="595959"/>
        <w:sz w:val="15"/>
      </w:rPr>
      <w:t>THE HORMUZ ECONOMIC DEVELOPMENT AND SECURITY PACT  ·  GOVERNANCE ARCHITECTURE FOR THE STRAIT OF HORMUZ</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pPr>
      <w:spacing w:before="0" w:after="0" w:line="200" w:lineRule="exact"/>
    </w:pPr>
    <w:rPr>
      <w:sz w:val="18"/>
      <w:szCs w:val="18"/>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2026-08-06T14:07:50Z</dcterms:created>
  <dcterms:modified xsi:type="dcterms:W3CDTF">2026-08-06T14:07:50Z</dcterms:modified>
</cp:coreProperties>
</file>

<file path=docProps/custom.xml><?xml version="1.0" encoding="utf-8"?>
<Properties xmlns="http://schemas.openxmlformats.org/officeDocument/2006/custom-properties" xmlns:vt="http://schemas.openxmlformats.org/officeDocument/2006/docPropsVTypes"/>
</file>