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83822ec0af8e43cf" /></Relationships>
</file>

<file path=word/document.xml><?xml version="1.0" encoding="utf-8"?>
<w:document xmlns:r="http://schemas.openxmlformats.org/officeDocument/2006/relationships" xmlns:w="http://schemas.openxmlformats.org/wordprocessingml/2006/main">
  <w:body>
    <w:p>
      <w:pPr>
        <w:spacing w:before="1500" w:after="0"/>
        <w:jc w:val="center"/>
      </w:pPr>
      <w:r>
        <w:rPr>
          <w:rFonts w:ascii="Georgia" w:hAnsi="Georgia" w:eastAsia="Microsoft YaHei"/>
          <w:color w:val="263238"/>
          <w:sz w:val="22"/>
        </w:rPr>
        <w:t xml:space="preserve"/>
      </w:r>
    </w:p>
    <w:p>
      <w:pPr>
        <w:spacing w:before="0" w:after="120"/>
        <w:jc w:val="center"/>
      </w:pPr>
      <w:r>
        <w:rPr>
          <w:rFonts w:ascii="Georgia" w:hAnsi="Georgia" w:eastAsia="Microsoft YaHei"/>
          <w:b/>
          <w:smallCaps/>
          <w:color w:val="1C3F4E"/>
          <w:sz w:val="72"/>
        </w:rPr>
        <w:t xml:space="preserve">THE HORMUZ</w:t>
      </w:r>
    </w:p>
    <w:p>
      <w:pPr>
        <w:spacing w:before="0" w:after="400"/>
        <w:jc w:val="center"/>
      </w:pPr>
      <w:r>
        <w:rPr>
          <w:rFonts w:ascii="Georgia" w:hAnsi="Georgia" w:eastAsia="Microsoft YaHei"/>
          <w:b/>
          <w:smallCaps/>
          <w:color w:val="1C3F4E"/>
          <w:sz w:val="72"/>
        </w:rPr>
        <w:t xml:space="preserve">GLOBAL COMMERCE ACCORD</w:t>
      </w:r>
    </w:p>
    <w:p>
      <w:pPr>
        <w:pBdr>
          <w:bottom w:val="single" w:color="B8860B" w:sz="14" w:space="1"/>
        </w:pBdr>
        <w:spacing w:before="0" w:after="400"/>
        <w:ind w:left="3200" w:right="3200"/>
      </w:pPr>
    </w:p>
    <w:p>
      <w:pPr>
        <w:spacing w:before="0" w:after="200"/>
        <w:jc w:val="center"/>
      </w:pPr>
      <w:r>
        <w:rPr>
          <w:rFonts w:ascii="Georgia" w:hAnsi="Georgia" w:eastAsia="Microsoft YaHei"/>
          <w:color w:val="37525E"/>
          <w:sz w:val="28"/>
        </w:rPr>
        <w:t xml:space="preserve">The Final Governance Architecture for the Strait of Hormuz</w:t>
      </w:r>
    </w:p>
    <w:p>
      <w:pPr>
        <w:spacing w:before="0" w:after="800"/>
        <w:jc w:val="center"/>
      </w:pPr>
      <w:r>
        <w:rPr>
          <w:rFonts w:ascii="Georgia" w:hAnsi="Georgia" w:eastAsia="Microsoft YaHei"/>
          <w:color w:val="6E8A96"/>
          <w:sz w:val="22"/>
        </w:rPr>
        <w:t xml:space="preserve">Corridors, Institutions, Finance, Verification, Compliance, and Activation</w:t>
      </w:r>
    </w:p>
    <w:p>
      <w:pPr>
        <w:spacing w:before="0" w:after="160"/>
        <w:jc w:val="center"/>
      </w:pPr>
      <w:r>
        <w:rPr>
          <w:rFonts w:ascii="Georgia" w:hAnsi="Georgia" w:eastAsia="Microsoft YaHei"/>
          <w:b/>
          <w:color w:val="B8860B"/>
          <w:sz w:val="24"/>
        </w:rPr>
        <w:t xml:space="preserve">VERSION 1.1  |  AUGUST 2026</w:t>
      </w:r>
    </w:p>
    <w:p>
      <w:pPr>
        <w:spacing w:before="0" w:after="600"/>
        <w:jc w:val="center"/>
      </w:pPr>
      <w:r>
        <w:rPr>
          <w:rFonts w:ascii="Georgia" w:hAnsi="Georgia" w:eastAsia="Microsoft YaHei"/>
          <w:color w:val="263238"/>
          <w:sz w:val="20"/>
        </w:rPr>
        <w:t xml:space="preserve">Negotiating Draft for Authorized Participants</w:t>
      </w:r>
    </w:p>
    <w:p>
      <w:pPr>
        <w:spacing w:before="0" w:after="120"/>
        <w:jc w:val="center"/>
      </w:pPr>
      <w:r>
        <w:rPr>
          <w:rFonts w:ascii="Georgia" w:hAnsi="Georgia" w:eastAsia="Microsoft YaHei"/>
          <w:b/>
          <w:color w:val="263238"/>
          <w:sz w:val="22"/>
        </w:rPr>
        <w:t xml:space="preserve">The Islamic Republic of Iran  ·  The Sultanate of Oman</w:t>
      </w:r>
    </w:p>
    <w:p>
      <w:pPr>
        <w:spacing w:before="0" w:after="60"/>
        <w:jc w:val="center"/>
      </w:pPr>
      <w:r>
        <w:rPr>
          <w:rFonts w:ascii="Georgia" w:hAnsi="Georgia" w:eastAsia="Microsoft YaHei"/>
          <w:color w:val="263238"/>
          <w:sz w:val="20"/>
        </w:rPr>
        <w:t xml:space="preserve">with the Gulf Cooperation Council Observer College</w:t>
      </w:r>
    </w:p>
    <w:p>
      <w:pPr>
        <w:spacing w:before="0" w:after="300"/>
        <w:jc w:val="center"/>
      </w:pPr>
      <w:r>
        <w:rPr>
          <w:rFonts w:ascii="Georgia" w:hAnsi="Georgia" w:eastAsia="Microsoft YaHei"/>
          <w:color w:val="263238"/>
          <w:sz w:val="20"/>
        </w:rPr>
        <w:t xml:space="preserve">and the United States of America as Endorsing Stakeholder</w:t>
      </w:r>
    </w:p>
    <w:p>
      <w:pPr>
        <w:spacing w:before="0" w:after="60"/>
        <w:jc w:val="center"/>
      </w:pPr>
      <w:r>
        <w:rPr>
          <w:rFonts w:ascii="Georgia" w:hAnsi="Georgia" w:eastAsia="Microsoft YaHei"/>
          <w:color w:val="6E8A96"/>
          <w:sz w:val="19"/>
        </w:rPr>
        <w:t xml:space="preserve">Mediator of Record: The Sultanate of Oman</w:t>
      </w:r>
    </w:p>
    <w:p>
      <w:pPr>
        <w:spacing w:before="0" w:after="60"/>
        <w:jc w:val="center"/>
      </w:pPr>
      <w:r>
        <w:rPr>
          <w:rFonts w:ascii="Georgia" w:hAnsi="Georgia" w:eastAsia="Microsoft YaHei"/>
          <w:color w:val="6E8A96"/>
          <w:sz w:val="19"/>
        </w:rPr>
        <w:t xml:space="preserve">Neutral Facilitator and Depositary: The Swiss Confederation</w:t>
      </w:r>
    </w:p>
    <w:p>
      <w:pPr>
        <w:spacing w:before="0" w:after="300"/>
        <w:jc w:val="center"/>
      </w:pPr>
      <w:r>
        <w:rPr>
          <w:rFonts w:ascii="Georgia" w:hAnsi="Georgia" w:eastAsia="Microsoft YaHei"/>
          <w:color w:val="6E8A96"/>
          <w:sz w:val="19"/>
        </w:rPr>
        <w:t xml:space="preserve">Facilitators: The State of Qatar and the Islamic Republic of Pakistan</w:t>
      </w:r>
    </w:p>
    <w:p>
      <w:pPr>
        <w:spacing w:before="0" w:after="60"/>
        <w:jc w:val="center"/>
      </w:pPr>
      <w:r>
        <w:rPr>
          <w:rFonts w:ascii="Georgia" w:hAnsi="Georgia" w:eastAsia="Microsoft YaHei"/>
          <w:color w:val="6E8A96"/>
          <w:sz w:val="18"/>
        </w:rPr>
        <w:t xml:space="preserve">Drafted in strict adherence to the Immutable Present-Tense Matrix</w:t>
      </w:r>
    </w:p>
    <w:p>
      <w:pPr>
        <w:spacing w:before="0" w:after="0"/>
        <w:jc w:val="center"/>
      </w:pPr>
      <w:r>
        <w:rPr>
          <w:rFonts w:ascii="Georgia" w:hAnsi="Georgia" w:eastAsia="Microsoft YaHei"/>
          <w:color w:val="6E8A96"/>
          <w:sz w:val="18"/>
        </w:rPr>
        <w:t xml:space="preserve">Lodged with the International Maritime Organization upon entry into force</w:t>
      </w:r>
    </w:p>
    <w:p>
      <w:pPr>
        <w:sectPr>
          <w:type w:val="nextPage"/>
          <w:pgSz w:w="11906" w:h="16838"/>
          <w:pgMar w:top="1440" w:right="1440" w:bottom="1440" w:left="1440" w:header="720" w:footer="720"/>
          <w:pgBorders w:offsetFrom="page">
            <w:top w:val="double" w:color="B8860B" w:sz="10" w:space="28"/>
            <w:left w:val="double" w:color="B8860B" w:sz="10" w:space="28"/>
            <w:bottom w:val="double" w:color="B8860B" w:sz="10" w:space="28"/>
            <w:right w:val="double" w:color="B8860B" w:sz="10" w:space="28"/>
          </w:pgBorders>
        </w:sectPr>
      </w:pPr>
    </w:p>
    <w:p>
      <w:pPr>
        <w:keepNext/>
        <w:keepLines/>
        <w:pageBreakBefore/>
        <w:pBdr>
          <w:bottom w:val="single" w:color="B8860B" w:sz="12" w:space="4"/>
        </w:pBdr>
        <w:spacing w:before="0" w:after="360"/>
      </w:pPr>
      <w:r>
        <w:rPr>
          <w:rFonts w:ascii="Georgia" w:hAnsi="Georgia" w:eastAsia="Microsoft YaHei"/>
          <w:b/>
          <w:color w:val="1C3F4E"/>
          <w:sz w:val="32"/>
        </w:rPr>
        <w:t xml:space="preserve">Table of Contents</w:t>
      </w:r>
    </w:p>
    <w:p>
      <w:pPr>
        <w:pStyle w:val="TOC1"/>
      </w:pPr>
      <w:r>
        <w:rPr>
          <w:noProof/>
          <w:webHidden/>
        </w:rPr>
        <w:fldChar w:fldCharType="begin" w:dirty="true"/>
      </w:r>
      <w:r>
        <w:rPr>
          <w:noProof/>
          <w:webHidden/>
        </w:rPr>
        <w:instrText xml:space="preserve"> TOC \o "1-2" \h \z \u </w:instrText>
      </w:r>
      <w:r>
        <w:rPr>
          <w:noProof/>
          <w:webHidden/>
        </w:rPr>
        <w:fldChar w:fldCharType="separate"/>
      </w:r>
      <w:hyperlink w:anchor="_Toc263100000" w:history="1">
        <w:r>
          <w:rPr>
            <w:rFonts w:ascii="Georgia" w:hAnsi="Georgia" w:eastAsia="Microsoft YaHei"/>
            <w:color w:val="263238"/>
            <w:sz w:val="22"/>
            <w:noProof/>
          </w:rPr>
          <w:t xml:space="preserve">Executive Summary</w:t>
        </w:r>
        <w:r>
          <w:rPr>
            <w:noProof/>
            <w:webHidden/>
          </w:rPr>
          <w:tab/>
        </w:r>
        <w:r>
          <w:rPr>
            <w:noProof/>
            <w:webHidden/>
          </w:rPr>
          <w:fldChar w:fldCharType="begin"/>
        </w:r>
        <w:r>
          <w:rPr>
            <w:noProof/>
            <w:webHidden/>
          </w:rPr>
          <w:instrText xml:space="preserve"> PAGEREF _Toc263100000 \h </w:instrText>
        </w:r>
        <w:r>
          <w:rPr>
            <w:noProof/>
            <w:webHidden/>
          </w:rPr>
          <w:fldChar w:fldCharType="separate"/>
        </w:r>
        <w:r>
          <w:rPr>
            <w:rFonts w:ascii="Georgia" w:hAnsi="Georgia" w:eastAsia="Microsoft YaHei"/>
            <w:color w:val="263238"/>
            <w:sz w:val="22"/>
            <w:noProof/>
            <w:webHidden/>
          </w:rPr>
          <w:t xml:space="preserve">11</w:t>
        </w:r>
        <w:r>
          <w:rPr>
            <w:noProof/>
            <w:webHidden/>
          </w:rPr>
          <w:fldChar w:fldCharType="end"/>
        </w:r>
      </w:hyperlink>
    </w:p>
    <w:p>
      <w:pPr>
        <w:pStyle w:val="TOC1"/>
      </w:pPr>
      <w:hyperlink w:anchor="_Toc263100001" w:history="1">
        <w:r>
          <w:rPr>
            <w:rFonts w:ascii="Georgia" w:hAnsi="Georgia" w:eastAsia="Microsoft YaHei"/>
            <w:color w:val="263238"/>
            <w:sz w:val="22"/>
            <w:noProof/>
          </w:rPr>
          <w:t xml:space="preserve">Reader's Guide: How to Use This Accord</w:t>
        </w:r>
        <w:r>
          <w:rPr>
            <w:noProof/>
            <w:webHidden/>
          </w:rPr>
          <w:tab/>
        </w:r>
        <w:r>
          <w:rPr>
            <w:noProof/>
            <w:webHidden/>
          </w:rPr>
          <w:fldChar w:fldCharType="begin"/>
        </w:r>
        <w:r>
          <w:rPr>
            <w:noProof/>
            <w:webHidden/>
          </w:rPr>
          <w:instrText xml:space="preserve"> PAGEREF _Toc263100001 \h </w:instrText>
        </w:r>
        <w:r>
          <w:rPr>
            <w:noProof/>
            <w:webHidden/>
          </w:rPr>
          <w:fldChar w:fldCharType="separate"/>
        </w:r>
        <w:r>
          <w:rPr>
            <w:rFonts w:ascii="Georgia" w:hAnsi="Georgia" w:eastAsia="Microsoft YaHei"/>
            <w:color w:val="263238"/>
            <w:sz w:val="22"/>
            <w:noProof/>
            <w:webHidden/>
          </w:rPr>
          <w:t xml:space="preserve">13</w:t>
        </w:r>
        <w:r>
          <w:rPr>
            <w:noProof/>
            <w:webHidden/>
          </w:rPr>
          <w:fldChar w:fldCharType="end"/>
        </w:r>
      </w:hyperlink>
    </w:p>
    <w:p>
      <w:pPr>
        <w:pStyle w:val="TOC1"/>
      </w:pPr>
      <w:hyperlink w:anchor="_Toc263100002" w:history="1">
        <w:r>
          <w:rPr>
            <w:rFonts w:ascii="Georgia" w:hAnsi="Georgia" w:eastAsia="Microsoft YaHei"/>
            <w:color w:val="263238"/>
            <w:sz w:val="22"/>
            <w:noProof/>
          </w:rPr>
          <w:t xml:space="preserve">Document Control</w:t>
        </w:r>
        <w:r>
          <w:rPr>
            <w:noProof/>
            <w:webHidden/>
          </w:rPr>
          <w:tab/>
        </w:r>
        <w:r>
          <w:rPr>
            <w:noProof/>
            <w:webHidden/>
          </w:rPr>
          <w:fldChar w:fldCharType="begin"/>
        </w:r>
        <w:r>
          <w:rPr>
            <w:noProof/>
            <w:webHidden/>
          </w:rPr>
          <w:instrText xml:space="preserve"> PAGEREF _Toc263100002 \h </w:instrText>
        </w:r>
        <w:r>
          <w:rPr>
            <w:noProof/>
            <w:webHidden/>
          </w:rPr>
          <w:fldChar w:fldCharType="separate"/>
        </w:r>
        <w:r>
          <w:rPr>
            <w:rFonts w:ascii="Georgia" w:hAnsi="Georgia" w:eastAsia="Microsoft YaHei"/>
            <w:color w:val="263238"/>
            <w:sz w:val="22"/>
            <w:noProof/>
            <w:webHidden/>
          </w:rPr>
          <w:t xml:space="preserve">14</w:t>
        </w:r>
        <w:r>
          <w:rPr>
            <w:noProof/>
            <w:webHidden/>
          </w:rPr>
          <w:fldChar w:fldCharType="end"/>
        </w:r>
      </w:hyperlink>
    </w:p>
    <w:p>
      <w:pPr>
        <w:pStyle w:val="TOC1"/>
      </w:pPr>
      <w:hyperlink w:anchor="_Toc263100003" w:history="1">
        <w:r>
          <w:rPr>
            <w:rFonts w:ascii="Georgia" w:hAnsi="Georgia" w:eastAsia="Microsoft YaHei"/>
            <w:color w:val="263238"/>
            <w:sz w:val="22"/>
            <w:noProof/>
          </w:rPr>
          <w:t xml:space="preserve">The Hormuz Declaration of Principles</w:t>
        </w:r>
        <w:r>
          <w:rPr>
            <w:noProof/>
            <w:webHidden/>
          </w:rPr>
          <w:tab/>
        </w:r>
        <w:r>
          <w:rPr>
            <w:noProof/>
            <w:webHidden/>
          </w:rPr>
          <w:fldChar w:fldCharType="begin"/>
        </w:r>
        <w:r>
          <w:rPr>
            <w:noProof/>
            <w:webHidden/>
          </w:rPr>
          <w:instrText xml:space="preserve"> PAGEREF _Toc263100003 \h </w:instrText>
        </w:r>
        <w:r>
          <w:rPr>
            <w:noProof/>
            <w:webHidden/>
          </w:rPr>
          <w:fldChar w:fldCharType="separate"/>
        </w:r>
        <w:r>
          <w:rPr>
            <w:rFonts w:ascii="Georgia" w:hAnsi="Georgia" w:eastAsia="Microsoft YaHei"/>
            <w:color w:val="263238"/>
            <w:sz w:val="22"/>
            <w:noProof/>
            <w:webHidden/>
          </w:rPr>
          <w:t xml:space="preserve">16</w:t>
        </w:r>
        <w:r>
          <w:rPr>
            <w:noProof/>
            <w:webHidden/>
          </w:rPr>
          <w:fldChar w:fldCharType="end"/>
        </w:r>
      </w:hyperlink>
    </w:p>
    <w:p>
      <w:pPr>
        <w:pStyle w:val="TOC1"/>
      </w:pPr>
      <w:hyperlink w:anchor="_Toc263100004" w:history="1">
        <w:r>
          <w:rPr>
            <w:rFonts w:ascii="Georgia" w:hAnsi="Georgia" w:eastAsia="Microsoft YaHei"/>
            <w:color w:val="263238"/>
            <w:sz w:val="22"/>
            <w:noProof/>
          </w:rPr>
          <w:t xml:space="preserve">Preamble: The Moment of August 2026</w:t>
        </w:r>
        <w:r>
          <w:rPr>
            <w:noProof/>
            <w:webHidden/>
          </w:rPr>
          <w:tab/>
        </w:r>
        <w:r>
          <w:rPr>
            <w:noProof/>
            <w:webHidden/>
          </w:rPr>
          <w:fldChar w:fldCharType="begin"/>
        </w:r>
        <w:r>
          <w:rPr>
            <w:noProof/>
            <w:webHidden/>
          </w:rPr>
          <w:instrText xml:space="preserve"> PAGEREF _Toc263100004 \h </w:instrText>
        </w:r>
        <w:r>
          <w:rPr>
            <w:noProof/>
            <w:webHidden/>
          </w:rPr>
          <w:fldChar w:fldCharType="separate"/>
        </w:r>
        <w:r>
          <w:rPr>
            <w:rFonts w:ascii="Georgia" w:hAnsi="Georgia" w:eastAsia="Microsoft YaHei"/>
            <w:color w:val="263238"/>
            <w:sz w:val="22"/>
            <w:noProof/>
            <w:webHidden/>
          </w:rPr>
          <w:t xml:space="preserve">18</w:t>
        </w:r>
        <w:r>
          <w:rPr>
            <w:noProof/>
            <w:webHidden/>
          </w:rPr>
          <w:fldChar w:fldCharType="end"/>
        </w:r>
      </w:hyperlink>
    </w:p>
    <w:p>
      <w:pPr>
        <w:pStyle w:val="TOC1"/>
      </w:pPr>
      <w:hyperlink w:anchor="_Toc263100005" w:history="1">
        <w:r>
          <w:rPr>
            <w:rFonts w:ascii="Georgia" w:hAnsi="Georgia" w:eastAsia="Microsoft YaHei"/>
            <w:color w:val="263238"/>
            <w:sz w:val="22"/>
            <w:noProof/>
          </w:rPr>
          <w:t xml:space="preserve">Part I: Foundations</w:t>
        </w:r>
        <w:r>
          <w:rPr>
            <w:noProof/>
            <w:webHidden/>
          </w:rPr>
          <w:tab/>
        </w:r>
        <w:r>
          <w:rPr>
            <w:noProof/>
            <w:webHidden/>
          </w:rPr>
          <w:fldChar w:fldCharType="begin"/>
        </w:r>
        <w:r>
          <w:rPr>
            <w:noProof/>
            <w:webHidden/>
          </w:rPr>
          <w:instrText xml:space="preserve"> PAGEREF _Toc263100005 \h </w:instrText>
        </w:r>
        <w:r>
          <w:rPr>
            <w:noProof/>
            <w:webHidden/>
          </w:rPr>
          <w:fldChar w:fldCharType="separate"/>
        </w:r>
        <w:r>
          <w:rPr>
            <w:rFonts w:ascii="Georgia" w:hAnsi="Georgia" w:eastAsia="Microsoft YaHei"/>
            <w:color w:val="263238"/>
            <w:sz w:val="22"/>
            <w:noProof/>
            <w:webHidden/>
          </w:rPr>
          <w:t xml:space="preserve">20</w:t>
        </w:r>
        <w:r>
          <w:rPr>
            <w:noProof/>
            <w:webHidden/>
          </w:rPr>
          <w:fldChar w:fldCharType="end"/>
        </w:r>
      </w:hyperlink>
    </w:p>
    <w:p>
      <w:pPr>
        <w:pStyle w:val="TOC2"/>
      </w:pPr>
      <w:hyperlink w:anchor="_Toc263100006" w:history="1">
        <w:r>
          <w:rPr>
            <w:rFonts w:ascii="Georgia" w:hAnsi="Georgia" w:eastAsia="Microsoft YaHei"/>
            <w:color w:val="263238"/>
            <w:sz w:val="22"/>
            <w:noProof/>
          </w:rPr>
          <w:t xml:space="preserve">Article 1: Establishment, Purpose, and Scope</w:t>
        </w:r>
        <w:r>
          <w:rPr>
            <w:noProof/>
            <w:webHidden/>
          </w:rPr>
          <w:tab/>
        </w:r>
        <w:r>
          <w:rPr>
            <w:noProof/>
            <w:webHidden/>
          </w:rPr>
          <w:fldChar w:fldCharType="begin"/>
        </w:r>
        <w:r>
          <w:rPr>
            <w:noProof/>
            <w:webHidden/>
          </w:rPr>
          <w:instrText xml:space="preserve"> PAGEREF _Toc263100006 \h </w:instrText>
        </w:r>
        <w:r>
          <w:rPr>
            <w:noProof/>
            <w:webHidden/>
          </w:rPr>
          <w:fldChar w:fldCharType="separate"/>
        </w:r>
        <w:r>
          <w:rPr>
            <w:rFonts w:ascii="Georgia" w:hAnsi="Georgia" w:eastAsia="Microsoft YaHei"/>
            <w:color w:val="263238"/>
            <w:sz w:val="22"/>
            <w:noProof/>
            <w:webHidden/>
          </w:rPr>
          <w:t xml:space="preserve">20</w:t>
        </w:r>
        <w:r>
          <w:rPr>
            <w:noProof/>
            <w:webHidden/>
          </w:rPr>
          <w:fldChar w:fldCharType="end"/>
        </w:r>
      </w:hyperlink>
    </w:p>
    <w:p>
      <w:pPr>
        <w:pStyle w:val="TOC2"/>
      </w:pPr>
      <w:hyperlink w:anchor="_Toc263100007" w:history="1">
        <w:r>
          <w:rPr>
            <w:rFonts w:ascii="Georgia" w:hAnsi="Georgia" w:eastAsia="Microsoft YaHei"/>
            <w:color w:val="263238"/>
            <w:sz w:val="22"/>
            <w:noProof/>
          </w:rPr>
          <w:t xml:space="preserve">Article 2: Legal Foundations</w:t>
        </w:r>
        <w:r>
          <w:rPr>
            <w:noProof/>
            <w:webHidden/>
          </w:rPr>
          <w:tab/>
        </w:r>
        <w:r>
          <w:rPr>
            <w:noProof/>
            <w:webHidden/>
          </w:rPr>
          <w:fldChar w:fldCharType="begin"/>
        </w:r>
        <w:r>
          <w:rPr>
            <w:noProof/>
            <w:webHidden/>
          </w:rPr>
          <w:instrText xml:space="preserve"> PAGEREF _Toc263100007 \h </w:instrText>
        </w:r>
        <w:r>
          <w:rPr>
            <w:noProof/>
            <w:webHidden/>
          </w:rPr>
          <w:fldChar w:fldCharType="separate"/>
        </w:r>
        <w:r>
          <w:rPr>
            <w:rFonts w:ascii="Georgia" w:hAnsi="Georgia" w:eastAsia="Microsoft YaHei"/>
            <w:color w:val="263238"/>
            <w:sz w:val="22"/>
            <w:noProof/>
            <w:webHidden/>
          </w:rPr>
          <w:t xml:space="preserve">21</w:t>
        </w:r>
        <w:r>
          <w:rPr>
            <w:noProof/>
            <w:webHidden/>
          </w:rPr>
          <w:fldChar w:fldCharType="end"/>
        </w:r>
      </w:hyperlink>
    </w:p>
    <w:p>
      <w:pPr>
        <w:pStyle w:val="TOC2"/>
      </w:pPr>
      <w:hyperlink w:anchor="_Toc263100008" w:history="1">
        <w:r>
          <w:rPr>
            <w:rFonts w:ascii="Georgia" w:hAnsi="Georgia" w:eastAsia="Microsoft YaHei"/>
            <w:color w:val="263238"/>
            <w:sz w:val="22"/>
            <w:noProof/>
          </w:rPr>
          <w:t xml:space="preserve">Article 3: Core Operating Principles</w:t>
        </w:r>
        <w:r>
          <w:rPr>
            <w:noProof/>
            <w:webHidden/>
          </w:rPr>
          <w:tab/>
        </w:r>
        <w:r>
          <w:rPr>
            <w:noProof/>
            <w:webHidden/>
          </w:rPr>
          <w:fldChar w:fldCharType="begin"/>
        </w:r>
        <w:r>
          <w:rPr>
            <w:noProof/>
            <w:webHidden/>
          </w:rPr>
          <w:instrText xml:space="preserve"> PAGEREF _Toc263100008 \h </w:instrText>
        </w:r>
        <w:r>
          <w:rPr>
            <w:noProof/>
            <w:webHidden/>
          </w:rPr>
          <w:fldChar w:fldCharType="separate"/>
        </w:r>
        <w:r>
          <w:rPr>
            <w:rFonts w:ascii="Georgia" w:hAnsi="Georgia" w:eastAsia="Microsoft YaHei"/>
            <w:color w:val="263238"/>
            <w:sz w:val="22"/>
            <w:noProof/>
            <w:webHidden/>
          </w:rPr>
          <w:t xml:space="preserve">23</w:t>
        </w:r>
        <w:r>
          <w:rPr>
            <w:noProof/>
            <w:webHidden/>
          </w:rPr>
          <w:fldChar w:fldCharType="end"/>
        </w:r>
      </w:hyperlink>
    </w:p>
    <w:p>
      <w:pPr>
        <w:pStyle w:val="TOC2"/>
      </w:pPr>
      <w:hyperlink w:anchor="_Toc263100009" w:history="1">
        <w:r>
          <w:rPr>
            <w:rFonts w:ascii="Georgia" w:hAnsi="Georgia" w:eastAsia="Microsoft YaHei"/>
            <w:color w:val="263238"/>
            <w:sz w:val="22"/>
            <w:noProof/>
          </w:rPr>
          <w:t xml:space="preserve">Article 4: The Six-Step Rule and the Simplicity Mandate</w:t>
        </w:r>
        <w:r>
          <w:rPr>
            <w:noProof/>
            <w:webHidden/>
          </w:rPr>
          <w:tab/>
        </w:r>
        <w:r>
          <w:rPr>
            <w:noProof/>
            <w:webHidden/>
          </w:rPr>
          <w:fldChar w:fldCharType="begin"/>
        </w:r>
        <w:r>
          <w:rPr>
            <w:noProof/>
            <w:webHidden/>
          </w:rPr>
          <w:instrText xml:space="preserve"> PAGEREF _Toc263100009 \h </w:instrText>
        </w:r>
        <w:r>
          <w:rPr>
            <w:noProof/>
            <w:webHidden/>
          </w:rPr>
          <w:fldChar w:fldCharType="separate"/>
        </w:r>
        <w:r>
          <w:rPr>
            <w:rFonts w:ascii="Georgia" w:hAnsi="Georgia" w:eastAsia="Microsoft YaHei"/>
            <w:color w:val="263238"/>
            <w:sz w:val="22"/>
            <w:noProof/>
            <w:webHidden/>
          </w:rPr>
          <w:t xml:space="preserve">24</w:t>
        </w:r>
        <w:r>
          <w:rPr>
            <w:noProof/>
            <w:webHidden/>
          </w:rPr>
          <w:fldChar w:fldCharType="end"/>
        </w:r>
      </w:hyperlink>
    </w:p>
    <w:p>
      <w:pPr>
        <w:pStyle w:val="TOC2"/>
      </w:pPr>
      <w:hyperlink w:anchor="_Toc263100010" w:history="1">
        <w:r>
          <w:rPr>
            <w:rFonts w:ascii="Georgia" w:hAnsi="Georgia" w:eastAsia="Microsoft YaHei"/>
            <w:color w:val="263238"/>
            <w:sz w:val="22"/>
            <w:noProof/>
          </w:rPr>
          <w:t xml:space="preserve">Article 5: The Nofade Guarantee</w:t>
        </w:r>
        <w:r>
          <w:rPr>
            <w:noProof/>
            <w:webHidden/>
          </w:rPr>
          <w:tab/>
        </w:r>
        <w:r>
          <w:rPr>
            <w:noProof/>
            <w:webHidden/>
          </w:rPr>
          <w:fldChar w:fldCharType="begin"/>
        </w:r>
        <w:r>
          <w:rPr>
            <w:noProof/>
            <w:webHidden/>
          </w:rPr>
          <w:instrText xml:space="preserve"> PAGEREF _Toc263100010 \h </w:instrText>
        </w:r>
        <w:r>
          <w:rPr>
            <w:noProof/>
            <w:webHidden/>
          </w:rPr>
          <w:fldChar w:fldCharType="separate"/>
        </w:r>
        <w:r>
          <w:rPr>
            <w:rFonts w:ascii="Georgia" w:hAnsi="Georgia" w:eastAsia="Microsoft YaHei"/>
            <w:color w:val="263238"/>
            <w:sz w:val="22"/>
            <w:noProof/>
            <w:webHidden/>
          </w:rPr>
          <w:t xml:space="preserve">24</w:t>
        </w:r>
        <w:r>
          <w:rPr>
            <w:noProof/>
            <w:webHidden/>
          </w:rPr>
          <w:fldChar w:fldCharType="end"/>
        </w:r>
      </w:hyperlink>
    </w:p>
    <w:p>
      <w:pPr>
        <w:pStyle w:val="TOC2"/>
      </w:pPr>
      <w:hyperlink w:anchor="_Toc263100011" w:history="1">
        <w:r>
          <w:rPr>
            <w:rFonts w:ascii="Georgia" w:hAnsi="Georgia" w:eastAsia="Microsoft YaHei"/>
            <w:color w:val="263238"/>
            <w:sz w:val="22"/>
            <w:noProof/>
          </w:rPr>
          <w:t xml:space="preserve">Article 6: The Red Lines Register and the Perimeter Test</w:t>
        </w:r>
        <w:r>
          <w:rPr>
            <w:noProof/>
            <w:webHidden/>
          </w:rPr>
          <w:tab/>
        </w:r>
        <w:r>
          <w:rPr>
            <w:noProof/>
            <w:webHidden/>
          </w:rPr>
          <w:fldChar w:fldCharType="begin"/>
        </w:r>
        <w:r>
          <w:rPr>
            <w:noProof/>
            <w:webHidden/>
          </w:rPr>
          <w:instrText xml:space="preserve"> PAGEREF _Toc263100011 \h </w:instrText>
        </w:r>
        <w:r>
          <w:rPr>
            <w:noProof/>
            <w:webHidden/>
          </w:rPr>
          <w:fldChar w:fldCharType="separate"/>
        </w:r>
        <w:r>
          <w:rPr>
            <w:rFonts w:ascii="Georgia" w:hAnsi="Georgia" w:eastAsia="Microsoft YaHei"/>
            <w:color w:val="263238"/>
            <w:sz w:val="22"/>
            <w:noProof/>
            <w:webHidden/>
          </w:rPr>
          <w:t xml:space="preserve">26</w:t>
        </w:r>
        <w:r>
          <w:rPr>
            <w:noProof/>
            <w:webHidden/>
          </w:rPr>
          <w:fldChar w:fldCharType="end"/>
        </w:r>
      </w:hyperlink>
    </w:p>
    <w:p>
      <w:pPr>
        <w:pStyle w:val="TOC2"/>
      </w:pPr>
      <w:hyperlink w:anchor="_Toc263100012" w:history="1">
        <w:r>
          <w:rPr>
            <w:rFonts w:ascii="Georgia" w:hAnsi="Georgia" w:eastAsia="Microsoft YaHei"/>
            <w:color w:val="263238"/>
            <w:sz w:val="22"/>
            <w:noProof/>
          </w:rPr>
          <w:t xml:space="preserve">Article 7: Definitions</w:t>
        </w:r>
        <w:r>
          <w:rPr>
            <w:noProof/>
            <w:webHidden/>
          </w:rPr>
          <w:tab/>
        </w:r>
        <w:r>
          <w:rPr>
            <w:noProof/>
            <w:webHidden/>
          </w:rPr>
          <w:fldChar w:fldCharType="begin"/>
        </w:r>
        <w:r>
          <w:rPr>
            <w:noProof/>
            <w:webHidden/>
          </w:rPr>
          <w:instrText xml:space="preserve"> PAGEREF _Toc263100012 \h </w:instrText>
        </w:r>
        <w:r>
          <w:rPr>
            <w:noProof/>
            <w:webHidden/>
          </w:rPr>
          <w:fldChar w:fldCharType="separate"/>
        </w:r>
        <w:r>
          <w:rPr>
            <w:rFonts w:ascii="Georgia" w:hAnsi="Georgia" w:eastAsia="Microsoft YaHei"/>
            <w:color w:val="263238"/>
            <w:sz w:val="22"/>
            <w:noProof/>
            <w:webHidden/>
          </w:rPr>
          <w:t xml:space="preserve">27</w:t>
        </w:r>
        <w:r>
          <w:rPr>
            <w:noProof/>
            <w:webHidden/>
          </w:rPr>
          <w:fldChar w:fldCharType="end"/>
        </w:r>
      </w:hyperlink>
    </w:p>
    <w:p>
      <w:pPr>
        <w:pStyle w:val="TOC1"/>
      </w:pPr>
      <w:hyperlink w:anchor="_Toc263100013" w:history="1">
        <w:r>
          <w:rPr>
            <w:rFonts w:ascii="Georgia" w:hAnsi="Georgia" w:eastAsia="Microsoft YaHei"/>
            <w:color w:val="263238"/>
            <w:sz w:val="22"/>
            <w:noProof/>
          </w:rPr>
          <w:t xml:space="preserve">Part II: The Three-Corridor Navigation System</w:t>
        </w:r>
        <w:r>
          <w:rPr>
            <w:noProof/>
            <w:webHidden/>
          </w:rPr>
          <w:tab/>
        </w:r>
        <w:r>
          <w:rPr>
            <w:noProof/>
            <w:webHidden/>
          </w:rPr>
          <w:fldChar w:fldCharType="begin"/>
        </w:r>
        <w:r>
          <w:rPr>
            <w:noProof/>
            <w:webHidden/>
          </w:rPr>
          <w:instrText xml:space="preserve"> PAGEREF _Toc263100013 \h </w:instrText>
        </w:r>
        <w:r>
          <w:rPr>
            <w:noProof/>
            <w:webHidden/>
          </w:rPr>
          <w:fldChar w:fldCharType="separate"/>
        </w:r>
        <w:r>
          <w:rPr>
            <w:rFonts w:ascii="Georgia" w:hAnsi="Georgia" w:eastAsia="Microsoft YaHei"/>
            <w:color w:val="263238"/>
            <w:sz w:val="22"/>
            <w:noProof/>
            <w:webHidden/>
          </w:rPr>
          <w:t xml:space="preserve">29</w:t>
        </w:r>
        <w:r>
          <w:rPr>
            <w:noProof/>
            <w:webHidden/>
          </w:rPr>
          <w:fldChar w:fldCharType="end"/>
        </w:r>
      </w:hyperlink>
    </w:p>
    <w:p>
      <w:pPr>
        <w:pStyle w:val="TOC2"/>
      </w:pPr>
      <w:hyperlink w:anchor="_Toc263100014" w:history="1">
        <w:r>
          <w:rPr>
            <w:rFonts w:ascii="Georgia" w:hAnsi="Georgia" w:eastAsia="Microsoft YaHei"/>
            <w:color w:val="263238"/>
            <w:sz w:val="22"/>
            <w:noProof/>
          </w:rPr>
          <w:t xml:space="preserve">Article 8: The Governance Area and Boundary Coordinates</w:t>
        </w:r>
        <w:r>
          <w:rPr>
            <w:noProof/>
            <w:webHidden/>
          </w:rPr>
          <w:tab/>
        </w:r>
        <w:r>
          <w:rPr>
            <w:noProof/>
            <w:webHidden/>
          </w:rPr>
          <w:fldChar w:fldCharType="begin"/>
        </w:r>
        <w:r>
          <w:rPr>
            <w:noProof/>
            <w:webHidden/>
          </w:rPr>
          <w:instrText xml:space="preserve"> PAGEREF _Toc263100014 \h </w:instrText>
        </w:r>
        <w:r>
          <w:rPr>
            <w:noProof/>
            <w:webHidden/>
          </w:rPr>
          <w:fldChar w:fldCharType="separate"/>
        </w:r>
        <w:r>
          <w:rPr>
            <w:rFonts w:ascii="Georgia" w:hAnsi="Georgia" w:eastAsia="Microsoft YaHei"/>
            <w:color w:val="263238"/>
            <w:sz w:val="22"/>
            <w:noProof/>
            <w:webHidden/>
          </w:rPr>
          <w:t xml:space="preserve">29</w:t>
        </w:r>
        <w:r>
          <w:rPr>
            <w:noProof/>
            <w:webHidden/>
          </w:rPr>
          <w:fldChar w:fldCharType="end"/>
        </w:r>
      </w:hyperlink>
    </w:p>
    <w:p>
      <w:pPr>
        <w:pStyle w:val="TOC2"/>
      </w:pPr>
      <w:hyperlink w:anchor="_Toc263100015" w:history="1">
        <w:r>
          <w:rPr>
            <w:rFonts w:ascii="Georgia" w:hAnsi="Georgia" w:eastAsia="Microsoft YaHei"/>
            <w:color w:val="263238"/>
            <w:sz w:val="22"/>
            <w:noProof/>
          </w:rPr>
          <w:t xml:space="preserve">Article 9: The Three Corridors</w:t>
        </w:r>
        <w:r>
          <w:rPr>
            <w:noProof/>
            <w:webHidden/>
          </w:rPr>
          <w:tab/>
        </w:r>
        <w:r>
          <w:rPr>
            <w:noProof/>
            <w:webHidden/>
          </w:rPr>
          <w:fldChar w:fldCharType="begin"/>
        </w:r>
        <w:r>
          <w:rPr>
            <w:noProof/>
            <w:webHidden/>
          </w:rPr>
          <w:instrText xml:space="preserve"> PAGEREF _Toc263100015 \h </w:instrText>
        </w:r>
        <w:r>
          <w:rPr>
            <w:noProof/>
            <w:webHidden/>
          </w:rPr>
          <w:fldChar w:fldCharType="separate"/>
        </w:r>
        <w:r>
          <w:rPr>
            <w:rFonts w:ascii="Georgia" w:hAnsi="Georgia" w:eastAsia="Microsoft YaHei"/>
            <w:color w:val="263238"/>
            <w:sz w:val="22"/>
            <w:noProof/>
            <w:webHidden/>
          </w:rPr>
          <w:t xml:space="preserve">30</w:t>
        </w:r>
        <w:r>
          <w:rPr>
            <w:noProof/>
            <w:webHidden/>
          </w:rPr>
          <w:fldChar w:fldCharType="end"/>
        </w:r>
      </w:hyperlink>
    </w:p>
    <w:p>
      <w:pPr>
        <w:pStyle w:val="TOC2"/>
      </w:pPr>
      <w:hyperlink w:anchor="_Toc263100016" w:history="1">
        <w:r>
          <w:rPr>
            <w:rFonts w:ascii="Georgia" w:hAnsi="Georgia" w:eastAsia="Microsoft YaHei"/>
            <w:color w:val="263238"/>
            <w:sz w:val="22"/>
            <w:noProof/>
          </w:rPr>
          <w:t xml:space="preserve">Article 10: Flow States and the Open Water Bulletin</w:t>
        </w:r>
        <w:r>
          <w:rPr>
            <w:noProof/>
            <w:webHidden/>
          </w:rPr>
          <w:tab/>
        </w:r>
        <w:r>
          <w:rPr>
            <w:noProof/>
            <w:webHidden/>
          </w:rPr>
          <w:fldChar w:fldCharType="begin"/>
        </w:r>
        <w:r>
          <w:rPr>
            <w:noProof/>
            <w:webHidden/>
          </w:rPr>
          <w:instrText xml:space="preserve"> PAGEREF _Toc263100016 \h </w:instrText>
        </w:r>
        <w:r>
          <w:rPr>
            <w:noProof/>
            <w:webHidden/>
          </w:rPr>
          <w:fldChar w:fldCharType="separate"/>
        </w:r>
        <w:r>
          <w:rPr>
            <w:rFonts w:ascii="Georgia" w:hAnsi="Georgia" w:eastAsia="Microsoft YaHei"/>
            <w:color w:val="263238"/>
            <w:sz w:val="22"/>
            <w:noProof/>
            <w:webHidden/>
          </w:rPr>
          <w:t xml:space="preserve">32</w:t>
        </w:r>
        <w:r>
          <w:rPr>
            <w:noProof/>
            <w:webHidden/>
          </w:rPr>
          <w:fldChar w:fldCharType="end"/>
        </w:r>
      </w:hyperlink>
    </w:p>
    <w:p>
      <w:pPr>
        <w:pStyle w:val="TOC2"/>
      </w:pPr>
      <w:hyperlink w:anchor="_Toc263100017" w:history="1">
        <w:r>
          <w:rPr>
            <w:rFonts w:ascii="Georgia" w:hAnsi="Georgia" w:eastAsia="Microsoft YaHei"/>
            <w:color w:val="263238"/>
            <w:sz w:val="22"/>
            <w:noProof/>
          </w:rPr>
          <w:t xml:space="preserve">Article 11: Hazard Survey, Mines, and the Reopening Sequence</w:t>
        </w:r>
        <w:r>
          <w:rPr>
            <w:noProof/>
            <w:webHidden/>
          </w:rPr>
          <w:tab/>
        </w:r>
        <w:r>
          <w:rPr>
            <w:noProof/>
            <w:webHidden/>
          </w:rPr>
          <w:fldChar w:fldCharType="begin"/>
        </w:r>
        <w:r>
          <w:rPr>
            <w:noProof/>
            <w:webHidden/>
          </w:rPr>
          <w:instrText xml:space="preserve"> PAGEREF _Toc263100017 \h </w:instrText>
        </w:r>
        <w:r>
          <w:rPr>
            <w:noProof/>
            <w:webHidden/>
          </w:rPr>
          <w:fldChar w:fldCharType="separate"/>
        </w:r>
        <w:r>
          <w:rPr>
            <w:rFonts w:ascii="Georgia" w:hAnsi="Georgia" w:eastAsia="Microsoft YaHei"/>
            <w:color w:val="263238"/>
            <w:sz w:val="22"/>
            <w:noProof/>
            <w:webHidden/>
          </w:rPr>
          <w:t xml:space="preserve">33</w:t>
        </w:r>
        <w:r>
          <w:rPr>
            <w:noProof/>
            <w:webHidden/>
          </w:rPr>
          <w:fldChar w:fldCharType="end"/>
        </w:r>
      </w:hyperlink>
    </w:p>
    <w:p>
      <w:pPr>
        <w:pStyle w:val="TOC2"/>
      </w:pPr>
      <w:hyperlink w:anchor="_Toc263100018" w:history="1">
        <w:r>
          <w:rPr>
            <w:rFonts w:ascii="Georgia" w:hAnsi="Georgia" w:eastAsia="Microsoft YaHei"/>
            <w:color w:val="263238"/>
            <w:sz w:val="22"/>
            <w:noProof/>
          </w:rPr>
          <w:t xml:space="preserve">Article 12: Vessel Classification and Differentiated Treatment</w:t>
        </w:r>
        <w:r>
          <w:rPr>
            <w:noProof/>
            <w:webHidden/>
          </w:rPr>
          <w:tab/>
        </w:r>
        <w:r>
          <w:rPr>
            <w:noProof/>
            <w:webHidden/>
          </w:rPr>
          <w:fldChar w:fldCharType="begin"/>
        </w:r>
        <w:r>
          <w:rPr>
            <w:noProof/>
            <w:webHidden/>
          </w:rPr>
          <w:instrText xml:space="preserve"> PAGEREF _Toc263100018 \h </w:instrText>
        </w:r>
        <w:r>
          <w:rPr>
            <w:noProof/>
            <w:webHidden/>
          </w:rPr>
          <w:fldChar w:fldCharType="separate"/>
        </w:r>
        <w:r>
          <w:rPr>
            <w:rFonts w:ascii="Georgia" w:hAnsi="Georgia" w:eastAsia="Microsoft YaHei"/>
            <w:color w:val="263238"/>
            <w:sz w:val="22"/>
            <w:noProof/>
            <w:webHidden/>
          </w:rPr>
          <w:t xml:space="preserve">34</w:t>
        </w:r>
        <w:r>
          <w:rPr>
            <w:noProof/>
            <w:webHidden/>
          </w:rPr>
          <w:fldChar w:fldCharType="end"/>
        </w:r>
      </w:hyperlink>
    </w:p>
    <w:p>
      <w:pPr>
        <w:pStyle w:val="TOC2"/>
      </w:pPr>
      <w:hyperlink w:anchor="_Toc263100019" w:history="1">
        <w:r>
          <w:rPr>
            <w:rFonts w:ascii="Georgia" w:hAnsi="Georgia" w:eastAsia="Microsoft YaHei"/>
            <w:color w:val="263238"/>
            <w:sz w:val="22"/>
            <w:noProof/>
          </w:rPr>
          <w:t xml:space="preserve">Article 13: Safe Passage and the Non-Interdiction Protocol</w:t>
        </w:r>
        <w:r>
          <w:rPr>
            <w:noProof/>
            <w:webHidden/>
          </w:rPr>
          <w:tab/>
        </w:r>
        <w:r>
          <w:rPr>
            <w:noProof/>
            <w:webHidden/>
          </w:rPr>
          <w:fldChar w:fldCharType="begin"/>
        </w:r>
        <w:r>
          <w:rPr>
            <w:noProof/>
            <w:webHidden/>
          </w:rPr>
          <w:instrText xml:space="preserve"> PAGEREF _Toc263100019 \h </w:instrText>
        </w:r>
        <w:r>
          <w:rPr>
            <w:noProof/>
            <w:webHidden/>
          </w:rPr>
          <w:fldChar w:fldCharType="separate"/>
        </w:r>
        <w:r>
          <w:rPr>
            <w:rFonts w:ascii="Georgia" w:hAnsi="Georgia" w:eastAsia="Microsoft YaHei"/>
            <w:color w:val="263238"/>
            <w:sz w:val="22"/>
            <w:noProof/>
            <w:webHidden/>
          </w:rPr>
          <w:t xml:space="preserve">36</w:t>
        </w:r>
        <w:r>
          <w:rPr>
            <w:noProof/>
            <w:webHidden/>
          </w:rPr>
          <w:fldChar w:fldCharType="end"/>
        </w:r>
      </w:hyperlink>
    </w:p>
    <w:p>
      <w:pPr>
        <w:pStyle w:val="TOC2"/>
      </w:pPr>
      <w:hyperlink w:anchor="_Toc263100020" w:history="1">
        <w:r>
          <w:rPr>
            <w:rFonts w:ascii="Georgia" w:hAnsi="Georgia" w:eastAsia="Microsoft YaHei"/>
            <w:color w:val="263238"/>
            <w:sz w:val="22"/>
            <w:noProof/>
          </w:rPr>
          <w:t xml:space="preserve">Article 14: Pilotage, Tug, and Optional Safety Services</w:t>
        </w:r>
        <w:r>
          <w:rPr>
            <w:noProof/>
            <w:webHidden/>
          </w:rPr>
          <w:tab/>
        </w:r>
        <w:r>
          <w:rPr>
            <w:noProof/>
            <w:webHidden/>
          </w:rPr>
          <w:fldChar w:fldCharType="begin"/>
        </w:r>
        <w:r>
          <w:rPr>
            <w:noProof/>
            <w:webHidden/>
          </w:rPr>
          <w:instrText xml:space="preserve"> PAGEREF _Toc263100020 \h </w:instrText>
        </w:r>
        <w:r>
          <w:rPr>
            <w:noProof/>
            <w:webHidden/>
          </w:rPr>
          <w:fldChar w:fldCharType="separate"/>
        </w:r>
        <w:r>
          <w:rPr>
            <w:rFonts w:ascii="Georgia" w:hAnsi="Georgia" w:eastAsia="Microsoft YaHei"/>
            <w:color w:val="263238"/>
            <w:sz w:val="22"/>
            <w:noProof/>
            <w:webHidden/>
          </w:rPr>
          <w:t xml:space="preserve">37</w:t>
        </w:r>
        <w:r>
          <w:rPr>
            <w:noProof/>
            <w:webHidden/>
          </w:rPr>
          <w:fldChar w:fldCharType="end"/>
        </w:r>
      </w:hyperlink>
    </w:p>
    <w:p>
      <w:pPr>
        <w:pStyle w:val="TOC1"/>
      </w:pPr>
      <w:hyperlink w:anchor="_Toc263100021" w:history="1">
        <w:r>
          <w:rPr>
            <w:rFonts w:ascii="Georgia" w:hAnsi="Georgia" w:eastAsia="Microsoft YaHei"/>
            <w:color w:val="263238"/>
            <w:sz w:val="22"/>
            <w:noProof/>
          </w:rPr>
          <w:t xml:space="preserve">Part III: Institutional Architecture</w:t>
        </w:r>
        <w:r>
          <w:rPr>
            <w:noProof/>
            <w:webHidden/>
          </w:rPr>
          <w:tab/>
        </w:r>
        <w:r>
          <w:rPr>
            <w:noProof/>
            <w:webHidden/>
          </w:rPr>
          <w:fldChar w:fldCharType="begin"/>
        </w:r>
        <w:r>
          <w:rPr>
            <w:noProof/>
            <w:webHidden/>
          </w:rPr>
          <w:instrText xml:space="preserve"> PAGEREF _Toc263100021 \h </w:instrText>
        </w:r>
        <w:r>
          <w:rPr>
            <w:noProof/>
            <w:webHidden/>
          </w:rPr>
          <w:fldChar w:fldCharType="separate"/>
        </w:r>
        <w:r>
          <w:rPr>
            <w:rFonts w:ascii="Georgia" w:hAnsi="Georgia" w:eastAsia="Microsoft YaHei"/>
            <w:color w:val="263238"/>
            <w:sz w:val="22"/>
            <w:noProof/>
            <w:webHidden/>
          </w:rPr>
          <w:t xml:space="preserve">38</w:t>
        </w:r>
        <w:r>
          <w:rPr>
            <w:noProof/>
            <w:webHidden/>
          </w:rPr>
          <w:fldChar w:fldCharType="end"/>
        </w:r>
      </w:hyperlink>
    </w:p>
    <w:p>
      <w:pPr>
        <w:pStyle w:val="TOC2"/>
      </w:pPr>
      <w:hyperlink w:anchor="_Toc263100022" w:history="1">
        <w:r>
          <w:rPr>
            <w:rFonts w:ascii="Georgia" w:hAnsi="Georgia" w:eastAsia="Microsoft YaHei"/>
            <w:color w:val="263238"/>
            <w:sz w:val="22"/>
            <w:noProof/>
          </w:rPr>
          <w:t xml:space="preserve">Article 15: The Hormuz Global Commerce Council</w:t>
        </w:r>
        <w:r>
          <w:rPr>
            <w:noProof/>
            <w:webHidden/>
          </w:rPr>
          <w:tab/>
        </w:r>
        <w:r>
          <w:rPr>
            <w:noProof/>
            <w:webHidden/>
          </w:rPr>
          <w:fldChar w:fldCharType="begin"/>
        </w:r>
        <w:r>
          <w:rPr>
            <w:noProof/>
            <w:webHidden/>
          </w:rPr>
          <w:instrText xml:space="preserve"> PAGEREF _Toc263100022 \h </w:instrText>
        </w:r>
        <w:r>
          <w:rPr>
            <w:noProof/>
            <w:webHidden/>
          </w:rPr>
          <w:fldChar w:fldCharType="separate"/>
        </w:r>
        <w:r>
          <w:rPr>
            <w:rFonts w:ascii="Georgia" w:hAnsi="Georgia" w:eastAsia="Microsoft YaHei"/>
            <w:color w:val="263238"/>
            <w:sz w:val="22"/>
            <w:noProof/>
            <w:webHidden/>
          </w:rPr>
          <w:t xml:space="preserve">38</w:t>
        </w:r>
        <w:r>
          <w:rPr>
            <w:noProof/>
            <w:webHidden/>
          </w:rPr>
          <w:fldChar w:fldCharType="end"/>
        </w:r>
      </w:hyperlink>
    </w:p>
    <w:p>
      <w:pPr>
        <w:pStyle w:val="TOC2"/>
      </w:pPr>
      <w:hyperlink w:anchor="_Toc263100023" w:history="1">
        <w:r>
          <w:rPr>
            <w:rFonts w:ascii="Georgia" w:hAnsi="Georgia" w:eastAsia="Microsoft YaHei"/>
            <w:color w:val="263238"/>
            <w:sz w:val="22"/>
            <w:noProof/>
          </w:rPr>
          <w:t xml:space="preserve">Article 16: The Hormuz Operations Center and the Mirror Facility</w:t>
        </w:r>
        <w:r>
          <w:rPr>
            <w:noProof/>
            <w:webHidden/>
          </w:rPr>
          <w:tab/>
        </w:r>
        <w:r>
          <w:rPr>
            <w:noProof/>
            <w:webHidden/>
          </w:rPr>
          <w:fldChar w:fldCharType="begin"/>
        </w:r>
        <w:r>
          <w:rPr>
            <w:noProof/>
            <w:webHidden/>
          </w:rPr>
          <w:instrText xml:space="preserve"> PAGEREF _Toc263100023 \h </w:instrText>
        </w:r>
        <w:r>
          <w:rPr>
            <w:noProof/>
            <w:webHidden/>
          </w:rPr>
          <w:fldChar w:fldCharType="separate"/>
        </w:r>
        <w:r>
          <w:rPr>
            <w:rFonts w:ascii="Georgia" w:hAnsi="Georgia" w:eastAsia="Microsoft YaHei"/>
            <w:color w:val="263238"/>
            <w:sz w:val="22"/>
            <w:noProof/>
            <w:webHidden/>
          </w:rPr>
          <w:t xml:space="preserve">39</w:t>
        </w:r>
        <w:r>
          <w:rPr>
            <w:noProof/>
            <w:webHidden/>
          </w:rPr>
          <w:fldChar w:fldCharType="end"/>
        </w:r>
      </w:hyperlink>
    </w:p>
    <w:p>
      <w:pPr>
        <w:pStyle w:val="TOC2"/>
      </w:pPr>
      <w:hyperlink w:anchor="_Toc263100024" w:history="1">
        <w:r>
          <w:rPr>
            <w:rFonts w:ascii="Georgia" w:hAnsi="Georgia" w:eastAsia="Microsoft YaHei"/>
            <w:color w:val="263238"/>
            <w:sz w:val="22"/>
            <w:noProof/>
          </w:rPr>
          <w:t xml:space="preserve">Article 17: The Technical and Standards Committee</w:t>
        </w:r>
        <w:r>
          <w:rPr>
            <w:noProof/>
            <w:webHidden/>
          </w:rPr>
          <w:tab/>
        </w:r>
        <w:r>
          <w:rPr>
            <w:noProof/>
            <w:webHidden/>
          </w:rPr>
          <w:fldChar w:fldCharType="begin"/>
        </w:r>
        <w:r>
          <w:rPr>
            <w:noProof/>
            <w:webHidden/>
          </w:rPr>
          <w:instrText xml:space="preserve"> PAGEREF _Toc263100024 \h </w:instrText>
        </w:r>
        <w:r>
          <w:rPr>
            <w:noProof/>
            <w:webHidden/>
          </w:rPr>
          <w:fldChar w:fldCharType="separate"/>
        </w:r>
        <w:r>
          <w:rPr>
            <w:rFonts w:ascii="Georgia" w:hAnsi="Georgia" w:eastAsia="Microsoft YaHei"/>
            <w:color w:val="263238"/>
            <w:sz w:val="22"/>
            <w:noProof/>
            <w:webHidden/>
          </w:rPr>
          <w:t xml:space="preserve">41</w:t>
        </w:r>
        <w:r>
          <w:rPr>
            <w:noProof/>
            <w:webHidden/>
          </w:rPr>
          <w:fldChar w:fldCharType="end"/>
        </w:r>
      </w:hyperlink>
    </w:p>
    <w:p>
      <w:pPr>
        <w:pStyle w:val="TOC2"/>
      </w:pPr>
      <w:hyperlink w:anchor="_Toc263100025" w:history="1">
        <w:r>
          <w:rPr>
            <w:rFonts w:ascii="Georgia" w:hAnsi="Georgia" w:eastAsia="Microsoft YaHei"/>
            <w:color w:val="263238"/>
            <w:sz w:val="22"/>
            <w:noProof/>
          </w:rPr>
          <w:t xml:space="preserve">Article 18: Participation Architecture and the Role of External Stakeholders</w:t>
        </w:r>
        <w:r>
          <w:rPr>
            <w:noProof/>
            <w:webHidden/>
          </w:rPr>
          <w:tab/>
        </w:r>
        <w:r>
          <w:rPr>
            <w:noProof/>
            <w:webHidden/>
          </w:rPr>
          <w:fldChar w:fldCharType="begin"/>
        </w:r>
        <w:r>
          <w:rPr>
            <w:noProof/>
            <w:webHidden/>
          </w:rPr>
          <w:instrText xml:space="preserve"> PAGEREF _Toc263100025 \h </w:instrText>
        </w:r>
        <w:r>
          <w:rPr>
            <w:noProof/>
            <w:webHidden/>
          </w:rPr>
          <w:fldChar w:fldCharType="separate"/>
        </w:r>
        <w:r>
          <w:rPr>
            <w:rFonts w:ascii="Georgia" w:hAnsi="Georgia" w:eastAsia="Microsoft YaHei"/>
            <w:color w:val="263238"/>
            <w:sz w:val="22"/>
            <w:noProof/>
            <w:webHidden/>
          </w:rPr>
          <w:t xml:space="preserve">42</w:t>
        </w:r>
        <w:r>
          <w:rPr>
            <w:noProof/>
            <w:webHidden/>
          </w:rPr>
          <w:fldChar w:fldCharType="end"/>
        </w:r>
      </w:hyperlink>
    </w:p>
    <w:p>
      <w:pPr>
        <w:pStyle w:val="TOC2"/>
      </w:pPr>
      <w:hyperlink w:anchor="_Toc263100026" w:history="1">
        <w:r>
          <w:rPr>
            <w:rFonts w:ascii="Georgia" w:hAnsi="Georgia" w:eastAsia="Microsoft YaHei"/>
            <w:color w:val="263238"/>
            <w:sz w:val="22"/>
            <w:noProof/>
          </w:rPr>
          <w:t xml:space="preserve">Article 19: Decision Rules</w:t>
        </w:r>
        <w:r>
          <w:rPr>
            <w:noProof/>
            <w:webHidden/>
          </w:rPr>
          <w:tab/>
        </w:r>
        <w:r>
          <w:rPr>
            <w:noProof/>
            <w:webHidden/>
          </w:rPr>
          <w:fldChar w:fldCharType="begin"/>
        </w:r>
        <w:r>
          <w:rPr>
            <w:noProof/>
            <w:webHidden/>
          </w:rPr>
          <w:instrText xml:space="preserve"> PAGEREF _Toc263100026 \h </w:instrText>
        </w:r>
        <w:r>
          <w:rPr>
            <w:noProof/>
            <w:webHidden/>
          </w:rPr>
          <w:fldChar w:fldCharType="separate"/>
        </w:r>
        <w:r>
          <w:rPr>
            <w:rFonts w:ascii="Georgia" w:hAnsi="Georgia" w:eastAsia="Microsoft YaHei"/>
            <w:color w:val="263238"/>
            <w:sz w:val="22"/>
            <w:noProof/>
            <w:webHidden/>
          </w:rPr>
          <w:t xml:space="preserve">45</w:t>
        </w:r>
        <w:r>
          <w:rPr>
            <w:noProof/>
            <w:webHidden/>
          </w:rPr>
          <w:fldChar w:fldCharType="end"/>
        </w:r>
      </w:hyperlink>
    </w:p>
    <w:p>
      <w:pPr>
        <w:pStyle w:val="TOC2"/>
      </w:pPr>
      <w:hyperlink w:anchor="_Toc263100027" w:history="1">
        <w:r>
          <w:rPr>
            <w:rFonts w:ascii="Georgia" w:hAnsi="Georgia" w:eastAsia="Microsoft YaHei"/>
            <w:color w:val="263238"/>
            <w:sz w:val="22"/>
            <w:noProof/>
          </w:rPr>
          <w:t xml:space="preserve">Article 20: Secretariat and the Neutral Watch Office</w:t>
        </w:r>
        <w:r>
          <w:rPr>
            <w:noProof/>
            <w:webHidden/>
          </w:rPr>
          <w:tab/>
        </w:r>
        <w:r>
          <w:rPr>
            <w:noProof/>
            <w:webHidden/>
          </w:rPr>
          <w:fldChar w:fldCharType="begin"/>
        </w:r>
        <w:r>
          <w:rPr>
            <w:noProof/>
            <w:webHidden/>
          </w:rPr>
          <w:instrText xml:space="preserve"> PAGEREF _Toc263100027 \h </w:instrText>
        </w:r>
        <w:r>
          <w:rPr>
            <w:noProof/>
            <w:webHidden/>
          </w:rPr>
          <w:fldChar w:fldCharType="separate"/>
        </w:r>
        <w:r>
          <w:rPr>
            <w:rFonts w:ascii="Georgia" w:hAnsi="Georgia" w:eastAsia="Microsoft YaHei"/>
            <w:color w:val="263238"/>
            <w:sz w:val="22"/>
            <w:noProof/>
            <w:webHidden/>
          </w:rPr>
          <w:t xml:space="preserve">46</w:t>
        </w:r>
        <w:r>
          <w:rPr>
            <w:noProof/>
            <w:webHidden/>
          </w:rPr>
          <w:fldChar w:fldCharType="end"/>
        </w:r>
      </w:hyperlink>
    </w:p>
    <w:p>
      <w:pPr>
        <w:pStyle w:val="TOC1"/>
      </w:pPr>
      <w:hyperlink w:anchor="_Toc263100028" w:history="1">
        <w:r>
          <w:rPr>
            <w:rFonts w:ascii="Georgia" w:hAnsi="Georgia" w:eastAsia="Microsoft YaHei"/>
            <w:color w:val="263238"/>
            <w:sz w:val="22"/>
            <w:noProof/>
          </w:rPr>
          <w:t xml:space="preserve">Part IV: The Financial Architecture: Settlement of the Toll Question</w:t>
        </w:r>
        <w:r>
          <w:rPr>
            <w:noProof/>
            <w:webHidden/>
          </w:rPr>
          <w:tab/>
        </w:r>
        <w:r>
          <w:rPr>
            <w:noProof/>
            <w:webHidden/>
          </w:rPr>
          <w:fldChar w:fldCharType="begin"/>
        </w:r>
        <w:r>
          <w:rPr>
            <w:noProof/>
            <w:webHidden/>
          </w:rPr>
          <w:instrText xml:space="preserve"> PAGEREF _Toc263100028 \h </w:instrText>
        </w:r>
        <w:r>
          <w:rPr>
            <w:noProof/>
            <w:webHidden/>
          </w:rPr>
          <w:fldChar w:fldCharType="separate"/>
        </w:r>
        <w:r>
          <w:rPr>
            <w:rFonts w:ascii="Georgia" w:hAnsi="Georgia" w:eastAsia="Microsoft YaHei"/>
            <w:color w:val="263238"/>
            <w:sz w:val="22"/>
            <w:noProof/>
            <w:webHidden/>
          </w:rPr>
          <w:t xml:space="preserve">48</w:t>
        </w:r>
        <w:r>
          <w:rPr>
            <w:noProof/>
            <w:webHidden/>
          </w:rPr>
          <w:fldChar w:fldCharType="end"/>
        </w:r>
      </w:hyperlink>
    </w:p>
    <w:p>
      <w:pPr>
        <w:pStyle w:val="TOC2"/>
      </w:pPr>
      <w:hyperlink w:anchor="_Toc263100029" w:history="1">
        <w:r>
          <w:rPr>
            <w:rFonts w:ascii="Georgia" w:hAnsi="Georgia" w:eastAsia="Microsoft YaHei"/>
            <w:color w:val="263238"/>
            <w:sz w:val="22"/>
            <w:noProof/>
          </w:rPr>
          <w:t xml:space="preserve">Article 21: The Zero-Toll Rule</w:t>
        </w:r>
        <w:r>
          <w:rPr>
            <w:noProof/>
            <w:webHidden/>
          </w:rPr>
          <w:tab/>
        </w:r>
        <w:r>
          <w:rPr>
            <w:noProof/>
            <w:webHidden/>
          </w:rPr>
          <w:fldChar w:fldCharType="begin"/>
        </w:r>
        <w:r>
          <w:rPr>
            <w:noProof/>
            <w:webHidden/>
          </w:rPr>
          <w:instrText xml:space="preserve"> PAGEREF _Toc263100029 \h </w:instrText>
        </w:r>
        <w:r>
          <w:rPr>
            <w:noProof/>
            <w:webHidden/>
          </w:rPr>
          <w:fldChar w:fldCharType="separate"/>
        </w:r>
        <w:r>
          <w:rPr>
            <w:rFonts w:ascii="Georgia" w:hAnsi="Georgia" w:eastAsia="Microsoft YaHei"/>
            <w:color w:val="263238"/>
            <w:sz w:val="22"/>
            <w:noProof/>
            <w:webHidden/>
          </w:rPr>
          <w:t xml:space="preserve">48</w:t>
        </w:r>
        <w:r>
          <w:rPr>
            <w:noProof/>
            <w:webHidden/>
          </w:rPr>
          <w:fldChar w:fldCharType="end"/>
        </w:r>
      </w:hyperlink>
    </w:p>
    <w:p>
      <w:pPr>
        <w:pStyle w:val="TOC2"/>
      </w:pPr>
      <w:hyperlink w:anchor="_Toc263100030" w:history="1">
        <w:r>
          <w:rPr>
            <w:rFonts w:ascii="Georgia" w:hAnsi="Georgia" w:eastAsia="Microsoft YaHei"/>
            <w:color w:val="263238"/>
            <w:sz w:val="22"/>
            <w:noProof/>
          </w:rPr>
          <w:t xml:space="preserve">Article 22: The Transit Services Fund</w:t>
        </w:r>
        <w:r>
          <w:rPr>
            <w:noProof/>
            <w:webHidden/>
          </w:rPr>
          <w:tab/>
        </w:r>
        <w:r>
          <w:rPr>
            <w:noProof/>
            <w:webHidden/>
          </w:rPr>
          <w:fldChar w:fldCharType="begin"/>
        </w:r>
        <w:r>
          <w:rPr>
            <w:noProof/>
            <w:webHidden/>
          </w:rPr>
          <w:instrText xml:space="preserve"> PAGEREF _Toc263100030 \h </w:instrText>
        </w:r>
        <w:r>
          <w:rPr>
            <w:noProof/>
            <w:webHidden/>
          </w:rPr>
          <w:fldChar w:fldCharType="separate"/>
        </w:r>
        <w:r>
          <w:rPr>
            <w:rFonts w:ascii="Georgia" w:hAnsi="Georgia" w:eastAsia="Microsoft YaHei"/>
            <w:color w:val="263238"/>
            <w:sz w:val="22"/>
            <w:noProof/>
            <w:webHidden/>
          </w:rPr>
          <w:t xml:space="preserve">49</w:t>
        </w:r>
        <w:r>
          <w:rPr>
            <w:noProof/>
            <w:webHidden/>
          </w:rPr>
          <w:fldChar w:fldCharType="end"/>
        </w:r>
      </w:hyperlink>
    </w:p>
    <w:p>
      <w:pPr>
        <w:pStyle w:val="TOC2"/>
      </w:pPr>
      <w:hyperlink w:anchor="_Toc263100031" w:history="1">
        <w:r>
          <w:rPr>
            <w:rFonts w:ascii="Georgia" w:hAnsi="Georgia" w:eastAsia="Microsoft YaHei"/>
            <w:color w:val="263238"/>
            <w:sz w:val="22"/>
            <w:noProof/>
          </w:rPr>
          <w:t xml:space="preserve">Article 23: Service Charges and the Verified Services Catalog</w:t>
        </w:r>
        <w:r>
          <w:rPr>
            <w:noProof/>
            <w:webHidden/>
          </w:rPr>
          <w:tab/>
        </w:r>
        <w:r>
          <w:rPr>
            <w:noProof/>
            <w:webHidden/>
          </w:rPr>
          <w:fldChar w:fldCharType="begin"/>
        </w:r>
        <w:r>
          <w:rPr>
            <w:noProof/>
            <w:webHidden/>
          </w:rPr>
          <w:instrText xml:space="preserve"> PAGEREF _Toc263100031 \h </w:instrText>
        </w:r>
        <w:r>
          <w:rPr>
            <w:noProof/>
            <w:webHidden/>
          </w:rPr>
          <w:fldChar w:fldCharType="separate"/>
        </w:r>
        <w:r>
          <w:rPr>
            <w:rFonts w:ascii="Georgia" w:hAnsi="Georgia" w:eastAsia="Microsoft YaHei"/>
            <w:color w:val="263238"/>
            <w:sz w:val="22"/>
            <w:noProof/>
            <w:webHidden/>
          </w:rPr>
          <w:t xml:space="preserve">51</w:t>
        </w:r>
        <w:r>
          <w:rPr>
            <w:noProof/>
            <w:webHidden/>
          </w:rPr>
          <w:fldChar w:fldCharType="end"/>
        </w:r>
      </w:hyperlink>
    </w:p>
    <w:p>
      <w:pPr>
        <w:pStyle w:val="TOC2"/>
      </w:pPr>
      <w:hyperlink w:anchor="_Toc263100032" w:history="1">
        <w:r>
          <w:rPr>
            <w:rFonts w:ascii="Georgia" w:hAnsi="Georgia" w:eastAsia="Microsoft YaHei"/>
            <w:color w:val="263238"/>
            <w:sz w:val="22"/>
            <w:noProof/>
          </w:rPr>
          <w:t xml:space="preserve">Article 24: Escrow, Payment Routing, and the Sanctions-Compliance Firewall</w:t>
        </w:r>
        <w:r>
          <w:rPr>
            <w:noProof/>
            <w:webHidden/>
          </w:rPr>
          <w:tab/>
        </w:r>
        <w:r>
          <w:rPr>
            <w:noProof/>
            <w:webHidden/>
          </w:rPr>
          <w:fldChar w:fldCharType="begin"/>
        </w:r>
        <w:r>
          <w:rPr>
            <w:noProof/>
            <w:webHidden/>
          </w:rPr>
          <w:instrText xml:space="preserve"> PAGEREF _Toc263100032 \h </w:instrText>
        </w:r>
        <w:r>
          <w:rPr>
            <w:noProof/>
            <w:webHidden/>
          </w:rPr>
          <w:fldChar w:fldCharType="separate"/>
        </w:r>
        <w:r>
          <w:rPr>
            <w:rFonts w:ascii="Georgia" w:hAnsi="Georgia" w:eastAsia="Microsoft YaHei"/>
            <w:color w:val="263238"/>
            <w:sz w:val="22"/>
            <w:noProof/>
            <w:webHidden/>
          </w:rPr>
          <w:t xml:space="preserve">52</w:t>
        </w:r>
        <w:r>
          <w:rPr>
            <w:noProof/>
            <w:webHidden/>
          </w:rPr>
          <w:fldChar w:fldCharType="end"/>
        </w:r>
      </w:hyperlink>
    </w:p>
    <w:p>
      <w:pPr>
        <w:pStyle w:val="TOC2"/>
      </w:pPr>
      <w:hyperlink w:anchor="_Toc263100033" w:history="1">
        <w:r>
          <w:rPr>
            <w:rFonts w:ascii="Georgia" w:hAnsi="Georgia" w:eastAsia="Microsoft YaHei"/>
            <w:color w:val="263238"/>
            <w:sz w:val="22"/>
            <w:noProof/>
          </w:rPr>
          <w:t xml:space="preserve">Article 25: Budget, Audit, and Cost Control</w:t>
        </w:r>
        <w:r>
          <w:rPr>
            <w:noProof/>
            <w:webHidden/>
          </w:rPr>
          <w:tab/>
        </w:r>
        <w:r>
          <w:rPr>
            <w:noProof/>
            <w:webHidden/>
          </w:rPr>
          <w:fldChar w:fldCharType="begin"/>
        </w:r>
        <w:r>
          <w:rPr>
            <w:noProof/>
            <w:webHidden/>
          </w:rPr>
          <w:instrText xml:space="preserve"> PAGEREF _Toc263100033 \h </w:instrText>
        </w:r>
        <w:r>
          <w:rPr>
            <w:noProof/>
            <w:webHidden/>
          </w:rPr>
          <w:fldChar w:fldCharType="separate"/>
        </w:r>
        <w:r>
          <w:rPr>
            <w:rFonts w:ascii="Georgia" w:hAnsi="Georgia" w:eastAsia="Microsoft YaHei"/>
            <w:color w:val="263238"/>
            <w:sz w:val="22"/>
            <w:noProof/>
            <w:webHidden/>
          </w:rPr>
          <w:t xml:space="preserve">53</w:t>
        </w:r>
        <w:r>
          <w:rPr>
            <w:noProof/>
            <w:webHidden/>
          </w:rPr>
          <w:fldChar w:fldCharType="end"/>
        </w:r>
      </w:hyperlink>
    </w:p>
    <w:p>
      <w:pPr>
        <w:pStyle w:val="TOC2"/>
      </w:pPr>
      <w:hyperlink w:anchor="_Toc263100034" w:history="1">
        <w:r>
          <w:rPr>
            <w:rFonts w:ascii="Georgia" w:hAnsi="Georgia" w:eastAsia="Microsoft YaHei"/>
            <w:color w:val="263238"/>
            <w:sz w:val="22"/>
            <w:noProof/>
          </w:rPr>
          <w:t xml:space="preserve">Article 26: The Assurance Registry and Insurance Normalization</w:t>
        </w:r>
        <w:r>
          <w:rPr>
            <w:noProof/>
            <w:webHidden/>
          </w:rPr>
          <w:tab/>
        </w:r>
        <w:r>
          <w:rPr>
            <w:noProof/>
            <w:webHidden/>
          </w:rPr>
          <w:fldChar w:fldCharType="begin"/>
        </w:r>
        <w:r>
          <w:rPr>
            <w:noProof/>
            <w:webHidden/>
          </w:rPr>
          <w:instrText xml:space="preserve"> PAGEREF _Toc263100034 \h </w:instrText>
        </w:r>
        <w:r>
          <w:rPr>
            <w:noProof/>
            <w:webHidden/>
          </w:rPr>
          <w:fldChar w:fldCharType="separate"/>
        </w:r>
        <w:r>
          <w:rPr>
            <w:rFonts w:ascii="Georgia" w:hAnsi="Georgia" w:eastAsia="Microsoft YaHei"/>
            <w:color w:val="263238"/>
            <w:sz w:val="22"/>
            <w:noProof/>
            <w:webHidden/>
          </w:rPr>
          <w:t xml:space="preserve">54</w:t>
        </w:r>
        <w:r>
          <w:rPr>
            <w:noProof/>
            <w:webHidden/>
          </w:rPr>
          <w:fldChar w:fldCharType="end"/>
        </w:r>
      </w:hyperlink>
    </w:p>
    <w:p>
      <w:pPr>
        <w:pStyle w:val="TOC1"/>
      </w:pPr>
      <w:hyperlink w:anchor="_Toc263100035" w:history="1">
        <w:r>
          <w:rPr>
            <w:rFonts w:ascii="Georgia" w:hAnsi="Georgia" w:eastAsia="Microsoft YaHei"/>
            <w:color w:val="263238"/>
            <w:sz w:val="22"/>
            <w:noProof/>
          </w:rPr>
          <w:t xml:space="preserve">Part V: Verification, Deconfliction, and Incident Management</w:t>
        </w:r>
        <w:r>
          <w:rPr>
            <w:noProof/>
            <w:webHidden/>
          </w:rPr>
          <w:tab/>
        </w:r>
        <w:r>
          <w:rPr>
            <w:noProof/>
            <w:webHidden/>
          </w:rPr>
          <w:fldChar w:fldCharType="begin"/>
        </w:r>
        <w:r>
          <w:rPr>
            <w:noProof/>
            <w:webHidden/>
          </w:rPr>
          <w:instrText xml:space="preserve"> PAGEREF _Toc263100035 \h </w:instrText>
        </w:r>
        <w:r>
          <w:rPr>
            <w:noProof/>
            <w:webHidden/>
          </w:rPr>
          <w:fldChar w:fldCharType="separate"/>
        </w:r>
        <w:r>
          <w:rPr>
            <w:rFonts w:ascii="Georgia" w:hAnsi="Georgia" w:eastAsia="Microsoft YaHei"/>
            <w:color w:val="263238"/>
            <w:sz w:val="22"/>
            <w:noProof/>
            <w:webHidden/>
          </w:rPr>
          <w:t xml:space="preserve">56</w:t>
        </w:r>
        <w:r>
          <w:rPr>
            <w:noProof/>
            <w:webHidden/>
          </w:rPr>
          <w:fldChar w:fldCharType="end"/>
        </w:r>
      </w:hyperlink>
    </w:p>
    <w:p>
      <w:pPr>
        <w:pStyle w:val="TOC2"/>
      </w:pPr>
      <w:hyperlink w:anchor="_Toc263100036" w:history="1">
        <w:r>
          <w:rPr>
            <w:rFonts w:ascii="Georgia" w:hAnsi="Georgia" w:eastAsia="Microsoft YaHei"/>
            <w:color w:val="263238"/>
            <w:sz w:val="22"/>
            <w:noProof/>
          </w:rPr>
          <w:t xml:space="preserve">Article 27: Verification Architecture: The Human Anchor Method</w:t>
        </w:r>
        <w:r>
          <w:rPr>
            <w:noProof/>
            <w:webHidden/>
          </w:rPr>
          <w:tab/>
        </w:r>
        <w:r>
          <w:rPr>
            <w:noProof/>
            <w:webHidden/>
          </w:rPr>
          <w:fldChar w:fldCharType="begin"/>
        </w:r>
        <w:r>
          <w:rPr>
            <w:noProof/>
            <w:webHidden/>
          </w:rPr>
          <w:instrText xml:space="preserve"> PAGEREF _Toc263100036 \h </w:instrText>
        </w:r>
        <w:r>
          <w:rPr>
            <w:noProof/>
            <w:webHidden/>
          </w:rPr>
          <w:fldChar w:fldCharType="separate"/>
        </w:r>
        <w:r>
          <w:rPr>
            <w:rFonts w:ascii="Georgia" w:hAnsi="Georgia" w:eastAsia="Microsoft YaHei"/>
            <w:color w:val="263238"/>
            <w:sz w:val="22"/>
            <w:noProof/>
            <w:webHidden/>
          </w:rPr>
          <w:t xml:space="preserve">56</w:t>
        </w:r>
        <w:r>
          <w:rPr>
            <w:noProof/>
            <w:webHidden/>
          </w:rPr>
          <w:fldChar w:fldCharType="end"/>
        </w:r>
      </w:hyperlink>
    </w:p>
    <w:p>
      <w:pPr>
        <w:pStyle w:val="TOC2"/>
      </w:pPr>
      <w:hyperlink w:anchor="_Toc263100037" w:history="1">
        <w:r>
          <w:rPr>
            <w:rFonts w:ascii="Georgia" w:hAnsi="Georgia" w:eastAsia="Microsoft YaHei"/>
            <w:color w:val="263238"/>
            <w:sz w:val="22"/>
            <w:noProof/>
          </w:rPr>
          <w:t xml:space="preserve">Article 28: Naval Deconfliction and the Standoff Geometry</w:t>
        </w:r>
        <w:r>
          <w:rPr>
            <w:noProof/>
            <w:webHidden/>
          </w:rPr>
          <w:tab/>
        </w:r>
        <w:r>
          <w:rPr>
            <w:noProof/>
            <w:webHidden/>
          </w:rPr>
          <w:fldChar w:fldCharType="begin"/>
        </w:r>
        <w:r>
          <w:rPr>
            <w:noProof/>
            <w:webHidden/>
          </w:rPr>
          <w:instrText xml:space="preserve"> PAGEREF _Toc263100037 \h </w:instrText>
        </w:r>
        <w:r>
          <w:rPr>
            <w:noProof/>
            <w:webHidden/>
          </w:rPr>
          <w:fldChar w:fldCharType="separate"/>
        </w:r>
        <w:r>
          <w:rPr>
            <w:rFonts w:ascii="Georgia" w:hAnsi="Georgia" w:eastAsia="Microsoft YaHei"/>
            <w:color w:val="263238"/>
            <w:sz w:val="22"/>
            <w:noProof/>
            <w:webHidden/>
          </w:rPr>
          <w:t xml:space="preserve">57</w:t>
        </w:r>
        <w:r>
          <w:rPr>
            <w:noProof/>
            <w:webHidden/>
          </w:rPr>
          <w:fldChar w:fldCharType="end"/>
        </w:r>
      </w:hyperlink>
    </w:p>
    <w:p>
      <w:pPr>
        <w:pStyle w:val="TOC2"/>
      </w:pPr>
      <w:hyperlink w:anchor="_Toc263100038" w:history="1">
        <w:r>
          <w:rPr>
            <w:rFonts w:ascii="Georgia" w:hAnsi="Georgia" w:eastAsia="Microsoft YaHei"/>
            <w:color w:val="263238"/>
            <w:sz w:val="22"/>
            <w:noProof/>
          </w:rPr>
          <w:t xml:space="preserve">Article 29: Military Transit Protocol</w:t>
        </w:r>
        <w:r>
          <w:rPr>
            <w:noProof/>
            <w:webHidden/>
          </w:rPr>
          <w:tab/>
        </w:r>
        <w:r>
          <w:rPr>
            <w:noProof/>
            <w:webHidden/>
          </w:rPr>
          <w:fldChar w:fldCharType="begin"/>
        </w:r>
        <w:r>
          <w:rPr>
            <w:noProof/>
            <w:webHidden/>
          </w:rPr>
          <w:instrText xml:space="preserve"> PAGEREF _Toc263100038 \h </w:instrText>
        </w:r>
        <w:r>
          <w:rPr>
            <w:noProof/>
            <w:webHidden/>
          </w:rPr>
          <w:fldChar w:fldCharType="separate"/>
        </w:r>
        <w:r>
          <w:rPr>
            <w:rFonts w:ascii="Georgia" w:hAnsi="Georgia" w:eastAsia="Microsoft YaHei"/>
            <w:color w:val="263238"/>
            <w:sz w:val="22"/>
            <w:noProof/>
            <w:webHidden/>
          </w:rPr>
          <w:t xml:space="preserve">59</w:t>
        </w:r>
        <w:r>
          <w:rPr>
            <w:noProof/>
            <w:webHidden/>
          </w:rPr>
          <w:fldChar w:fldCharType="end"/>
        </w:r>
      </w:hyperlink>
    </w:p>
    <w:p>
      <w:pPr>
        <w:pStyle w:val="TOC2"/>
      </w:pPr>
      <w:hyperlink w:anchor="_Toc263100039" w:history="1">
        <w:r>
          <w:rPr>
            <w:rFonts w:ascii="Georgia" w:hAnsi="Georgia" w:eastAsia="Microsoft YaHei"/>
            <w:color w:val="263238"/>
            <w:sz w:val="22"/>
            <w:noProof/>
          </w:rPr>
          <w:t xml:space="preserve">Article 30: Incidents, Proxy Attacks, and Recovery</w:t>
        </w:r>
        <w:r>
          <w:rPr>
            <w:noProof/>
            <w:webHidden/>
          </w:rPr>
          <w:tab/>
        </w:r>
        <w:r>
          <w:rPr>
            <w:noProof/>
            <w:webHidden/>
          </w:rPr>
          <w:fldChar w:fldCharType="begin"/>
        </w:r>
        <w:r>
          <w:rPr>
            <w:noProof/>
            <w:webHidden/>
          </w:rPr>
          <w:instrText xml:space="preserve"> PAGEREF _Toc263100039 \h </w:instrText>
        </w:r>
        <w:r>
          <w:rPr>
            <w:noProof/>
            <w:webHidden/>
          </w:rPr>
          <w:fldChar w:fldCharType="separate"/>
        </w:r>
        <w:r>
          <w:rPr>
            <w:rFonts w:ascii="Georgia" w:hAnsi="Georgia" w:eastAsia="Microsoft YaHei"/>
            <w:color w:val="263238"/>
            <w:sz w:val="22"/>
            <w:noProof/>
            <w:webHidden/>
          </w:rPr>
          <w:t xml:space="preserve">59</w:t>
        </w:r>
        <w:r>
          <w:rPr>
            <w:noProof/>
            <w:webHidden/>
          </w:rPr>
          <w:fldChar w:fldCharType="end"/>
        </w:r>
      </w:hyperlink>
    </w:p>
    <w:p>
      <w:pPr>
        <w:pStyle w:val="TOC2"/>
      </w:pPr>
      <w:hyperlink w:anchor="_Toc263100040" w:history="1">
        <w:r>
          <w:rPr>
            <w:rFonts w:ascii="Georgia" w:hAnsi="Georgia" w:eastAsia="Microsoft YaHei"/>
            <w:color w:val="263238"/>
            <w:sz w:val="22"/>
            <w:noProof/>
          </w:rPr>
          <w:t xml:space="preserve">Article 31: Search and Rescue Framework</w:t>
        </w:r>
        <w:r>
          <w:rPr>
            <w:noProof/>
            <w:webHidden/>
          </w:rPr>
          <w:tab/>
        </w:r>
        <w:r>
          <w:rPr>
            <w:noProof/>
            <w:webHidden/>
          </w:rPr>
          <w:fldChar w:fldCharType="begin"/>
        </w:r>
        <w:r>
          <w:rPr>
            <w:noProof/>
            <w:webHidden/>
          </w:rPr>
          <w:instrText xml:space="preserve"> PAGEREF _Toc263100040 \h </w:instrText>
        </w:r>
        <w:r>
          <w:rPr>
            <w:noProof/>
            <w:webHidden/>
          </w:rPr>
          <w:fldChar w:fldCharType="separate"/>
        </w:r>
        <w:r>
          <w:rPr>
            <w:rFonts w:ascii="Georgia" w:hAnsi="Georgia" w:eastAsia="Microsoft YaHei"/>
            <w:color w:val="263238"/>
            <w:sz w:val="22"/>
            <w:noProof/>
            <w:webHidden/>
          </w:rPr>
          <w:t xml:space="preserve">61</w:t>
        </w:r>
        <w:r>
          <w:rPr>
            <w:noProof/>
            <w:webHidden/>
          </w:rPr>
          <w:fldChar w:fldCharType="end"/>
        </w:r>
      </w:hyperlink>
    </w:p>
    <w:p>
      <w:pPr>
        <w:pStyle w:val="TOC2"/>
      </w:pPr>
      <w:hyperlink w:anchor="_Toc263100041" w:history="1">
        <w:r>
          <w:rPr>
            <w:rFonts w:ascii="Georgia" w:hAnsi="Georgia" w:eastAsia="Microsoft YaHei"/>
            <w:color w:val="263238"/>
            <w:sz w:val="22"/>
            <w:noProof/>
          </w:rPr>
          <w:t xml:space="preserve">Article 32: Environmental Protection</w:t>
        </w:r>
        <w:r>
          <w:rPr>
            <w:noProof/>
            <w:webHidden/>
          </w:rPr>
          <w:tab/>
        </w:r>
        <w:r>
          <w:rPr>
            <w:noProof/>
            <w:webHidden/>
          </w:rPr>
          <w:fldChar w:fldCharType="begin"/>
        </w:r>
        <w:r>
          <w:rPr>
            <w:noProof/>
            <w:webHidden/>
          </w:rPr>
          <w:instrText xml:space="preserve"> PAGEREF _Toc263100041 \h </w:instrText>
        </w:r>
        <w:r>
          <w:rPr>
            <w:noProof/>
            <w:webHidden/>
          </w:rPr>
          <w:fldChar w:fldCharType="separate"/>
        </w:r>
        <w:r>
          <w:rPr>
            <w:rFonts w:ascii="Georgia" w:hAnsi="Georgia" w:eastAsia="Microsoft YaHei"/>
            <w:color w:val="263238"/>
            <w:sz w:val="22"/>
            <w:noProof/>
            <w:webHidden/>
          </w:rPr>
          <w:t xml:space="preserve">62</w:t>
        </w:r>
        <w:r>
          <w:rPr>
            <w:noProof/>
            <w:webHidden/>
          </w:rPr>
          <w:fldChar w:fldCharType="end"/>
        </w:r>
      </w:hyperlink>
    </w:p>
    <w:p>
      <w:pPr>
        <w:pStyle w:val="TOC1"/>
      </w:pPr>
      <w:hyperlink w:anchor="_Toc263100042" w:history="1">
        <w:r>
          <w:rPr>
            <w:rFonts w:ascii="Georgia" w:hAnsi="Georgia" w:eastAsia="Microsoft YaHei"/>
            <w:color w:val="263238"/>
            <w:sz w:val="22"/>
            <w:noProof/>
          </w:rPr>
          <w:t xml:space="preserve">Part VI: Compliance, Accountability, and Dispute Resolution</w:t>
        </w:r>
        <w:r>
          <w:rPr>
            <w:noProof/>
            <w:webHidden/>
          </w:rPr>
          <w:tab/>
        </w:r>
        <w:r>
          <w:rPr>
            <w:noProof/>
            <w:webHidden/>
          </w:rPr>
          <w:fldChar w:fldCharType="begin"/>
        </w:r>
        <w:r>
          <w:rPr>
            <w:noProof/>
            <w:webHidden/>
          </w:rPr>
          <w:instrText xml:space="preserve"> PAGEREF _Toc263100042 \h </w:instrText>
        </w:r>
        <w:r>
          <w:rPr>
            <w:noProof/>
            <w:webHidden/>
          </w:rPr>
          <w:fldChar w:fldCharType="separate"/>
        </w:r>
        <w:r>
          <w:rPr>
            <w:rFonts w:ascii="Georgia" w:hAnsi="Georgia" w:eastAsia="Microsoft YaHei"/>
            <w:color w:val="263238"/>
            <w:sz w:val="22"/>
            <w:noProof/>
            <w:webHidden/>
          </w:rPr>
          <w:t xml:space="preserve">64</w:t>
        </w:r>
        <w:r>
          <w:rPr>
            <w:noProof/>
            <w:webHidden/>
          </w:rPr>
          <w:fldChar w:fldCharType="end"/>
        </w:r>
      </w:hyperlink>
    </w:p>
    <w:p>
      <w:pPr>
        <w:pStyle w:val="TOC2"/>
      </w:pPr>
      <w:hyperlink w:anchor="_Toc263100043" w:history="1">
        <w:r>
          <w:rPr>
            <w:rFonts w:ascii="Georgia" w:hAnsi="Georgia" w:eastAsia="Microsoft YaHei"/>
            <w:color w:val="263238"/>
            <w:sz w:val="22"/>
            <w:noProof/>
          </w:rPr>
          <w:t xml:space="preserve">Article 33: The Compliance Engine: Step-Back and Earn-Back for the Maritime Domain</w:t>
        </w:r>
        <w:r>
          <w:rPr>
            <w:noProof/>
            <w:webHidden/>
          </w:rPr>
          <w:tab/>
        </w:r>
        <w:r>
          <w:rPr>
            <w:noProof/>
            <w:webHidden/>
          </w:rPr>
          <w:fldChar w:fldCharType="begin"/>
        </w:r>
        <w:r>
          <w:rPr>
            <w:noProof/>
            <w:webHidden/>
          </w:rPr>
          <w:instrText xml:space="preserve"> PAGEREF _Toc263100043 \h </w:instrText>
        </w:r>
        <w:r>
          <w:rPr>
            <w:noProof/>
            <w:webHidden/>
          </w:rPr>
          <w:fldChar w:fldCharType="separate"/>
        </w:r>
        <w:r>
          <w:rPr>
            <w:rFonts w:ascii="Georgia" w:hAnsi="Georgia" w:eastAsia="Microsoft YaHei"/>
            <w:color w:val="263238"/>
            <w:sz w:val="22"/>
            <w:noProof/>
            <w:webHidden/>
          </w:rPr>
          <w:t xml:space="preserve">64</w:t>
        </w:r>
        <w:r>
          <w:rPr>
            <w:noProof/>
            <w:webHidden/>
          </w:rPr>
          <w:fldChar w:fldCharType="end"/>
        </w:r>
      </w:hyperlink>
    </w:p>
    <w:p>
      <w:pPr>
        <w:pStyle w:val="TOC2"/>
      </w:pPr>
      <w:hyperlink w:anchor="_Toc263100044" w:history="1">
        <w:r>
          <w:rPr>
            <w:rFonts w:ascii="Georgia" w:hAnsi="Georgia" w:eastAsia="Microsoft YaHei"/>
            <w:color w:val="263238"/>
            <w:sz w:val="22"/>
            <w:noProof/>
          </w:rPr>
          <w:t xml:space="preserve">Article 34: The Hormuz Watch: Degraded Governance Mode</w:t>
        </w:r>
        <w:r>
          <w:rPr>
            <w:noProof/>
            <w:webHidden/>
          </w:rPr>
          <w:tab/>
        </w:r>
        <w:r>
          <w:rPr>
            <w:noProof/>
            <w:webHidden/>
          </w:rPr>
          <w:fldChar w:fldCharType="begin"/>
        </w:r>
        <w:r>
          <w:rPr>
            <w:noProof/>
            <w:webHidden/>
          </w:rPr>
          <w:instrText xml:space="preserve"> PAGEREF _Toc263100044 \h </w:instrText>
        </w:r>
        <w:r>
          <w:rPr>
            <w:noProof/>
            <w:webHidden/>
          </w:rPr>
          <w:fldChar w:fldCharType="separate"/>
        </w:r>
        <w:r>
          <w:rPr>
            <w:rFonts w:ascii="Georgia" w:hAnsi="Georgia" w:eastAsia="Microsoft YaHei"/>
            <w:color w:val="263238"/>
            <w:sz w:val="22"/>
            <w:noProof/>
            <w:webHidden/>
          </w:rPr>
          <w:t xml:space="preserve">67</w:t>
        </w:r>
        <w:r>
          <w:rPr>
            <w:noProof/>
            <w:webHidden/>
          </w:rPr>
          <w:fldChar w:fldCharType="end"/>
        </w:r>
      </w:hyperlink>
    </w:p>
    <w:p>
      <w:pPr>
        <w:pStyle w:val="TOC2"/>
      </w:pPr>
      <w:hyperlink w:anchor="_Toc263100045" w:history="1">
        <w:r>
          <w:rPr>
            <w:rFonts w:ascii="Georgia" w:hAnsi="Georgia" w:eastAsia="Microsoft YaHei"/>
            <w:color w:val="263238"/>
            <w:sz w:val="22"/>
            <w:noProof/>
          </w:rPr>
          <w:t xml:space="preserve">Article 35: Substantiated Claims, the Performance Bond, and the Reciprocity Ledger</w:t>
        </w:r>
        <w:r>
          <w:rPr>
            <w:noProof/>
            <w:webHidden/>
          </w:rPr>
          <w:tab/>
        </w:r>
        <w:r>
          <w:rPr>
            <w:noProof/>
            <w:webHidden/>
          </w:rPr>
          <w:fldChar w:fldCharType="begin"/>
        </w:r>
        <w:r>
          <w:rPr>
            <w:noProof/>
            <w:webHidden/>
          </w:rPr>
          <w:instrText xml:space="preserve"> PAGEREF _Toc263100045 \h </w:instrText>
        </w:r>
        <w:r>
          <w:rPr>
            <w:noProof/>
            <w:webHidden/>
          </w:rPr>
          <w:fldChar w:fldCharType="separate"/>
        </w:r>
        <w:r>
          <w:rPr>
            <w:rFonts w:ascii="Georgia" w:hAnsi="Georgia" w:eastAsia="Microsoft YaHei"/>
            <w:color w:val="263238"/>
            <w:sz w:val="22"/>
            <w:noProof/>
            <w:webHidden/>
          </w:rPr>
          <w:t xml:space="preserve">67</w:t>
        </w:r>
        <w:r>
          <w:rPr>
            <w:noProof/>
            <w:webHidden/>
          </w:rPr>
          <w:fldChar w:fldCharType="end"/>
        </w:r>
      </w:hyperlink>
    </w:p>
    <w:p>
      <w:pPr>
        <w:pStyle w:val="TOC2"/>
      </w:pPr>
      <w:hyperlink w:anchor="_Toc263100046" w:history="1">
        <w:r>
          <w:rPr>
            <w:rFonts w:ascii="Georgia" w:hAnsi="Georgia" w:eastAsia="Microsoft YaHei"/>
            <w:color w:val="263238"/>
            <w:sz w:val="22"/>
            <w:noProof/>
          </w:rPr>
          <w:t xml:space="preserve">Article 36: Dispute Resolution</w:t>
        </w:r>
        <w:r>
          <w:rPr>
            <w:noProof/>
            <w:webHidden/>
          </w:rPr>
          <w:tab/>
        </w:r>
        <w:r>
          <w:rPr>
            <w:noProof/>
            <w:webHidden/>
          </w:rPr>
          <w:fldChar w:fldCharType="begin"/>
        </w:r>
        <w:r>
          <w:rPr>
            <w:noProof/>
            <w:webHidden/>
          </w:rPr>
          <w:instrText xml:space="preserve"> PAGEREF _Toc263100046 \h </w:instrText>
        </w:r>
        <w:r>
          <w:rPr>
            <w:noProof/>
            <w:webHidden/>
          </w:rPr>
          <w:fldChar w:fldCharType="separate"/>
        </w:r>
        <w:r>
          <w:rPr>
            <w:rFonts w:ascii="Georgia" w:hAnsi="Georgia" w:eastAsia="Microsoft YaHei"/>
            <w:color w:val="263238"/>
            <w:sz w:val="22"/>
            <w:noProof/>
            <w:webHidden/>
          </w:rPr>
          <w:t xml:space="preserve">68</w:t>
        </w:r>
        <w:r>
          <w:rPr>
            <w:noProof/>
            <w:webHidden/>
          </w:rPr>
          <w:fldChar w:fldCharType="end"/>
        </w:r>
      </w:hyperlink>
    </w:p>
    <w:p>
      <w:pPr>
        <w:pStyle w:val="TOC2"/>
      </w:pPr>
      <w:hyperlink w:anchor="_Toc263100047" w:history="1">
        <w:r>
          <w:rPr>
            <w:rFonts w:ascii="Georgia" w:hAnsi="Georgia" w:eastAsia="Microsoft YaHei"/>
            <w:color w:val="263238"/>
            <w:sz w:val="22"/>
            <w:noProof/>
          </w:rPr>
          <w:t xml:space="preserve">Article 37: The Protection Covenant</w:t>
        </w:r>
        <w:r>
          <w:rPr>
            <w:noProof/>
            <w:webHidden/>
          </w:rPr>
          <w:tab/>
        </w:r>
        <w:r>
          <w:rPr>
            <w:noProof/>
            <w:webHidden/>
          </w:rPr>
          <w:fldChar w:fldCharType="begin"/>
        </w:r>
        <w:r>
          <w:rPr>
            <w:noProof/>
            <w:webHidden/>
          </w:rPr>
          <w:instrText xml:space="preserve"> PAGEREF _Toc263100047 \h </w:instrText>
        </w:r>
        <w:r>
          <w:rPr>
            <w:noProof/>
            <w:webHidden/>
          </w:rPr>
          <w:fldChar w:fldCharType="separate"/>
        </w:r>
        <w:r>
          <w:rPr>
            <w:rFonts w:ascii="Georgia" w:hAnsi="Georgia" w:eastAsia="Microsoft YaHei"/>
            <w:color w:val="263238"/>
            <w:sz w:val="22"/>
            <w:noProof/>
            <w:webHidden/>
          </w:rPr>
          <w:t xml:space="preserve">69</w:t>
        </w:r>
        <w:r>
          <w:rPr>
            <w:noProof/>
            <w:webHidden/>
          </w:rPr>
          <w:fldChar w:fldCharType="end"/>
        </w:r>
      </w:hyperlink>
    </w:p>
    <w:p>
      <w:pPr>
        <w:pStyle w:val="TOC1"/>
      </w:pPr>
      <w:hyperlink w:anchor="_Toc263100048" w:history="1">
        <w:r>
          <w:rPr>
            <w:rFonts w:ascii="Georgia" w:hAnsi="Georgia" w:eastAsia="Microsoft YaHei"/>
            <w:color w:val="263238"/>
            <w:sz w:val="22"/>
            <w:noProof/>
          </w:rPr>
          <w:t xml:space="preserve">Part VII: Activation, Transition, and Final Provisions</w:t>
        </w:r>
        <w:r>
          <w:rPr>
            <w:noProof/>
            <w:webHidden/>
          </w:rPr>
          <w:tab/>
        </w:r>
        <w:r>
          <w:rPr>
            <w:noProof/>
            <w:webHidden/>
          </w:rPr>
          <w:fldChar w:fldCharType="begin"/>
        </w:r>
        <w:r>
          <w:rPr>
            <w:noProof/>
            <w:webHidden/>
          </w:rPr>
          <w:instrText xml:space="preserve"> PAGEREF _Toc263100048 \h </w:instrText>
        </w:r>
        <w:r>
          <w:rPr>
            <w:noProof/>
            <w:webHidden/>
          </w:rPr>
          <w:fldChar w:fldCharType="separate"/>
        </w:r>
        <w:r>
          <w:rPr>
            <w:rFonts w:ascii="Georgia" w:hAnsi="Georgia" w:eastAsia="Microsoft YaHei"/>
            <w:color w:val="263238"/>
            <w:sz w:val="22"/>
            <w:noProof/>
            <w:webHidden/>
          </w:rPr>
          <w:t xml:space="preserve">71</w:t>
        </w:r>
        <w:r>
          <w:rPr>
            <w:noProof/>
            <w:webHidden/>
          </w:rPr>
          <w:fldChar w:fldCharType="end"/>
        </w:r>
      </w:hyperlink>
    </w:p>
    <w:p>
      <w:pPr>
        <w:pStyle w:val="TOC2"/>
      </w:pPr>
      <w:hyperlink w:anchor="_Toc263100049" w:history="1">
        <w:r>
          <w:rPr>
            <w:rFonts w:ascii="Georgia" w:hAnsi="Georgia" w:eastAsia="Microsoft YaHei"/>
            <w:color w:val="263238"/>
            <w:sz w:val="22"/>
            <w:noProof/>
          </w:rPr>
          <w:t xml:space="preserve">Article 38: Entry into Force and Minimal Viable Activation</w:t>
        </w:r>
        <w:r>
          <w:rPr>
            <w:noProof/>
            <w:webHidden/>
          </w:rPr>
          <w:tab/>
        </w:r>
        <w:r>
          <w:rPr>
            <w:noProof/>
            <w:webHidden/>
          </w:rPr>
          <w:fldChar w:fldCharType="begin"/>
        </w:r>
        <w:r>
          <w:rPr>
            <w:noProof/>
            <w:webHidden/>
          </w:rPr>
          <w:instrText xml:space="preserve"> PAGEREF _Toc263100049 \h </w:instrText>
        </w:r>
        <w:r>
          <w:rPr>
            <w:noProof/>
            <w:webHidden/>
          </w:rPr>
          <w:fldChar w:fldCharType="separate"/>
        </w:r>
        <w:r>
          <w:rPr>
            <w:rFonts w:ascii="Georgia" w:hAnsi="Georgia" w:eastAsia="Microsoft YaHei"/>
            <w:color w:val="263238"/>
            <w:sz w:val="22"/>
            <w:noProof/>
            <w:webHidden/>
          </w:rPr>
          <w:t xml:space="preserve">71</w:t>
        </w:r>
        <w:r>
          <w:rPr>
            <w:noProof/>
            <w:webHidden/>
          </w:rPr>
          <w:fldChar w:fldCharType="end"/>
        </w:r>
      </w:hyperlink>
    </w:p>
    <w:p>
      <w:pPr>
        <w:pStyle w:val="TOC2"/>
      </w:pPr>
      <w:hyperlink w:anchor="_Toc263100050" w:history="1">
        <w:r>
          <w:rPr>
            <w:rFonts w:ascii="Georgia" w:hAnsi="Georgia" w:eastAsia="Microsoft YaHei"/>
            <w:color w:val="263238"/>
            <w:sz w:val="22"/>
            <w:noProof/>
          </w:rPr>
          <w:t xml:space="preserve">Article 39: The Pilot Phase and the Activation Sequence</w:t>
        </w:r>
        <w:r>
          <w:rPr>
            <w:noProof/>
            <w:webHidden/>
          </w:rPr>
          <w:tab/>
        </w:r>
        <w:r>
          <w:rPr>
            <w:noProof/>
            <w:webHidden/>
          </w:rPr>
          <w:fldChar w:fldCharType="begin"/>
        </w:r>
        <w:r>
          <w:rPr>
            <w:noProof/>
            <w:webHidden/>
          </w:rPr>
          <w:instrText xml:space="preserve"> PAGEREF _Toc263100050 \h </w:instrText>
        </w:r>
        <w:r>
          <w:rPr>
            <w:noProof/>
            <w:webHidden/>
          </w:rPr>
          <w:fldChar w:fldCharType="separate"/>
        </w:r>
        <w:r>
          <w:rPr>
            <w:rFonts w:ascii="Georgia" w:hAnsi="Georgia" w:eastAsia="Microsoft YaHei"/>
            <w:color w:val="263238"/>
            <w:sz w:val="22"/>
            <w:noProof/>
            <w:webHidden/>
          </w:rPr>
          <w:t xml:space="preserve">71</w:t>
        </w:r>
        <w:r>
          <w:rPr>
            <w:noProof/>
            <w:webHidden/>
          </w:rPr>
          <w:fldChar w:fldCharType="end"/>
        </w:r>
      </w:hyperlink>
    </w:p>
    <w:p>
      <w:pPr>
        <w:pStyle w:val="TOC2"/>
      </w:pPr>
      <w:hyperlink w:anchor="_Toc263100051" w:history="1">
        <w:r>
          <w:rPr>
            <w:rFonts w:ascii="Georgia" w:hAnsi="Georgia" w:eastAsia="Microsoft YaHei"/>
            <w:color w:val="263238"/>
            <w:sz w:val="22"/>
            <w:noProof/>
          </w:rPr>
          <w:t xml:space="preserve">Article 40: The Stability Audit</w:t>
        </w:r>
        <w:r>
          <w:rPr>
            <w:noProof/>
            <w:webHidden/>
          </w:rPr>
          <w:tab/>
        </w:r>
        <w:r>
          <w:rPr>
            <w:noProof/>
            <w:webHidden/>
          </w:rPr>
          <w:fldChar w:fldCharType="begin"/>
        </w:r>
        <w:r>
          <w:rPr>
            <w:noProof/>
            <w:webHidden/>
          </w:rPr>
          <w:instrText xml:space="preserve"> PAGEREF _Toc263100051 \h </w:instrText>
        </w:r>
        <w:r>
          <w:rPr>
            <w:noProof/>
            <w:webHidden/>
          </w:rPr>
          <w:fldChar w:fldCharType="separate"/>
        </w:r>
        <w:r>
          <w:rPr>
            <w:rFonts w:ascii="Georgia" w:hAnsi="Georgia" w:eastAsia="Microsoft YaHei"/>
            <w:color w:val="263238"/>
            <w:sz w:val="22"/>
            <w:noProof/>
            <w:webHidden/>
          </w:rPr>
          <w:t xml:space="preserve">73</w:t>
        </w:r>
        <w:r>
          <w:rPr>
            <w:noProof/>
            <w:webHidden/>
          </w:rPr>
          <w:fldChar w:fldCharType="end"/>
        </w:r>
      </w:hyperlink>
    </w:p>
    <w:p>
      <w:pPr>
        <w:pStyle w:val="TOC2"/>
      </w:pPr>
      <w:hyperlink w:anchor="_Toc263100052" w:history="1">
        <w:r>
          <w:rPr>
            <w:rFonts w:ascii="Georgia" w:hAnsi="Georgia" w:eastAsia="Microsoft YaHei"/>
            <w:color w:val="263238"/>
            <w:sz w:val="22"/>
            <w:noProof/>
          </w:rPr>
          <w:t xml:space="preserve">Article 41: Sunset of Wartime Measures</w:t>
        </w:r>
        <w:r>
          <w:rPr>
            <w:noProof/>
            <w:webHidden/>
          </w:rPr>
          <w:tab/>
        </w:r>
        <w:r>
          <w:rPr>
            <w:noProof/>
            <w:webHidden/>
          </w:rPr>
          <w:fldChar w:fldCharType="begin"/>
        </w:r>
        <w:r>
          <w:rPr>
            <w:noProof/>
            <w:webHidden/>
          </w:rPr>
          <w:instrText xml:space="preserve"> PAGEREF _Toc263100052 \h </w:instrText>
        </w:r>
        <w:r>
          <w:rPr>
            <w:noProof/>
            <w:webHidden/>
          </w:rPr>
          <w:fldChar w:fldCharType="separate"/>
        </w:r>
        <w:r>
          <w:rPr>
            <w:rFonts w:ascii="Georgia" w:hAnsi="Georgia" w:eastAsia="Microsoft YaHei"/>
            <w:color w:val="263238"/>
            <w:sz w:val="22"/>
            <w:noProof/>
            <w:webHidden/>
          </w:rPr>
          <w:t xml:space="preserve">74</w:t>
        </w:r>
        <w:r>
          <w:rPr>
            <w:noProof/>
            <w:webHidden/>
          </w:rPr>
          <w:fldChar w:fldCharType="end"/>
        </w:r>
      </w:hyperlink>
    </w:p>
    <w:p>
      <w:pPr>
        <w:pStyle w:val="TOC2"/>
      </w:pPr>
      <w:hyperlink w:anchor="_Toc263100053" w:history="1">
        <w:r>
          <w:rPr>
            <w:rFonts w:ascii="Georgia" w:hAnsi="Georgia" w:eastAsia="Microsoft YaHei"/>
            <w:color w:val="263238"/>
            <w:sz w:val="22"/>
            <w:noProof/>
          </w:rPr>
          <w:t xml:space="preserve">Article 42: Accession, Amendment, and Withdrawal</w:t>
        </w:r>
        <w:r>
          <w:rPr>
            <w:noProof/>
            <w:webHidden/>
          </w:rPr>
          <w:tab/>
        </w:r>
        <w:r>
          <w:rPr>
            <w:noProof/>
            <w:webHidden/>
          </w:rPr>
          <w:fldChar w:fldCharType="begin"/>
        </w:r>
        <w:r>
          <w:rPr>
            <w:noProof/>
            <w:webHidden/>
          </w:rPr>
          <w:instrText xml:space="preserve"> PAGEREF _Toc263100053 \h </w:instrText>
        </w:r>
        <w:r>
          <w:rPr>
            <w:noProof/>
            <w:webHidden/>
          </w:rPr>
          <w:fldChar w:fldCharType="separate"/>
        </w:r>
        <w:r>
          <w:rPr>
            <w:rFonts w:ascii="Georgia" w:hAnsi="Georgia" w:eastAsia="Microsoft YaHei"/>
            <w:color w:val="263238"/>
            <w:sz w:val="22"/>
            <w:noProof/>
            <w:webHidden/>
          </w:rPr>
          <w:t xml:space="preserve">74</w:t>
        </w:r>
        <w:r>
          <w:rPr>
            <w:noProof/>
            <w:webHidden/>
          </w:rPr>
          <w:fldChar w:fldCharType="end"/>
        </w:r>
      </w:hyperlink>
    </w:p>
    <w:p>
      <w:pPr>
        <w:pStyle w:val="TOC2"/>
      </w:pPr>
      <w:hyperlink w:anchor="_Toc263100054" w:history="1">
        <w:r>
          <w:rPr>
            <w:rFonts w:ascii="Georgia" w:hAnsi="Georgia" w:eastAsia="Microsoft YaHei"/>
            <w:color w:val="263238"/>
            <w:sz w:val="22"/>
            <w:noProof/>
          </w:rPr>
          <w:t xml:space="preserve">Article 43: Final Provisions</w:t>
        </w:r>
        <w:r>
          <w:rPr>
            <w:noProof/>
            <w:webHidden/>
          </w:rPr>
          <w:tab/>
        </w:r>
        <w:r>
          <w:rPr>
            <w:noProof/>
            <w:webHidden/>
          </w:rPr>
          <w:fldChar w:fldCharType="begin"/>
        </w:r>
        <w:r>
          <w:rPr>
            <w:noProof/>
            <w:webHidden/>
          </w:rPr>
          <w:instrText xml:space="preserve"> PAGEREF _Toc263100054 \h </w:instrText>
        </w:r>
        <w:r>
          <w:rPr>
            <w:noProof/>
            <w:webHidden/>
          </w:rPr>
          <w:fldChar w:fldCharType="separate"/>
        </w:r>
        <w:r>
          <w:rPr>
            <w:rFonts w:ascii="Georgia" w:hAnsi="Georgia" w:eastAsia="Microsoft YaHei"/>
            <w:color w:val="263238"/>
            <w:sz w:val="22"/>
            <w:noProof/>
            <w:webHidden/>
          </w:rPr>
          <w:t xml:space="preserve">75</w:t>
        </w:r>
        <w:r>
          <w:rPr>
            <w:noProof/>
            <w:webHidden/>
          </w:rPr>
          <w:fldChar w:fldCharType="end"/>
        </w:r>
      </w:hyperlink>
    </w:p>
    <w:p>
      <w:pPr>
        <w:pStyle w:val="TOC2"/>
      </w:pPr>
      <w:hyperlink w:anchor="_Toc263100055" w:history="1">
        <w:r>
          <w:rPr>
            <w:rFonts w:ascii="Georgia" w:hAnsi="Georgia" w:eastAsia="Microsoft YaHei"/>
            <w:color w:val="263238"/>
            <w:sz w:val="22"/>
            <w:noProof/>
          </w:rPr>
          <w:t xml:space="preserve">Signature Pages</w:t>
        </w:r>
        <w:r>
          <w:rPr>
            <w:noProof/>
            <w:webHidden/>
          </w:rPr>
          <w:tab/>
        </w:r>
        <w:r>
          <w:rPr>
            <w:noProof/>
            <w:webHidden/>
          </w:rPr>
          <w:fldChar w:fldCharType="begin"/>
        </w:r>
        <w:r>
          <w:rPr>
            <w:noProof/>
            <w:webHidden/>
          </w:rPr>
          <w:instrText xml:space="preserve"> PAGEREF _Toc263100055 \h </w:instrText>
        </w:r>
        <w:r>
          <w:rPr>
            <w:noProof/>
            <w:webHidden/>
          </w:rPr>
          <w:fldChar w:fldCharType="separate"/>
        </w:r>
        <w:r>
          <w:rPr>
            <w:rFonts w:ascii="Georgia" w:hAnsi="Georgia" w:eastAsia="Microsoft YaHei"/>
            <w:color w:val="263238"/>
            <w:sz w:val="22"/>
            <w:noProof/>
            <w:webHidden/>
          </w:rPr>
          <w:t xml:space="preserve">76</w:t>
        </w:r>
        <w:r>
          <w:rPr>
            <w:noProof/>
            <w:webHidden/>
          </w:rPr>
          <w:fldChar w:fldCharType="end"/>
        </w:r>
      </w:hyperlink>
    </w:p>
    <w:p>
      <w:pPr>
        <w:pStyle w:val="TOC1"/>
      </w:pPr>
      <w:hyperlink w:anchor="_Toc263100056" w:history="1">
        <w:r>
          <w:rPr>
            <w:rFonts w:ascii="Georgia" w:hAnsi="Georgia" w:eastAsia="Microsoft YaHei"/>
            <w:color w:val="263238"/>
            <w:sz w:val="22"/>
            <w:noProof/>
          </w:rPr>
          <w:t xml:space="preserve">Annex A: Corridor Coordinates and Chart Protocol</w:t>
        </w:r>
        <w:r>
          <w:rPr>
            <w:noProof/>
            <w:webHidden/>
          </w:rPr>
          <w:tab/>
        </w:r>
        <w:r>
          <w:rPr>
            <w:noProof/>
            <w:webHidden/>
          </w:rPr>
          <w:fldChar w:fldCharType="begin"/>
        </w:r>
        <w:r>
          <w:rPr>
            <w:noProof/>
            <w:webHidden/>
          </w:rPr>
          <w:instrText xml:space="preserve"> PAGEREF _Toc263100056 \h </w:instrText>
        </w:r>
        <w:r>
          <w:rPr>
            <w:noProof/>
            <w:webHidden/>
          </w:rPr>
          <w:fldChar w:fldCharType="separate"/>
        </w:r>
        <w:r>
          <w:rPr>
            <w:rFonts w:ascii="Georgia" w:hAnsi="Georgia" w:eastAsia="Microsoft YaHei"/>
            <w:color w:val="263238"/>
            <w:sz w:val="22"/>
            <w:noProof/>
            <w:webHidden/>
          </w:rPr>
          <w:t xml:space="preserve">78</w:t>
        </w:r>
        <w:r>
          <w:rPr>
            <w:noProof/>
            <w:webHidden/>
          </w:rPr>
          <w:fldChar w:fldCharType="end"/>
        </w:r>
      </w:hyperlink>
    </w:p>
    <w:p>
      <w:pPr>
        <w:pStyle w:val="TOC2"/>
      </w:pPr>
      <w:hyperlink w:anchor="_Toc263100057" w:history="1">
        <w:r>
          <w:rPr>
            <w:rFonts w:ascii="Georgia" w:hAnsi="Georgia" w:eastAsia="Microsoft YaHei"/>
            <w:color w:val="263238"/>
            <w:sz w:val="22"/>
            <w:noProof/>
          </w:rPr>
          <w:t xml:space="preserve">A.1 Purpose and status</w:t>
        </w:r>
        <w:r>
          <w:rPr>
            <w:noProof/>
            <w:webHidden/>
          </w:rPr>
          <w:tab/>
        </w:r>
        <w:r>
          <w:rPr>
            <w:noProof/>
            <w:webHidden/>
          </w:rPr>
          <w:fldChar w:fldCharType="begin"/>
        </w:r>
        <w:r>
          <w:rPr>
            <w:noProof/>
            <w:webHidden/>
          </w:rPr>
          <w:instrText xml:space="preserve"> PAGEREF _Toc263100057 \h </w:instrText>
        </w:r>
        <w:r>
          <w:rPr>
            <w:noProof/>
            <w:webHidden/>
          </w:rPr>
          <w:fldChar w:fldCharType="separate"/>
        </w:r>
        <w:r>
          <w:rPr>
            <w:rFonts w:ascii="Georgia" w:hAnsi="Georgia" w:eastAsia="Microsoft YaHei"/>
            <w:color w:val="263238"/>
            <w:sz w:val="22"/>
            <w:noProof/>
            <w:webHidden/>
          </w:rPr>
          <w:t xml:space="preserve">78</w:t>
        </w:r>
        <w:r>
          <w:rPr>
            <w:noProof/>
            <w:webHidden/>
          </w:rPr>
          <w:fldChar w:fldCharType="end"/>
        </w:r>
      </w:hyperlink>
    </w:p>
    <w:p>
      <w:pPr>
        <w:pStyle w:val="TOC2"/>
      </w:pPr>
      <w:hyperlink w:anchor="_Toc263100058" w:history="1">
        <w:r>
          <w:rPr>
            <w:rFonts w:ascii="Georgia" w:hAnsi="Georgia" w:eastAsia="Microsoft YaHei"/>
            <w:color w:val="263238"/>
            <w:sz w:val="22"/>
            <w:noProof/>
          </w:rPr>
          <w:t xml:space="preserve">A.2 Governance Area outer boundary</w:t>
        </w:r>
        <w:r>
          <w:rPr>
            <w:noProof/>
            <w:webHidden/>
          </w:rPr>
          <w:tab/>
        </w:r>
        <w:r>
          <w:rPr>
            <w:noProof/>
            <w:webHidden/>
          </w:rPr>
          <w:fldChar w:fldCharType="begin"/>
        </w:r>
        <w:r>
          <w:rPr>
            <w:noProof/>
            <w:webHidden/>
          </w:rPr>
          <w:instrText xml:space="preserve"> PAGEREF _Toc263100058 \h </w:instrText>
        </w:r>
        <w:r>
          <w:rPr>
            <w:noProof/>
            <w:webHidden/>
          </w:rPr>
          <w:fldChar w:fldCharType="separate"/>
        </w:r>
        <w:r>
          <w:rPr>
            <w:rFonts w:ascii="Georgia" w:hAnsi="Georgia" w:eastAsia="Microsoft YaHei"/>
            <w:color w:val="263238"/>
            <w:sz w:val="22"/>
            <w:noProof/>
            <w:webHidden/>
          </w:rPr>
          <w:t xml:space="preserve">78</w:t>
        </w:r>
        <w:r>
          <w:rPr>
            <w:noProof/>
            <w:webHidden/>
          </w:rPr>
          <w:fldChar w:fldCharType="end"/>
        </w:r>
      </w:hyperlink>
    </w:p>
    <w:p>
      <w:pPr>
        <w:pStyle w:val="TOC2"/>
      </w:pPr>
      <w:hyperlink w:anchor="_Toc263100059" w:history="1">
        <w:r>
          <w:rPr>
            <w:rFonts w:ascii="Georgia" w:hAnsi="Georgia" w:eastAsia="Microsoft YaHei"/>
            <w:color w:val="263238"/>
            <w:sz w:val="22"/>
            <w:noProof/>
          </w:rPr>
          <w:t xml:space="preserve">A.3 The Northern Coordination Corridor</w:t>
        </w:r>
        <w:r>
          <w:rPr>
            <w:noProof/>
            <w:webHidden/>
          </w:rPr>
          <w:tab/>
        </w:r>
        <w:r>
          <w:rPr>
            <w:noProof/>
            <w:webHidden/>
          </w:rPr>
          <w:fldChar w:fldCharType="begin"/>
        </w:r>
        <w:r>
          <w:rPr>
            <w:noProof/>
            <w:webHidden/>
          </w:rPr>
          <w:instrText xml:space="preserve"> PAGEREF _Toc263100059 \h </w:instrText>
        </w:r>
        <w:r>
          <w:rPr>
            <w:noProof/>
            <w:webHidden/>
          </w:rPr>
          <w:fldChar w:fldCharType="separate"/>
        </w:r>
        <w:r>
          <w:rPr>
            <w:rFonts w:ascii="Georgia" w:hAnsi="Georgia" w:eastAsia="Microsoft YaHei"/>
            <w:color w:val="263238"/>
            <w:sz w:val="22"/>
            <w:noProof/>
            <w:webHidden/>
          </w:rPr>
          <w:t xml:space="preserve">79</w:t>
        </w:r>
        <w:r>
          <w:rPr>
            <w:noProof/>
            <w:webHidden/>
          </w:rPr>
          <w:fldChar w:fldCharType="end"/>
        </w:r>
      </w:hyperlink>
    </w:p>
    <w:p>
      <w:pPr>
        <w:pStyle w:val="TOC2"/>
      </w:pPr>
      <w:hyperlink w:anchor="_Toc263100060" w:history="1">
        <w:r>
          <w:rPr>
            <w:rFonts w:ascii="Georgia" w:hAnsi="Georgia" w:eastAsia="Microsoft YaHei"/>
            <w:color w:val="263238"/>
            <w:sz w:val="22"/>
            <w:noProof/>
          </w:rPr>
          <w:t xml:space="preserve">A.4 The Southern Assurance Corridor</w:t>
        </w:r>
        <w:r>
          <w:rPr>
            <w:noProof/>
            <w:webHidden/>
          </w:rPr>
          <w:tab/>
        </w:r>
        <w:r>
          <w:rPr>
            <w:noProof/>
            <w:webHidden/>
          </w:rPr>
          <w:fldChar w:fldCharType="begin"/>
        </w:r>
        <w:r>
          <w:rPr>
            <w:noProof/>
            <w:webHidden/>
          </w:rPr>
          <w:instrText xml:space="preserve"> PAGEREF _Toc263100060 \h </w:instrText>
        </w:r>
        <w:r>
          <w:rPr>
            <w:noProof/>
            <w:webHidden/>
          </w:rPr>
          <w:fldChar w:fldCharType="separate"/>
        </w:r>
        <w:r>
          <w:rPr>
            <w:rFonts w:ascii="Georgia" w:hAnsi="Georgia" w:eastAsia="Microsoft YaHei"/>
            <w:color w:val="263238"/>
            <w:sz w:val="22"/>
            <w:noProof/>
            <w:webHidden/>
          </w:rPr>
          <w:t xml:space="preserve">79</w:t>
        </w:r>
        <w:r>
          <w:rPr>
            <w:noProof/>
            <w:webHidden/>
          </w:rPr>
          <w:fldChar w:fldCharType="end"/>
        </w:r>
      </w:hyperlink>
    </w:p>
    <w:p>
      <w:pPr>
        <w:pStyle w:val="TOC2"/>
      </w:pPr>
      <w:hyperlink w:anchor="_Toc263100061" w:history="1">
        <w:r>
          <w:rPr>
            <w:rFonts w:ascii="Georgia" w:hAnsi="Georgia" w:eastAsia="Microsoft YaHei"/>
            <w:color w:val="263238"/>
            <w:sz w:val="22"/>
            <w:noProof/>
          </w:rPr>
          <w:t xml:space="preserve">A.5 The Central Buffer Corridor</w:t>
        </w:r>
        <w:r>
          <w:rPr>
            <w:noProof/>
            <w:webHidden/>
          </w:rPr>
          <w:tab/>
        </w:r>
        <w:r>
          <w:rPr>
            <w:noProof/>
            <w:webHidden/>
          </w:rPr>
          <w:fldChar w:fldCharType="begin"/>
        </w:r>
        <w:r>
          <w:rPr>
            <w:noProof/>
            <w:webHidden/>
          </w:rPr>
          <w:instrText xml:space="preserve"> PAGEREF _Toc263100061 \h </w:instrText>
        </w:r>
        <w:r>
          <w:rPr>
            <w:noProof/>
            <w:webHidden/>
          </w:rPr>
          <w:fldChar w:fldCharType="separate"/>
        </w:r>
        <w:r>
          <w:rPr>
            <w:rFonts w:ascii="Georgia" w:hAnsi="Georgia" w:eastAsia="Microsoft YaHei"/>
            <w:color w:val="263238"/>
            <w:sz w:val="22"/>
            <w:noProof/>
            <w:webHidden/>
          </w:rPr>
          <w:t xml:space="preserve">79</w:t>
        </w:r>
        <w:r>
          <w:rPr>
            <w:noProof/>
            <w:webHidden/>
          </w:rPr>
          <w:fldChar w:fldCharType="end"/>
        </w:r>
      </w:hyperlink>
    </w:p>
    <w:p>
      <w:pPr>
        <w:pStyle w:val="TOC2"/>
      </w:pPr>
      <w:hyperlink w:anchor="_Toc263100062" w:history="1">
        <w:r>
          <w:rPr>
            <w:rFonts w:ascii="Georgia" w:hAnsi="Georgia" w:eastAsia="Microsoft YaHei"/>
            <w:color w:val="263238"/>
            <w:sz w:val="22"/>
            <w:noProof/>
          </w:rPr>
          <w:t xml:space="preserve">A.6 Anchorages and special points</w:t>
        </w:r>
        <w:r>
          <w:rPr>
            <w:noProof/>
            <w:webHidden/>
          </w:rPr>
          <w:tab/>
        </w:r>
        <w:r>
          <w:rPr>
            <w:noProof/>
            <w:webHidden/>
          </w:rPr>
          <w:fldChar w:fldCharType="begin"/>
        </w:r>
        <w:r>
          <w:rPr>
            <w:noProof/>
            <w:webHidden/>
          </w:rPr>
          <w:instrText xml:space="preserve"> PAGEREF _Toc263100062 \h </w:instrText>
        </w:r>
        <w:r>
          <w:rPr>
            <w:noProof/>
            <w:webHidden/>
          </w:rPr>
          <w:fldChar w:fldCharType="separate"/>
        </w:r>
        <w:r>
          <w:rPr>
            <w:rFonts w:ascii="Georgia" w:hAnsi="Georgia" w:eastAsia="Microsoft YaHei"/>
            <w:color w:val="263238"/>
            <w:sz w:val="22"/>
            <w:noProof/>
            <w:webHidden/>
          </w:rPr>
          <w:t xml:space="preserve">80</w:t>
        </w:r>
        <w:r>
          <w:rPr>
            <w:noProof/>
            <w:webHidden/>
          </w:rPr>
          <w:fldChar w:fldCharType="end"/>
        </w:r>
      </w:hyperlink>
    </w:p>
    <w:p>
      <w:pPr>
        <w:pStyle w:val="TOC2"/>
      </w:pPr>
      <w:hyperlink w:anchor="_Toc263100063" w:history="1">
        <w:r>
          <w:rPr>
            <w:rFonts w:ascii="Georgia" w:hAnsi="Georgia" w:eastAsia="Microsoft YaHei"/>
            <w:color w:val="263238"/>
            <w:sz w:val="22"/>
            <w:noProof/>
          </w:rPr>
          <w:t xml:space="preserve">A.7 Wartime lane succession map</w:t>
        </w:r>
        <w:r>
          <w:rPr>
            <w:noProof/>
            <w:webHidden/>
          </w:rPr>
          <w:tab/>
        </w:r>
        <w:r>
          <w:rPr>
            <w:noProof/>
            <w:webHidden/>
          </w:rPr>
          <w:fldChar w:fldCharType="begin"/>
        </w:r>
        <w:r>
          <w:rPr>
            <w:noProof/>
            <w:webHidden/>
          </w:rPr>
          <w:instrText xml:space="preserve"> PAGEREF _Toc263100063 \h </w:instrText>
        </w:r>
        <w:r>
          <w:rPr>
            <w:noProof/>
            <w:webHidden/>
          </w:rPr>
          <w:fldChar w:fldCharType="separate"/>
        </w:r>
        <w:r>
          <w:rPr>
            <w:rFonts w:ascii="Georgia" w:hAnsi="Georgia" w:eastAsia="Microsoft YaHei"/>
            <w:color w:val="263238"/>
            <w:sz w:val="22"/>
            <w:noProof/>
            <w:webHidden/>
          </w:rPr>
          <w:t xml:space="preserve">80</w:t>
        </w:r>
        <w:r>
          <w:rPr>
            <w:noProof/>
            <w:webHidden/>
          </w:rPr>
          <w:fldChar w:fldCharType="end"/>
        </w:r>
      </w:hyperlink>
    </w:p>
    <w:p>
      <w:pPr>
        <w:pStyle w:val="TOC2"/>
      </w:pPr>
      <w:hyperlink w:anchor="_Toc263100064" w:history="1">
        <w:r>
          <w:rPr>
            <w:rFonts w:ascii="Georgia" w:hAnsi="Georgia" w:eastAsia="Microsoft YaHei"/>
            <w:color w:val="263238"/>
            <w:sz w:val="22"/>
            <w:noProof/>
          </w:rPr>
          <w:t xml:space="preserve">A.8 Chart amendment protocol</w:t>
        </w:r>
        <w:r>
          <w:rPr>
            <w:noProof/>
            <w:webHidden/>
          </w:rPr>
          <w:tab/>
        </w:r>
        <w:r>
          <w:rPr>
            <w:noProof/>
            <w:webHidden/>
          </w:rPr>
          <w:fldChar w:fldCharType="begin"/>
        </w:r>
        <w:r>
          <w:rPr>
            <w:noProof/>
            <w:webHidden/>
          </w:rPr>
          <w:instrText xml:space="preserve"> PAGEREF _Toc263100064 \h </w:instrText>
        </w:r>
        <w:r>
          <w:rPr>
            <w:noProof/>
            <w:webHidden/>
          </w:rPr>
          <w:fldChar w:fldCharType="separate"/>
        </w:r>
        <w:r>
          <w:rPr>
            <w:rFonts w:ascii="Georgia" w:hAnsi="Georgia" w:eastAsia="Microsoft YaHei"/>
            <w:color w:val="263238"/>
            <w:sz w:val="22"/>
            <w:noProof/>
            <w:webHidden/>
          </w:rPr>
          <w:t xml:space="preserve">80</w:t>
        </w:r>
        <w:r>
          <w:rPr>
            <w:noProof/>
            <w:webHidden/>
          </w:rPr>
          <w:fldChar w:fldCharType="end"/>
        </w:r>
      </w:hyperlink>
    </w:p>
    <w:p>
      <w:pPr>
        <w:pStyle w:val="TOC2"/>
      </w:pPr>
      <w:hyperlink w:anchor="_Toc263100065" w:history="1">
        <w:r>
          <w:rPr>
            <w:rFonts w:ascii="Georgia" w:hAnsi="Georgia" w:eastAsia="Microsoft YaHei"/>
            <w:color w:val="263238"/>
            <w:sz w:val="22"/>
            <w:noProof/>
          </w:rPr>
          <w:t xml:space="preserve">A.9 Publication rule</w:t>
        </w:r>
        <w:r>
          <w:rPr>
            <w:noProof/>
            <w:webHidden/>
          </w:rPr>
          <w:tab/>
        </w:r>
        <w:r>
          <w:rPr>
            <w:noProof/>
            <w:webHidden/>
          </w:rPr>
          <w:fldChar w:fldCharType="begin"/>
        </w:r>
        <w:r>
          <w:rPr>
            <w:noProof/>
            <w:webHidden/>
          </w:rPr>
          <w:instrText xml:space="preserve"> PAGEREF _Toc263100065 \h </w:instrText>
        </w:r>
        <w:r>
          <w:rPr>
            <w:noProof/>
            <w:webHidden/>
          </w:rPr>
          <w:fldChar w:fldCharType="separate"/>
        </w:r>
        <w:r>
          <w:rPr>
            <w:rFonts w:ascii="Georgia" w:hAnsi="Georgia" w:eastAsia="Microsoft YaHei"/>
            <w:color w:val="263238"/>
            <w:sz w:val="22"/>
            <w:noProof/>
            <w:webHidden/>
          </w:rPr>
          <w:t xml:space="preserve">81</w:t>
        </w:r>
        <w:r>
          <w:rPr>
            <w:noProof/>
            <w:webHidden/>
          </w:rPr>
          <w:fldChar w:fldCharType="end"/>
        </w:r>
      </w:hyperlink>
    </w:p>
    <w:p>
      <w:pPr>
        <w:pStyle w:val="TOC1"/>
      </w:pPr>
      <w:hyperlink w:anchor="_Toc263100066" w:history="1">
        <w:r>
          <w:rPr>
            <w:rFonts w:ascii="Georgia" w:hAnsi="Georgia" w:eastAsia="Microsoft YaHei"/>
            <w:color w:val="263238"/>
            <w:sz w:val="22"/>
            <w:noProof/>
          </w:rPr>
          <w:t xml:space="preserve">Annex B: Monitoring, Transparency, and Incident Reporting Protocol</w:t>
        </w:r>
        <w:r>
          <w:rPr>
            <w:noProof/>
            <w:webHidden/>
          </w:rPr>
          <w:tab/>
        </w:r>
        <w:r>
          <w:rPr>
            <w:noProof/>
            <w:webHidden/>
          </w:rPr>
          <w:fldChar w:fldCharType="begin"/>
        </w:r>
        <w:r>
          <w:rPr>
            <w:noProof/>
            <w:webHidden/>
          </w:rPr>
          <w:instrText xml:space="preserve"> PAGEREF _Toc263100066 \h </w:instrText>
        </w:r>
        <w:r>
          <w:rPr>
            <w:noProof/>
            <w:webHidden/>
          </w:rPr>
          <w:fldChar w:fldCharType="separate"/>
        </w:r>
        <w:r>
          <w:rPr>
            <w:rFonts w:ascii="Georgia" w:hAnsi="Georgia" w:eastAsia="Microsoft YaHei"/>
            <w:color w:val="263238"/>
            <w:sz w:val="22"/>
            <w:noProof/>
            <w:webHidden/>
          </w:rPr>
          <w:t xml:space="preserve">82</w:t>
        </w:r>
        <w:r>
          <w:rPr>
            <w:noProof/>
            <w:webHidden/>
          </w:rPr>
          <w:fldChar w:fldCharType="end"/>
        </w:r>
      </w:hyperlink>
    </w:p>
    <w:p>
      <w:pPr>
        <w:pStyle w:val="TOC2"/>
      </w:pPr>
      <w:hyperlink w:anchor="_Toc263100067" w:history="1">
        <w:r>
          <w:rPr>
            <w:rFonts w:ascii="Georgia" w:hAnsi="Georgia" w:eastAsia="Microsoft YaHei"/>
            <w:color w:val="263238"/>
            <w:sz w:val="22"/>
            <w:noProof/>
          </w:rPr>
          <w:t xml:space="preserve">B.1 The monitoring stack</w:t>
        </w:r>
        <w:r>
          <w:rPr>
            <w:noProof/>
            <w:webHidden/>
          </w:rPr>
          <w:tab/>
        </w:r>
        <w:r>
          <w:rPr>
            <w:noProof/>
            <w:webHidden/>
          </w:rPr>
          <w:fldChar w:fldCharType="begin"/>
        </w:r>
        <w:r>
          <w:rPr>
            <w:noProof/>
            <w:webHidden/>
          </w:rPr>
          <w:instrText xml:space="preserve"> PAGEREF _Toc263100067 \h </w:instrText>
        </w:r>
        <w:r>
          <w:rPr>
            <w:noProof/>
            <w:webHidden/>
          </w:rPr>
          <w:fldChar w:fldCharType="separate"/>
        </w:r>
        <w:r>
          <w:rPr>
            <w:rFonts w:ascii="Georgia" w:hAnsi="Georgia" w:eastAsia="Microsoft YaHei"/>
            <w:color w:val="263238"/>
            <w:sz w:val="22"/>
            <w:noProof/>
            <w:webHidden/>
          </w:rPr>
          <w:t xml:space="preserve">82</w:t>
        </w:r>
        <w:r>
          <w:rPr>
            <w:noProof/>
            <w:webHidden/>
          </w:rPr>
          <w:fldChar w:fldCharType="end"/>
        </w:r>
      </w:hyperlink>
    </w:p>
    <w:p>
      <w:pPr>
        <w:pStyle w:val="TOC2"/>
      </w:pPr>
      <w:hyperlink w:anchor="_Toc263100068" w:history="1">
        <w:r>
          <w:rPr>
            <w:rFonts w:ascii="Georgia" w:hAnsi="Georgia" w:eastAsia="Microsoft YaHei"/>
            <w:color w:val="263238"/>
            <w:sz w:val="22"/>
            <w:noProof/>
          </w:rPr>
          <w:t xml:space="preserve">B.2 Data standards</w:t>
        </w:r>
        <w:r>
          <w:rPr>
            <w:noProof/>
            <w:webHidden/>
          </w:rPr>
          <w:tab/>
        </w:r>
        <w:r>
          <w:rPr>
            <w:noProof/>
            <w:webHidden/>
          </w:rPr>
          <w:fldChar w:fldCharType="begin"/>
        </w:r>
        <w:r>
          <w:rPr>
            <w:noProof/>
            <w:webHidden/>
          </w:rPr>
          <w:instrText xml:space="preserve"> PAGEREF _Toc263100068 \h </w:instrText>
        </w:r>
        <w:r>
          <w:rPr>
            <w:noProof/>
            <w:webHidden/>
          </w:rPr>
          <w:fldChar w:fldCharType="separate"/>
        </w:r>
        <w:r>
          <w:rPr>
            <w:rFonts w:ascii="Georgia" w:hAnsi="Georgia" w:eastAsia="Microsoft YaHei"/>
            <w:color w:val="263238"/>
            <w:sz w:val="22"/>
            <w:noProof/>
            <w:webHidden/>
          </w:rPr>
          <w:t xml:space="preserve">82</w:t>
        </w:r>
        <w:r>
          <w:rPr>
            <w:noProof/>
            <w:webHidden/>
          </w:rPr>
          <w:fldChar w:fldCharType="end"/>
        </w:r>
      </w:hyperlink>
    </w:p>
    <w:p>
      <w:pPr>
        <w:pStyle w:val="TOC2"/>
      </w:pPr>
      <w:hyperlink w:anchor="_Toc263100069" w:history="1">
        <w:r>
          <w:rPr>
            <w:rFonts w:ascii="Georgia" w:hAnsi="Georgia" w:eastAsia="Microsoft YaHei"/>
            <w:color w:val="263238"/>
            <w:sz w:val="22"/>
            <w:noProof/>
          </w:rPr>
          <w:t xml:space="preserve">B.3 Access tiers</w:t>
        </w:r>
        <w:r>
          <w:rPr>
            <w:noProof/>
            <w:webHidden/>
          </w:rPr>
          <w:tab/>
        </w:r>
        <w:r>
          <w:rPr>
            <w:noProof/>
            <w:webHidden/>
          </w:rPr>
          <w:fldChar w:fldCharType="begin"/>
        </w:r>
        <w:r>
          <w:rPr>
            <w:noProof/>
            <w:webHidden/>
          </w:rPr>
          <w:instrText xml:space="preserve"> PAGEREF _Toc263100069 \h </w:instrText>
        </w:r>
        <w:r>
          <w:rPr>
            <w:noProof/>
            <w:webHidden/>
          </w:rPr>
          <w:fldChar w:fldCharType="separate"/>
        </w:r>
        <w:r>
          <w:rPr>
            <w:rFonts w:ascii="Georgia" w:hAnsi="Georgia" w:eastAsia="Microsoft YaHei"/>
            <w:color w:val="263238"/>
            <w:sz w:val="22"/>
            <w:noProof/>
            <w:webHidden/>
          </w:rPr>
          <w:t xml:space="preserve">82</w:t>
        </w:r>
        <w:r>
          <w:rPr>
            <w:noProof/>
            <w:webHidden/>
          </w:rPr>
          <w:fldChar w:fldCharType="end"/>
        </w:r>
      </w:hyperlink>
    </w:p>
    <w:p>
      <w:pPr>
        <w:pStyle w:val="TOC2"/>
      </w:pPr>
      <w:hyperlink w:anchor="_Toc263100070" w:history="1">
        <w:r>
          <w:rPr>
            <w:rFonts w:ascii="Georgia" w:hAnsi="Georgia" w:eastAsia="Microsoft YaHei"/>
            <w:color w:val="263238"/>
            <w:sz w:val="22"/>
            <w:noProof/>
          </w:rPr>
          <w:t xml:space="preserve">B.4 Anomaly severity classification</w:t>
        </w:r>
        <w:r>
          <w:rPr>
            <w:noProof/>
            <w:webHidden/>
          </w:rPr>
          <w:tab/>
        </w:r>
        <w:r>
          <w:rPr>
            <w:noProof/>
            <w:webHidden/>
          </w:rPr>
          <w:fldChar w:fldCharType="begin"/>
        </w:r>
        <w:r>
          <w:rPr>
            <w:noProof/>
            <w:webHidden/>
          </w:rPr>
          <w:instrText xml:space="preserve"> PAGEREF _Toc263100070 \h </w:instrText>
        </w:r>
        <w:r>
          <w:rPr>
            <w:noProof/>
            <w:webHidden/>
          </w:rPr>
          <w:fldChar w:fldCharType="separate"/>
        </w:r>
        <w:r>
          <w:rPr>
            <w:rFonts w:ascii="Georgia" w:hAnsi="Georgia" w:eastAsia="Microsoft YaHei"/>
            <w:color w:val="263238"/>
            <w:sz w:val="22"/>
            <w:noProof/>
            <w:webHidden/>
          </w:rPr>
          <w:t xml:space="preserve">82</w:t>
        </w:r>
        <w:r>
          <w:rPr>
            <w:noProof/>
            <w:webHidden/>
          </w:rPr>
          <w:fldChar w:fldCharType="end"/>
        </w:r>
      </w:hyperlink>
    </w:p>
    <w:p>
      <w:pPr>
        <w:pStyle w:val="TOC2"/>
      </w:pPr>
      <w:hyperlink w:anchor="_Toc263100071" w:history="1">
        <w:r>
          <w:rPr>
            <w:rFonts w:ascii="Georgia" w:hAnsi="Georgia" w:eastAsia="Microsoft YaHei"/>
            <w:color w:val="263238"/>
            <w:sz w:val="22"/>
            <w:noProof/>
          </w:rPr>
          <w:t xml:space="preserve">B.5 Anomaly response playbook</w:t>
        </w:r>
        <w:r>
          <w:rPr>
            <w:noProof/>
            <w:webHidden/>
          </w:rPr>
          <w:tab/>
        </w:r>
        <w:r>
          <w:rPr>
            <w:noProof/>
            <w:webHidden/>
          </w:rPr>
          <w:fldChar w:fldCharType="begin"/>
        </w:r>
        <w:r>
          <w:rPr>
            <w:noProof/>
            <w:webHidden/>
          </w:rPr>
          <w:instrText xml:space="preserve"> PAGEREF _Toc263100071 \h </w:instrText>
        </w:r>
        <w:r>
          <w:rPr>
            <w:noProof/>
            <w:webHidden/>
          </w:rPr>
          <w:fldChar w:fldCharType="separate"/>
        </w:r>
        <w:r>
          <w:rPr>
            <w:rFonts w:ascii="Georgia" w:hAnsi="Georgia" w:eastAsia="Microsoft YaHei"/>
            <w:color w:val="263238"/>
            <w:sz w:val="22"/>
            <w:noProof/>
            <w:webHidden/>
          </w:rPr>
          <w:t xml:space="preserve">83</w:t>
        </w:r>
        <w:r>
          <w:rPr>
            <w:noProof/>
            <w:webHidden/>
          </w:rPr>
          <w:fldChar w:fldCharType="end"/>
        </w:r>
      </w:hyperlink>
    </w:p>
    <w:p>
      <w:pPr>
        <w:pStyle w:val="TOC2"/>
      </w:pPr>
      <w:hyperlink w:anchor="_Toc263100072" w:history="1">
        <w:r>
          <w:rPr>
            <w:rFonts w:ascii="Georgia" w:hAnsi="Georgia" w:eastAsia="Microsoft YaHei"/>
            <w:color w:val="263238"/>
            <w:sz w:val="22"/>
            <w:noProof/>
          </w:rPr>
          <w:t xml:space="preserve">B.6 Technical Truth Escalation Chain</w:t>
        </w:r>
        <w:r>
          <w:rPr>
            <w:noProof/>
            <w:webHidden/>
          </w:rPr>
          <w:tab/>
        </w:r>
        <w:r>
          <w:rPr>
            <w:noProof/>
            <w:webHidden/>
          </w:rPr>
          <w:fldChar w:fldCharType="begin"/>
        </w:r>
        <w:r>
          <w:rPr>
            <w:noProof/>
            <w:webHidden/>
          </w:rPr>
          <w:instrText xml:space="preserve"> PAGEREF _Toc263100072 \h </w:instrText>
        </w:r>
        <w:r>
          <w:rPr>
            <w:noProof/>
            <w:webHidden/>
          </w:rPr>
          <w:fldChar w:fldCharType="separate"/>
        </w:r>
        <w:r>
          <w:rPr>
            <w:rFonts w:ascii="Georgia" w:hAnsi="Georgia" w:eastAsia="Microsoft YaHei"/>
            <w:color w:val="263238"/>
            <w:sz w:val="22"/>
            <w:noProof/>
            <w:webHidden/>
          </w:rPr>
          <w:t xml:space="preserve">83</w:t>
        </w:r>
        <w:r>
          <w:rPr>
            <w:noProof/>
            <w:webHidden/>
          </w:rPr>
          <w:fldChar w:fldCharType="end"/>
        </w:r>
      </w:hyperlink>
    </w:p>
    <w:p>
      <w:pPr>
        <w:pStyle w:val="TOC2"/>
      </w:pPr>
      <w:hyperlink w:anchor="_Toc263100073" w:history="1">
        <w:r>
          <w:rPr>
            <w:rFonts w:ascii="Georgia" w:hAnsi="Georgia" w:eastAsia="Microsoft YaHei"/>
            <w:color w:val="263238"/>
            <w:sz w:val="22"/>
            <w:noProof/>
          </w:rPr>
          <w:t xml:space="preserve">B.7 Incident reporting standard</w:t>
        </w:r>
        <w:r>
          <w:rPr>
            <w:noProof/>
            <w:webHidden/>
          </w:rPr>
          <w:tab/>
        </w:r>
        <w:r>
          <w:rPr>
            <w:noProof/>
            <w:webHidden/>
          </w:rPr>
          <w:fldChar w:fldCharType="begin"/>
        </w:r>
        <w:r>
          <w:rPr>
            <w:noProof/>
            <w:webHidden/>
          </w:rPr>
          <w:instrText xml:space="preserve"> PAGEREF _Toc263100073 \h </w:instrText>
        </w:r>
        <w:r>
          <w:rPr>
            <w:noProof/>
            <w:webHidden/>
          </w:rPr>
          <w:fldChar w:fldCharType="separate"/>
        </w:r>
        <w:r>
          <w:rPr>
            <w:rFonts w:ascii="Georgia" w:hAnsi="Georgia" w:eastAsia="Microsoft YaHei"/>
            <w:color w:val="263238"/>
            <w:sz w:val="22"/>
            <w:noProof/>
            <w:webHidden/>
          </w:rPr>
          <w:t xml:space="preserve">83</w:t>
        </w:r>
        <w:r>
          <w:rPr>
            <w:noProof/>
            <w:webHidden/>
          </w:rPr>
          <w:fldChar w:fldCharType="end"/>
        </w:r>
      </w:hyperlink>
    </w:p>
    <w:p>
      <w:pPr>
        <w:pStyle w:val="TOC2"/>
      </w:pPr>
      <w:hyperlink w:anchor="_Toc263100074" w:history="1">
        <w:r>
          <w:rPr>
            <w:rFonts w:ascii="Georgia" w:hAnsi="Georgia" w:eastAsia="Microsoft YaHei"/>
            <w:color w:val="263238"/>
            <w:sz w:val="22"/>
            <w:noProof/>
          </w:rPr>
          <w:t xml:space="preserve">B.8 The Red Team</w:t>
        </w:r>
        <w:r>
          <w:rPr>
            <w:noProof/>
            <w:webHidden/>
          </w:rPr>
          <w:tab/>
        </w:r>
        <w:r>
          <w:rPr>
            <w:noProof/>
            <w:webHidden/>
          </w:rPr>
          <w:fldChar w:fldCharType="begin"/>
        </w:r>
        <w:r>
          <w:rPr>
            <w:noProof/>
            <w:webHidden/>
          </w:rPr>
          <w:instrText xml:space="preserve"> PAGEREF _Toc263100074 \h </w:instrText>
        </w:r>
        <w:r>
          <w:rPr>
            <w:noProof/>
            <w:webHidden/>
          </w:rPr>
          <w:fldChar w:fldCharType="separate"/>
        </w:r>
        <w:r>
          <w:rPr>
            <w:rFonts w:ascii="Georgia" w:hAnsi="Georgia" w:eastAsia="Microsoft YaHei"/>
            <w:color w:val="263238"/>
            <w:sz w:val="22"/>
            <w:noProof/>
            <w:webHidden/>
          </w:rPr>
          <w:t xml:space="preserve">83</w:t>
        </w:r>
        <w:r>
          <w:rPr>
            <w:noProof/>
            <w:webHidden/>
          </w:rPr>
          <w:fldChar w:fldCharType="end"/>
        </w:r>
      </w:hyperlink>
    </w:p>
    <w:p>
      <w:pPr>
        <w:pStyle w:val="TOC2"/>
      </w:pPr>
      <w:hyperlink w:anchor="_Toc263100075" w:history="1">
        <w:r>
          <w:rPr>
            <w:rFonts w:ascii="Georgia" w:hAnsi="Georgia" w:eastAsia="Microsoft YaHei"/>
            <w:color w:val="263238"/>
            <w:sz w:val="22"/>
            <w:noProof/>
          </w:rPr>
          <w:t xml:space="preserve">B.9 Performance benchmarks</w:t>
        </w:r>
        <w:r>
          <w:rPr>
            <w:noProof/>
            <w:webHidden/>
          </w:rPr>
          <w:tab/>
        </w:r>
        <w:r>
          <w:rPr>
            <w:noProof/>
            <w:webHidden/>
          </w:rPr>
          <w:fldChar w:fldCharType="begin"/>
        </w:r>
        <w:r>
          <w:rPr>
            <w:noProof/>
            <w:webHidden/>
          </w:rPr>
          <w:instrText xml:space="preserve"> PAGEREF _Toc263100075 \h </w:instrText>
        </w:r>
        <w:r>
          <w:rPr>
            <w:noProof/>
            <w:webHidden/>
          </w:rPr>
          <w:fldChar w:fldCharType="separate"/>
        </w:r>
        <w:r>
          <w:rPr>
            <w:rFonts w:ascii="Georgia" w:hAnsi="Georgia" w:eastAsia="Microsoft YaHei"/>
            <w:color w:val="263238"/>
            <w:sz w:val="22"/>
            <w:noProof/>
            <w:webHidden/>
          </w:rPr>
          <w:t xml:space="preserve">84</w:t>
        </w:r>
        <w:r>
          <w:rPr>
            <w:noProof/>
            <w:webHidden/>
          </w:rPr>
          <w:fldChar w:fldCharType="end"/>
        </w:r>
      </w:hyperlink>
    </w:p>
    <w:p>
      <w:pPr>
        <w:pStyle w:val="TOC2"/>
      </w:pPr>
      <w:hyperlink w:anchor="_Toc263100076" w:history="1">
        <w:r>
          <w:rPr>
            <w:rFonts w:ascii="Georgia" w:hAnsi="Georgia" w:eastAsia="Microsoft YaHei"/>
            <w:color w:val="263238"/>
            <w:sz w:val="22"/>
            <w:noProof/>
          </w:rPr>
          <w:t xml:space="preserve">B.10 Declassification schedule</w:t>
        </w:r>
        <w:r>
          <w:rPr>
            <w:noProof/>
            <w:webHidden/>
          </w:rPr>
          <w:tab/>
        </w:r>
        <w:r>
          <w:rPr>
            <w:noProof/>
            <w:webHidden/>
          </w:rPr>
          <w:fldChar w:fldCharType="begin"/>
        </w:r>
        <w:r>
          <w:rPr>
            <w:noProof/>
            <w:webHidden/>
          </w:rPr>
          <w:instrText xml:space="preserve"> PAGEREF _Toc263100076 \h </w:instrText>
        </w:r>
        <w:r>
          <w:rPr>
            <w:noProof/>
            <w:webHidden/>
          </w:rPr>
          <w:fldChar w:fldCharType="separate"/>
        </w:r>
        <w:r>
          <w:rPr>
            <w:rFonts w:ascii="Georgia" w:hAnsi="Georgia" w:eastAsia="Microsoft YaHei"/>
            <w:color w:val="263238"/>
            <w:sz w:val="22"/>
            <w:noProof/>
            <w:webHidden/>
          </w:rPr>
          <w:t xml:space="preserve">84</w:t>
        </w:r>
        <w:r>
          <w:rPr>
            <w:noProof/>
            <w:webHidden/>
          </w:rPr>
          <w:fldChar w:fldCharType="end"/>
        </w:r>
      </w:hyperlink>
    </w:p>
    <w:p>
      <w:pPr>
        <w:pStyle w:val="TOC2"/>
      </w:pPr>
      <w:hyperlink w:anchor="_Toc263100077" w:history="1">
        <w:r>
          <w:rPr>
            <w:rFonts w:ascii="Georgia" w:hAnsi="Georgia" w:eastAsia="Microsoft YaHei"/>
            <w:color w:val="263238"/>
            <w:sz w:val="22"/>
            <w:noProof/>
          </w:rPr>
          <w:t xml:space="preserve">B.11 The Dark Start Protocol</w:t>
        </w:r>
        <w:r>
          <w:rPr>
            <w:noProof/>
            <w:webHidden/>
          </w:rPr>
          <w:tab/>
        </w:r>
        <w:r>
          <w:rPr>
            <w:noProof/>
            <w:webHidden/>
          </w:rPr>
          <w:fldChar w:fldCharType="begin"/>
        </w:r>
        <w:r>
          <w:rPr>
            <w:noProof/>
            <w:webHidden/>
          </w:rPr>
          <w:instrText xml:space="preserve"> PAGEREF _Toc263100077 \h </w:instrText>
        </w:r>
        <w:r>
          <w:rPr>
            <w:noProof/>
            <w:webHidden/>
          </w:rPr>
          <w:fldChar w:fldCharType="separate"/>
        </w:r>
        <w:r>
          <w:rPr>
            <w:rFonts w:ascii="Georgia" w:hAnsi="Georgia" w:eastAsia="Microsoft YaHei"/>
            <w:color w:val="263238"/>
            <w:sz w:val="22"/>
            <w:noProof/>
            <w:webHidden/>
          </w:rPr>
          <w:t xml:space="preserve">84</w:t>
        </w:r>
        <w:r>
          <w:rPr>
            <w:noProof/>
            <w:webHidden/>
          </w:rPr>
          <w:fldChar w:fldCharType="end"/>
        </w:r>
      </w:hyperlink>
    </w:p>
    <w:p>
      <w:pPr>
        <w:pStyle w:val="TOC1"/>
      </w:pPr>
      <w:hyperlink w:anchor="_Toc263100078" w:history="1">
        <w:r>
          <w:rPr>
            <w:rFonts w:ascii="Georgia" w:hAnsi="Georgia" w:eastAsia="Microsoft YaHei"/>
            <w:color w:val="263238"/>
            <w:sz w:val="22"/>
            <w:noProof/>
          </w:rPr>
          <w:t xml:space="preserve">Annex C: Security Functions and the Twin Key Deconfliction Rules</w:t>
        </w:r>
        <w:r>
          <w:rPr>
            <w:noProof/>
            <w:webHidden/>
          </w:rPr>
          <w:tab/>
        </w:r>
        <w:r>
          <w:rPr>
            <w:noProof/>
            <w:webHidden/>
          </w:rPr>
          <w:fldChar w:fldCharType="begin"/>
        </w:r>
        <w:r>
          <w:rPr>
            <w:noProof/>
            <w:webHidden/>
          </w:rPr>
          <w:instrText xml:space="preserve"> PAGEREF _Toc263100078 \h </w:instrText>
        </w:r>
        <w:r>
          <w:rPr>
            <w:noProof/>
            <w:webHidden/>
          </w:rPr>
          <w:fldChar w:fldCharType="separate"/>
        </w:r>
        <w:r>
          <w:rPr>
            <w:rFonts w:ascii="Georgia" w:hAnsi="Georgia" w:eastAsia="Microsoft YaHei"/>
            <w:color w:val="263238"/>
            <w:sz w:val="22"/>
            <w:noProof/>
            <w:webHidden/>
          </w:rPr>
          <w:t xml:space="preserve">85</w:t>
        </w:r>
        <w:r>
          <w:rPr>
            <w:noProof/>
            <w:webHidden/>
          </w:rPr>
          <w:fldChar w:fldCharType="end"/>
        </w:r>
      </w:hyperlink>
    </w:p>
    <w:p>
      <w:pPr>
        <w:pStyle w:val="TOC2"/>
      </w:pPr>
      <w:hyperlink w:anchor="_Toc263100079" w:history="1">
        <w:r>
          <w:rPr>
            <w:rFonts w:ascii="Georgia" w:hAnsi="Georgia" w:eastAsia="Microsoft YaHei"/>
            <w:color w:val="263238"/>
            <w:sz w:val="22"/>
            <w:noProof/>
          </w:rPr>
          <w:t xml:space="preserve">C.1 The functional allocation table</w:t>
        </w:r>
        <w:r>
          <w:rPr>
            <w:noProof/>
            <w:webHidden/>
          </w:rPr>
          <w:tab/>
        </w:r>
        <w:r>
          <w:rPr>
            <w:noProof/>
            <w:webHidden/>
          </w:rPr>
          <w:fldChar w:fldCharType="begin"/>
        </w:r>
        <w:r>
          <w:rPr>
            <w:noProof/>
            <w:webHidden/>
          </w:rPr>
          <w:instrText xml:space="preserve"> PAGEREF _Toc263100079 \h </w:instrText>
        </w:r>
        <w:r>
          <w:rPr>
            <w:noProof/>
            <w:webHidden/>
          </w:rPr>
          <w:fldChar w:fldCharType="separate"/>
        </w:r>
        <w:r>
          <w:rPr>
            <w:rFonts w:ascii="Georgia" w:hAnsi="Georgia" w:eastAsia="Microsoft YaHei"/>
            <w:color w:val="263238"/>
            <w:sz w:val="22"/>
            <w:noProof/>
            <w:webHidden/>
          </w:rPr>
          <w:t xml:space="preserve">85</w:t>
        </w:r>
        <w:r>
          <w:rPr>
            <w:noProof/>
            <w:webHidden/>
          </w:rPr>
          <w:fldChar w:fldCharType="end"/>
        </w:r>
      </w:hyperlink>
    </w:p>
    <w:p>
      <w:pPr>
        <w:pStyle w:val="TOC2"/>
      </w:pPr>
      <w:hyperlink w:anchor="_Toc263100080" w:history="1">
        <w:r>
          <w:rPr>
            <w:rFonts w:ascii="Georgia" w:hAnsi="Georgia" w:eastAsia="Microsoft YaHei"/>
            <w:color w:val="263238"/>
            <w:sz w:val="22"/>
            <w:noProof/>
          </w:rPr>
          <w:t xml:space="preserve">C.2 The Twin Key Safety Intercept</w:t>
        </w:r>
        <w:r>
          <w:rPr>
            <w:noProof/>
            <w:webHidden/>
          </w:rPr>
          <w:tab/>
        </w:r>
        <w:r>
          <w:rPr>
            <w:noProof/>
            <w:webHidden/>
          </w:rPr>
          <w:fldChar w:fldCharType="begin"/>
        </w:r>
        <w:r>
          <w:rPr>
            <w:noProof/>
            <w:webHidden/>
          </w:rPr>
          <w:instrText xml:space="preserve"> PAGEREF _Toc263100080 \h </w:instrText>
        </w:r>
        <w:r>
          <w:rPr>
            <w:noProof/>
            <w:webHidden/>
          </w:rPr>
          <w:fldChar w:fldCharType="separate"/>
        </w:r>
        <w:r>
          <w:rPr>
            <w:rFonts w:ascii="Georgia" w:hAnsi="Georgia" w:eastAsia="Microsoft YaHei"/>
            <w:color w:val="263238"/>
            <w:sz w:val="22"/>
            <w:noProof/>
            <w:webHidden/>
          </w:rPr>
          <w:t xml:space="preserve">85</w:t>
        </w:r>
        <w:r>
          <w:rPr>
            <w:noProof/>
            <w:webHidden/>
          </w:rPr>
          <w:fldChar w:fldCharType="end"/>
        </w:r>
      </w:hyperlink>
    </w:p>
    <w:p>
      <w:pPr>
        <w:pStyle w:val="TOC2"/>
      </w:pPr>
      <w:hyperlink w:anchor="_Toc263100081" w:history="1">
        <w:r>
          <w:rPr>
            <w:rFonts w:ascii="Georgia" w:hAnsi="Georgia" w:eastAsia="Microsoft YaHei"/>
            <w:color w:val="263238"/>
            <w:sz w:val="22"/>
            <w:noProof/>
          </w:rPr>
          <w:t xml:space="preserve">C.3 Escort pooling rules</w:t>
        </w:r>
        <w:r>
          <w:rPr>
            <w:noProof/>
            <w:webHidden/>
          </w:rPr>
          <w:tab/>
        </w:r>
        <w:r>
          <w:rPr>
            <w:noProof/>
            <w:webHidden/>
          </w:rPr>
          <w:fldChar w:fldCharType="begin"/>
        </w:r>
        <w:r>
          <w:rPr>
            <w:noProof/>
            <w:webHidden/>
          </w:rPr>
          <w:instrText xml:space="preserve"> PAGEREF _Toc263100081 \h </w:instrText>
        </w:r>
        <w:r>
          <w:rPr>
            <w:noProof/>
            <w:webHidden/>
          </w:rPr>
          <w:fldChar w:fldCharType="separate"/>
        </w:r>
        <w:r>
          <w:rPr>
            <w:rFonts w:ascii="Georgia" w:hAnsi="Georgia" w:eastAsia="Microsoft YaHei"/>
            <w:color w:val="263238"/>
            <w:sz w:val="22"/>
            <w:noProof/>
            <w:webHidden/>
          </w:rPr>
          <w:t xml:space="preserve">86</w:t>
        </w:r>
        <w:r>
          <w:rPr>
            <w:noProof/>
            <w:webHidden/>
          </w:rPr>
          <w:fldChar w:fldCharType="end"/>
        </w:r>
      </w:hyperlink>
    </w:p>
    <w:p>
      <w:pPr>
        <w:pStyle w:val="TOC2"/>
      </w:pPr>
      <w:hyperlink w:anchor="_Toc263100082" w:history="1">
        <w:r>
          <w:rPr>
            <w:rFonts w:ascii="Georgia" w:hAnsi="Georgia" w:eastAsia="Microsoft YaHei"/>
            <w:color w:val="263238"/>
            <w:sz w:val="22"/>
            <w:noProof/>
          </w:rPr>
          <w:t xml:space="preserve">C.4 Degraded security modes</w:t>
        </w:r>
        <w:r>
          <w:rPr>
            <w:noProof/>
            <w:webHidden/>
          </w:rPr>
          <w:tab/>
        </w:r>
        <w:r>
          <w:rPr>
            <w:noProof/>
            <w:webHidden/>
          </w:rPr>
          <w:fldChar w:fldCharType="begin"/>
        </w:r>
        <w:r>
          <w:rPr>
            <w:noProof/>
            <w:webHidden/>
          </w:rPr>
          <w:instrText xml:space="preserve"> PAGEREF _Toc263100082 \h </w:instrText>
        </w:r>
        <w:r>
          <w:rPr>
            <w:noProof/>
            <w:webHidden/>
          </w:rPr>
          <w:fldChar w:fldCharType="separate"/>
        </w:r>
        <w:r>
          <w:rPr>
            <w:rFonts w:ascii="Georgia" w:hAnsi="Georgia" w:eastAsia="Microsoft YaHei"/>
            <w:color w:val="263238"/>
            <w:sz w:val="22"/>
            <w:noProof/>
            <w:webHidden/>
          </w:rPr>
          <w:t xml:space="preserve">86</w:t>
        </w:r>
        <w:r>
          <w:rPr>
            <w:noProof/>
            <w:webHidden/>
          </w:rPr>
          <w:fldChar w:fldCharType="end"/>
        </w:r>
      </w:hyperlink>
    </w:p>
    <w:p>
      <w:pPr>
        <w:pStyle w:val="TOC2"/>
      </w:pPr>
      <w:hyperlink w:anchor="_Toc263100083" w:history="1">
        <w:r>
          <w:rPr>
            <w:rFonts w:ascii="Georgia" w:hAnsi="Georgia" w:eastAsia="Microsoft YaHei"/>
            <w:color w:val="263238"/>
            <w:sz w:val="22"/>
            <w:noProof/>
          </w:rPr>
          <w:t xml:space="preserve">C.5 Joint patrol rules of conduct</w:t>
        </w:r>
        <w:r>
          <w:rPr>
            <w:noProof/>
            <w:webHidden/>
          </w:rPr>
          <w:tab/>
        </w:r>
        <w:r>
          <w:rPr>
            <w:noProof/>
            <w:webHidden/>
          </w:rPr>
          <w:fldChar w:fldCharType="begin"/>
        </w:r>
        <w:r>
          <w:rPr>
            <w:noProof/>
            <w:webHidden/>
          </w:rPr>
          <w:instrText xml:space="preserve"> PAGEREF _Toc263100083 \h </w:instrText>
        </w:r>
        <w:r>
          <w:rPr>
            <w:noProof/>
            <w:webHidden/>
          </w:rPr>
          <w:fldChar w:fldCharType="separate"/>
        </w:r>
        <w:r>
          <w:rPr>
            <w:rFonts w:ascii="Georgia" w:hAnsi="Georgia" w:eastAsia="Microsoft YaHei"/>
            <w:color w:val="263238"/>
            <w:sz w:val="22"/>
            <w:noProof/>
            <w:webHidden/>
          </w:rPr>
          <w:t xml:space="preserve">86</w:t>
        </w:r>
        <w:r>
          <w:rPr>
            <w:noProof/>
            <w:webHidden/>
          </w:rPr>
          <w:fldChar w:fldCharType="end"/>
        </w:r>
      </w:hyperlink>
    </w:p>
    <w:p>
      <w:pPr>
        <w:pStyle w:val="TOC2"/>
      </w:pPr>
      <w:hyperlink w:anchor="_Toc263100084" w:history="1">
        <w:r>
          <w:rPr>
            <w:rFonts w:ascii="Georgia" w:hAnsi="Georgia" w:eastAsia="Microsoft YaHei"/>
            <w:color w:val="263238"/>
            <w:sz w:val="22"/>
            <w:noProof/>
          </w:rPr>
          <w:t xml:space="preserve">C.6 Mine-risk response protocol</w:t>
        </w:r>
        <w:r>
          <w:rPr>
            <w:noProof/>
            <w:webHidden/>
          </w:rPr>
          <w:tab/>
        </w:r>
        <w:r>
          <w:rPr>
            <w:noProof/>
            <w:webHidden/>
          </w:rPr>
          <w:fldChar w:fldCharType="begin"/>
        </w:r>
        <w:r>
          <w:rPr>
            <w:noProof/>
            <w:webHidden/>
          </w:rPr>
          <w:instrText xml:space="preserve"> PAGEREF _Toc263100084 \h </w:instrText>
        </w:r>
        <w:r>
          <w:rPr>
            <w:noProof/>
            <w:webHidden/>
          </w:rPr>
          <w:fldChar w:fldCharType="separate"/>
        </w:r>
        <w:r>
          <w:rPr>
            <w:rFonts w:ascii="Georgia" w:hAnsi="Georgia" w:eastAsia="Microsoft YaHei"/>
            <w:color w:val="263238"/>
            <w:sz w:val="22"/>
            <w:noProof/>
            <w:webHidden/>
          </w:rPr>
          <w:t xml:space="preserve">86</w:t>
        </w:r>
        <w:r>
          <w:rPr>
            <w:noProof/>
            <w:webHidden/>
          </w:rPr>
          <w:fldChar w:fldCharType="end"/>
        </w:r>
      </w:hyperlink>
    </w:p>
    <w:p>
      <w:pPr>
        <w:pStyle w:val="TOC2"/>
      </w:pPr>
      <w:hyperlink w:anchor="_Toc263100085" w:history="1">
        <w:r>
          <w:rPr>
            <w:rFonts w:ascii="Georgia" w:hAnsi="Georgia" w:eastAsia="Microsoft YaHei"/>
            <w:color w:val="263238"/>
            <w:sz w:val="22"/>
            <w:noProof/>
          </w:rPr>
          <w:t xml:space="preserve">C.7 Weapons-release prevention</w:t>
        </w:r>
        <w:r>
          <w:rPr>
            <w:noProof/>
            <w:webHidden/>
          </w:rPr>
          <w:tab/>
        </w:r>
        <w:r>
          <w:rPr>
            <w:noProof/>
            <w:webHidden/>
          </w:rPr>
          <w:fldChar w:fldCharType="begin"/>
        </w:r>
        <w:r>
          <w:rPr>
            <w:noProof/>
            <w:webHidden/>
          </w:rPr>
          <w:instrText xml:space="preserve"> PAGEREF _Toc263100085 \h </w:instrText>
        </w:r>
        <w:r>
          <w:rPr>
            <w:noProof/>
            <w:webHidden/>
          </w:rPr>
          <w:fldChar w:fldCharType="separate"/>
        </w:r>
        <w:r>
          <w:rPr>
            <w:rFonts w:ascii="Georgia" w:hAnsi="Georgia" w:eastAsia="Microsoft YaHei"/>
            <w:color w:val="263238"/>
            <w:sz w:val="22"/>
            <w:noProof/>
            <w:webHidden/>
          </w:rPr>
          <w:t xml:space="preserve">87</w:t>
        </w:r>
        <w:r>
          <w:rPr>
            <w:noProof/>
            <w:webHidden/>
          </w:rPr>
          <w:fldChar w:fldCharType="end"/>
        </w:r>
      </w:hyperlink>
    </w:p>
    <w:p>
      <w:pPr>
        <w:pStyle w:val="TOC1"/>
      </w:pPr>
      <w:hyperlink w:anchor="_Toc263100086" w:history="1">
        <w:r>
          <w:rPr>
            <w:rFonts w:ascii="Georgia" w:hAnsi="Georgia" w:eastAsia="Microsoft YaHei"/>
            <w:color w:val="263238"/>
            <w:sz w:val="22"/>
            <w:noProof/>
          </w:rPr>
          <w:t xml:space="preserve">Annex D: Fee Schedule, Escrow, and Sanctions-Compatible Payment Routing</w:t>
        </w:r>
        <w:r>
          <w:rPr>
            <w:noProof/>
            <w:webHidden/>
          </w:rPr>
          <w:tab/>
        </w:r>
        <w:r>
          <w:rPr>
            <w:noProof/>
            <w:webHidden/>
          </w:rPr>
          <w:fldChar w:fldCharType="begin"/>
        </w:r>
        <w:r>
          <w:rPr>
            <w:noProof/>
            <w:webHidden/>
          </w:rPr>
          <w:instrText xml:space="preserve"> PAGEREF _Toc263100086 \h </w:instrText>
        </w:r>
        <w:r>
          <w:rPr>
            <w:noProof/>
            <w:webHidden/>
          </w:rPr>
          <w:fldChar w:fldCharType="separate"/>
        </w:r>
        <w:r>
          <w:rPr>
            <w:rFonts w:ascii="Georgia" w:hAnsi="Georgia" w:eastAsia="Microsoft YaHei"/>
            <w:color w:val="263238"/>
            <w:sz w:val="22"/>
            <w:noProof/>
            <w:webHidden/>
          </w:rPr>
          <w:t xml:space="preserve">88</w:t>
        </w:r>
        <w:r>
          <w:rPr>
            <w:noProof/>
            <w:webHidden/>
          </w:rPr>
          <w:fldChar w:fldCharType="end"/>
        </w:r>
      </w:hyperlink>
    </w:p>
    <w:p>
      <w:pPr>
        <w:pStyle w:val="TOC2"/>
      </w:pPr>
      <w:hyperlink w:anchor="_Toc263100087" w:history="1">
        <w:r>
          <w:rPr>
            <w:rFonts w:ascii="Georgia" w:hAnsi="Georgia" w:eastAsia="Microsoft YaHei"/>
            <w:color w:val="263238"/>
            <w:sz w:val="22"/>
            <w:noProof/>
          </w:rPr>
          <w:t xml:space="preserve">D.1 The Verified Services Catalog</w:t>
        </w:r>
        <w:r>
          <w:rPr>
            <w:noProof/>
            <w:webHidden/>
          </w:rPr>
          <w:tab/>
        </w:r>
        <w:r>
          <w:rPr>
            <w:noProof/>
            <w:webHidden/>
          </w:rPr>
          <w:fldChar w:fldCharType="begin"/>
        </w:r>
        <w:r>
          <w:rPr>
            <w:noProof/>
            <w:webHidden/>
          </w:rPr>
          <w:instrText xml:space="preserve"> PAGEREF _Toc263100087 \h </w:instrText>
        </w:r>
        <w:r>
          <w:rPr>
            <w:noProof/>
            <w:webHidden/>
          </w:rPr>
          <w:fldChar w:fldCharType="separate"/>
        </w:r>
        <w:r>
          <w:rPr>
            <w:rFonts w:ascii="Georgia" w:hAnsi="Georgia" w:eastAsia="Microsoft YaHei"/>
            <w:color w:val="263238"/>
            <w:sz w:val="22"/>
            <w:noProof/>
            <w:webHidden/>
          </w:rPr>
          <w:t xml:space="preserve">88</w:t>
        </w:r>
        <w:r>
          <w:rPr>
            <w:noProof/>
            <w:webHidden/>
          </w:rPr>
          <w:fldChar w:fldCharType="end"/>
        </w:r>
      </w:hyperlink>
    </w:p>
    <w:p>
      <w:pPr>
        <w:pStyle w:val="TOC2"/>
      </w:pPr>
      <w:hyperlink w:anchor="_Toc263100088" w:history="1">
        <w:r>
          <w:rPr>
            <w:rFonts w:ascii="Georgia" w:hAnsi="Georgia" w:eastAsia="Microsoft YaHei"/>
            <w:color w:val="263238"/>
            <w:sz w:val="22"/>
            <w:noProof/>
          </w:rPr>
          <w:t xml:space="preserve">D.2 Delivery-linked adjustment</w:t>
        </w:r>
        <w:r>
          <w:rPr>
            <w:noProof/>
            <w:webHidden/>
          </w:rPr>
          <w:tab/>
        </w:r>
        <w:r>
          <w:rPr>
            <w:noProof/>
            <w:webHidden/>
          </w:rPr>
          <w:fldChar w:fldCharType="begin"/>
        </w:r>
        <w:r>
          <w:rPr>
            <w:noProof/>
            <w:webHidden/>
          </w:rPr>
          <w:instrText xml:space="preserve"> PAGEREF _Toc263100088 \h </w:instrText>
        </w:r>
        <w:r>
          <w:rPr>
            <w:noProof/>
            <w:webHidden/>
          </w:rPr>
          <w:fldChar w:fldCharType="separate"/>
        </w:r>
        <w:r>
          <w:rPr>
            <w:rFonts w:ascii="Georgia" w:hAnsi="Georgia" w:eastAsia="Microsoft YaHei"/>
            <w:color w:val="263238"/>
            <w:sz w:val="22"/>
            <w:noProof/>
            <w:webHidden/>
          </w:rPr>
          <w:t xml:space="preserve">89</w:t>
        </w:r>
        <w:r>
          <w:rPr>
            <w:noProof/>
            <w:webHidden/>
          </w:rPr>
          <w:fldChar w:fldCharType="end"/>
        </w:r>
      </w:hyperlink>
    </w:p>
    <w:p>
      <w:pPr>
        <w:pStyle w:val="TOC2"/>
      </w:pPr>
      <w:hyperlink w:anchor="_Toc263100089" w:history="1">
        <w:r>
          <w:rPr>
            <w:rFonts w:ascii="Georgia" w:hAnsi="Georgia" w:eastAsia="Microsoft YaHei"/>
            <w:color w:val="263238"/>
            <w:sz w:val="22"/>
            <w:noProof/>
          </w:rPr>
          <w:t xml:space="preserve">D.3 Escrow account structure</w:t>
        </w:r>
        <w:r>
          <w:rPr>
            <w:noProof/>
            <w:webHidden/>
          </w:rPr>
          <w:tab/>
        </w:r>
        <w:r>
          <w:rPr>
            <w:noProof/>
            <w:webHidden/>
          </w:rPr>
          <w:fldChar w:fldCharType="begin"/>
        </w:r>
        <w:r>
          <w:rPr>
            <w:noProof/>
            <w:webHidden/>
          </w:rPr>
          <w:instrText xml:space="preserve"> PAGEREF _Toc263100089 \h </w:instrText>
        </w:r>
        <w:r>
          <w:rPr>
            <w:noProof/>
            <w:webHidden/>
          </w:rPr>
          <w:fldChar w:fldCharType="separate"/>
        </w:r>
        <w:r>
          <w:rPr>
            <w:rFonts w:ascii="Georgia" w:hAnsi="Georgia" w:eastAsia="Microsoft YaHei"/>
            <w:color w:val="263238"/>
            <w:sz w:val="22"/>
            <w:noProof/>
            <w:webHidden/>
          </w:rPr>
          <w:t xml:space="preserve">89</w:t>
        </w:r>
        <w:r>
          <w:rPr>
            <w:noProof/>
            <w:webHidden/>
          </w:rPr>
          <w:fldChar w:fldCharType="end"/>
        </w:r>
      </w:hyperlink>
    </w:p>
    <w:p>
      <w:pPr>
        <w:pStyle w:val="TOC2"/>
      </w:pPr>
      <w:hyperlink w:anchor="_Toc263100090" w:history="1">
        <w:r>
          <w:rPr>
            <w:rFonts w:ascii="Georgia" w:hAnsi="Georgia" w:eastAsia="Microsoft YaHei"/>
            <w:color w:val="263238"/>
            <w:sz w:val="22"/>
            <w:noProof/>
          </w:rPr>
          <w:t xml:space="preserve">D.4 Payment workflow</w:t>
        </w:r>
        <w:r>
          <w:rPr>
            <w:noProof/>
            <w:webHidden/>
          </w:rPr>
          <w:tab/>
        </w:r>
        <w:r>
          <w:rPr>
            <w:noProof/>
            <w:webHidden/>
          </w:rPr>
          <w:fldChar w:fldCharType="begin"/>
        </w:r>
        <w:r>
          <w:rPr>
            <w:noProof/>
            <w:webHidden/>
          </w:rPr>
          <w:instrText xml:space="preserve"> PAGEREF _Toc263100090 \h </w:instrText>
        </w:r>
        <w:r>
          <w:rPr>
            <w:noProof/>
            <w:webHidden/>
          </w:rPr>
          <w:fldChar w:fldCharType="separate"/>
        </w:r>
        <w:r>
          <w:rPr>
            <w:rFonts w:ascii="Georgia" w:hAnsi="Georgia" w:eastAsia="Microsoft YaHei"/>
            <w:color w:val="263238"/>
            <w:sz w:val="22"/>
            <w:noProof/>
            <w:webHidden/>
          </w:rPr>
          <w:t xml:space="preserve">89</w:t>
        </w:r>
        <w:r>
          <w:rPr>
            <w:noProof/>
            <w:webHidden/>
          </w:rPr>
          <w:fldChar w:fldCharType="end"/>
        </w:r>
      </w:hyperlink>
    </w:p>
    <w:p>
      <w:pPr>
        <w:pStyle w:val="TOC2"/>
      </w:pPr>
      <w:hyperlink w:anchor="_Toc263100091" w:history="1">
        <w:r>
          <w:rPr>
            <w:rFonts w:ascii="Georgia" w:hAnsi="Georgia" w:eastAsia="Microsoft YaHei"/>
            <w:color w:val="263238"/>
            <w:sz w:val="22"/>
            <w:noProof/>
          </w:rPr>
          <w:t xml:space="preserve">D.5 The compliance attestation pack</w:t>
        </w:r>
        <w:r>
          <w:rPr>
            <w:noProof/>
            <w:webHidden/>
          </w:rPr>
          <w:tab/>
        </w:r>
        <w:r>
          <w:rPr>
            <w:noProof/>
            <w:webHidden/>
          </w:rPr>
          <w:fldChar w:fldCharType="begin"/>
        </w:r>
        <w:r>
          <w:rPr>
            <w:noProof/>
            <w:webHidden/>
          </w:rPr>
          <w:instrText xml:space="preserve"> PAGEREF _Toc263100091 \h </w:instrText>
        </w:r>
        <w:r>
          <w:rPr>
            <w:noProof/>
            <w:webHidden/>
          </w:rPr>
          <w:fldChar w:fldCharType="separate"/>
        </w:r>
        <w:r>
          <w:rPr>
            <w:rFonts w:ascii="Georgia" w:hAnsi="Georgia" w:eastAsia="Microsoft YaHei"/>
            <w:color w:val="263238"/>
            <w:sz w:val="22"/>
            <w:noProof/>
            <w:webHidden/>
          </w:rPr>
          <w:t xml:space="preserve">89</w:t>
        </w:r>
        <w:r>
          <w:rPr>
            <w:noProof/>
            <w:webHidden/>
          </w:rPr>
          <w:fldChar w:fldCharType="end"/>
        </w:r>
      </w:hyperlink>
    </w:p>
    <w:p>
      <w:pPr>
        <w:pStyle w:val="TOC2"/>
      </w:pPr>
      <w:hyperlink w:anchor="_Toc263100092" w:history="1">
        <w:r>
          <w:rPr>
            <w:rFonts w:ascii="Georgia" w:hAnsi="Georgia" w:eastAsia="Microsoft YaHei"/>
            <w:color w:val="263238"/>
            <w:sz w:val="22"/>
            <w:noProof/>
          </w:rPr>
          <w:t xml:space="preserve">D.6 Currency and reference rates</w:t>
        </w:r>
        <w:r>
          <w:rPr>
            <w:noProof/>
            <w:webHidden/>
          </w:rPr>
          <w:tab/>
        </w:r>
        <w:r>
          <w:rPr>
            <w:noProof/>
            <w:webHidden/>
          </w:rPr>
          <w:fldChar w:fldCharType="begin"/>
        </w:r>
        <w:r>
          <w:rPr>
            <w:noProof/>
            <w:webHidden/>
          </w:rPr>
          <w:instrText xml:space="preserve"> PAGEREF _Toc263100092 \h </w:instrText>
        </w:r>
        <w:r>
          <w:rPr>
            <w:noProof/>
            <w:webHidden/>
          </w:rPr>
          <w:fldChar w:fldCharType="separate"/>
        </w:r>
        <w:r>
          <w:rPr>
            <w:rFonts w:ascii="Georgia" w:hAnsi="Georgia" w:eastAsia="Microsoft YaHei"/>
            <w:color w:val="263238"/>
            <w:sz w:val="22"/>
            <w:noProof/>
            <w:webHidden/>
          </w:rPr>
          <w:t xml:space="preserve">90</w:t>
        </w:r>
        <w:r>
          <w:rPr>
            <w:noProof/>
            <w:webHidden/>
          </w:rPr>
          <w:fldChar w:fldCharType="end"/>
        </w:r>
      </w:hyperlink>
    </w:p>
    <w:p>
      <w:pPr>
        <w:pStyle w:val="TOC2"/>
      </w:pPr>
      <w:hyperlink w:anchor="_Toc263100093" w:history="1">
        <w:r>
          <w:rPr>
            <w:rFonts w:ascii="Georgia" w:hAnsi="Georgia" w:eastAsia="Microsoft YaHei"/>
            <w:color w:val="263238"/>
            <w:sz w:val="22"/>
            <w:noProof/>
          </w:rPr>
          <w:t xml:space="preserve">D.7 Regional Participant contribution schedule</w:t>
        </w:r>
        <w:r>
          <w:rPr>
            <w:noProof/>
            <w:webHidden/>
          </w:rPr>
          <w:tab/>
        </w:r>
        <w:r>
          <w:rPr>
            <w:noProof/>
            <w:webHidden/>
          </w:rPr>
          <w:fldChar w:fldCharType="begin"/>
        </w:r>
        <w:r>
          <w:rPr>
            <w:noProof/>
            <w:webHidden/>
          </w:rPr>
          <w:instrText xml:space="preserve"> PAGEREF _Toc263100093 \h </w:instrText>
        </w:r>
        <w:r>
          <w:rPr>
            <w:noProof/>
            <w:webHidden/>
          </w:rPr>
          <w:fldChar w:fldCharType="separate"/>
        </w:r>
        <w:r>
          <w:rPr>
            <w:rFonts w:ascii="Georgia" w:hAnsi="Georgia" w:eastAsia="Microsoft YaHei"/>
            <w:color w:val="263238"/>
            <w:sz w:val="22"/>
            <w:noProof/>
            <w:webHidden/>
          </w:rPr>
          <w:t xml:space="preserve">90</w:t>
        </w:r>
        <w:r>
          <w:rPr>
            <w:noProof/>
            <w:webHidden/>
          </w:rPr>
          <w:fldChar w:fldCharType="end"/>
        </w:r>
      </w:hyperlink>
    </w:p>
    <w:p>
      <w:pPr>
        <w:pStyle w:val="TOC2"/>
      </w:pPr>
      <w:hyperlink w:anchor="_Toc263100094" w:history="1">
        <w:r>
          <w:rPr>
            <w:rFonts w:ascii="Georgia" w:hAnsi="Georgia" w:eastAsia="Microsoft YaHei"/>
            <w:color w:val="263238"/>
            <w:sz w:val="22"/>
            <w:noProof/>
          </w:rPr>
          <w:t xml:space="preserve">D.8 Voluntary user contributions</w:t>
        </w:r>
        <w:r>
          <w:rPr>
            <w:noProof/>
            <w:webHidden/>
          </w:rPr>
          <w:tab/>
        </w:r>
        <w:r>
          <w:rPr>
            <w:noProof/>
            <w:webHidden/>
          </w:rPr>
          <w:fldChar w:fldCharType="begin"/>
        </w:r>
        <w:r>
          <w:rPr>
            <w:noProof/>
            <w:webHidden/>
          </w:rPr>
          <w:instrText xml:space="preserve"> PAGEREF _Toc263100094 \h </w:instrText>
        </w:r>
        <w:r>
          <w:rPr>
            <w:noProof/>
            <w:webHidden/>
          </w:rPr>
          <w:fldChar w:fldCharType="separate"/>
        </w:r>
        <w:r>
          <w:rPr>
            <w:rFonts w:ascii="Georgia" w:hAnsi="Georgia" w:eastAsia="Microsoft YaHei"/>
            <w:color w:val="263238"/>
            <w:sz w:val="22"/>
            <w:noProof/>
            <w:webHidden/>
          </w:rPr>
          <w:t xml:space="preserve">90</w:t>
        </w:r>
        <w:r>
          <w:rPr>
            <w:noProof/>
            <w:webHidden/>
          </w:rPr>
          <w:fldChar w:fldCharType="end"/>
        </w:r>
      </w:hyperlink>
    </w:p>
    <w:p>
      <w:pPr>
        <w:pStyle w:val="TOC2"/>
      </w:pPr>
      <w:hyperlink w:anchor="_Toc263100095" w:history="1">
        <w:r>
          <w:rPr>
            <w:rFonts w:ascii="Georgia" w:hAnsi="Georgia" w:eastAsia="Microsoft YaHei"/>
            <w:color w:val="263238"/>
            <w:sz w:val="22"/>
            <w:noProof/>
          </w:rPr>
          <w:t xml:space="preserve">D.9 Investment mandate</w:t>
        </w:r>
        <w:r>
          <w:rPr>
            <w:noProof/>
            <w:webHidden/>
          </w:rPr>
          <w:tab/>
        </w:r>
        <w:r>
          <w:rPr>
            <w:noProof/>
            <w:webHidden/>
          </w:rPr>
          <w:fldChar w:fldCharType="begin"/>
        </w:r>
        <w:r>
          <w:rPr>
            <w:noProof/>
            <w:webHidden/>
          </w:rPr>
          <w:instrText xml:space="preserve"> PAGEREF _Toc263100095 \h </w:instrText>
        </w:r>
        <w:r>
          <w:rPr>
            <w:noProof/>
            <w:webHidden/>
          </w:rPr>
          <w:fldChar w:fldCharType="separate"/>
        </w:r>
        <w:r>
          <w:rPr>
            <w:rFonts w:ascii="Georgia" w:hAnsi="Georgia" w:eastAsia="Microsoft YaHei"/>
            <w:color w:val="263238"/>
            <w:sz w:val="22"/>
            <w:noProof/>
            <w:webHidden/>
          </w:rPr>
          <w:t xml:space="preserve">90</w:t>
        </w:r>
        <w:r>
          <w:rPr>
            <w:noProof/>
            <w:webHidden/>
          </w:rPr>
          <w:fldChar w:fldCharType="end"/>
        </w:r>
      </w:hyperlink>
    </w:p>
    <w:p>
      <w:pPr>
        <w:pStyle w:val="TOC2"/>
      </w:pPr>
      <w:hyperlink w:anchor="_Toc263100096" w:history="1">
        <w:r>
          <w:rPr>
            <w:rFonts w:ascii="Georgia" w:hAnsi="Georgia" w:eastAsia="Microsoft YaHei"/>
            <w:color w:val="263238"/>
            <w:sz w:val="22"/>
            <w:noProof/>
          </w:rPr>
          <w:t xml:space="preserve">D.10 Compensation window schedule</w:t>
        </w:r>
        <w:r>
          <w:rPr>
            <w:noProof/>
            <w:webHidden/>
          </w:rPr>
          <w:tab/>
        </w:r>
        <w:r>
          <w:rPr>
            <w:noProof/>
            <w:webHidden/>
          </w:rPr>
          <w:fldChar w:fldCharType="begin"/>
        </w:r>
        <w:r>
          <w:rPr>
            <w:noProof/>
            <w:webHidden/>
          </w:rPr>
          <w:instrText xml:space="preserve"> PAGEREF _Toc263100096 \h </w:instrText>
        </w:r>
        <w:r>
          <w:rPr>
            <w:noProof/>
            <w:webHidden/>
          </w:rPr>
          <w:fldChar w:fldCharType="separate"/>
        </w:r>
        <w:r>
          <w:rPr>
            <w:rFonts w:ascii="Georgia" w:hAnsi="Georgia" w:eastAsia="Microsoft YaHei"/>
            <w:color w:val="263238"/>
            <w:sz w:val="22"/>
            <w:noProof/>
            <w:webHidden/>
          </w:rPr>
          <w:t xml:space="preserve">90</w:t>
        </w:r>
        <w:r>
          <w:rPr>
            <w:noProof/>
            <w:webHidden/>
          </w:rPr>
          <w:fldChar w:fldCharType="end"/>
        </w:r>
      </w:hyperlink>
    </w:p>
    <w:p>
      <w:pPr>
        <w:pStyle w:val="TOC2"/>
      </w:pPr>
      <w:hyperlink w:anchor="_Toc263100097" w:history="1">
        <w:r>
          <w:rPr>
            <w:rFonts w:ascii="Georgia" w:hAnsi="Georgia" w:eastAsia="Microsoft YaHei"/>
            <w:color w:val="263238"/>
            <w:sz w:val="22"/>
            <w:noProof/>
          </w:rPr>
          <w:t xml:space="preserve">D.11 The Forward-Looking Rate Stability Mechanism</w:t>
        </w:r>
        <w:r>
          <w:rPr>
            <w:noProof/>
            <w:webHidden/>
          </w:rPr>
          <w:tab/>
        </w:r>
        <w:r>
          <w:rPr>
            <w:noProof/>
            <w:webHidden/>
          </w:rPr>
          <w:fldChar w:fldCharType="begin"/>
        </w:r>
        <w:r>
          <w:rPr>
            <w:noProof/>
            <w:webHidden/>
          </w:rPr>
          <w:instrText xml:space="preserve"> PAGEREF _Toc263100097 \h </w:instrText>
        </w:r>
        <w:r>
          <w:rPr>
            <w:noProof/>
            <w:webHidden/>
          </w:rPr>
          <w:fldChar w:fldCharType="separate"/>
        </w:r>
        <w:r>
          <w:rPr>
            <w:rFonts w:ascii="Georgia" w:hAnsi="Georgia" w:eastAsia="Microsoft YaHei"/>
            <w:color w:val="263238"/>
            <w:sz w:val="22"/>
            <w:noProof/>
            <w:webHidden/>
          </w:rPr>
          <w:t xml:space="preserve">91</w:t>
        </w:r>
        <w:r>
          <w:rPr>
            <w:noProof/>
            <w:webHidden/>
          </w:rPr>
          <w:fldChar w:fldCharType="end"/>
        </w:r>
      </w:hyperlink>
    </w:p>
    <w:p>
      <w:pPr>
        <w:pStyle w:val="TOC1"/>
      </w:pPr>
      <w:hyperlink w:anchor="_Toc263100098" w:history="1">
        <w:r>
          <w:rPr>
            <w:rFonts w:ascii="Georgia" w:hAnsi="Georgia" w:eastAsia="Microsoft YaHei"/>
            <w:color w:val="263238"/>
            <w:sz w:val="22"/>
            <w:noProof/>
          </w:rPr>
          <w:t xml:space="preserve">Annex E: Governance Rules of Procedure and Dispute Resolution</w:t>
        </w:r>
        <w:r>
          <w:rPr>
            <w:noProof/>
            <w:webHidden/>
          </w:rPr>
          <w:tab/>
        </w:r>
        <w:r>
          <w:rPr>
            <w:noProof/>
            <w:webHidden/>
          </w:rPr>
          <w:fldChar w:fldCharType="begin"/>
        </w:r>
        <w:r>
          <w:rPr>
            <w:noProof/>
            <w:webHidden/>
          </w:rPr>
          <w:instrText xml:space="preserve"> PAGEREF _Toc263100098 \h </w:instrText>
        </w:r>
        <w:r>
          <w:rPr>
            <w:noProof/>
            <w:webHidden/>
          </w:rPr>
          <w:fldChar w:fldCharType="separate"/>
        </w:r>
        <w:r>
          <w:rPr>
            <w:rFonts w:ascii="Georgia" w:hAnsi="Georgia" w:eastAsia="Microsoft YaHei"/>
            <w:color w:val="263238"/>
            <w:sz w:val="22"/>
            <w:noProof/>
            <w:webHidden/>
          </w:rPr>
          <w:t xml:space="preserve">92</w:t>
        </w:r>
        <w:r>
          <w:rPr>
            <w:noProof/>
            <w:webHidden/>
          </w:rPr>
          <w:fldChar w:fldCharType="end"/>
        </w:r>
      </w:hyperlink>
    </w:p>
    <w:p>
      <w:pPr>
        <w:pStyle w:val="TOC2"/>
      </w:pPr>
      <w:hyperlink w:anchor="_Toc263100099" w:history="1">
        <w:r>
          <w:rPr>
            <w:rFonts w:ascii="Georgia" w:hAnsi="Georgia" w:eastAsia="Microsoft YaHei"/>
            <w:color w:val="263238"/>
            <w:sz w:val="22"/>
            <w:noProof/>
          </w:rPr>
          <w:t xml:space="preserve">E.1 Council rules of procedure</w:t>
        </w:r>
        <w:r>
          <w:rPr>
            <w:noProof/>
            <w:webHidden/>
          </w:rPr>
          <w:tab/>
        </w:r>
        <w:r>
          <w:rPr>
            <w:noProof/>
            <w:webHidden/>
          </w:rPr>
          <w:fldChar w:fldCharType="begin"/>
        </w:r>
        <w:r>
          <w:rPr>
            <w:noProof/>
            <w:webHidden/>
          </w:rPr>
          <w:instrText xml:space="preserve"> PAGEREF _Toc263100099 \h </w:instrText>
        </w:r>
        <w:r>
          <w:rPr>
            <w:noProof/>
            <w:webHidden/>
          </w:rPr>
          <w:fldChar w:fldCharType="separate"/>
        </w:r>
        <w:r>
          <w:rPr>
            <w:rFonts w:ascii="Georgia" w:hAnsi="Georgia" w:eastAsia="Microsoft YaHei"/>
            <w:color w:val="263238"/>
            <w:sz w:val="22"/>
            <w:noProof/>
            <w:webHidden/>
          </w:rPr>
          <w:t xml:space="preserve">92</w:t>
        </w:r>
        <w:r>
          <w:rPr>
            <w:noProof/>
            <w:webHidden/>
          </w:rPr>
          <w:fldChar w:fldCharType="end"/>
        </w:r>
      </w:hyperlink>
    </w:p>
    <w:p>
      <w:pPr>
        <w:pStyle w:val="TOC2"/>
      </w:pPr>
      <w:hyperlink w:anchor="_Toc263100100" w:history="1">
        <w:r>
          <w:rPr>
            <w:rFonts w:ascii="Georgia" w:hAnsi="Georgia" w:eastAsia="Microsoft YaHei"/>
            <w:color w:val="263238"/>
            <w:sz w:val="22"/>
            <w:noProof/>
          </w:rPr>
          <w:t xml:space="preserve">E.2 Observer rights schedule</w:t>
        </w:r>
        <w:r>
          <w:rPr>
            <w:noProof/>
            <w:webHidden/>
          </w:rPr>
          <w:tab/>
        </w:r>
        <w:r>
          <w:rPr>
            <w:noProof/>
            <w:webHidden/>
          </w:rPr>
          <w:fldChar w:fldCharType="begin"/>
        </w:r>
        <w:r>
          <w:rPr>
            <w:noProof/>
            <w:webHidden/>
          </w:rPr>
          <w:instrText xml:space="preserve"> PAGEREF _Toc263100100 \h </w:instrText>
        </w:r>
        <w:r>
          <w:rPr>
            <w:noProof/>
            <w:webHidden/>
          </w:rPr>
          <w:fldChar w:fldCharType="separate"/>
        </w:r>
        <w:r>
          <w:rPr>
            <w:rFonts w:ascii="Georgia" w:hAnsi="Georgia" w:eastAsia="Microsoft YaHei"/>
            <w:color w:val="263238"/>
            <w:sz w:val="22"/>
            <w:noProof/>
            <w:webHidden/>
          </w:rPr>
          <w:t xml:space="preserve">92</w:t>
        </w:r>
        <w:r>
          <w:rPr>
            <w:noProof/>
            <w:webHidden/>
          </w:rPr>
          <w:fldChar w:fldCharType="end"/>
        </w:r>
      </w:hyperlink>
    </w:p>
    <w:p>
      <w:pPr>
        <w:pStyle w:val="TOC2"/>
      </w:pPr>
      <w:hyperlink w:anchor="_Toc263100101" w:history="1">
        <w:r>
          <w:rPr>
            <w:rFonts w:ascii="Georgia" w:hAnsi="Georgia" w:eastAsia="Microsoft YaHei"/>
            <w:color w:val="263238"/>
            <w:sz w:val="22"/>
            <w:noProof/>
          </w:rPr>
          <w:t xml:space="preserve">E.3 Standing levels and privileges</w:t>
        </w:r>
        <w:r>
          <w:rPr>
            <w:noProof/>
            <w:webHidden/>
          </w:rPr>
          <w:tab/>
        </w:r>
        <w:r>
          <w:rPr>
            <w:noProof/>
            <w:webHidden/>
          </w:rPr>
          <w:fldChar w:fldCharType="begin"/>
        </w:r>
        <w:r>
          <w:rPr>
            <w:noProof/>
            <w:webHidden/>
          </w:rPr>
          <w:instrText xml:space="preserve"> PAGEREF _Toc263100101 \h </w:instrText>
        </w:r>
        <w:r>
          <w:rPr>
            <w:noProof/>
            <w:webHidden/>
          </w:rPr>
          <w:fldChar w:fldCharType="separate"/>
        </w:r>
        <w:r>
          <w:rPr>
            <w:rFonts w:ascii="Georgia" w:hAnsi="Georgia" w:eastAsia="Microsoft YaHei"/>
            <w:color w:val="263238"/>
            <w:sz w:val="22"/>
            <w:noProof/>
            <w:webHidden/>
          </w:rPr>
          <w:t xml:space="preserve">92</w:t>
        </w:r>
        <w:r>
          <w:rPr>
            <w:noProof/>
            <w:webHidden/>
          </w:rPr>
          <w:fldChar w:fldCharType="end"/>
        </w:r>
      </w:hyperlink>
    </w:p>
    <w:p>
      <w:pPr>
        <w:pStyle w:val="TOC2"/>
      </w:pPr>
      <w:hyperlink w:anchor="_Toc263100102" w:history="1">
        <w:r>
          <w:rPr>
            <w:rFonts w:ascii="Georgia" w:hAnsi="Georgia" w:eastAsia="Microsoft YaHei"/>
            <w:color w:val="263238"/>
            <w:sz w:val="22"/>
            <w:noProof/>
          </w:rPr>
          <w:t xml:space="preserve">E.4 Arbitration rules</w:t>
        </w:r>
        <w:r>
          <w:rPr>
            <w:noProof/>
            <w:webHidden/>
          </w:rPr>
          <w:tab/>
        </w:r>
        <w:r>
          <w:rPr>
            <w:noProof/>
            <w:webHidden/>
          </w:rPr>
          <w:fldChar w:fldCharType="begin"/>
        </w:r>
        <w:r>
          <w:rPr>
            <w:noProof/>
            <w:webHidden/>
          </w:rPr>
          <w:instrText xml:space="preserve"> PAGEREF _Toc263100102 \h </w:instrText>
        </w:r>
        <w:r>
          <w:rPr>
            <w:noProof/>
            <w:webHidden/>
          </w:rPr>
          <w:fldChar w:fldCharType="separate"/>
        </w:r>
        <w:r>
          <w:rPr>
            <w:rFonts w:ascii="Georgia" w:hAnsi="Georgia" w:eastAsia="Microsoft YaHei"/>
            <w:color w:val="263238"/>
            <w:sz w:val="22"/>
            <w:noProof/>
            <w:webHidden/>
          </w:rPr>
          <w:t xml:space="preserve">92</w:t>
        </w:r>
        <w:r>
          <w:rPr>
            <w:noProof/>
            <w:webHidden/>
          </w:rPr>
          <w:fldChar w:fldCharType="end"/>
        </w:r>
      </w:hyperlink>
    </w:p>
    <w:p>
      <w:pPr>
        <w:pStyle w:val="TOC2"/>
      </w:pPr>
      <w:hyperlink w:anchor="_Toc263100103" w:history="1">
        <w:r>
          <w:rPr>
            <w:rFonts w:ascii="Georgia" w:hAnsi="Georgia" w:eastAsia="Microsoft YaHei"/>
            <w:color w:val="263238"/>
            <w:sz w:val="22"/>
            <w:noProof/>
          </w:rPr>
          <w:t xml:space="preserve">E.5 The challenge cost ladder</w:t>
        </w:r>
        <w:r>
          <w:rPr>
            <w:noProof/>
            <w:webHidden/>
          </w:rPr>
          <w:tab/>
        </w:r>
        <w:r>
          <w:rPr>
            <w:noProof/>
            <w:webHidden/>
          </w:rPr>
          <w:fldChar w:fldCharType="begin"/>
        </w:r>
        <w:r>
          <w:rPr>
            <w:noProof/>
            <w:webHidden/>
          </w:rPr>
          <w:instrText xml:space="preserve"> PAGEREF _Toc263100103 \h </w:instrText>
        </w:r>
        <w:r>
          <w:rPr>
            <w:noProof/>
            <w:webHidden/>
          </w:rPr>
          <w:fldChar w:fldCharType="separate"/>
        </w:r>
        <w:r>
          <w:rPr>
            <w:rFonts w:ascii="Georgia" w:hAnsi="Georgia" w:eastAsia="Microsoft YaHei"/>
            <w:color w:val="263238"/>
            <w:sz w:val="22"/>
            <w:noProof/>
            <w:webHidden/>
          </w:rPr>
          <w:t xml:space="preserve">93</w:t>
        </w:r>
        <w:r>
          <w:rPr>
            <w:noProof/>
            <w:webHidden/>
          </w:rPr>
          <w:fldChar w:fldCharType="end"/>
        </w:r>
      </w:hyperlink>
    </w:p>
    <w:p>
      <w:pPr>
        <w:pStyle w:val="TOC2"/>
      </w:pPr>
      <w:hyperlink w:anchor="_Toc263100104" w:history="1">
        <w:r>
          <w:rPr>
            <w:rFonts w:ascii="Georgia" w:hAnsi="Georgia" w:eastAsia="Microsoft YaHei"/>
            <w:color w:val="263238"/>
            <w:sz w:val="22"/>
            <w:noProof/>
          </w:rPr>
          <w:t xml:space="preserve">E.6 Emergency sessions</w:t>
        </w:r>
        <w:r>
          <w:rPr>
            <w:noProof/>
            <w:webHidden/>
          </w:rPr>
          <w:tab/>
        </w:r>
        <w:r>
          <w:rPr>
            <w:noProof/>
            <w:webHidden/>
          </w:rPr>
          <w:fldChar w:fldCharType="begin"/>
        </w:r>
        <w:r>
          <w:rPr>
            <w:noProof/>
            <w:webHidden/>
          </w:rPr>
          <w:instrText xml:space="preserve"> PAGEREF _Toc263100104 \h </w:instrText>
        </w:r>
        <w:r>
          <w:rPr>
            <w:noProof/>
            <w:webHidden/>
          </w:rPr>
          <w:fldChar w:fldCharType="separate"/>
        </w:r>
        <w:r>
          <w:rPr>
            <w:rFonts w:ascii="Georgia" w:hAnsi="Georgia" w:eastAsia="Microsoft YaHei"/>
            <w:color w:val="263238"/>
            <w:sz w:val="22"/>
            <w:noProof/>
            <w:webHidden/>
          </w:rPr>
          <w:t xml:space="preserve">93</w:t>
        </w:r>
        <w:r>
          <w:rPr>
            <w:noProof/>
            <w:webHidden/>
          </w:rPr>
          <w:fldChar w:fldCharType="end"/>
        </w:r>
      </w:hyperlink>
    </w:p>
    <w:p>
      <w:pPr>
        <w:pStyle w:val="TOC1"/>
      </w:pPr>
      <w:hyperlink w:anchor="_Toc263100105" w:history="1">
        <w:r>
          <w:rPr>
            <w:rFonts w:ascii="Georgia" w:hAnsi="Georgia" w:eastAsia="Microsoft YaHei"/>
            <w:color w:val="263238"/>
            <w:sz w:val="22"/>
            <w:noProof/>
          </w:rPr>
          <w:t xml:space="preserve">Annex F: Environmental Protection and Safety Protocol</w:t>
        </w:r>
        <w:r>
          <w:rPr>
            <w:noProof/>
            <w:webHidden/>
          </w:rPr>
          <w:tab/>
        </w:r>
        <w:r>
          <w:rPr>
            <w:noProof/>
            <w:webHidden/>
          </w:rPr>
          <w:fldChar w:fldCharType="begin"/>
        </w:r>
        <w:r>
          <w:rPr>
            <w:noProof/>
            <w:webHidden/>
          </w:rPr>
          <w:instrText xml:space="preserve"> PAGEREF _Toc263100105 \h </w:instrText>
        </w:r>
        <w:r>
          <w:rPr>
            <w:noProof/>
            <w:webHidden/>
          </w:rPr>
          <w:fldChar w:fldCharType="separate"/>
        </w:r>
        <w:r>
          <w:rPr>
            <w:rFonts w:ascii="Georgia" w:hAnsi="Georgia" w:eastAsia="Microsoft YaHei"/>
            <w:color w:val="263238"/>
            <w:sz w:val="22"/>
            <w:noProof/>
            <w:webHidden/>
          </w:rPr>
          <w:t xml:space="preserve">94</w:t>
        </w:r>
        <w:r>
          <w:rPr>
            <w:noProof/>
            <w:webHidden/>
          </w:rPr>
          <w:fldChar w:fldCharType="end"/>
        </w:r>
      </w:hyperlink>
    </w:p>
    <w:p>
      <w:pPr>
        <w:pStyle w:val="TOC2"/>
      </w:pPr>
      <w:hyperlink w:anchor="_Toc263100106" w:history="1">
        <w:r>
          <w:rPr>
            <w:rFonts w:ascii="Georgia" w:hAnsi="Georgia" w:eastAsia="Microsoft YaHei"/>
            <w:color w:val="263238"/>
            <w:sz w:val="22"/>
            <w:noProof/>
          </w:rPr>
          <w:t xml:space="preserve">F.1 The baseline survey</w:t>
        </w:r>
        <w:r>
          <w:rPr>
            <w:noProof/>
            <w:webHidden/>
          </w:rPr>
          <w:tab/>
        </w:r>
        <w:r>
          <w:rPr>
            <w:noProof/>
            <w:webHidden/>
          </w:rPr>
          <w:fldChar w:fldCharType="begin"/>
        </w:r>
        <w:r>
          <w:rPr>
            <w:noProof/>
            <w:webHidden/>
          </w:rPr>
          <w:instrText xml:space="preserve"> PAGEREF _Toc263100106 \h </w:instrText>
        </w:r>
        <w:r>
          <w:rPr>
            <w:noProof/>
            <w:webHidden/>
          </w:rPr>
          <w:fldChar w:fldCharType="separate"/>
        </w:r>
        <w:r>
          <w:rPr>
            <w:rFonts w:ascii="Georgia" w:hAnsi="Georgia" w:eastAsia="Microsoft YaHei"/>
            <w:color w:val="263238"/>
            <w:sz w:val="22"/>
            <w:noProof/>
            <w:webHidden/>
          </w:rPr>
          <w:t xml:space="preserve">94</w:t>
        </w:r>
        <w:r>
          <w:rPr>
            <w:noProof/>
            <w:webHidden/>
          </w:rPr>
          <w:fldChar w:fldCharType="end"/>
        </w:r>
      </w:hyperlink>
    </w:p>
    <w:p>
      <w:pPr>
        <w:pStyle w:val="TOC2"/>
      </w:pPr>
      <w:hyperlink w:anchor="_Toc263100107" w:history="1">
        <w:r>
          <w:rPr>
            <w:rFonts w:ascii="Georgia" w:hAnsi="Georgia" w:eastAsia="Microsoft YaHei"/>
            <w:color w:val="263238"/>
            <w:sz w:val="22"/>
            <w:noProof/>
          </w:rPr>
          <w:t xml:space="preserve">F.2 The monitoring grid</w:t>
        </w:r>
        <w:r>
          <w:rPr>
            <w:noProof/>
            <w:webHidden/>
          </w:rPr>
          <w:tab/>
        </w:r>
        <w:r>
          <w:rPr>
            <w:noProof/>
            <w:webHidden/>
          </w:rPr>
          <w:fldChar w:fldCharType="begin"/>
        </w:r>
        <w:r>
          <w:rPr>
            <w:noProof/>
            <w:webHidden/>
          </w:rPr>
          <w:instrText xml:space="preserve"> PAGEREF _Toc263100107 \h </w:instrText>
        </w:r>
        <w:r>
          <w:rPr>
            <w:noProof/>
            <w:webHidden/>
          </w:rPr>
          <w:fldChar w:fldCharType="separate"/>
        </w:r>
        <w:r>
          <w:rPr>
            <w:rFonts w:ascii="Georgia" w:hAnsi="Georgia" w:eastAsia="Microsoft YaHei"/>
            <w:color w:val="263238"/>
            <w:sz w:val="22"/>
            <w:noProof/>
            <w:webHidden/>
          </w:rPr>
          <w:t xml:space="preserve">94</w:t>
        </w:r>
        <w:r>
          <w:rPr>
            <w:noProof/>
            <w:webHidden/>
          </w:rPr>
          <w:fldChar w:fldCharType="end"/>
        </w:r>
      </w:hyperlink>
    </w:p>
    <w:p>
      <w:pPr>
        <w:pStyle w:val="TOC2"/>
      </w:pPr>
      <w:hyperlink w:anchor="_Toc263100108" w:history="1">
        <w:r>
          <w:rPr>
            <w:rFonts w:ascii="Georgia" w:hAnsi="Georgia" w:eastAsia="Microsoft YaHei"/>
            <w:color w:val="263238"/>
            <w:sz w:val="22"/>
            <w:noProof/>
          </w:rPr>
          <w:t xml:space="preserve">F.3 Spill response plan</w:t>
        </w:r>
        <w:r>
          <w:rPr>
            <w:noProof/>
            <w:webHidden/>
          </w:rPr>
          <w:tab/>
        </w:r>
        <w:r>
          <w:rPr>
            <w:noProof/>
            <w:webHidden/>
          </w:rPr>
          <w:fldChar w:fldCharType="begin"/>
        </w:r>
        <w:r>
          <w:rPr>
            <w:noProof/>
            <w:webHidden/>
          </w:rPr>
          <w:instrText xml:space="preserve"> PAGEREF _Toc263100108 \h </w:instrText>
        </w:r>
        <w:r>
          <w:rPr>
            <w:noProof/>
            <w:webHidden/>
          </w:rPr>
          <w:fldChar w:fldCharType="separate"/>
        </w:r>
        <w:r>
          <w:rPr>
            <w:rFonts w:ascii="Georgia" w:hAnsi="Georgia" w:eastAsia="Microsoft YaHei"/>
            <w:color w:val="263238"/>
            <w:sz w:val="22"/>
            <w:noProof/>
            <w:webHidden/>
          </w:rPr>
          <w:t xml:space="preserve">94</w:t>
        </w:r>
        <w:r>
          <w:rPr>
            <w:noProof/>
            <w:webHidden/>
          </w:rPr>
          <w:fldChar w:fldCharType="end"/>
        </w:r>
      </w:hyperlink>
    </w:p>
    <w:p>
      <w:pPr>
        <w:pStyle w:val="TOC2"/>
      </w:pPr>
      <w:hyperlink w:anchor="_Toc263100109" w:history="1">
        <w:r>
          <w:rPr>
            <w:rFonts w:ascii="Georgia" w:hAnsi="Georgia" w:eastAsia="Microsoft YaHei"/>
            <w:color w:val="263238"/>
            <w:sz w:val="22"/>
            <w:noProof/>
          </w:rPr>
          <w:t xml:space="preserve">F.4 Environmental thresholds and alerts</w:t>
        </w:r>
        <w:r>
          <w:rPr>
            <w:noProof/>
            <w:webHidden/>
          </w:rPr>
          <w:tab/>
        </w:r>
        <w:r>
          <w:rPr>
            <w:noProof/>
            <w:webHidden/>
          </w:rPr>
          <w:fldChar w:fldCharType="begin"/>
        </w:r>
        <w:r>
          <w:rPr>
            <w:noProof/>
            <w:webHidden/>
          </w:rPr>
          <w:instrText xml:space="preserve"> PAGEREF _Toc263100109 \h </w:instrText>
        </w:r>
        <w:r>
          <w:rPr>
            <w:noProof/>
            <w:webHidden/>
          </w:rPr>
          <w:fldChar w:fldCharType="separate"/>
        </w:r>
        <w:r>
          <w:rPr>
            <w:rFonts w:ascii="Georgia" w:hAnsi="Georgia" w:eastAsia="Microsoft YaHei"/>
            <w:color w:val="263238"/>
            <w:sz w:val="22"/>
            <w:noProof/>
            <w:webHidden/>
          </w:rPr>
          <w:t xml:space="preserve">94</w:t>
        </w:r>
        <w:r>
          <w:rPr>
            <w:noProof/>
            <w:webHidden/>
          </w:rPr>
          <w:fldChar w:fldCharType="end"/>
        </w:r>
      </w:hyperlink>
    </w:p>
    <w:p>
      <w:pPr>
        <w:pStyle w:val="TOC2"/>
      </w:pPr>
      <w:hyperlink w:anchor="_Toc263100110" w:history="1">
        <w:r>
          <w:rPr>
            <w:rFonts w:ascii="Georgia" w:hAnsi="Georgia" w:eastAsia="Microsoft YaHei"/>
            <w:color w:val="263238"/>
            <w:sz w:val="22"/>
            <w:noProof/>
          </w:rPr>
          <w:t xml:space="preserve">F.5 Ballast and discharge management</w:t>
        </w:r>
        <w:r>
          <w:rPr>
            <w:noProof/>
            <w:webHidden/>
          </w:rPr>
          <w:tab/>
        </w:r>
        <w:r>
          <w:rPr>
            <w:noProof/>
            <w:webHidden/>
          </w:rPr>
          <w:fldChar w:fldCharType="begin"/>
        </w:r>
        <w:r>
          <w:rPr>
            <w:noProof/>
            <w:webHidden/>
          </w:rPr>
          <w:instrText xml:space="preserve"> PAGEREF _Toc263100110 \h </w:instrText>
        </w:r>
        <w:r>
          <w:rPr>
            <w:noProof/>
            <w:webHidden/>
          </w:rPr>
          <w:fldChar w:fldCharType="separate"/>
        </w:r>
        <w:r>
          <w:rPr>
            <w:rFonts w:ascii="Georgia" w:hAnsi="Georgia" w:eastAsia="Microsoft YaHei"/>
            <w:color w:val="263238"/>
            <w:sz w:val="22"/>
            <w:noProof/>
            <w:webHidden/>
          </w:rPr>
          <w:t xml:space="preserve">95</w:t>
        </w:r>
        <w:r>
          <w:rPr>
            <w:noProof/>
            <w:webHidden/>
          </w:rPr>
          <w:fldChar w:fldCharType="end"/>
        </w:r>
      </w:hyperlink>
    </w:p>
    <w:p>
      <w:pPr>
        <w:pStyle w:val="TOC2"/>
      </w:pPr>
      <w:hyperlink w:anchor="_Toc263100111" w:history="1">
        <w:r>
          <w:rPr>
            <w:rFonts w:ascii="Georgia" w:hAnsi="Georgia" w:eastAsia="Microsoft YaHei"/>
            <w:color w:val="263238"/>
            <w:sz w:val="22"/>
            <w:noProof/>
          </w:rPr>
          <w:t xml:space="preserve">F.6 Environmental cost recovery</w:t>
        </w:r>
        <w:r>
          <w:rPr>
            <w:noProof/>
            <w:webHidden/>
          </w:rPr>
          <w:tab/>
        </w:r>
        <w:r>
          <w:rPr>
            <w:noProof/>
            <w:webHidden/>
          </w:rPr>
          <w:fldChar w:fldCharType="begin"/>
        </w:r>
        <w:r>
          <w:rPr>
            <w:noProof/>
            <w:webHidden/>
          </w:rPr>
          <w:instrText xml:space="preserve"> PAGEREF _Toc263100111 \h </w:instrText>
        </w:r>
        <w:r>
          <w:rPr>
            <w:noProof/>
            <w:webHidden/>
          </w:rPr>
          <w:fldChar w:fldCharType="separate"/>
        </w:r>
        <w:r>
          <w:rPr>
            <w:rFonts w:ascii="Georgia" w:hAnsi="Georgia" w:eastAsia="Microsoft YaHei"/>
            <w:color w:val="263238"/>
            <w:sz w:val="22"/>
            <w:noProof/>
            <w:webHidden/>
          </w:rPr>
          <w:t xml:space="preserve">95</w:t>
        </w:r>
        <w:r>
          <w:rPr>
            <w:noProof/>
            <w:webHidden/>
          </w:rPr>
          <w:fldChar w:fldCharType="end"/>
        </w:r>
      </w:hyperlink>
    </w:p>
    <w:p>
      <w:pPr>
        <w:pStyle w:val="TOC2"/>
      </w:pPr>
      <w:hyperlink w:anchor="_Toc263100112" w:history="1">
        <w:r>
          <w:rPr>
            <w:rFonts w:ascii="Georgia" w:hAnsi="Georgia" w:eastAsia="Microsoft YaHei"/>
            <w:color w:val="263238"/>
            <w:sz w:val="22"/>
            <w:noProof/>
          </w:rPr>
          <w:t xml:space="preserve">F.7 Annual environmental audit</w:t>
        </w:r>
        <w:r>
          <w:rPr>
            <w:noProof/>
            <w:webHidden/>
          </w:rPr>
          <w:tab/>
        </w:r>
        <w:r>
          <w:rPr>
            <w:noProof/>
            <w:webHidden/>
          </w:rPr>
          <w:fldChar w:fldCharType="begin"/>
        </w:r>
        <w:r>
          <w:rPr>
            <w:noProof/>
            <w:webHidden/>
          </w:rPr>
          <w:instrText xml:space="preserve"> PAGEREF _Toc263100112 \h </w:instrText>
        </w:r>
        <w:r>
          <w:rPr>
            <w:noProof/>
            <w:webHidden/>
          </w:rPr>
          <w:fldChar w:fldCharType="separate"/>
        </w:r>
        <w:r>
          <w:rPr>
            <w:rFonts w:ascii="Georgia" w:hAnsi="Georgia" w:eastAsia="Microsoft YaHei"/>
            <w:color w:val="263238"/>
            <w:sz w:val="22"/>
            <w:noProof/>
            <w:webHidden/>
          </w:rPr>
          <w:t xml:space="preserve">95</w:t>
        </w:r>
        <w:r>
          <w:rPr>
            <w:noProof/>
            <w:webHidden/>
          </w:rPr>
          <w:fldChar w:fldCharType="end"/>
        </w:r>
      </w:hyperlink>
    </w:p>
    <w:p>
      <w:pPr>
        <w:pStyle w:val="TOC1"/>
      </w:pPr>
      <w:hyperlink w:anchor="_Toc263100113" w:history="1">
        <w:r>
          <w:rPr>
            <w:rFonts w:ascii="Georgia" w:hAnsi="Georgia" w:eastAsia="Microsoft YaHei"/>
            <w:color w:val="263238"/>
            <w:sz w:val="22"/>
            <w:noProof/>
          </w:rPr>
          <w:t xml:space="preserve">Annex G: Search and Rescue Framework</w:t>
        </w:r>
        <w:r>
          <w:rPr>
            <w:noProof/>
            <w:webHidden/>
          </w:rPr>
          <w:tab/>
        </w:r>
        <w:r>
          <w:rPr>
            <w:noProof/>
            <w:webHidden/>
          </w:rPr>
          <w:fldChar w:fldCharType="begin"/>
        </w:r>
        <w:r>
          <w:rPr>
            <w:noProof/>
            <w:webHidden/>
          </w:rPr>
          <w:instrText xml:space="preserve"> PAGEREF _Toc263100113 \h </w:instrText>
        </w:r>
        <w:r>
          <w:rPr>
            <w:noProof/>
            <w:webHidden/>
          </w:rPr>
          <w:fldChar w:fldCharType="separate"/>
        </w:r>
        <w:r>
          <w:rPr>
            <w:rFonts w:ascii="Georgia" w:hAnsi="Georgia" w:eastAsia="Microsoft YaHei"/>
            <w:color w:val="263238"/>
            <w:sz w:val="22"/>
            <w:noProof/>
            <w:webHidden/>
          </w:rPr>
          <w:t xml:space="preserve">96</w:t>
        </w:r>
        <w:r>
          <w:rPr>
            <w:noProof/>
            <w:webHidden/>
          </w:rPr>
          <w:fldChar w:fldCharType="end"/>
        </w:r>
      </w:hyperlink>
    </w:p>
    <w:p>
      <w:pPr>
        <w:pStyle w:val="TOC2"/>
      </w:pPr>
      <w:hyperlink w:anchor="_Toc263100114" w:history="1">
        <w:r>
          <w:rPr>
            <w:rFonts w:ascii="Georgia" w:hAnsi="Georgia" w:eastAsia="Microsoft YaHei"/>
            <w:color w:val="263238"/>
            <w:sz w:val="22"/>
            <w:noProof/>
          </w:rPr>
          <w:t xml:space="preserve">G.1 Joint rescue coordination</w:t>
        </w:r>
        <w:r>
          <w:rPr>
            <w:noProof/>
            <w:webHidden/>
          </w:rPr>
          <w:tab/>
        </w:r>
        <w:r>
          <w:rPr>
            <w:noProof/>
            <w:webHidden/>
          </w:rPr>
          <w:fldChar w:fldCharType="begin"/>
        </w:r>
        <w:r>
          <w:rPr>
            <w:noProof/>
            <w:webHidden/>
          </w:rPr>
          <w:instrText xml:space="preserve"> PAGEREF _Toc263100114 \h </w:instrText>
        </w:r>
        <w:r>
          <w:rPr>
            <w:noProof/>
            <w:webHidden/>
          </w:rPr>
          <w:fldChar w:fldCharType="separate"/>
        </w:r>
        <w:r>
          <w:rPr>
            <w:rFonts w:ascii="Georgia" w:hAnsi="Georgia" w:eastAsia="Microsoft YaHei"/>
            <w:color w:val="263238"/>
            <w:sz w:val="22"/>
            <w:noProof/>
            <w:webHidden/>
          </w:rPr>
          <w:t xml:space="preserve">96</w:t>
        </w:r>
        <w:r>
          <w:rPr>
            <w:noProof/>
            <w:webHidden/>
          </w:rPr>
          <w:fldChar w:fldCharType="end"/>
        </w:r>
      </w:hyperlink>
    </w:p>
    <w:p>
      <w:pPr>
        <w:pStyle w:val="TOC2"/>
      </w:pPr>
      <w:hyperlink w:anchor="_Toc263100115" w:history="1">
        <w:r>
          <w:rPr>
            <w:rFonts w:ascii="Georgia" w:hAnsi="Georgia" w:eastAsia="Microsoft YaHei"/>
            <w:color w:val="263238"/>
            <w:sz w:val="22"/>
            <w:noProof/>
          </w:rPr>
          <w:t xml:space="preserve">G.2 Asset posture</w:t>
        </w:r>
        <w:r>
          <w:rPr>
            <w:noProof/>
            <w:webHidden/>
          </w:rPr>
          <w:tab/>
        </w:r>
        <w:r>
          <w:rPr>
            <w:noProof/>
            <w:webHidden/>
          </w:rPr>
          <w:fldChar w:fldCharType="begin"/>
        </w:r>
        <w:r>
          <w:rPr>
            <w:noProof/>
            <w:webHidden/>
          </w:rPr>
          <w:instrText xml:space="preserve"> PAGEREF _Toc263100115 \h </w:instrText>
        </w:r>
        <w:r>
          <w:rPr>
            <w:noProof/>
            <w:webHidden/>
          </w:rPr>
          <w:fldChar w:fldCharType="separate"/>
        </w:r>
        <w:r>
          <w:rPr>
            <w:rFonts w:ascii="Georgia" w:hAnsi="Georgia" w:eastAsia="Microsoft YaHei"/>
            <w:color w:val="263238"/>
            <w:sz w:val="22"/>
            <w:noProof/>
            <w:webHidden/>
          </w:rPr>
          <w:t xml:space="preserve">96</w:t>
        </w:r>
        <w:r>
          <w:rPr>
            <w:noProof/>
            <w:webHidden/>
          </w:rPr>
          <w:fldChar w:fldCharType="end"/>
        </w:r>
      </w:hyperlink>
    </w:p>
    <w:p>
      <w:pPr>
        <w:pStyle w:val="TOC2"/>
      </w:pPr>
      <w:hyperlink w:anchor="_Toc263100116" w:history="1">
        <w:r>
          <w:rPr>
            <w:rFonts w:ascii="Georgia" w:hAnsi="Georgia" w:eastAsia="Microsoft YaHei"/>
            <w:color w:val="263238"/>
            <w:sz w:val="22"/>
            <w:noProof/>
          </w:rPr>
          <w:t xml:space="preserve">G.3 The distress protocol</w:t>
        </w:r>
        <w:r>
          <w:rPr>
            <w:noProof/>
            <w:webHidden/>
          </w:rPr>
          <w:tab/>
        </w:r>
        <w:r>
          <w:rPr>
            <w:noProof/>
            <w:webHidden/>
          </w:rPr>
          <w:fldChar w:fldCharType="begin"/>
        </w:r>
        <w:r>
          <w:rPr>
            <w:noProof/>
            <w:webHidden/>
          </w:rPr>
          <w:instrText xml:space="preserve"> PAGEREF _Toc263100116 \h </w:instrText>
        </w:r>
        <w:r>
          <w:rPr>
            <w:noProof/>
            <w:webHidden/>
          </w:rPr>
          <w:fldChar w:fldCharType="separate"/>
        </w:r>
        <w:r>
          <w:rPr>
            <w:rFonts w:ascii="Georgia" w:hAnsi="Georgia" w:eastAsia="Microsoft YaHei"/>
            <w:color w:val="263238"/>
            <w:sz w:val="22"/>
            <w:noProof/>
            <w:webHidden/>
          </w:rPr>
          <w:t xml:space="preserve">96</w:t>
        </w:r>
        <w:r>
          <w:rPr>
            <w:noProof/>
            <w:webHidden/>
          </w:rPr>
          <w:fldChar w:fldCharType="end"/>
        </w:r>
      </w:hyperlink>
    </w:p>
    <w:p>
      <w:pPr>
        <w:pStyle w:val="TOC2"/>
      </w:pPr>
      <w:hyperlink w:anchor="_Toc263100117" w:history="1">
        <w:r>
          <w:rPr>
            <w:rFonts w:ascii="Georgia" w:hAnsi="Georgia" w:eastAsia="Microsoft YaHei"/>
            <w:color w:val="263238"/>
            <w:sz w:val="22"/>
            <w:noProof/>
          </w:rPr>
          <w:t xml:space="preserve">G.4 Mass rescue operations</w:t>
        </w:r>
        <w:r>
          <w:rPr>
            <w:noProof/>
            <w:webHidden/>
          </w:rPr>
          <w:tab/>
        </w:r>
        <w:r>
          <w:rPr>
            <w:noProof/>
            <w:webHidden/>
          </w:rPr>
          <w:fldChar w:fldCharType="begin"/>
        </w:r>
        <w:r>
          <w:rPr>
            <w:noProof/>
            <w:webHidden/>
          </w:rPr>
          <w:instrText xml:space="preserve"> PAGEREF _Toc263100117 \h </w:instrText>
        </w:r>
        <w:r>
          <w:rPr>
            <w:noProof/>
            <w:webHidden/>
          </w:rPr>
          <w:fldChar w:fldCharType="separate"/>
        </w:r>
        <w:r>
          <w:rPr>
            <w:rFonts w:ascii="Georgia" w:hAnsi="Georgia" w:eastAsia="Microsoft YaHei"/>
            <w:color w:val="263238"/>
            <w:sz w:val="22"/>
            <w:noProof/>
            <w:webHidden/>
          </w:rPr>
          <w:t xml:space="preserve">96</w:t>
        </w:r>
        <w:r>
          <w:rPr>
            <w:noProof/>
            <w:webHidden/>
          </w:rPr>
          <w:fldChar w:fldCharType="end"/>
        </w:r>
      </w:hyperlink>
    </w:p>
    <w:p>
      <w:pPr>
        <w:pStyle w:val="TOC2"/>
      </w:pPr>
      <w:hyperlink w:anchor="_Toc263100118" w:history="1">
        <w:r>
          <w:rPr>
            <w:rFonts w:ascii="Georgia" w:hAnsi="Georgia" w:eastAsia="Microsoft YaHei"/>
            <w:color w:val="263238"/>
            <w:sz w:val="22"/>
            <w:noProof/>
          </w:rPr>
          <w:t xml:space="preserve">G.5 SAR data and learning</w:t>
        </w:r>
        <w:r>
          <w:rPr>
            <w:noProof/>
            <w:webHidden/>
          </w:rPr>
          <w:tab/>
        </w:r>
        <w:r>
          <w:rPr>
            <w:noProof/>
            <w:webHidden/>
          </w:rPr>
          <w:fldChar w:fldCharType="begin"/>
        </w:r>
        <w:r>
          <w:rPr>
            <w:noProof/>
            <w:webHidden/>
          </w:rPr>
          <w:instrText xml:space="preserve"> PAGEREF _Toc263100118 \h </w:instrText>
        </w:r>
        <w:r>
          <w:rPr>
            <w:noProof/>
            <w:webHidden/>
          </w:rPr>
          <w:fldChar w:fldCharType="separate"/>
        </w:r>
        <w:r>
          <w:rPr>
            <w:rFonts w:ascii="Georgia" w:hAnsi="Georgia" w:eastAsia="Microsoft YaHei"/>
            <w:color w:val="263238"/>
            <w:sz w:val="22"/>
            <w:noProof/>
            <w:webHidden/>
          </w:rPr>
          <w:t xml:space="preserve">96</w:t>
        </w:r>
        <w:r>
          <w:rPr>
            <w:noProof/>
            <w:webHidden/>
          </w:rPr>
          <w:fldChar w:fldCharType="end"/>
        </w:r>
      </w:hyperlink>
    </w:p>
    <w:p>
      <w:pPr>
        <w:pStyle w:val="TOC1"/>
      </w:pPr>
      <w:hyperlink w:anchor="_Toc263100119" w:history="1">
        <w:r>
          <w:rPr>
            <w:rFonts w:ascii="Georgia" w:hAnsi="Georgia" w:eastAsia="Microsoft YaHei"/>
            <w:color w:val="263238"/>
            <w:sz w:val="22"/>
            <w:noProof/>
          </w:rPr>
          <w:t xml:space="preserve">Annex H: Stability Audit Metrics and Thresholds</w:t>
        </w:r>
        <w:r>
          <w:rPr>
            <w:noProof/>
            <w:webHidden/>
          </w:rPr>
          <w:tab/>
        </w:r>
        <w:r>
          <w:rPr>
            <w:noProof/>
            <w:webHidden/>
          </w:rPr>
          <w:fldChar w:fldCharType="begin"/>
        </w:r>
        <w:r>
          <w:rPr>
            <w:noProof/>
            <w:webHidden/>
          </w:rPr>
          <w:instrText xml:space="preserve"> PAGEREF _Toc263100119 \h </w:instrText>
        </w:r>
        <w:r>
          <w:rPr>
            <w:noProof/>
            <w:webHidden/>
          </w:rPr>
          <w:fldChar w:fldCharType="separate"/>
        </w:r>
        <w:r>
          <w:rPr>
            <w:rFonts w:ascii="Georgia" w:hAnsi="Georgia" w:eastAsia="Microsoft YaHei"/>
            <w:color w:val="263238"/>
            <w:sz w:val="22"/>
            <w:noProof/>
            <w:webHidden/>
          </w:rPr>
          <w:t xml:space="preserve">98</w:t>
        </w:r>
        <w:r>
          <w:rPr>
            <w:noProof/>
            <w:webHidden/>
          </w:rPr>
          <w:fldChar w:fldCharType="end"/>
        </w:r>
      </w:hyperlink>
    </w:p>
    <w:p>
      <w:pPr>
        <w:pStyle w:val="TOC2"/>
      </w:pPr>
      <w:hyperlink w:anchor="_Toc263100120" w:history="1">
        <w:r>
          <w:rPr>
            <w:rFonts w:ascii="Georgia" w:hAnsi="Georgia" w:eastAsia="Microsoft YaHei"/>
            <w:color w:val="263238"/>
            <w:sz w:val="22"/>
            <w:noProof/>
          </w:rPr>
          <w:t xml:space="preserve">H.1 Audit architecture</w:t>
        </w:r>
        <w:r>
          <w:rPr>
            <w:noProof/>
            <w:webHidden/>
          </w:rPr>
          <w:tab/>
        </w:r>
        <w:r>
          <w:rPr>
            <w:noProof/>
            <w:webHidden/>
          </w:rPr>
          <w:fldChar w:fldCharType="begin"/>
        </w:r>
        <w:r>
          <w:rPr>
            <w:noProof/>
            <w:webHidden/>
          </w:rPr>
          <w:instrText xml:space="preserve"> PAGEREF _Toc263100120 \h </w:instrText>
        </w:r>
        <w:r>
          <w:rPr>
            <w:noProof/>
            <w:webHidden/>
          </w:rPr>
          <w:fldChar w:fldCharType="separate"/>
        </w:r>
        <w:r>
          <w:rPr>
            <w:rFonts w:ascii="Georgia" w:hAnsi="Georgia" w:eastAsia="Microsoft YaHei"/>
            <w:color w:val="263238"/>
            <w:sz w:val="22"/>
            <w:noProof/>
            <w:webHidden/>
          </w:rPr>
          <w:t xml:space="preserve">98</w:t>
        </w:r>
        <w:r>
          <w:rPr>
            <w:noProof/>
            <w:webHidden/>
          </w:rPr>
          <w:fldChar w:fldCharType="end"/>
        </w:r>
      </w:hyperlink>
    </w:p>
    <w:p>
      <w:pPr>
        <w:pStyle w:val="TOC2"/>
      </w:pPr>
      <w:hyperlink w:anchor="_Toc263100121" w:history="1">
        <w:r>
          <w:rPr>
            <w:rFonts w:ascii="Georgia" w:hAnsi="Georgia" w:eastAsia="Microsoft YaHei"/>
            <w:color w:val="263238"/>
            <w:sz w:val="22"/>
            <w:noProof/>
          </w:rPr>
          <w:t xml:space="preserve">H.2 Domain One: navigation and AIS compliance</w:t>
        </w:r>
        <w:r>
          <w:rPr>
            <w:noProof/>
            <w:webHidden/>
          </w:rPr>
          <w:tab/>
        </w:r>
        <w:r>
          <w:rPr>
            <w:noProof/>
            <w:webHidden/>
          </w:rPr>
          <w:fldChar w:fldCharType="begin"/>
        </w:r>
        <w:r>
          <w:rPr>
            <w:noProof/>
            <w:webHidden/>
          </w:rPr>
          <w:instrText xml:space="preserve"> PAGEREF _Toc263100121 \h </w:instrText>
        </w:r>
        <w:r>
          <w:rPr>
            <w:noProof/>
            <w:webHidden/>
          </w:rPr>
          <w:fldChar w:fldCharType="separate"/>
        </w:r>
        <w:r>
          <w:rPr>
            <w:rFonts w:ascii="Georgia" w:hAnsi="Georgia" w:eastAsia="Microsoft YaHei"/>
            <w:color w:val="263238"/>
            <w:sz w:val="22"/>
            <w:noProof/>
            <w:webHidden/>
          </w:rPr>
          <w:t xml:space="preserve">98</w:t>
        </w:r>
        <w:r>
          <w:rPr>
            <w:noProof/>
            <w:webHidden/>
          </w:rPr>
          <w:fldChar w:fldCharType="end"/>
        </w:r>
      </w:hyperlink>
    </w:p>
    <w:p>
      <w:pPr>
        <w:pStyle w:val="TOC2"/>
      </w:pPr>
      <w:hyperlink w:anchor="_Toc263100122" w:history="1">
        <w:r>
          <w:rPr>
            <w:rFonts w:ascii="Georgia" w:hAnsi="Georgia" w:eastAsia="Microsoft YaHei"/>
            <w:color w:val="263238"/>
            <w:sz w:val="22"/>
            <w:noProof/>
          </w:rPr>
          <w:t xml:space="preserve">H.3 Domain Two: security and deconfliction</w:t>
        </w:r>
        <w:r>
          <w:rPr>
            <w:noProof/>
            <w:webHidden/>
          </w:rPr>
          <w:tab/>
        </w:r>
        <w:r>
          <w:rPr>
            <w:noProof/>
            <w:webHidden/>
          </w:rPr>
          <w:fldChar w:fldCharType="begin"/>
        </w:r>
        <w:r>
          <w:rPr>
            <w:noProof/>
            <w:webHidden/>
          </w:rPr>
          <w:instrText xml:space="preserve"> PAGEREF _Toc263100122 \h </w:instrText>
        </w:r>
        <w:r>
          <w:rPr>
            <w:noProof/>
            <w:webHidden/>
          </w:rPr>
          <w:fldChar w:fldCharType="separate"/>
        </w:r>
        <w:r>
          <w:rPr>
            <w:rFonts w:ascii="Georgia" w:hAnsi="Georgia" w:eastAsia="Microsoft YaHei"/>
            <w:color w:val="263238"/>
            <w:sz w:val="22"/>
            <w:noProof/>
            <w:webHidden/>
          </w:rPr>
          <w:t xml:space="preserve">98</w:t>
        </w:r>
        <w:r>
          <w:rPr>
            <w:noProof/>
            <w:webHidden/>
          </w:rPr>
          <w:fldChar w:fldCharType="end"/>
        </w:r>
      </w:hyperlink>
    </w:p>
    <w:p>
      <w:pPr>
        <w:pStyle w:val="TOC2"/>
      </w:pPr>
      <w:hyperlink w:anchor="_Toc263100123" w:history="1">
        <w:r>
          <w:rPr>
            <w:rFonts w:ascii="Georgia" w:hAnsi="Georgia" w:eastAsia="Microsoft YaHei"/>
            <w:color w:val="263238"/>
            <w:sz w:val="22"/>
            <w:noProof/>
          </w:rPr>
          <w:t xml:space="preserve">H.4 Domain Three: monitoring and transparency</w:t>
        </w:r>
        <w:r>
          <w:rPr>
            <w:noProof/>
            <w:webHidden/>
          </w:rPr>
          <w:tab/>
        </w:r>
        <w:r>
          <w:rPr>
            <w:noProof/>
            <w:webHidden/>
          </w:rPr>
          <w:fldChar w:fldCharType="begin"/>
        </w:r>
        <w:r>
          <w:rPr>
            <w:noProof/>
            <w:webHidden/>
          </w:rPr>
          <w:instrText xml:space="preserve"> PAGEREF _Toc263100123 \h </w:instrText>
        </w:r>
        <w:r>
          <w:rPr>
            <w:noProof/>
            <w:webHidden/>
          </w:rPr>
          <w:fldChar w:fldCharType="separate"/>
        </w:r>
        <w:r>
          <w:rPr>
            <w:rFonts w:ascii="Georgia" w:hAnsi="Georgia" w:eastAsia="Microsoft YaHei"/>
            <w:color w:val="263238"/>
            <w:sz w:val="22"/>
            <w:noProof/>
            <w:webHidden/>
          </w:rPr>
          <w:t xml:space="preserve">99</w:t>
        </w:r>
        <w:r>
          <w:rPr>
            <w:noProof/>
            <w:webHidden/>
          </w:rPr>
          <w:fldChar w:fldCharType="end"/>
        </w:r>
      </w:hyperlink>
    </w:p>
    <w:p>
      <w:pPr>
        <w:pStyle w:val="TOC2"/>
      </w:pPr>
      <w:hyperlink w:anchor="_Toc263100124" w:history="1">
        <w:r>
          <w:rPr>
            <w:rFonts w:ascii="Georgia" w:hAnsi="Georgia" w:eastAsia="Microsoft YaHei"/>
            <w:color w:val="263238"/>
            <w:sz w:val="22"/>
            <w:noProof/>
          </w:rPr>
          <w:t xml:space="preserve">H.5 Domain Four: environment and safety</w:t>
        </w:r>
        <w:r>
          <w:rPr>
            <w:noProof/>
            <w:webHidden/>
          </w:rPr>
          <w:tab/>
        </w:r>
        <w:r>
          <w:rPr>
            <w:noProof/>
            <w:webHidden/>
          </w:rPr>
          <w:fldChar w:fldCharType="begin"/>
        </w:r>
        <w:r>
          <w:rPr>
            <w:noProof/>
            <w:webHidden/>
          </w:rPr>
          <w:instrText xml:space="preserve"> PAGEREF _Toc263100124 \h </w:instrText>
        </w:r>
        <w:r>
          <w:rPr>
            <w:noProof/>
            <w:webHidden/>
          </w:rPr>
          <w:fldChar w:fldCharType="separate"/>
        </w:r>
        <w:r>
          <w:rPr>
            <w:rFonts w:ascii="Georgia" w:hAnsi="Georgia" w:eastAsia="Microsoft YaHei"/>
            <w:color w:val="263238"/>
            <w:sz w:val="22"/>
            <w:noProof/>
            <w:webHidden/>
          </w:rPr>
          <w:t xml:space="preserve">99</w:t>
        </w:r>
        <w:r>
          <w:rPr>
            <w:noProof/>
            <w:webHidden/>
          </w:rPr>
          <w:fldChar w:fldCharType="end"/>
        </w:r>
      </w:hyperlink>
    </w:p>
    <w:p>
      <w:pPr>
        <w:pStyle w:val="TOC2"/>
      </w:pPr>
      <w:hyperlink w:anchor="_Toc263100125" w:history="1">
        <w:r>
          <w:rPr>
            <w:rFonts w:ascii="Georgia" w:hAnsi="Georgia" w:eastAsia="Microsoft YaHei"/>
            <w:color w:val="263238"/>
            <w:sz w:val="22"/>
            <w:noProof/>
          </w:rPr>
          <w:t xml:space="preserve">H.6 Domain Five: fees, payment, and sanctions-compatibility</w:t>
        </w:r>
        <w:r>
          <w:rPr>
            <w:noProof/>
            <w:webHidden/>
          </w:rPr>
          <w:tab/>
        </w:r>
        <w:r>
          <w:rPr>
            <w:noProof/>
            <w:webHidden/>
          </w:rPr>
          <w:fldChar w:fldCharType="begin"/>
        </w:r>
        <w:r>
          <w:rPr>
            <w:noProof/>
            <w:webHidden/>
          </w:rPr>
          <w:instrText xml:space="preserve"> PAGEREF _Toc263100125 \h </w:instrText>
        </w:r>
        <w:r>
          <w:rPr>
            <w:noProof/>
            <w:webHidden/>
          </w:rPr>
          <w:fldChar w:fldCharType="separate"/>
        </w:r>
        <w:r>
          <w:rPr>
            <w:rFonts w:ascii="Georgia" w:hAnsi="Georgia" w:eastAsia="Microsoft YaHei"/>
            <w:color w:val="263238"/>
            <w:sz w:val="22"/>
            <w:noProof/>
            <w:webHidden/>
          </w:rPr>
          <w:t xml:space="preserve">100</w:t>
        </w:r>
        <w:r>
          <w:rPr>
            <w:noProof/>
            <w:webHidden/>
          </w:rPr>
          <w:fldChar w:fldCharType="end"/>
        </w:r>
      </w:hyperlink>
    </w:p>
    <w:p>
      <w:pPr>
        <w:pStyle w:val="TOC2"/>
      </w:pPr>
      <w:hyperlink w:anchor="_Toc263100126" w:history="1">
        <w:r>
          <w:rPr>
            <w:rFonts w:ascii="Georgia" w:hAnsi="Georgia" w:eastAsia="Microsoft YaHei"/>
            <w:color w:val="263238"/>
            <w:sz w:val="22"/>
            <w:noProof/>
          </w:rPr>
          <w:t xml:space="preserve">H.7 Scoring and outcomes</w:t>
        </w:r>
        <w:r>
          <w:rPr>
            <w:noProof/>
            <w:webHidden/>
          </w:rPr>
          <w:tab/>
        </w:r>
        <w:r>
          <w:rPr>
            <w:noProof/>
            <w:webHidden/>
          </w:rPr>
          <w:fldChar w:fldCharType="begin"/>
        </w:r>
        <w:r>
          <w:rPr>
            <w:noProof/>
            <w:webHidden/>
          </w:rPr>
          <w:instrText xml:space="preserve"> PAGEREF _Toc263100126 \h </w:instrText>
        </w:r>
        <w:r>
          <w:rPr>
            <w:noProof/>
            <w:webHidden/>
          </w:rPr>
          <w:fldChar w:fldCharType="separate"/>
        </w:r>
        <w:r>
          <w:rPr>
            <w:rFonts w:ascii="Georgia" w:hAnsi="Georgia" w:eastAsia="Microsoft YaHei"/>
            <w:color w:val="263238"/>
            <w:sz w:val="22"/>
            <w:noProof/>
            <w:webHidden/>
          </w:rPr>
          <w:t xml:space="preserve">100</w:t>
        </w:r>
        <w:r>
          <w:rPr>
            <w:noProof/>
            <w:webHidden/>
          </w:rPr>
          <w:fldChar w:fldCharType="end"/>
        </w:r>
      </w:hyperlink>
    </w:p>
    <w:p>
      <w:pPr>
        <w:pStyle w:val="TOC2"/>
      </w:pPr>
      <w:hyperlink w:anchor="_Toc263100127" w:history="1">
        <w:r>
          <w:rPr>
            <w:rFonts w:ascii="Georgia" w:hAnsi="Georgia" w:eastAsia="Microsoft YaHei"/>
            <w:color w:val="263238"/>
            <w:sz w:val="22"/>
            <w:noProof/>
          </w:rPr>
          <w:t xml:space="preserve">H.8 Audit governance</w:t>
        </w:r>
        <w:r>
          <w:rPr>
            <w:noProof/>
            <w:webHidden/>
          </w:rPr>
          <w:tab/>
        </w:r>
        <w:r>
          <w:rPr>
            <w:noProof/>
            <w:webHidden/>
          </w:rPr>
          <w:fldChar w:fldCharType="begin"/>
        </w:r>
        <w:r>
          <w:rPr>
            <w:noProof/>
            <w:webHidden/>
          </w:rPr>
          <w:instrText xml:space="preserve"> PAGEREF _Toc263100127 \h </w:instrText>
        </w:r>
        <w:r>
          <w:rPr>
            <w:noProof/>
            <w:webHidden/>
          </w:rPr>
          <w:fldChar w:fldCharType="separate"/>
        </w:r>
        <w:r>
          <w:rPr>
            <w:rFonts w:ascii="Georgia" w:hAnsi="Georgia" w:eastAsia="Microsoft YaHei"/>
            <w:color w:val="263238"/>
            <w:sz w:val="22"/>
            <w:noProof/>
            <w:webHidden/>
          </w:rPr>
          <w:t xml:space="preserve">100</w:t>
        </w:r>
        <w:r>
          <w:rPr>
            <w:noProof/>
            <w:webHidden/>
          </w:rPr>
          <w:fldChar w:fldCharType="end"/>
        </w:r>
      </w:hyperlink>
    </w:p>
    <w:p>
      <w:pPr>
        <w:pStyle w:val="TOC2"/>
      </w:pPr>
      <w:hyperlink w:anchor="_Toc263100128" w:history="1">
        <w:r>
          <w:rPr>
            <w:rFonts w:ascii="Georgia" w:hAnsi="Georgia" w:eastAsia="Microsoft YaHei"/>
            <w:color w:val="263238"/>
            <w:sz w:val="22"/>
            <w:noProof/>
          </w:rPr>
          <w:t xml:space="preserve">H.9 The System Health Index</w:t>
        </w:r>
        <w:r>
          <w:rPr>
            <w:noProof/>
            <w:webHidden/>
          </w:rPr>
          <w:tab/>
        </w:r>
        <w:r>
          <w:rPr>
            <w:noProof/>
            <w:webHidden/>
          </w:rPr>
          <w:fldChar w:fldCharType="begin"/>
        </w:r>
        <w:r>
          <w:rPr>
            <w:noProof/>
            <w:webHidden/>
          </w:rPr>
          <w:instrText xml:space="preserve"> PAGEREF _Toc263100128 \h </w:instrText>
        </w:r>
        <w:r>
          <w:rPr>
            <w:noProof/>
            <w:webHidden/>
          </w:rPr>
          <w:fldChar w:fldCharType="separate"/>
        </w:r>
        <w:r>
          <w:rPr>
            <w:rFonts w:ascii="Georgia" w:hAnsi="Georgia" w:eastAsia="Microsoft YaHei"/>
            <w:color w:val="263238"/>
            <w:sz w:val="22"/>
            <w:noProof/>
            <w:webHidden/>
          </w:rPr>
          <w:t xml:space="preserve">100</w:t>
        </w:r>
        <w:r>
          <w:rPr>
            <w:noProof/>
            <w:webHidden/>
          </w:rPr>
          <w:fldChar w:fldCharType="end"/>
        </w:r>
      </w:hyperlink>
    </w:p>
    <w:p>
      <w:pPr>
        <w:pStyle w:val="TOC2"/>
      </w:pPr>
      <w:hyperlink w:anchor="_Toc263100129" w:history="1">
        <w:r>
          <w:rPr>
            <w:rFonts w:ascii="Georgia" w:hAnsi="Georgia" w:eastAsia="Microsoft YaHei"/>
            <w:color w:val="263238"/>
            <w:sz w:val="22"/>
            <w:noProof/>
          </w:rPr>
          <w:t xml:space="preserve">H.10 The Annual Political Confidence Survey</w:t>
        </w:r>
        <w:r>
          <w:rPr>
            <w:noProof/>
            <w:webHidden/>
          </w:rPr>
          <w:tab/>
        </w:r>
        <w:r>
          <w:rPr>
            <w:noProof/>
            <w:webHidden/>
          </w:rPr>
          <w:fldChar w:fldCharType="begin"/>
        </w:r>
        <w:r>
          <w:rPr>
            <w:noProof/>
            <w:webHidden/>
          </w:rPr>
          <w:instrText xml:space="preserve"> PAGEREF _Toc263100129 \h </w:instrText>
        </w:r>
        <w:r>
          <w:rPr>
            <w:noProof/>
            <w:webHidden/>
          </w:rPr>
          <w:fldChar w:fldCharType="separate"/>
        </w:r>
        <w:r>
          <w:rPr>
            <w:rFonts w:ascii="Georgia" w:hAnsi="Georgia" w:eastAsia="Microsoft YaHei"/>
            <w:color w:val="263238"/>
            <w:sz w:val="22"/>
            <w:noProof/>
            <w:webHidden/>
          </w:rPr>
          <w:t xml:space="preserve">101</w:t>
        </w:r>
        <w:r>
          <w:rPr>
            <w:noProof/>
            <w:webHidden/>
          </w:rPr>
          <w:fldChar w:fldCharType="end"/>
        </w:r>
      </w:hyperlink>
    </w:p>
    <w:p>
      <w:pPr>
        <w:pStyle w:val="TOC1"/>
      </w:pPr>
      <w:hyperlink w:anchor="_Toc263100130" w:history="1">
        <w:r>
          <w:rPr>
            <w:rFonts w:ascii="Georgia" w:hAnsi="Georgia" w:eastAsia="Microsoft YaHei"/>
            <w:color w:val="263238"/>
            <w:sz w:val="22"/>
            <w:noProof/>
          </w:rPr>
          <w:t xml:space="preserve">Annex I: The Red Lines Register</w:t>
        </w:r>
        <w:r>
          <w:rPr>
            <w:noProof/>
            <w:webHidden/>
          </w:rPr>
          <w:tab/>
        </w:r>
        <w:r>
          <w:rPr>
            <w:noProof/>
            <w:webHidden/>
          </w:rPr>
          <w:fldChar w:fldCharType="begin"/>
        </w:r>
        <w:r>
          <w:rPr>
            <w:noProof/>
            <w:webHidden/>
          </w:rPr>
          <w:instrText xml:space="preserve"> PAGEREF _Toc263100130 \h </w:instrText>
        </w:r>
        <w:r>
          <w:rPr>
            <w:noProof/>
            <w:webHidden/>
          </w:rPr>
          <w:fldChar w:fldCharType="separate"/>
        </w:r>
        <w:r>
          <w:rPr>
            <w:rFonts w:ascii="Georgia" w:hAnsi="Georgia" w:eastAsia="Microsoft YaHei"/>
            <w:color w:val="263238"/>
            <w:sz w:val="22"/>
            <w:noProof/>
            <w:webHidden/>
          </w:rPr>
          <w:t xml:space="preserve">102</w:t>
        </w:r>
        <w:r>
          <w:rPr>
            <w:noProof/>
            <w:webHidden/>
          </w:rPr>
          <w:fldChar w:fldCharType="end"/>
        </w:r>
      </w:hyperlink>
    </w:p>
    <w:p>
      <w:pPr>
        <w:pStyle w:val="TOC2"/>
      </w:pPr>
      <w:hyperlink w:anchor="_Toc263100131" w:history="1">
        <w:r>
          <w:rPr>
            <w:rFonts w:ascii="Georgia" w:hAnsi="Georgia" w:eastAsia="Microsoft YaHei"/>
            <w:color w:val="263238"/>
            <w:sz w:val="22"/>
            <w:noProof/>
          </w:rPr>
          <w:t xml:space="preserve">I.1 Status and use</w:t>
        </w:r>
        <w:r>
          <w:rPr>
            <w:noProof/>
            <w:webHidden/>
          </w:rPr>
          <w:tab/>
        </w:r>
        <w:r>
          <w:rPr>
            <w:noProof/>
            <w:webHidden/>
          </w:rPr>
          <w:fldChar w:fldCharType="begin"/>
        </w:r>
        <w:r>
          <w:rPr>
            <w:noProof/>
            <w:webHidden/>
          </w:rPr>
          <w:instrText xml:space="preserve"> PAGEREF _Toc263100131 \h </w:instrText>
        </w:r>
        <w:r>
          <w:rPr>
            <w:noProof/>
            <w:webHidden/>
          </w:rPr>
          <w:fldChar w:fldCharType="separate"/>
        </w:r>
        <w:r>
          <w:rPr>
            <w:rFonts w:ascii="Georgia" w:hAnsi="Georgia" w:eastAsia="Microsoft YaHei"/>
            <w:color w:val="263238"/>
            <w:sz w:val="22"/>
            <w:noProof/>
            <w:webHidden/>
          </w:rPr>
          <w:t xml:space="preserve">102</w:t>
        </w:r>
        <w:r>
          <w:rPr>
            <w:noProof/>
            <w:webHidden/>
          </w:rPr>
          <w:fldChar w:fldCharType="end"/>
        </w:r>
      </w:hyperlink>
    </w:p>
    <w:p>
      <w:pPr>
        <w:pStyle w:val="TOC2"/>
      </w:pPr>
      <w:hyperlink w:anchor="_Toc263100132" w:history="1">
        <w:r>
          <w:rPr>
            <w:rFonts w:ascii="Georgia" w:hAnsi="Georgia" w:eastAsia="Microsoft YaHei"/>
            <w:color w:val="263238"/>
            <w:sz w:val="22"/>
            <w:noProof/>
          </w:rPr>
          <w:t xml:space="preserve">I.2 Registered Red Lines of the Islamic Republic of Iran</w:t>
        </w:r>
        <w:r>
          <w:rPr>
            <w:noProof/>
            <w:webHidden/>
          </w:rPr>
          <w:tab/>
        </w:r>
        <w:r>
          <w:rPr>
            <w:noProof/>
            <w:webHidden/>
          </w:rPr>
          <w:fldChar w:fldCharType="begin"/>
        </w:r>
        <w:r>
          <w:rPr>
            <w:noProof/>
            <w:webHidden/>
          </w:rPr>
          <w:instrText xml:space="preserve"> PAGEREF _Toc263100132 \h </w:instrText>
        </w:r>
        <w:r>
          <w:rPr>
            <w:noProof/>
            <w:webHidden/>
          </w:rPr>
          <w:fldChar w:fldCharType="separate"/>
        </w:r>
        <w:r>
          <w:rPr>
            <w:rFonts w:ascii="Georgia" w:hAnsi="Georgia" w:eastAsia="Microsoft YaHei"/>
            <w:color w:val="263238"/>
            <w:sz w:val="22"/>
            <w:noProof/>
            <w:webHidden/>
          </w:rPr>
          <w:t xml:space="preserve">102</w:t>
        </w:r>
        <w:r>
          <w:rPr>
            <w:noProof/>
            <w:webHidden/>
          </w:rPr>
          <w:fldChar w:fldCharType="end"/>
        </w:r>
      </w:hyperlink>
    </w:p>
    <w:p>
      <w:pPr>
        <w:pStyle w:val="TOC2"/>
      </w:pPr>
      <w:hyperlink w:anchor="_Toc263100133" w:history="1">
        <w:r>
          <w:rPr>
            <w:rFonts w:ascii="Georgia" w:hAnsi="Georgia" w:eastAsia="Microsoft YaHei"/>
            <w:color w:val="263238"/>
            <w:sz w:val="22"/>
            <w:noProof/>
          </w:rPr>
          <w:t xml:space="preserve">I.3 Registered Red Lines of the Sultanate of Oman</w:t>
        </w:r>
        <w:r>
          <w:rPr>
            <w:noProof/>
            <w:webHidden/>
          </w:rPr>
          <w:tab/>
        </w:r>
        <w:r>
          <w:rPr>
            <w:noProof/>
            <w:webHidden/>
          </w:rPr>
          <w:fldChar w:fldCharType="begin"/>
        </w:r>
        <w:r>
          <w:rPr>
            <w:noProof/>
            <w:webHidden/>
          </w:rPr>
          <w:instrText xml:space="preserve"> PAGEREF _Toc263100133 \h </w:instrText>
        </w:r>
        <w:r>
          <w:rPr>
            <w:noProof/>
            <w:webHidden/>
          </w:rPr>
          <w:fldChar w:fldCharType="separate"/>
        </w:r>
        <w:r>
          <w:rPr>
            <w:rFonts w:ascii="Georgia" w:hAnsi="Georgia" w:eastAsia="Microsoft YaHei"/>
            <w:color w:val="263238"/>
            <w:sz w:val="22"/>
            <w:noProof/>
            <w:webHidden/>
          </w:rPr>
          <w:t xml:space="preserve">102</w:t>
        </w:r>
        <w:r>
          <w:rPr>
            <w:noProof/>
            <w:webHidden/>
          </w:rPr>
          <w:fldChar w:fldCharType="end"/>
        </w:r>
      </w:hyperlink>
    </w:p>
    <w:p>
      <w:pPr>
        <w:pStyle w:val="TOC2"/>
      </w:pPr>
      <w:hyperlink w:anchor="_Toc263100134" w:history="1">
        <w:r>
          <w:rPr>
            <w:rFonts w:ascii="Georgia" w:hAnsi="Georgia" w:eastAsia="Microsoft YaHei"/>
            <w:color w:val="263238"/>
            <w:sz w:val="22"/>
            <w:noProof/>
          </w:rPr>
          <w:t xml:space="preserve">I.4 Registered Red Lines of the United States as Endorsing Stakeholder</w:t>
        </w:r>
        <w:r>
          <w:rPr>
            <w:noProof/>
            <w:webHidden/>
          </w:rPr>
          <w:tab/>
        </w:r>
        <w:r>
          <w:rPr>
            <w:noProof/>
            <w:webHidden/>
          </w:rPr>
          <w:fldChar w:fldCharType="begin"/>
        </w:r>
        <w:r>
          <w:rPr>
            <w:noProof/>
            <w:webHidden/>
          </w:rPr>
          <w:instrText xml:space="preserve"> PAGEREF _Toc263100134 \h </w:instrText>
        </w:r>
        <w:r>
          <w:rPr>
            <w:noProof/>
            <w:webHidden/>
          </w:rPr>
          <w:fldChar w:fldCharType="separate"/>
        </w:r>
        <w:r>
          <w:rPr>
            <w:rFonts w:ascii="Georgia" w:hAnsi="Georgia" w:eastAsia="Microsoft YaHei"/>
            <w:color w:val="263238"/>
            <w:sz w:val="22"/>
            <w:noProof/>
            <w:webHidden/>
          </w:rPr>
          <w:t xml:space="preserve">103</w:t>
        </w:r>
        <w:r>
          <w:rPr>
            <w:noProof/>
            <w:webHidden/>
          </w:rPr>
          <w:fldChar w:fldCharType="end"/>
        </w:r>
      </w:hyperlink>
    </w:p>
    <w:p>
      <w:pPr>
        <w:pStyle w:val="TOC2"/>
      </w:pPr>
      <w:hyperlink w:anchor="_Toc263100135" w:history="1">
        <w:r>
          <w:rPr>
            <w:rFonts w:ascii="Georgia" w:hAnsi="Georgia" w:eastAsia="Microsoft YaHei"/>
            <w:color w:val="263238"/>
            <w:sz w:val="22"/>
            <w:noProof/>
          </w:rPr>
          <w:t xml:space="preserve">I.5 Registered Red Lines of the GCC Observer College</w:t>
        </w:r>
        <w:r>
          <w:rPr>
            <w:noProof/>
            <w:webHidden/>
          </w:rPr>
          <w:tab/>
        </w:r>
        <w:r>
          <w:rPr>
            <w:noProof/>
            <w:webHidden/>
          </w:rPr>
          <w:fldChar w:fldCharType="begin"/>
        </w:r>
        <w:r>
          <w:rPr>
            <w:noProof/>
            <w:webHidden/>
          </w:rPr>
          <w:instrText xml:space="preserve"> PAGEREF _Toc263100135 \h </w:instrText>
        </w:r>
        <w:r>
          <w:rPr>
            <w:noProof/>
            <w:webHidden/>
          </w:rPr>
          <w:fldChar w:fldCharType="separate"/>
        </w:r>
        <w:r>
          <w:rPr>
            <w:rFonts w:ascii="Georgia" w:hAnsi="Georgia" w:eastAsia="Microsoft YaHei"/>
            <w:color w:val="263238"/>
            <w:sz w:val="22"/>
            <w:noProof/>
            <w:webHidden/>
          </w:rPr>
          <w:t xml:space="preserve">103</w:t>
        </w:r>
        <w:r>
          <w:rPr>
            <w:noProof/>
            <w:webHidden/>
          </w:rPr>
          <w:fldChar w:fldCharType="end"/>
        </w:r>
      </w:hyperlink>
    </w:p>
    <w:p>
      <w:pPr>
        <w:pStyle w:val="TOC2"/>
      </w:pPr>
      <w:hyperlink w:anchor="_Toc263100136" w:history="1">
        <w:r>
          <w:rPr>
            <w:rFonts w:ascii="Georgia" w:hAnsi="Georgia" w:eastAsia="Microsoft YaHei"/>
            <w:color w:val="263238"/>
            <w:sz w:val="22"/>
            <w:noProof/>
          </w:rPr>
          <w:t xml:space="preserve">I.6 Registered Red Lines of the European Maritime Safety Observer</w:t>
        </w:r>
        <w:r>
          <w:rPr>
            <w:noProof/>
            <w:webHidden/>
          </w:rPr>
          <w:tab/>
        </w:r>
        <w:r>
          <w:rPr>
            <w:noProof/>
            <w:webHidden/>
          </w:rPr>
          <w:fldChar w:fldCharType="begin"/>
        </w:r>
        <w:r>
          <w:rPr>
            <w:noProof/>
            <w:webHidden/>
          </w:rPr>
          <w:instrText xml:space="preserve"> PAGEREF _Toc263100136 \h </w:instrText>
        </w:r>
        <w:r>
          <w:rPr>
            <w:noProof/>
            <w:webHidden/>
          </w:rPr>
          <w:fldChar w:fldCharType="separate"/>
        </w:r>
        <w:r>
          <w:rPr>
            <w:rFonts w:ascii="Georgia" w:hAnsi="Georgia" w:eastAsia="Microsoft YaHei"/>
            <w:color w:val="263238"/>
            <w:sz w:val="22"/>
            <w:noProof/>
            <w:webHidden/>
          </w:rPr>
          <w:t xml:space="preserve">103</w:t>
        </w:r>
        <w:r>
          <w:rPr>
            <w:noProof/>
            <w:webHidden/>
          </w:rPr>
          <w:fldChar w:fldCharType="end"/>
        </w:r>
      </w:hyperlink>
    </w:p>
    <w:p>
      <w:pPr>
        <w:pStyle w:val="TOC2"/>
      </w:pPr>
      <w:hyperlink w:anchor="_Toc263100137" w:history="1">
        <w:r>
          <w:rPr>
            <w:rFonts w:ascii="Georgia" w:hAnsi="Georgia" w:eastAsia="Microsoft YaHei"/>
            <w:color w:val="263238"/>
            <w:sz w:val="22"/>
            <w:noProof/>
          </w:rPr>
          <w:t xml:space="preserve">I.7 The universal entries</w:t>
        </w:r>
        <w:r>
          <w:rPr>
            <w:noProof/>
            <w:webHidden/>
          </w:rPr>
          <w:tab/>
        </w:r>
        <w:r>
          <w:rPr>
            <w:noProof/>
            <w:webHidden/>
          </w:rPr>
          <w:fldChar w:fldCharType="begin"/>
        </w:r>
        <w:r>
          <w:rPr>
            <w:noProof/>
            <w:webHidden/>
          </w:rPr>
          <w:instrText xml:space="preserve"> PAGEREF _Toc263100137 \h </w:instrText>
        </w:r>
        <w:r>
          <w:rPr>
            <w:noProof/>
            <w:webHidden/>
          </w:rPr>
          <w:fldChar w:fldCharType="separate"/>
        </w:r>
        <w:r>
          <w:rPr>
            <w:rFonts w:ascii="Georgia" w:hAnsi="Georgia" w:eastAsia="Microsoft YaHei"/>
            <w:color w:val="263238"/>
            <w:sz w:val="22"/>
            <w:noProof/>
            <w:webHidden/>
          </w:rPr>
          <w:t xml:space="preserve">104</w:t>
        </w:r>
        <w:r>
          <w:rPr>
            <w:noProof/>
            <w:webHidden/>
          </w:rPr>
          <w:fldChar w:fldCharType="end"/>
        </w:r>
      </w:hyperlink>
    </w:p>
    <w:p>
      <w:pPr>
        <w:pStyle w:val="TOC2"/>
      </w:pPr>
      <w:hyperlink w:anchor="_Toc263100138" w:history="1">
        <w:r>
          <w:rPr>
            <w:rFonts w:ascii="Georgia" w:hAnsi="Georgia" w:eastAsia="Microsoft YaHei"/>
            <w:color w:val="263238"/>
            <w:sz w:val="22"/>
            <w:noProof/>
          </w:rPr>
          <w:t xml:space="preserve">I.8 Register maintenance</w:t>
        </w:r>
        <w:r>
          <w:rPr>
            <w:noProof/>
            <w:webHidden/>
          </w:rPr>
          <w:tab/>
        </w:r>
        <w:r>
          <w:rPr>
            <w:noProof/>
            <w:webHidden/>
          </w:rPr>
          <w:fldChar w:fldCharType="begin"/>
        </w:r>
        <w:r>
          <w:rPr>
            <w:noProof/>
            <w:webHidden/>
          </w:rPr>
          <w:instrText xml:space="preserve"> PAGEREF _Toc263100138 \h </w:instrText>
        </w:r>
        <w:r>
          <w:rPr>
            <w:noProof/>
            <w:webHidden/>
          </w:rPr>
          <w:fldChar w:fldCharType="separate"/>
        </w:r>
        <w:r>
          <w:rPr>
            <w:rFonts w:ascii="Georgia" w:hAnsi="Georgia" w:eastAsia="Microsoft YaHei"/>
            <w:color w:val="263238"/>
            <w:sz w:val="22"/>
            <w:noProof/>
            <w:webHidden/>
          </w:rPr>
          <w:t xml:space="preserve">104</w:t>
        </w:r>
        <w:r>
          <w:rPr>
            <w:noProof/>
            <w:webHidden/>
          </w:rPr>
          <w:fldChar w:fldCharType="end"/>
        </w:r>
      </w:hyperlink>
    </w:p>
    <w:p>
      <w:pPr>
        <w:pStyle w:val="TOC1"/>
      </w:pPr>
      <w:hyperlink w:anchor="_Toc263100139" w:history="1">
        <w:r>
          <w:rPr>
            <w:rFonts w:ascii="Georgia" w:hAnsi="Georgia" w:eastAsia="Microsoft YaHei"/>
            <w:color w:val="263238"/>
            <w:sz w:val="22"/>
            <w:noProof/>
          </w:rPr>
          <w:t xml:space="preserve">Annex J: Implementation and Testing Protocol</w:t>
        </w:r>
        <w:r>
          <w:rPr>
            <w:noProof/>
            <w:webHidden/>
          </w:rPr>
          <w:tab/>
        </w:r>
        <w:r>
          <w:rPr>
            <w:noProof/>
            <w:webHidden/>
          </w:rPr>
          <w:fldChar w:fldCharType="begin"/>
        </w:r>
        <w:r>
          <w:rPr>
            <w:noProof/>
            <w:webHidden/>
          </w:rPr>
          <w:instrText xml:space="preserve"> PAGEREF _Toc263100139 \h </w:instrText>
        </w:r>
        <w:r>
          <w:rPr>
            <w:noProof/>
            <w:webHidden/>
          </w:rPr>
          <w:fldChar w:fldCharType="separate"/>
        </w:r>
        <w:r>
          <w:rPr>
            <w:rFonts w:ascii="Georgia" w:hAnsi="Georgia" w:eastAsia="Microsoft YaHei"/>
            <w:color w:val="263238"/>
            <w:sz w:val="22"/>
            <w:noProof/>
            <w:webHidden/>
          </w:rPr>
          <w:t xml:space="preserve">105</w:t>
        </w:r>
        <w:r>
          <w:rPr>
            <w:noProof/>
            <w:webHidden/>
          </w:rPr>
          <w:fldChar w:fldCharType="end"/>
        </w:r>
      </w:hyperlink>
    </w:p>
    <w:p>
      <w:pPr>
        <w:pStyle w:val="TOC2"/>
      </w:pPr>
      <w:hyperlink w:anchor="_Toc263100140" w:history="1">
        <w:r>
          <w:rPr>
            <w:rFonts w:ascii="Georgia" w:hAnsi="Georgia" w:eastAsia="Microsoft YaHei"/>
            <w:color w:val="263238"/>
            <w:sz w:val="22"/>
            <w:noProof/>
          </w:rPr>
          <w:t xml:space="preserve">J.1 Purpose</w:t>
        </w:r>
        <w:r>
          <w:rPr>
            <w:noProof/>
            <w:webHidden/>
          </w:rPr>
          <w:tab/>
        </w:r>
        <w:r>
          <w:rPr>
            <w:noProof/>
            <w:webHidden/>
          </w:rPr>
          <w:fldChar w:fldCharType="begin"/>
        </w:r>
        <w:r>
          <w:rPr>
            <w:noProof/>
            <w:webHidden/>
          </w:rPr>
          <w:instrText xml:space="preserve"> PAGEREF _Toc263100140 \h </w:instrText>
        </w:r>
        <w:r>
          <w:rPr>
            <w:noProof/>
            <w:webHidden/>
          </w:rPr>
          <w:fldChar w:fldCharType="separate"/>
        </w:r>
        <w:r>
          <w:rPr>
            <w:rFonts w:ascii="Georgia" w:hAnsi="Georgia" w:eastAsia="Microsoft YaHei"/>
            <w:color w:val="263238"/>
            <w:sz w:val="22"/>
            <w:noProof/>
            <w:webHidden/>
          </w:rPr>
          <w:t xml:space="preserve">105</w:t>
        </w:r>
        <w:r>
          <w:rPr>
            <w:noProof/>
            <w:webHidden/>
          </w:rPr>
          <w:fldChar w:fldCharType="end"/>
        </w:r>
      </w:hyperlink>
    </w:p>
    <w:p>
      <w:pPr>
        <w:pStyle w:val="TOC2"/>
      </w:pPr>
      <w:hyperlink w:anchor="_Toc263100141" w:history="1">
        <w:r>
          <w:rPr>
            <w:rFonts w:ascii="Georgia" w:hAnsi="Georgia" w:eastAsia="Microsoft YaHei"/>
            <w:color w:val="263238"/>
            <w:sz w:val="22"/>
            <w:noProof/>
          </w:rPr>
          <w:t xml:space="preserve">J.2 The drill program</w:t>
        </w:r>
        <w:r>
          <w:rPr>
            <w:noProof/>
            <w:webHidden/>
          </w:rPr>
          <w:tab/>
        </w:r>
        <w:r>
          <w:rPr>
            <w:noProof/>
            <w:webHidden/>
          </w:rPr>
          <w:fldChar w:fldCharType="begin"/>
        </w:r>
        <w:r>
          <w:rPr>
            <w:noProof/>
            <w:webHidden/>
          </w:rPr>
          <w:instrText xml:space="preserve"> PAGEREF _Toc263100141 \h </w:instrText>
        </w:r>
        <w:r>
          <w:rPr>
            <w:noProof/>
            <w:webHidden/>
          </w:rPr>
          <w:fldChar w:fldCharType="separate"/>
        </w:r>
        <w:r>
          <w:rPr>
            <w:rFonts w:ascii="Georgia" w:hAnsi="Georgia" w:eastAsia="Microsoft YaHei"/>
            <w:color w:val="263238"/>
            <w:sz w:val="22"/>
            <w:noProof/>
            <w:webHidden/>
          </w:rPr>
          <w:t xml:space="preserve">105</w:t>
        </w:r>
        <w:r>
          <w:rPr>
            <w:noProof/>
            <w:webHidden/>
          </w:rPr>
          <w:fldChar w:fldCharType="end"/>
        </w:r>
      </w:hyperlink>
    </w:p>
    <w:p>
      <w:pPr>
        <w:pStyle w:val="TOC2"/>
      </w:pPr>
      <w:hyperlink w:anchor="_Toc263100142" w:history="1">
        <w:r>
          <w:rPr>
            <w:rFonts w:ascii="Georgia" w:hAnsi="Georgia" w:eastAsia="Microsoft YaHei"/>
            <w:color w:val="263238"/>
            <w:sz w:val="22"/>
            <w:noProof/>
          </w:rPr>
          <w:t xml:space="preserve">J.3 Corridor certification checklists</w:t>
        </w:r>
        <w:r>
          <w:rPr>
            <w:noProof/>
            <w:webHidden/>
          </w:rPr>
          <w:tab/>
        </w:r>
        <w:r>
          <w:rPr>
            <w:noProof/>
            <w:webHidden/>
          </w:rPr>
          <w:fldChar w:fldCharType="begin"/>
        </w:r>
        <w:r>
          <w:rPr>
            <w:noProof/>
            <w:webHidden/>
          </w:rPr>
          <w:instrText xml:space="preserve"> PAGEREF _Toc263100142 \h </w:instrText>
        </w:r>
        <w:r>
          <w:rPr>
            <w:noProof/>
            <w:webHidden/>
          </w:rPr>
          <w:fldChar w:fldCharType="separate"/>
        </w:r>
        <w:r>
          <w:rPr>
            <w:rFonts w:ascii="Georgia" w:hAnsi="Georgia" w:eastAsia="Microsoft YaHei"/>
            <w:color w:val="263238"/>
            <w:sz w:val="22"/>
            <w:noProof/>
            <w:webHidden/>
          </w:rPr>
          <w:t xml:space="preserve">105</w:t>
        </w:r>
        <w:r>
          <w:rPr>
            <w:noProof/>
            <w:webHidden/>
          </w:rPr>
          <w:fldChar w:fldCharType="end"/>
        </w:r>
      </w:hyperlink>
    </w:p>
    <w:p>
      <w:pPr>
        <w:pStyle w:val="TOC2"/>
      </w:pPr>
      <w:hyperlink w:anchor="_Toc263100143" w:history="1">
        <w:r>
          <w:rPr>
            <w:rFonts w:ascii="Georgia" w:hAnsi="Georgia" w:eastAsia="Microsoft YaHei"/>
            <w:color w:val="263238"/>
            <w:sz w:val="22"/>
            <w:noProof/>
          </w:rPr>
          <w:t xml:space="preserve">J.4 Testing the payment architecture</w:t>
        </w:r>
        <w:r>
          <w:rPr>
            <w:noProof/>
            <w:webHidden/>
          </w:rPr>
          <w:tab/>
        </w:r>
        <w:r>
          <w:rPr>
            <w:noProof/>
            <w:webHidden/>
          </w:rPr>
          <w:fldChar w:fldCharType="begin"/>
        </w:r>
        <w:r>
          <w:rPr>
            <w:noProof/>
            <w:webHidden/>
          </w:rPr>
          <w:instrText xml:space="preserve"> PAGEREF _Toc263100143 \h </w:instrText>
        </w:r>
        <w:r>
          <w:rPr>
            <w:noProof/>
            <w:webHidden/>
          </w:rPr>
          <w:fldChar w:fldCharType="separate"/>
        </w:r>
        <w:r>
          <w:rPr>
            <w:rFonts w:ascii="Georgia" w:hAnsi="Georgia" w:eastAsia="Microsoft YaHei"/>
            <w:color w:val="263238"/>
            <w:sz w:val="22"/>
            <w:noProof/>
            <w:webHidden/>
          </w:rPr>
          <w:t xml:space="preserve">105</w:t>
        </w:r>
        <w:r>
          <w:rPr>
            <w:noProof/>
            <w:webHidden/>
          </w:rPr>
          <w:fldChar w:fldCharType="end"/>
        </w:r>
      </w:hyperlink>
    </w:p>
    <w:p>
      <w:pPr>
        <w:pStyle w:val="TOC2"/>
      </w:pPr>
      <w:hyperlink w:anchor="_Toc263100144" w:history="1">
        <w:r>
          <w:rPr>
            <w:rFonts w:ascii="Georgia" w:hAnsi="Georgia" w:eastAsia="Microsoft YaHei"/>
            <w:color w:val="263238"/>
            <w:sz w:val="22"/>
            <w:noProof/>
          </w:rPr>
          <w:t xml:space="preserve">J.5 Adversarial verification of claims</w:t>
        </w:r>
        <w:r>
          <w:rPr>
            <w:noProof/>
            <w:webHidden/>
          </w:rPr>
          <w:tab/>
        </w:r>
        <w:r>
          <w:rPr>
            <w:noProof/>
            <w:webHidden/>
          </w:rPr>
          <w:fldChar w:fldCharType="begin"/>
        </w:r>
        <w:r>
          <w:rPr>
            <w:noProof/>
            <w:webHidden/>
          </w:rPr>
          <w:instrText xml:space="preserve"> PAGEREF _Toc263100144 \h </w:instrText>
        </w:r>
        <w:r>
          <w:rPr>
            <w:noProof/>
            <w:webHidden/>
          </w:rPr>
          <w:fldChar w:fldCharType="separate"/>
        </w:r>
        <w:r>
          <w:rPr>
            <w:rFonts w:ascii="Georgia" w:hAnsi="Georgia" w:eastAsia="Microsoft YaHei"/>
            <w:color w:val="263238"/>
            <w:sz w:val="22"/>
            <w:noProof/>
            <w:webHidden/>
          </w:rPr>
          <w:t xml:space="preserve">105</w:t>
        </w:r>
        <w:r>
          <w:rPr>
            <w:noProof/>
            <w:webHidden/>
          </w:rPr>
          <w:fldChar w:fldCharType="end"/>
        </w:r>
      </w:hyperlink>
    </w:p>
    <w:p>
      <w:pPr>
        <w:pStyle w:val="TOC2"/>
      </w:pPr>
      <w:hyperlink w:anchor="_Toc263100145" w:history="1">
        <w:r>
          <w:rPr>
            <w:rFonts w:ascii="Georgia" w:hAnsi="Georgia" w:eastAsia="Microsoft YaHei"/>
            <w:color w:val="263238"/>
            <w:sz w:val="22"/>
            <w:noProof/>
          </w:rPr>
          <w:t xml:space="preserve">J.6 The pacing buffer</w:t>
        </w:r>
        <w:r>
          <w:rPr>
            <w:noProof/>
            <w:webHidden/>
          </w:rPr>
          <w:tab/>
        </w:r>
        <w:r>
          <w:rPr>
            <w:noProof/>
            <w:webHidden/>
          </w:rPr>
          <w:fldChar w:fldCharType="begin"/>
        </w:r>
        <w:r>
          <w:rPr>
            <w:noProof/>
            <w:webHidden/>
          </w:rPr>
          <w:instrText xml:space="preserve"> PAGEREF _Toc263100145 \h </w:instrText>
        </w:r>
        <w:r>
          <w:rPr>
            <w:noProof/>
            <w:webHidden/>
          </w:rPr>
          <w:fldChar w:fldCharType="separate"/>
        </w:r>
        <w:r>
          <w:rPr>
            <w:rFonts w:ascii="Georgia" w:hAnsi="Georgia" w:eastAsia="Microsoft YaHei"/>
            <w:color w:val="263238"/>
            <w:sz w:val="22"/>
            <w:noProof/>
            <w:webHidden/>
          </w:rPr>
          <w:t xml:space="preserve">106</w:t>
        </w:r>
        <w:r>
          <w:rPr>
            <w:noProof/>
            <w:webHidden/>
          </w:rPr>
          <w:fldChar w:fldCharType="end"/>
        </w:r>
      </w:hyperlink>
    </w:p>
    <w:p>
      <w:pPr>
        <w:pStyle w:val="TOC2"/>
      </w:pPr>
      <w:hyperlink w:anchor="_Toc263100146" w:history="1">
        <w:r>
          <w:rPr>
            <w:rFonts w:ascii="Georgia" w:hAnsi="Georgia" w:eastAsia="Microsoft YaHei"/>
            <w:color w:val="263238"/>
            <w:sz w:val="22"/>
            <w:noProof/>
          </w:rPr>
          <w:t xml:space="preserve">J.7 Expedited verification track</w:t>
        </w:r>
        <w:r>
          <w:rPr>
            <w:noProof/>
            <w:webHidden/>
          </w:rPr>
          <w:tab/>
        </w:r>
        <w:r>
          <w:rPr>
            <w:noProof/>
            <w:webHidden/>
          </w:rPr>
          <w:fldChar w:fldCharType="begin"/>
        </w:r>
        <w:r>
          <w:rPr>
            <w:noProof/>
            <w:webHidden/>
          </w:rPr>
          <w:instrText xml:space="preserve"> PAGEREF _Toc263100146 \h </w:instrText>
        </w:r>
        <w:r>
          <w:rPr>
            <w:noProof/>
            <w:webHidden/>
          </w:rPr>
          <w:fldChar w:fldCharType="separate"/>
        </w:r>
        <w:r>
          <w:rPr>
            <w:rFonts w:ascii="Georgia" w:hAnsi="Georgia" w:eastAsia="Microsoft YaHei"/>
            <w:color w:val="263238"/>
            <w:sz w:val="22"/>
            <w:noProof/>
            <w:webHidden/>
          </w:rPr>
          <w:t xml:space="preserve">106</w:t>
        </w:r>
        <w:r>
          <w:rPr>
            <w:noProof/>
            <w:webHidden/>
          </w:rPr>
          <w:fldChar w:fldCharType="end"/>
        </w:r>
      </w:hyperlink>
    </w:p>
    <w:p>
      <w:pPr>
        <w:pStyle w:val="TOC2"/>
      </w:pPr>
      <w:hyperlink w:anchor="_Toc263100147" w:history="1">
        <w:r>
          <w:rPr>
            <w:rFonts w:ascii="Georgia" w:hAnsi="Georgia" w:eastAsia="Microsoft YaHei"/>
            <w:color w:val="263238"/>
            <w:sz w:val="22"/>
            <w:noProof/>
          </w:rPr>
          <w:t xml:space="preserve">J.8 The implementation checklist</w:t>
        </w:r>
        <w:r>
          <w:rPr>
            <w:noProof/>
            <w:webHidden/>
          </w:rPr>
          <w:tab/>
        </w:r>
        <w:r>
          <w:rPr>
            <w:noProof/>
            <w:webHidden/>
          </w:rPr>
          <w:fldChar w:fldCharType="begin"/>
        </w:r>
        <w:r>
          <w:rPr>
            <w:noProof/>
            <w:webHidden/>
          </w:rPr>
          <w:instrText xml:space="preserve"> PAGEREF _Toc263100147 \h </w:instrText>
        </w:r>
        <w:r>
          <w:rPr>
            <w:noProof/>
            <w:webHidden/>
          </w:rPr>
          <w:fldChar w:fldCharType="separate"/>
        </w:r>
        <w:r>
          <w:rPr>
            <w:rFonts w:ascii="Georgia" w:hAnsi="Georgia" w:eastAsia="Microsoft YaHei"/>
            <w:color w:val="263238"/>
            <w:sz w:val="22"/>
            <w:noProof/>
            <w:webHidden/>
          </w:rPr>
          <w:t xml:space="preserve">106</w:t>
        </w:r>
        <w:r>
          <w:rPr>
            <w:noProof/>
            <w:webHidden/>
          </w:rPr>
          <w:fldChar w:fldCharType="end"/>
        </w:r>
      </w:hyperlink>
    </w:p>
    <w:p>
      <w:pPr>
        <w:pStyle w:val="TOC1"/>
      </w:pPr>
      <w:hyperlink w:anchor="_Toc263100148" w:history="1">
        <w:r>
          <w:rPr>
            <w:rFonts w:ascii="Georgia" w:hAnsi="Georgia" w:eastAsia="Microsoft YaHei"/>
            <w:color w:val="263238"/>
            <w:sz w:val="22"/>
            <w:noProof/>
          </w:rPr>
          <w:t xml:space="preserve">Annex K: Vessel Routing Instructions and the One-Page Cards</w:t>
        </w:r>
        <w:r>
          <w:rPr>
            <w:noProof/>
            <w:webHidden/>
          </w:rPr>
          <w:tab/>
        </w:r>
        <w:r>
          <w:rPr>
            <w:noProof/>
            <w:webHidden/>
          </w:rPr>
          <w:fldChar w:fldCharType="begin"/>
        </w:r>
        <w:r>
          <w:rPr>
            <w:noProof/>
            <w:webHidden/>
          </w:rPr>
          <w:instrText xml:space="preserve"> PAGEREF _Toc263100148 \h </w:instrText>
        </w:r>
        <w:r>
          <w:rPr>
            <w:noProof/>
            <w:webHidden/>
          </w:rPr>
          <w:fldChar w:fldCharType="separate"/>
        </w:r>
        <w:r>
          <w:rPr>
            <w:rFonts w:ascii="Georgia" w:hAnsi="Georgia" w:eastAsia="Microsoft YaHei"/>
            <w:color w:val="263238"/>
            <w:sz w:val="22"/>
            <w:noProof/>
            <w:webHidden/>
          </w:rPr>
          <w:t xml:space="preserve">107</w:t>
        </w:r>
        <w:r>
          <w:rPr>
            <w:noProof/>
            <w:webHidden/>
          </w:rPr>
          <w:fldChar w:fldCharType="end"/>
        </w:r>
      </w:hyperlink>
    </w:p>
    <w:p>
      <w:pPr>
        <w:pStyle w:val="TOC2"/>
      </w:pPr>
      <w:hyperlink w:anchor="_Toc263100149" w:history="1">
        <w:r>
          <w:rPr>
            <w:rFonts w:ascii="Georgia" w:hAnsi="Georgia" w:eastAsia="Microsoft YaHei"/>
            <w:color w:val="263238"/>
            <w:sz w:val="22"/>
            <w:noProof/>
          </w:rPr>
          <w:t xml:space="preserve">K.1 The standard transit card</w:t>
        </w:r>
        <w:r>
          <w:rPr>
            <w:noProof/>
            <w:webHidden/>
          </w:rPr>
          <w:tab/>
        </w:r>
        <w:r>
          <w:rPr>
            <w:noProof/>
            <w:webHidden/>
          </w:rPr>
          <w:fldChar w:fldCharType="begin"/>
        </w:r>
        <w:r>
          <w:rPr>
            <w:noProof/>
            <w:webHidden/>
          </w:rPr>
          <w:instrText xml:space="preserve"> PAGEREF _Toc263100149 \h </w:instrText>
        </w:r>
        <w:r>
          <w:rPr>
            <w:noProof/>
            <w:webHidden/>
          </w:rPr>
          <w:fldChar w:fldCharType="separate"/>
        </w:r>
        <w:r>
          <w:rPr>
            <w:rFonts w:ascii="Georgia" w:hAnsi="Georgia" w:eastAsia="Microsoft YaHei"/>
            <w:color w:val="263238"/>
            <w:sz w:val="22"/>
            <w:noProof/>
            <w:webHidden/>
          </w:rPr>
          <w:t xml:space="preserve">107</w:t>
        </w:r>
        <w:r>
          <w:rPr>
            <w:noProof/>
            <w:webHidden/>
          </w:rPr>
          <w:fldChar w:fldCharType="end"/>
        </w:r>
      </w:hyperlink>
    </w:p>
    <w:p>
      <w:pPr>
        <w:pStyle w:val="TOC2"/>
      </w:pPr>
      <w:hyperlink w:anchor="_Toc263100150" w:history="1">
        <w:r>
          <w:rPr>
            <w:rFonts w:ascii="Georgia" w:hAnsi="Georgia" w:eastAsia="Microsoft YaHei"/>
            <w:color w:val="263238"/>
            <w:sz w:val="22"/>
            <w:noProof/>
          </w:rPr>
          <w:t xml:space="preserve">K.2 Emergency diversion card</w:t>
        </w:r>
        <w:r>
          <w:rPr>
            <w:noProof/>
            <w:webHidden/>
          </w:rPr>
          <w:tab/>
        </w:r>
        <w:r>
          <w:rPr>
            <w:noProof/>
            <w:webHidden/>
          </w:rPr>
          <w:fldChar w:fldCharType="begin"/>
        </w:r>
        <w:r>
          <w:rPr>
            <w:noProof/>
            <w:webHidden/>
          </w:rPr>
          <w:instrText xml:space="preserve"> PAGEREF _Toc263100150 \h </w:instrText>
        </w:r>
        <w:r>
          <w:rPr>
            <w:noProof/>
            <w:webHidden/>
          </w:rPr>
          <w:fldChar w:fldCharType="separate"/>
        </w:r>
        <w:r>
          <w:rPr>
            <w:rFonts w:ascii="Georgia" w:hAnsi="Georgia" w:eastAsia="Microsoft YaHei"/>
            <w:color w:val="263238"/>
            <w:sz w:val="22"/>
            <w:noProof/>
            <w:webHidden/>
          </w:rPr>
          <w:t xml:space="preserve">107</w:t>
        </w:r>
        <w:r>
          <w:rPr>
            <w:noProof/>
            <w:webHidden/>
          </w:rPr>
          <w:fldChar w:fldCharType="end"/>
        </w:r>
      </w:hyperlink>
    </w:p>
    <w:p>
      <w:pPr>
        <w:pStyle w:val="TOC2"/>
      </w:pPr>
      <w:hyperlink w:anchor="_Toc263100151" w:history="1">
        <w:r>
          <w:rPr>
            <w:rFonts w:ascii="Georgia" w:hAnsi="Georgia" w:eastAsia="Microsoft YaHei"/>
            <w:color w:val="263238"/>
            <w:sz w:val="22"/>
            <w:noProof/>
          </w:rPr>
          <w:t xml:space="preserve">K.3 Class H card</w:t>
        </w:r>
        <w:r>
          <w:rPr>
            <w:noProof/>
            <w:webHidden/>
          </w:rPr>
          <w:tab/>
        </w:r>
        <w:r>
          <w:rPr>
            <w:noProof/>
            <w:webHidden/>
          </w:rPr>
          <w:fldChar w:fldCharType="begin"/>
        </w:r>
        <w:r>
          <w:rPr>
            <w:noProof/>
            <w:webHidden/>
          </w:rPr>
          <w:instrText xml:space="preserve"> PAGEREF _Toc263100151 \h </w:instrText>
        </w:r>
        <w:r>
          <w:rPr>
            <w:noProof/>
            <w:webHidden/>
          </w:rPr>
          <w:fldChar w:fldCharType="separate"/>
        </w:r>
        <w:r>
          <w:rPr>
            <w:rFonts w:ascii="Georgia" w:hAnsi="Georgia" w:eastAsia="Microsoft YaHei"/>
            <w:color w:val="263238"/>
            <w:sz w:val="22"/>
            <w:noProof/>
            <w:webHidden/>
          </w:rPr>
          <w:t xml:space="preserve">107</w:t>
        </w:r>
        <w:r>
          <w:rPr>
            <w:noProof/>
            <w:webHidden/>
          </w:rPr>
          <w:fldChar w:fldCharType="end"/>
        </w:r>
      </w:hyperlink>
    </w:p>
    <w:p>
      <w:pPr>
        <w:pStyle w:val="TOC2"/>
      </w:pPr>
      <w:hyperlink w:anchor="_Toc263100152" w:history="1">
        <w:r>
          <w:rPr>
            <w:rFonts w:ascii="Georgia" w:hAnsi="Georgia" w:eastAsia="Microsoft YaHei"/>
            <w:color w:val="263238"/>
            <w:sz w:val="22"/>
            <w:noProof/>
          </w:rPr>
          <w:t xml:space="preserve">K.4 Flow State rules</w:t>
        </w:r>
        <w:r>
          <w:rPr>
            <w:noProof/>
            <w:webHidden/>
          </w:rPr>
          <w:tab/>
        </w:r>
        <w:r>
          <w:rPr>
            <w:noProof/>
            <w:webHidden/>
          </w:rPr>
          <w:fldChar w:fldCharType="begin"/>
        </w:r>
        <w:r>
          <w:rPr>
            <w:noProof/>
            <w:webHidden/>
          </w:rPr>
          <w:instrText xml:space="preserve"> PAGEREF _Toc263100152 \h </w:instrText>
        </w:r>
        <w:r>
          <w:rPr>
            <w:noProof/>
            <w:webHidden/>
          </w:rPr>
          <w:fldChar w:fldCharType="separate"/>
        </w:r>
        <w:r>
          <w:rPr>
            <w:rFonts w:ascii="Georgia" w:hAnsi="Georgia" w:eastAsia="Microsoft YaHei"/>
            <w:color w:val="263238"/>
            <w:sz w:val="22"/>
            <w:noProof/>
            <w:webHidden/>
          </w:rPr>
          <w:t xml:space="preserve">107</w:t>
        </w:r>
        <w:r>
          <w:rPr>
            <w:noProof/>
            <w:webHidden/>
          </w:rPr>
          <w:fldChar w:fldCharType="end"/>
        </w:r>
      </w:hyperlink>
    </w:p>
    <w:p>
      <w:pPr>
        <w:pStyle w:val="TOC2"/>
      </w:pPr>
      <w:hyperlink w:anchor="_Toc263100153" w:history="1">
        <w:r>
          <w:rPr>
            <w:rFonts w:ascii="Georgia" w:hAnsi="Georgia" w:eastAsia="Microsoft YaHei"/>
            <w:color w:val="263238"/>
            <w:sz w:val="22"/>
            <w:noProof/>
          </w:rPr>
          <w:t xml:space="preserve">K.5 Speed bands and spacing</w:t>
        </w:r>
        <w:r>
          <w:rPr>
            <w:noProof/>
            <w:webHidden/>
          </w:rPr>
          <w:tab/>
        </w:r>
        <w:r>
          <w:rPr>
            <w:noProof/>
            <w:webHidden/>
          </w:rPr>
          <w:fldChar w:fldCharType="begin"/>
        </w:r>
        <w:r>
          <w:rPr>
            <w:noProof/>
            <w:webHidden/>
          </w:rPr>
          <w:instrText xml:space="preserve"> PAGEREF _Toc263100153 \h </w:instrText>
        </w:r>
        <w:r>
          <w:rPr>
            <w:noProof/>
            <w:webHidden/>
          </w:rPr>
          <w:fldChar w:fldCharType="separate"/>
        </w:r>
        <w:r>
          <w:rPr>
            <w:rFonts w:ascii="Georgia" w:hAnsi="Georgia" w:eastAsia="Microsoft YaHei"/>
            <w:color w:val="263238"/>
            <w:sz w:val="22"/>
            <w:noProof/>
            <w:webHidden/>
          </w:rPr>
          <w:t xml:space="preserve">107</w:t>
        </w:r>
        <w:r>
          <w:rPr>
            <w:noProof/>
            <w:webHidden/>
          </w:rPr>
          <w:fldChar w:fldCharType="end"/>
        </w:r>
      </w:hyperlink>
    </w:p>
    <w:p>
      <w:pPr>
        <w:pStyle w:val="TOC2"/>
      </w:pPr>
      <w:hyperlink w:anchor="_Toc263100154" w:history="1">
        <w:r>
          <w:rPr>
            <w:rFonts w:ascii="Georgia" w:hAnsi="Georgia" w:eastAsia="Microsoft YaHei"/>
            <w:color w:val="263238"/>
            <w:sz w:val="22"/>
            <w:noProof/>
          </w:rPr>
          <w:t xml:space="preserve">K.6 Communications directory</w:t>
        </w:r>
        <w:r>
          <w:rPr>
            <w:noProof/>
            <w:webHidden/>
          </w:rPr>
          <w:tab/>
        </w:r>
        <w:r>
          <w:rPr>
            <w:noProof/>
            <w:webHidden/>
          </w:rPr>
          <w:fldChar w:fldCharType="begin"/>
        </w:r>
        <w:r>
          <w:rPr>
            <w:noProof/>
            <w:webHidden/>
          </w:rPr>
          <w:instrText xml:space="preserve"> PAGEREF _Toc263100154 \h </w:instrText>
        </w:r>
        <w:r>
          <w:rPr>
            <w:noProof/>
            <w:webHidden/>
          </w:rPr>
          <w:fldChar w:fldCharType="separate"/>
        </w:r>
        <w:r>
          <w:rPr>
            <w:rFonts w:ascii="Georgia" w:hAnsi="Georgia" w:eastAsia="Microsoft YaHei"/>
            <w:color w:val="263238"/>
            <w:sz w:val="22"/>
            <w:noProof/>
            <w:webHidden/>
          </w:rPr>
          <w:t xml:space="preserve">108</w:t>
        </w:r>
        <w:r>
          <w:rPr>
            <w:noProof/>
            <w:webHidden/>
          </w:rPr>
          <w:fldChar w:fldCharType="end"/>
        </w:r>
      </w:hyperlink>
    </w:p>
    <w:p>
      <w:pPr>
        <w:pStyle w:val="TOC1"/>
      </w:pPr>
      <w:hyperlink w:anchor="_Toc263100155" w:history="1">
        <w:r>
          <w:rPr>
            <w:rFonts w:ascii="Georgia" w:hAnsi="Georgia" w:eastAsia="Microsoft YaHei"/>
            <w:color w:val="263238"/>
            <w:sz w:val="22"/>
            <w:noProof/>
          </w:rPr>
          <w:t xml:space="preserve">Annex L: Military Deconfliction Channel Procedures</w:t>
        </w:r>
        <w:r>
          <w:rPr>
            <w:noProof/>
            <w:webHidden/>
          </w:rPr>
          <w:tab/>
        </w:r>
        <w:r>
          <w:rPr>
            <w:noProof/>
            <w:webHidden/>
          </w:rPr>
          <w:fldChar w:fldCharType="begin"/>
        </w:r>
        <w:r>
          <w:rPr>
            <w:noProof/>
            <w:webHidden/>
          </w:rPr>
          <w:instrText xml:space="preserve"> PAGEREF _Toc263100155 \h </w:instrText>
        </w:r>
        <w:r>
          <w:rPr>
            <w:noProof/>
            <w:webHidden/>
          </w:rPr>
          <w:fldChar w:fldCharType="separate"/>
        </w:r>
        <w:r>
          <w:rPr>
            <w:rFonts w:ascii="Georgia" w:hAnsi="Georgia" w:eastAsia="Microsoft YaHei"/>
            <w:color w:val="263238"/>
            <w:sz w:val="22"/>
            <w:noProof/>
            <w:webHidden/>
          </w:rPr>
          <w:t xml:space="preserve">109</w:t>
        </w:r>
        <w:r>
          <w:rPr>
            <w:noProof/>
            <w:webHidden/>
          </w:rPr>
          <w:fldChar w:fldCharType="end"/>
        </w:r>
      </w:hyperlink>
    </w:p>
    <w:p>
      <w:pPr>
        <w:pStyle w:val="TOC2"/>
      </w:pPr>
      <w:hyperlink w:anchor="_Toc263100156" w:history="1">
        <w:r>
          <w:rPr>
            <w:rFonts w:ascii="Georgia" w:hAnsi="Georgia" w:eastAsia="Microsoft YaHei"/>
            <w:color w:val="263238"/>
            <w:sz w:val="22"/>
            <w:noProof/>
          </w:rPr>
          <w:t xml:space="preserve">L.1 Channel parties and access</w:t>
        </w:r>
        <w:r>
          <w:rPr>
            <w:noProof/>
            <w:webHidden/>
          </w:rPr>
          <w:tab/>
        </w:r>
        <w:r>
          <w:rPr>
            <w:noProof/>
            <w:webHidden/>
          </w:rPr>
          <w:fldChar w:fldCharType="begin"/>
        </w:r>
        <w:r>
          <w:rPr>
            <w:noProof/>
            <w:webHidden/>
          </w:rPr>
          <w:instrText xml:space="preserve"> PAGEREF _Toc263100156 \h </w:instrText>
        </w:r>
        <w:r>
          <w:rPr>
            <w:noProof/>
            <w:webHidden/>
          </w:rPr>
          <w:fldChar w:fldCharType="separate"/>
        </w:r>
        <w:r>
          <w:rPr>
            <w:rFonts w:ascii="Georgia" w:hAnsi="Georgia" w:eastAsia="Microsoft YaHei"/>
            <w:color w:val="263238"/>
            <w:sz w:val="22"/>
            <w:noProof/>
            <w:webHidden/>
          </w:rPr>
          <w:t xml:space="preserve">109</w:t>
        </w:r>
        <w:r>
          <w:rPr>
            <w:noProof/>
            <w:webHidden/>
          </w:rPr>
          <w:fldChar w:fldCharType="end"/>
        </w:r>
      </w:hyperlink>
    </w:p>
    <w:p>
      <w:pPr>
        <w:pStyle w:val="TOC2"/>
      </w:pPr>
      <w:hyperlink w:anchor="_Toc263100157" w:history="1">
        <w:r>
          <w:rPr>
            <w:rFonts w:ascii="Georgia" w:hAnsi="Georgia" w:eastAsia="Microsoft YaHei"/>
            <w:color w:val="263238"/>
            <w:sz w:val="22"/>
            <w:noProof/>
          </w:rPr>
          <w:t xml:space="preserve">L.2 Message discipline</w:t>
        </w:r>
        <w:r>
          <w:rPr>
            <w:noProof/>
            <w:webHidden/>
          </w:rPr>
          <w:tab/>
        </w:r>
        <w:r>
          <w:rPr>
            <w:noProof/>
            <w:webHidden/>
          </w:rPr>
          <w:fldChar w:fldCharType="begin"/>
        </w:r>
        <w:r>
          <w:rPr>
            <w:noProof/>
            <w:webHidden/>
          </w:rPr>
          <w:instrText xml:space="preserve"> PAGEREF _Toc263100157 \h </w:instrText>
        </w:r>
        <w:r>
          <w:rPr>
            <w:noProof/>
            <w:webHidden/>
          </w:rPr>
          <w:fldChar w:fldCharType="separate"/>
        </w:r>
        <w:r>
          <w:rPr>
            <w:rFonts w:ascii="Georgia" w:hAnsi="Georgia" w:eastAsia="Microsoft YaHei"/>
            <w:color w:val="263238"/>
            <w:sz w:val="22"/>
            <w:noProof/>
            <w:webHidden/>
          </w:rPr>
          <w:t xml:space="preserve">109</w:t>
        </w:r>
        <w:r>
          <w:rPr>
            <w:noProof/>
            <w:webHidden/>
          </w:rPr>
          <w:fldChar w:fldCharType="end"/>
        </w:r>
      </w:hyperlink>
    </w:p>
    <w:p>
      <w:pPr>
        <w:pStyle w:val="TOC2"/>
      </w:pPr>
      <w:hyperlink w:anchor="_Toc263100158" w:history="1">
        <w:r>
          <w:rPr>
            <w:rFonts w:ascii="Georgia" w:hAnsi="Georgia" w:eastAsia="Microsoft YaHei"/>
            <w:color w:val="263238"/>
            <w:sz w:val="22"/>
            <w:noProof/>
          </w:rPr>
          <w:t xml:space="preserve">L.3 The daily test</w:t>
        </w:r>
        <w:r>
          <w:rPr>
            <w:noProof/>
            <w:webHidden/>
          </w:rPr>
          <w:tab/>
        </w:r>
        <w:r>
          <w:rPr>
            <w:noProof/>
            <w:webHidden/>
          </w:rPr>
          <w:fldChar w:fldCharType="begin"/>
        </w:r>
        <w:r>
          <w:rPr>
            <w:noProof/>
            <w:webHidden/>
          </w:rPr>
          <w:instrText xml:space="preserve"> PAGEREF _Toc263100158 \h </w:instrText>
        </w:r>
        <w:r>
          <w:rPr>
            <w:noProof/>
            <w:webHidden/>
          </w:rPr>
          <w:fldChar w:fldCharType="separate"/>
        </w:r>
        <w:r>
          <w:rPr>
            <w:rFonts w:ascii="Georgia" w:hAnsi="Georgia" w:eastAsia="Microsoft YaHei"/>
            <w:color w:val="263238"/>
            <w:sz w:val="22"/>
            <w:noProof/>
            <w:webHidden/>
          </w:rPr>
          <w:t xml:space="preserve">109</w:t>
        </w:r>
        <w:r>
          <w:rPr>
            <w:noProof/>
            <w:webHidden/>
          </w:rPr>
          <w:fldChar w:fldCharType="end"/>
        </w:r>
      </w:hyperlink>
    </w:p>
    <w:p>
      <w:pPr>
        <w:pStyle w:val="TOC2"/>
      </w:pPr>
      <w:hyperlink w:anchor="_Toc263100159" w:history="1">
        <w:r>
          <w:rPr>
            <w:rFonts w:ascii="Georgia" w:hAnsi="Georgia" w:eastAsia="Microsoft YaHei"/>
            <w:color w:val="263238"/>
            <w:sz w:val="22"/>
            <w:noProof/>
          </w:rPr>
          <w:t xml:space="preserve">L.4 Standoff management</w:t>
        </w:r>
        <w:r>
          <w:rPr>
            <w:noProof/>
            <w:webHidden/>
          </w:rPr>
          <w:tab/>
        </w:r>
        <w:r>
          <w:rPr>
            <w:noProof/>
            <w:webHidden/>
          </w:rPr>
          <w:fldChar w:fldCharType="begin"/>
        </w:r>
        <w:r>
          <w:rPr>
            <w:noProof/>
            <w:webHidden/>
          </w:rPr>
          <w:instrText xml:space="preserve"> PAGEREF _Toc263100159 \h </w:instrText>
        </w:r>
        <w:r>
          <w:rPr>
            <w:noProof/>
            <w:webHidden/>
          </w:rPr>
          <w:fldChar w:fldCharType="separate"/>
        </w:r>
        <w:r>
          <w:rPr>
            <w:rFonts w:ascii="Georgia" w:hAnsi="Georgia" w:eastAsia="Microsoft YaHei"/>
            <w:color w:val="263238"/>
            <w:sz w:val="22"/>
            <w:noProof/>
            <w:webHidden/>
          </w:rPr>
          <w:t xml:space="preserve">109</w:t>
        </w:r>
        <w:r>
          <w:rPr>
            <w:noProof/>
            <w:webHidden/>
          </w:rPr>
          <w:fldChar w:fldCharType="end"/>
        </w:r>
      </w:hyperlink>
    </w:p>
    <w:p>
      <w:pPr>
        <w:pStyle w:val="TOC2"/>
      </w:pPr>
      <w:hyperlink w:anchor="_Toc263100160" w:history="1">
        <w:r>
          <w:rPr>
            <w:rFonts w:ascii="Georgia" w:hAnsi="Georgia" w:eastAsia="Microsoft YaHei"/>
            <w:color w:val="263238"/>
            <w:sz w:val="22"/>
            <w:noProof/>
          </w:rPr>
          <w:t xml:space="preserve">L.5 Incident flash procedure</w:t>
        </w:r>
        <w:r>
          <w:rPr>
            <w:noProof/>
            <w:webHidden/>
          </w:rPr>
          <w:tab/>
        </w:r>
        <w:r>
          <w:rPr>
            <w:noProof/>
            <w:webHidden/>
          </w:rPr>
          <w:fldChar w:fldCharType="begin"/>
        </w:r>
        <w:r>
          <w:rPr>
            <w:noProof/>
            <w:webHidden/>
          </w:rPr>
          <w:instrText xml:space="preserve"> PAGEREF _Toc263100160 \h </w:instrText>
        </w:r>
        <w:r>
          <w:rPr>
            <w:noProof/>
            <w:webHidden/>
          </w:rPr>
          <w:fldChar w:fldCharType="separate"/>
        </w:r>
        <w:r>
          <w:rPr>
            <w:rFonts w:ascii="Georgia" w:hAnsi="Georgia" w:eastAsia="Microsoft YaHei"/>
            <w:color w:val="263238"/>
            <w:sz w:val="22"/>
            <w:noProof/>
            <w:webHidden/>
          </w:rPr>
          <w:t xml:space="preserve">109</w:t>
        </w:r>
        <w:r>
          <w:rPr>
            <w:noProof/>
            <w:webHidden/>
          </w:rPr>
          <w:fldChar w:fldCharType="end"/>
        </w:r>
      </w:hyperlink>
    </w:p>
    <w:p>
      <w:pPr>
        <w:pStyle w:val="TOC2"/>
      </w:pPr>
      <w:hyperlink w:anchor="_Toc263100161" w:history="1">
        <w:r>
          <w:rPr>
            <w:rFonts w:ascii="Georgia" w:hAnsi="Georgia" w:eastAsia="Microsoft YaHei"/>
            <w:color w:val="263238"/>
            <w:sz w:val="22"/>
            <w:noProof/>
          </w:rPr>
          <w:t xml:space="preserve">L.6 Quiet Water Windows</w:t>
        </w:r>
        <w:r>
          <w:rPr>
            <w:noProof/>
            <w:webHidden/>
          </w:rPr>
          <w:tab/>
        </w:r>
        <w:r>
          <w:rPr>
            <w:noProof/>
            <w:webHidden/>
          </w:rPr>
          <w:fldChar w:fldCharType="begin"/>
        </w:r>
        <w:r>
          <w:rPr>
            <w:noProof/>
            <w:webHidden/>
          </w:rPr>
          <w:instrText xml:space="preserve"> PAGEREF _Toc263100161 \h </w:instrText>
        </w:r>
        <w:r>
          <w:rPr>
            <w:noProof/>
            <w:webHidden/>
          </w:rPr>
          <w:fldChar w:fldCharType="separate"/>
        </w:r>
        <w:r>
          <w:rPr>
            <w:rFonts w:ascii="Georgia" w:hAnsi="Georgia" w:eastAsia="Microsoft YaHei"/>
            <w:color w:val="263238"/>
            <w:sz w:val="22"/>
            <w:noProof/>
            <w:webHidden/>
          </w:rPr>
          <w:t xml:space="preserve">110</w:t>
        </w:r>
        <w:r>
          <w:rPr>
            <w:noProof/>
            <w:webHidden/>
          </w:rPr>
          <w:fldChar w:fldCharType="end"/>
        </w:r>
      </w:hyperlink>
    </w:p>
    <w:p>
      <w:pPr>
        <w:pStyle w:val="TOC2"/>
      </w:pPr>
      <w:hyperlink w:anchor="_Toc263100162" w:history="1">
        <w:r>
          <w:rPr>
            <w:rFonts w:ascii="Georgia" w:hAnsi="Georgia" w:eastAsia="Microsoft YaHei"/>
            <w:color w:val="263238"/>
            <w:sz w:val="22"/>
            <w:noProof/>
          </w:rPr>
          <w:t xml:space="preserve">L.7 Escalation ladder inside the channel</w:t>
        </w:r>
        <w:r>
          <w:rPr>
            <w:noProof/>
            <w:webHidden/>
          </w:rPr>
          <w:tab/>
        </w:r>
        <w:r>
          <w:rPr>
            <w:noProof/>
            <w:webHidden/>
          </w:rPr>
          <w:fldChar w:fldCharType="begin"/>
        </w:r>
        <w:r>
          <w:rPr>
            <w:noProof/>
            <w:webHidden/>
          </w:rPr>
          <w:instrText xml:space="preserve"> PAGEREF _Toc263100162 \h </w:instrText>
        </w:r>
        <w:r>
          <w:rPr>
            <w:noProof/>
            <w:webHidden/>
          </w:rPr>
          <w:fldChar w:fldCharType="separate"/>
        </w:r>
        <w:r>
          <w:rPr>
            <w:rFonts w:ascii="Georgia" w:hAnsi="Georgia" w:eastAsia="Microsoft YaHei"/>
            <w:color w:val="263238"/>
            <w:sz w:val="22"/>
            <w:noProof/>
            <w:webHidden/>
          </w:rPr>
          <w:t xml:space="preserve">110</w:t>
        </w:r>
        <w:r>
          <w:rPr>
            <w:noProof/>
            <w:webHidden/>
          </w:rPr>
          <w:fldChar w:fldCharType="end"/>
        </w:r>
      </w:hyperlink>
    </w:p>
    <w:p>
      <w:pPr>
        <w:pStyle w:val="TOC1"/>
      </w:pPr>
      <w:hyperlink w:anchor="_Toc263100163" w:history="1">
        <w:r>
          <w:rPr>
            <w:rFonts w:ascii="Georgia" w:hAnsi="Georgia" w:eastAsia="Microsoft YaHei"/>
            <w:color w:val="263238"/>
            <w:sz w:val="22"/>
            <w:noProof/>
          </w:rPr>
          <w:t xml:space="preserve">Annex M: Definitions and Interpretation Notes</w:t>
        </w:r>
        <w:r>
          <w:rPr>
            <w:noProof/>
            <w:webHidden/>
          </w:rPr>
          <w:tab/>
        </w:r>
        <w:r>
          <w:rPr>
            <w:noProof/>
            <w:webHidden/>
          </w:rPr>
          <w:fldChar w:fldCharType="begin"/>
        </w:r>
        <w:r>
          <w:rPr>
            <w:noProof/>
            <w:webHidden/>
          </w:rPr>
          <w:instrText xml:space="preserve"> PAGEREF _Toc263100163 \h </w:instrText>
        </w:r>
        <w:r>
          <w:rPr>
            <w:noProof/>
            <w:webHidden/>
          </w:rPr>
          <w:fldChar w:fldCharType="separate"/>
        </w:r>
        <w:r>
          <w:rPr>
            <w:rFonts w:ascii="Georgia" w:hAnsi="Georgia" w:eastAsia="Microsoft YaHei"/>
            <w:color w:val="263238"/>
            <w:sz w:val="22"/>
            <w:noProof/>
            <w:webHidden/>
          </w:rPr>
          <w:t xml:space="preserve">111</w:t>
        </w:r>
        <w:r>
          <w:rPr>
            <w:noProof/>
            <w:webHidden/>
          </w:rPr>
          <w:fldChar w:fldCharType="end"/>
        </w:r>
      </w:hyperlink>
    </w:p>
    <w:p>
      <w:pPr>
        <w:pStyle w:val="TOC2"/>
      </w:pPr>
      <w:hyperlink w:anchor="_Toc263100164" w:history="1">
        <w:r>
          <w:rPr>
            <w:rFonts w:ascii="Georgia" w:hAnsi="Georgia" w:eastAsia="Microsoft YaHei"/>
            <w:color w:val="263238"/>
            <w:sz w:val="22"/>
            <w:noProof/>
          </w:rPr>
          <w:t xml:space="preserve">M.1 The definitions register</w:t>
        </w:r>
        <w:r>
          <w:rPr>
            <w:noProof/>
            <w:webHidden/>
          </w:rPr>
          <w:tab/>
        </w:r>
        <w:r>
          <w:rPr>
            <w:noProof/>
            <w:webHidden/>
          </w:rPr>
          <w:fldChar w:fldCharType="begin"/>
        </w:r>
        <w:r>
          <w:rPr>
            <w:noProof/>
            <w:webHidden/>
          </w:rPr>
          <w:instrText xml:space="preserve"> PAGEREF _Toc263100164 \h </w:instrText>
        </w:r>
        <w:r>
          <w:rPr>
            <w:noProof/>
            <w:webHidden/>
          </w:rPr>
          <w:fldChar w:fldCharType="separate"/>
        </w:r>
        <w:r>
          <w:rPr>
            <w:rFonts w:ascii="Georgia" w:hAnsi="Georgia" w:eastAsia="Microsoft YaHei"/>
            <w:color w:val="263238"/>
            <w:sz w:val="22"/>
            <w:noProof/>
            <w:webHidden/>
          </w:rPr>
          <w:t xml:space="preserve">111</w:t>
        </w:r>
        <w:r>
          <w:rPr>
            <w:noProof/>
            <w:webHidden/>
          </w:rPr>
          <w:fldChar w:fldCharType="end"/>
        </w:r>
      </w:hyperlink>
    </w:p>
    <w:p>
      <w:pPr>
        <w:pStyle w:val="TOC2"/>
      </w:pPr>
      <w:hyperlink w:anchor="_Toc263100165" w:history="1">
        <w:r>
          <w:rPr>
            <w:rFonts w:ascii="Georgia" w:hAnsi="Georgia" w:eastAsia="Microsoft YaHei"/>
            <w:color w:val="263238"/>
            <w:sz w:val="22"/>
            <w:noProof/>
          </w:rPr>
          <w:t xml:space="preserve">M.2 Interpretation notes</w:t>
        </w:r>
        <w:r>
          <w:rPr>
            <w:noProof/>
            <w:webHidden/>
          </w:rPr>
          <w:tab/>
        </w:r>
        <w:r>
          <w:rPr>
            <w:noProof/>
            <w:webHidden/>
          </w:rPr>
          <w:fldChar w:fldCharType="begin"/>
        </w:r>
        <w:r>
          <w:rPr>
            <w:noProof/>
            <w:webHidden/>
          </w:rPr>
          <w:instrText xml:space="preserve"> PAGEREF _Toc263100165 \h </w:instrText>
        </w:r>
        <w:r>
          <w:rPr>
            <w:noProof/>
            <w:webHidden/>
          </w:rPr>
          <w:fldChar w:fldCharType="separate"/>
        </w:r>
        <w:r>
          <w:rPr>
            <w:rFonts w:ascii="Georgia" w:hAnsi="Georgia" w:eastAsia="Microsoft YaHei"/>
            <w:color w:val="263238"/>
            <w:sz w:val="22"/>
            <w:noProof/>
            <w:webHidden/>
          </w:rPr>
          <w:t xml:space="preserve">112</w:t>
        </w:r>
        <w:r>
          <w:rPr>
            <w:noProof/>
            <w:webHidden/>
          </w:rPr>
          <w:fldChar w:fldCharType="end"/>
        </w:r>
      </w:hyperlink>
    </w:p>
    <w:p>
      <w:pPr>
        <w:pStyle w:val="TOC2"/>
      </w:pPr>
      <w:hyperlink w:anchor="_Toc263100166" w:history="1">
        <w:r>
          <w:rPr>
            <w:rFonts w:ascii="Georgia" w:hAnsi="Georgia" w:eastAsia="Microsoft YaHei"/>
            <w:color w:val="263238"/>
            <w:sz w:val="22"/>
            <w:noProof/>
          </w:rPr>
          <w:t xml:space="preserve">M.3 The Technical Corrections Protocol</w:t>
        </w:r>
        <w:r>
          <w:rPr>
            <w:noProof/>
            <w:webHidden/>
          </w:rPr>
          <w:tab/>
        </w:r>
        <w:r>
          <w:rPr>
            <w:noProof/>
            <w:webHidden/>
          </w:rPr>
          <w:fldChar w:fldCharType="begin"/>
        </w:r>
        <w:r>
          <w:rPr>
            <w:noProof/>
            <w:webHidden/>
          </w:rPr>
          <w:instrText xml:space="preserve"> PAGEREF _Toc263100166 \h </w:instrText>
        </w:r>
        <w:r>
          <w:rPr>
            <w:noProof/>
            <w:webHidden/>
          </w:rPr>
          <w:fldChar w:fldCharType="separate"/>
        </w:r>
        <w:r>
          <w:rPr>
            <w:rFonts w:ascii="Georgia" w:hAnsi="Georgia" w:eastAsia="Microsoft YaHei"/>
            <w:color w:val="263238"/>
            <w:sz w:val="22"/>
            <w:noProof/>
            <w:webHidden/>
          </w:rPr>
          <w:t xml:space="preserve">112</w:t>
        </w:r>
        <w:r>
          <w:rPr>
            <w:noProof/>
            <w:webHidden/>
          </w:rPr>
          <w:fldChar w:fldCharType="end"/>
        </w:r>
      </w:hyperlink>
    </w:p>
    <w:p>
      <w:pPr>
        <w:pStyle w:val="TOC2"/>
      </w:pPr>
      <w:hyperlink w:anchor="_Toc263100167" w:history="1">
        <w:r>
          <w:rPr>
            <w:rFonts w:ascii="Georgia" w:hAnsi="Georgia" w:eastAsia="Microsoft YaHei"/>
            <w:color w:val="263238"/>
            <w:sz w:val="22"/>
            <w:noProof/>
          </w:rPr>
          <w:t xml:space="preserve">M.4 Text divergence rule</w:t>
        </w:r>
        <w:r>
          <w:rPr>
            <w:noProof/>
            <w:webHidden/>
          </w:rPr>
          <w:tab/>
        </w:r>
        <w:r>
          <w:rPr>
            <w:noProof/>
            <w:webHidden/>
          </w:rPr>
          <w:fldChar w:fldCharType="begin"/>
        </w:r>
        <w:r>
          <w:rPr>
            <w:noProof/>
            <w:webHidden/>
          </w:rPr>
          <w:instrText xml:space="preserve"> PAGEREF _Toc263100167 \h </w:instrText>
        </w:r>
        <w:r>
          <w:rPr>
            <w:noProof/>
            <w:webHidden/>
          </w:rPr>
          <w:fldChar w:fldCharType="separate"/>
        </w:r>
        <w:r>
          <w:rPr>
            <w:rFonts w:ascii="Georgia" w:hAnsi="Georgia" w:eastAsia="Microsoft YaHei"/>
            <w:color w:val="263238"/>
            <w:sz w:val="22"/>
            <w:noProof/>
            <w:webHidden/>
          </w:rPr>
          <w:t xml:space="preserve">112</w:t>
        </w:r>
        <w:r>
          <w:rPr>
            <w:noProof/>
            <w:webHidden/>
          </w:rPr>
          <w:fldChar w:fldCharType="end"/>
        </w:r>
      </w:hyperlink>
    </w:p>
    <w:p>
      <w:pPr>
        <w:pStyle w:val="TOC1"/>
      </w:pPr>
      <w:hyperlink w:anchor="_Toc263100168" w:history="1">
        <w:r>
          <w:rPr>
            <w:rFonts w:ascii="Georgia" w:hAnsi="Georgia" w:eastAsia="Microsoft YaHei"/>
            <w:color w:val="263238"/>
            <w:sz w:val="22"/>
            <w:noProof/>
          </w:rPr>
          <w:t xml:space="preserve">Annex N: Accession, Endorsement, and Observer Instruments</w:t>
        </w:r>
        <w:r>
          <w:rPr>
            <w:noProof/>
            <w:webHidden/>
          </w:rPr>
          <w:tab/>
        </w:r>
        <w:r>
          <w:rPr>
            <w:noProof/>
            <w:webHidden/>
          </w:rPr>
          <w:fldChar w:fldCharType="begin"/>
        </w:r>
        <w:r>
          <w:rPr>
            <w:noProof/>
            <w:webHidden/>
          </w:rPr>
          <w:instrText xml:space="preserve"> PAGEREF _Toc263100168 \h </w:instrText>
        </w:r>
        <w:r>
          <w:rPr>
            <w:noProof/>
            <w:webHidden/>
          </w:rPr>
          <w:fldChar w:fldCharType="separate"/>
        </w:r>
        <w:r>
          <w:rPr>
            <w:rFonts w:ascii="Georgia" w:hAnsi="Georgia" w:eastAsia="Microsoft YaHei"/>
            <w:color w:val="263238"/>
            <w:sz w:val="22"/>
            <w:noProof/>
            <w:webHidden/>
          </w:rPr>
          <w:t xml:space="preserve">113</w:t>
        </w:r>
        <w:r>
          <w:rPr>
            <w:noProof/>
            <w:webHidden/>
          </w:rPr>
          <w:fldChar w:fldCharType="end"/>
        </w:r>
      </w:hyperlink>
    </w:p>
    <w:p>
      <w:pPr>
        <w:pStyle w:val="TOC2"/>
      </w:pPr>
      <w:hyperlink w:anchor="_Toc263100169" w:history="1">
        <w:r>
          <w:rPr>
            <w:rFonts w:ascii="Georgia" w:hAnsi="Georgia" w:eastAsia="Microsoft YaHei"/>
            <w:color w:val="263238"/>
            <w:sz w:val="22"/>
            <w:noProof/>
          </w:rPr>
          <w:t xml:space="preserve">N.1 The Accession Protocol for Regional Participants</w:t>
        </w:r>
        <w:r>
          <w:rPr>
            <w:noProof/>
            <w:webHidden/>
          </w:rPr>
          <w:tab/>
        </w:r>
        <w:r>
          <w:rPr>
            <w:noProof/>
            <w:webHidden/>
          </w:rPr>
          <w:fldChar w:fldCharType="begin"/>
        </w:r>
        <w:r>
          <w:rPr>
            <w:noProof/>
            <w:webHidden/>
          </w:rPr>
          <w:instrText xml:space="preserve"> PAGEREF _Toc263100169 \h </w:instrText>
        </w:r>
        <w:r>
          <w:rPr>
            <w:noProof/>
            <w:webHidden/>
          </w:rPr>
          <w:fldChar w:fldCharType="separate"/>
        </w:r>
        <w:r>
          <w:rPr>
            <w:rFonts w:ascii="Georgia" w:hAnsi="Georgia" w:eastAsia="Microsoft YaHei"/>
            <w:color w:val="263238"/>
            <w:sz w:val="22"/>
            <w:noProof/>
            <w:webHidden/>
          </w:rPr>
          <w:t xml:space="preserve">113</w:t>
        </w:r>
        <w:r>
          <w:rPr>
            <w:noProof/>
            <w:webHidden/>
          </w:rPr>
          <w:fldChar w:fldCharType="end"/>
        </w:r>
      </w:hyperlink>
    </w:p>
    <w:p>
      <w:pPr>
        <w:pStyle w:val="TOC2"/>
      </w:pPr>
      <w:hyperlink w:anchor="_Toc263100170" w:history="1">
        <w:r>
          <w:rPr>
            <w:rFonts w:ascii="Georgia" w:hAnsi="Georgia" w:eastAsia="Microsoft YaHei"/>
            <w:color w:val="263238"/>
            <w:sz w:val="22"/>
            <w:noProof/>
          </w:rPr>
          <w:t xml:space="preserve">N.2 The Endorsement Protocol</w:t>
        </w:r>
        <w:r>
          <w:rPr>
            <w:noProof/>
            <w:webHidden/>
          </w:rPr>
          <w:tab/>
        </w:r>
        <w:r>
          <w:rPr>
            <w:noProof/>
            <w:webHidden/>
          </w:rPr>
          <w:fldChar w:fldCharType="begin"/>
        </w:r>
        <w:r>
          <w:rPr>
            <w:noProof/>
            <w:webHidden/>
          </w:rPr>
          <w:instrText xml:space="preserve"> PAGEREF _Toc263100170 \h </w:instrText>
        </w:r>
        <w:r>
          <w:rPr>
            <w:noProof/>
            <w:webHidden/>
          </w:rPr>
          <w:fldChar w:fldCharType="separate"/>
        </w:r>
        <w:r>
          <w:rPr>
            <w:rFonts w:ascii="Georgia" w:hAnsi="Georgia" w:eastAsia="Microsoft YaHei"/>
            <w:color w:val="263238"/>
            <w:sz w:val="22"/>
            <w:noProof/>
            <w:webHidden/>
          </w:rPr>
          <w:t xml:space="preserve">113</w:t>
        </w:r>
        <w:r>
          <w:rPr>
            <w:noProof/>
            <w:webHidden/>
          </w:rPr>
          <w:fldChar w:fldCharType="end"/>
        </w:r>
      </w:hyperlink>
    </w:p>
    <w:p>
      <w:pPr>
        <w:pStyle w:val="TOC2"/>
      </w:pPr>
      <w:hyperlink w:anchor="_Toc263100171" w:history="1">
        <w:r>
          <w:rPr>
            <w:rFonts w:ascii="Georgia" w:hAnsi="Georgia" w:eastAsia="Microsoft YaHei"/>
            <w:color w:val="263238"/>
            <w:sz w:val="22"/>
            <w:noProof/>
          </w:rPr>
          <w:t xml:space="preserve">N.3 The Observer Protocol</w:t>
        </w:r>
        <w:r>
          <w:rPr>
            <w:noProof/>
            <w:webHidden/>
          </w:rPr>
          <w:tab/>
        </w:r>
        <w:r>
          <w:rPr>
            <w:noProof/>
            <w:webHidden/>
          </w:rPr>
          <w:fldChar w:fldCharType="begin"/>
        </w:r>
        <w:r>
          <w:rPr>
            <w:noProof/>
            <w:webHidden/>
          </w:rPr>
          <w:instrText xml:space="preserve"> PAGEREF _Toc263100171 \h </w:instrText>
        </w:r>
        <w:r>
          <w:rPr>
            <w:noProof/>
            <w:webHidden/>
          </w:rPr>
          <w:fldChar w:fldCharType="separate"/>
        </w:r>
        <w:r>
          <w:rPr>
            <w:rFonts w:ascii="Georgia" w:hAnsi="Georgia" w:eastAsia="Microsoft YaHei"/>
            <w:color w:val="263238"/>
            <w:sz w:val="22"/>
            <w:noProof/>
            <w:webHidden/>
          </w:rPr>
          <w:t xml:space="preserve">113</w:t>
        </w:r>
        <w:r>
          <w:rPr>
            <w:noProof/>
            <w:webHidden/>
          </w:rPr>
          <w:fldChar w:fldCharType="end"/>
        </w:r>
      </w:hyperlink>
    </w:p>
    <w:p>
      <w:pPr>
        <w:pStyle w:val="TOC2"/>
      </w:pPr>
      <w:hyperlink w:anchor="_Toc263100172" w:history="1">
        <w:r>
          <w:rPr>
            <w:rFonts w:ascii="Georgia" w:hAnsi="Georgia" w:eastAsia="Microsoft YaHei"/>
            <w:color w:val="263238"/>
            <w:sz w:val="22"/>
            <w:noProof/>
          </w:rPr>
          <w:t xml:space="preserve">N.4 Model instruments</w:t>
        </w:r>
        <w:r>
          <w:rPr>
            <w:noProof/>
            <w:webHidden/>
          </w:rPr>
          <w:tab/>
        </w:r>
        <w:r>
          <w:rPr>
            <w:noProof/>
            <w:webHidden/>
          </w:rPr>
          <w:fldChar w:fldCharType="begin"/>
        </w:r>
        <w:r>
          <w:rPr>
            <w:noProof/>
            <w:webHidden/>
          </w:rPr>
          <w:instrText xml:space="preserve"> PAGEREF _Toc263100172 \h </w:instrText>
        </w:r>
        <w:r>
          <w:rPr>
            <w:noProof/>
            <w:webHidden/>
          </w:rPr>
          <w:fldChar w:fldCharType="separate"/>
        </w:r>
        <w:r>
          <w:rPr>
            <w:rFonts w:ascii="Georgia" w:hAnsi="Georgia" w:eastAsia="Microsoft YaHei"/>
            <w:color w:val="263238"/>
            <w:sz w:val="22"/>
            <w:noProof/>
            <w:webHidden/>
          </w:rPr>
          <w:t xml:space="preserve">113</w:t>
        </w:r>
        <w:r>
          <w:rPr>
            <w:noProof/>
            <w:webHidden/>
          </w:rPr>
          <w:fldChar w:fldCharType="end"/>
        </w:r>
      </w:hyperlink>
    </w:p>
    <w:p>
      <w:pPr>
        <w:pStyle w:val="TOC2"/>
      </w:pPr>
      <w:hyperlink w:anchor="_Toc263100173" w:history="1">
        <w:r>
          <w:rPr>
            <w:rFonts w:ascii="Georgia" w:hAnsi="Georgia" w:eastAsia="Microsoft YaHei"/>
            <w:color w:val="263238"/>
            <w:sz w:val="22"/>
            <w:noProof/>
          </w:rPr>
          <w:t xml:space="preserve">N.5 The joining window rule</w:t>
        </w:r>
        <w:r>
          <w:rPr>
            <w:noProof/>
            <w:webHidden/>
          </w:rPr>
          <w:tab/>
        </w:r>
        <w:r>
          <w:rPr>
            <w:noProof/>
            <w:webHidden/>
          </w:rPr>
          <w:fldChar w:fldCharType="begin"/>
        </w:r>
        <w:r>
          <w:rPr>
            <w:noProof/>
            <w:webHidden/>
          </w:rPr>
          <w:instrText xml:space="preserve"> PAGEREF _Toc263100173 \h </w:instrText>
        </w:r>
        <w:r>
          <w:rPr>
            <w:noProof/>
            <w:webHidden/>
          </w:rPr>
          <w:fldChar w:fldCharType="separate"/>
        </w:r>
        <w:r>
          <w:rPr>
            <w:rFonts w:ascii="Georgia" w:hAnsi="Georgia" w:eastAsia="Microsoft YaHei"/>
            <w:color w:val="263238"/>
            <w:sz w:val="22"/>
            <w:noProof/>
            <w:webHidden/>
          </w:rPr>
          <w:t xml:space="preserve">113</w:t>
        </w:r>
        <w:r>
          <w:rPr>
            <w:noProof/>
            <w:webHidden/>
          </w:rPr>
          <w:fldChar w:fldCharType="end"/>
        </w:r>
      </w:hyperlink>
    </w:p>
    <w:p>
      <w:pPr>
        <w:pStyle w:val="TOC1"/>
      </w:pPr>
      <w:hyperlink w:anchor="_Toc263100174" w:history="1">
        <w:r>
          <w:rPr>
            <w:rFonts w:ascii="Georgia" w:hAnsi="Georgia" w:eastAsia="Microsoft YaHei"/>
            <w:color w:val="263238"/>
            <w:sz w:val="22"/>
            <w:noProof/>
          </w:rPr>
          <w:t xml:space="preserve">Annex O: Escrow Operations and Financial Controls Manual</w:t>
        </w:r>
        <w:r>
          <w:rPr>
            <w:noProof/>
            <w:webHidden/>
          </w:rPr>
          <w:tab/>
        </w:r>
        <w:r>
          <w:rPr>
            <w:noProof/>
            <w:webHidden/>
          </w:rPr>
          <w:fldChar w:fldCharType="begin"/>
        </w:r>
        <w:r>
          <w:rPr>
            <w:noProof/>
            <w:webHidden/>
          </w:rPr>
          <w:instrText xml:space="preserve"> PAGEREF _Toc263100174 \h </w:instrText>
        </w:r>
        <w:r>
          <w:rPr>
            <w:noProof/>
            <w:webHidden/>
          </w:rPr>
          <w:fldChar w:fldCharType="separate"/>
        </w:r>
        <w:r>
          <w:rPr>
            <w:rFonts w:ascii="Georgia" w:hAnsi="Georgia" w:eastAsia="Microsoft YaHei"/>
            <w:color w:val="263238"/>
            <w:sz w:val="22"/>
            <w:noProof/>
            <w:webHidden/>
          </w:rPr>
          <w:t xml:space="preserve">115</w:t>
        </w:r>
        <w:r>
          <w:rPr>
            <w:noProof/>
            <w:webHidden/>
          </w:rPr>
          <w:fldChar w:fldCharType="end"/>
        </w:r>
      </w:hyperlink>
    </w:p>
    <w:p>
      <w:pPr>
        <w:pStyle w:val="TOC2"/>
      </w:pPr>
      <w:hyperlink w:anchor="_Toc263100175" w:history="1">
        <w:r>
          <w:rPr>
            <w:rFonts w:ascii="Georgia" w:hAnsi="Georgia" w:eastAsia="Microsoft YaHei"/>
            <w:color w:val="263238"/>
            <w:sz w:val="22"/>
            <w:noProof/>
          </w:rPr>
          <w:t xml:space="preserve">O.1 Operating principles</w:t>
        </w:r>
        <w:r>
          <w:rPr>
            <w:noProof/>
            <w:webHidden/>
          </w:rPr>
          <w:tab/>
        </w:r>
        <w:r>
          <w:rPr>
            <w:noProof/>
            <w:webHidden/>
          </w:rPr>
          <w:fldChar w:fldCharType="begin"/>
        </w:r>
        <w:r>
          <w:rPr>
            <w:noProof/>
            <w:webHidden/>
          </w:rPr>
          <w:instrText xml:space="preserve"> PAGEREF _Toc263100175 \h </w:instrText>
        </w:r>
        <w:r>
          <w:rPr>
            <w:noProof/>
            <w:webHidden/>
          </w:rPr>
          <w:fldChar w:fldCharType="separate"/>
        </w:r>
        <w:r>
          <w:rPr>
            <w:rFonts w:ascii="Georgia" w:hAnsi="Georgia" w:eastAsia="Microsoft YaHei"/>
            <w:color w:val="263238"/>
            <w:sz w:val="22"/>
            <w:noProof/>
            <w:webHidden/>
          </w:rPr>
          <w:t xml:space="preserve">115</w:t>
        </w:r>
        <w:r>
          <w:rPr>
            <w:noProof/>
            <w:webHidden/>
          </w:rPr>
          <w:fldChar w:fldCharType="end"/>
        </w:r>
      </w:hyperlink>
    </w:p>
    <w:p>
      <w:pPr>
        <w:pStyle w:val="TOC2"/>
      </w:pPr>
      <w:hyperlink w:anchor="_Toc263100176" w:history="1">
        <w:r>
          <w:rPr>
            <w:rFonts w:ascii="Georgia" w:hAnsi="Georgia" w:eastAsia="Microsoft YaHei"/>
            <w:color w:val="263238"/>
            <w:sz w:val="22"/>
            <w:noProof/>
          </w:rPr>
          <w:t xml:space="preserve">O.2 Daily operating cycle</w:t>
        </w:r>
        <w:r>
          <w:rPr>
            <w:noProof/>
            <w:webHidden/>
          </w:rPr>
          <w:tab/>
        </w:r>
        <w:r>
          <w:rPr>
            <w:noProof/>
            <w:webHidden/>
          </w:rPr>
          <w:fldChar w:fldCharType="begin"/>
        </w:r>
        <w:r>
          <w:rPr>
            <w:noProof/>
            <w:webHidden/>
          </w:rPr>
          <w:instrText xml:space="preserve"> PAGEREF _Toc263100176 \h </w:instrText>
        </w:r>
        <w:r>
          <w:rPr>
            <w:noProof/>
            <w:webHidden/>
          </w:rPr>
          <w:fldChar w:fldCharType="separate"/>
        </w:r>
        <w:r>
          <w:rPr>
            <w:rFonts w:ascii="Georgia" w:hAnsi="Georgia" w:eastAsia="Microsoft YaHei"/>
            <w:color w:val="263238"/>
            <w:sz w:val="22"/>
            <w:noProof/>
            <w:webHidden/>
          </w:rPr>
          <w:t xml:space="preserve">115</w:t>
        </w:r>
        <w:r>
          <w:rPr>
            <w:noProof/>
            <w:webHidden/>
          </w:rPr>
          <w:fldChar w:fldCharType="end"/>
        </w:r>
      </w:hyperlink>
    </w:p>
    <w:p>
      <w:pPr>
        <w:pStyle w:val="TOC2"/>
      </w:pPr>
      <w:hyperlink w:anchor="_Toc263100177" w:history="1">
        <w:r>
          <w:rPr>
            <w:rFonts w:ascii="Georgia" w:hAnsi="Georgia" w:eastAsia="Microsoft YaHei"/>
            <w:color w:val="263238"/>
            <w:sz w:val="22"/>
            <w:noProof/>
          </w:rPr>
          <w:t xml:space="preserve">O.3 Disbursement controls</w:t>
        </w:r>
        <w:r>
          <w:rPr>
            <w:noProof/>
            <w:webHidden/>
          </w:rPr>
          <w:tab/>
        </w:r>
        <w:r>
          <w:rPr>
            <w:noProof/>
            <w:webHidden/>
          </w:rPr>
          <w:fldChar w:fldCharType="begin"/>
        </w:r>
        <w:r>
          <w:rPr>
            <w:noProof/>
            <w:webHidden/>
          </w:rPr>
          <w:instrText xml:space="preserve"> PAGEREF _Toc263100177 \h </w:instrText>
        </w:r>
        <w:r>
          <w:rPr>
            <w:noProof/>
            <w:webHidden/>
          </w:rPr>
          <w:fldChar w:fldCharType="separate"/>
        </w:r>
        <w:r>
          <w:rPr>
            <w:rFonts w:ascii="Georgia" w:hAnsi="Georgia" w:eastAsia="Microsoft YaHei"/>
            <w:color w:val="263238"/>
            <w:sz w:val="22"/>
            <w:noProof/>
            <w:webHidden/>
          </w:rPr>
          <w:t xml:space="preserve">115</w:t>
        </w:r>
        <w:r>
          <w:rPr>
            <w:noProof/>
            <w:webHidden/>
          </w:rPr>
          <w:fldChar w:fldCharType="end"/>
        </w:r>
      </w:hyperlink>
    </w:p>
    <w:p>
      <w:pPr>
        <w:pStyle w:val="TOC2"/>
      </w:pPr>
      <w:hyperlink w:anchor="_Toc263100178" w:history="1">
        <w:r>
          <w:rPr>
            <w:rFonts w:ascii="Georgia" w:hAnsi="Georgia" w:eastAsia="Microsoft YaHei"/>
            <w:color w:val="263238"/>
            <w:sz w:val="22"/>
            <w:noProof/>
          </w:rPr>
          <w:t xml:space="preserve">O.4 The settlement statement</w:t>
        </w:r>
        <w:r>
          <w:rPr>
            <w:noProof/>
            <w:webHidden/>
          </w:rPr>
          <w:tab/>
        </w:r>
        <w:r>
          <w:rPr>
            <w:noProof/>
            <w:webHidden/>
          </w:rPr>
          <w:fldChar w:fldCharType="begin"/>
        </w:r>
        <w:r>
          <w:rPr>
            <w:noProof/>
            <w:webHidden/>
          </w:rPr>
          <w:instrText xml:space="preserve"> PAGEREF _Toc263100178 \h </w:instrText>
        </w:r>
        <w:r>
          <w:rPr>
            <w:noProof/>
            <w:webHidden/>
          </w:rPr>
          <w:fldChar w:fldCharType="separate"/>
        </w:r>
        <w:r>
          <w:rPr>
            <w:rFonts w:ascii="Georgia" w:hAnsi="Georgia" w:eastAsia="Microsoft YaHei"/>
            <w:color w:val="263238"/>
            <w:sz w:val="22"/>
            <w:noProof/>
            <w:webHidden/>
          </w:rPr>
          <w:t xml:space="preserve">115</w:t>
        </w:r>
        <w:r>
          <w:rPr>
            <w:noProof/>
            <w:webHidden/>
          </w:rPr>
          <w:fldChar w:fldCharType="end"/>
        </w:r>
      </w:hyperlink>
    </w:p>
    <w:p>
      <w:pPr>
        <w:pStyle w:val="TOC2"/>
      </w:pPr>
      <w:hyperlink w:anchor="_Toc263100179" w:history="1">
        <w:r>
          <w:rPr>
            <w:rFonts w:ascii="Georgia" w:hAnsi="Georgia" w:eastAsia="Microsoft YaHei"/>
            <w:color w:val="263238"/>
            <w:sz w:val="22"/>
            <w:noProof/>
          </w:rPr>
          <w:t xml:space="preserve">O.5 Refund and correction protocol</w:t>
        </w:r>
        <w:r>
          <w:rPr>
            <w:noProof/>
            <w:webHidden/>
          </w:rPr>
          <w:tab/>
        </w:r>
        <w:r>
          <w:rPr>
            <w:noProof/>
            <w:webHidden/>
          </w:rPr>
          <w:fldChar w:fldCharType="begin"/>
        </w:r>
        <w:r>
          <w:rPr>
            <w:noProof/>
            <w:webHidden/>
          </w:rPr>
          <w:instrText xml:space="preserve"> PAGEREF _Toc263100179 \h </w:instrText>
        </w:r>
        <w:r>
          <w:rPr>
            <w:noProof/>
            <w:webHidden/>
          </w:rPr>
          <w:fldChar w:fldCharType="separate"/>
        </w:r>
        <w:r>
          <w:rPr>
            <w:rFonts w:ascii="Georgia" w:hAnsi="Georgia" w:eastAsia="Microsoft YaHei"/>
            <w:color w:val="263238"/>
            <w:sz w:val="22"/>
            <w:noProof/>
            <w:webHidden/>
          </w:rPr>
          <w:t xml:space="preserve">116</w:t>
        </w:r>
        <w:r>
          <w:rPr>
            <w:noProof/>
            <w:webHidden/>
          </w:rPr>
          <w:fldChar w:fldCharType="end"/>
        </w:r>
      </w:hyperlink>
    </w:p>
    <w:p>
      <w:pPr>
        <w:pStyle w:val="TOC2"/>
      </w:pPr>
      <w:hyperlink w:anchor="_Toc263100180" w:history="1">
        <w:r>
          <w:rPr>
            <w:rFonts w:ascii="Georgia" w:hAnsi="Georgia" w:eastAsia="Microsoft YaHei"/>
            <w:color w:val="263238"/>
            <w:sz w:val="22"/>
            <w:noProof/>
          </w:rPr>
          <w:t xml:space="preserve">O.6 The contingency protocol</w:t>
        </w:r>
        <w:r>
          <w:rPr>
            <w:noProof/>
            <w:webHidden/>
          </w:rPr>
          <w:tab/>
        </w:r>
        <w:r>
          <w:rPr>
            <w:noProof/>
            <w:webHidden/>
          </w:rPr>
          <w:fldChar w:fldCharType="begin"/>
        </w:r>
        <w:r>
          <w:rPr>
            <w:noProof/>
            <w:webHidden/>
          </w:rPr>
          <w:instrText xml:space="preserve"> PAGEREF _Toc263100180 \h </w:instrText>
        </w:r>
        <w:r>
          <w:rPr>
            <w:noProof/>
            <w:webHidden/>
          </w:rPr>
          <w:fldChar w:fldCharType="separate"/>
        </w:r>
        <w:r>
          <w:rPr>
            <w:rFonts w:ascii="Georgia" w:hAnsi="Georgia" w:eastAsia="Microsoft YaHei"/>
            <w:color w:val="263238"/>
            <w:sz w:val="22"/>
            <w:noProof/>
            <w:webHidden/>
          </w:rPr>
          <w:t xml:space="preserve">116</w:t>
        </w:r>
        <w:r>
          <w:rPr>
            <w:noProof/>
            <w:webHidden/>
          </w:rPr>
          <w:fldChar w:fldCharType="end"/>
        </w:r>
      </w:hyperlink>
    </w:p>
    <w:p>
      <w:pPr>
        <w:pStyle w:val="TOC2"/>
      </w:pPr>
      <w:hyperlink w:anchor="_Toc263100181" w:history="1">
        <w:r>
          <w:rPr>
            <w:rFonts w:ascii="Georgia" w:hAnsi="Georgia" w:eastAsia="Microsoft YaHei"/>
            <w:color w:val="263238"/>
            <w:sz w:val="22"/>
            <w:noProof/>
          </w:rPr>
          <w:t xml:space="preserve">O.7 Sanctions counsel review</w:t>
        </w:r>
        <w:r>
          <w:rPr>
            <w:noProof/>
            <w:webHidden/>
          </w:rPr>
          <w:tab/>
        </w:r>
        <w:r>
          <w:rPr>
            <w:noProof/>
            <w:webHidden/>
          </w:rPr>
          <w:fldChar w:fldCharType="begin"/>
        </w:r>
        <w:r>
          <w:rPr>
            <w:noProof/>
            <w:webHidden/>
          </w:rPr>
          <w:instrText xml:space="preserve"> PAGEREF _Toc263100181 \h </w:instrText>
        </w:r>
        <w:r>
          <w:rPr>
            <w:noProof/>
            <w:webHidden/>
          </w:rPr>
          <w:fldChar w:fldCharType="separate"/>
        </w:r>
        <w:r>
          <w:rPr>
            <w:rFonts w:ascii="Georgia" w:hAnsi="Georgia" w:eastAsia="Microsoft YaHei"/>
            <w:color w:val="263238"/>
            <w:sz w:val="22"/>
            <w:noProof/>
            <w:webHidden/>
          </w:rPr>
          <w:t xml:space="preserve">116</w:t>
        </w:r>
        <w:r>
          <w:rPr>
            <w:noProof/>
            <w:webHidden/>
          </w:rPr>
          <w:fldChar w:fldCharType="end"/>
        </w:r>
      </w:hyperlink>
    </w:p>
    <w:p>
      <w:pPr>
        <w:pStyle w:val="TOC2"/>
      </w:pPr>
      <w:hyperlink w:anchor="_Toc263100182" w:history="1">
        <w:r>
          <w:rPr>
            <w:rFonts w:ascii="Georgia" w:hAnsi="Georgia" w:eastAsia="Microsoft YaHei"/>
            <w:color w:val="263238"/>
            <w:sz w:val="22"/>
            <w:noProof/>
          </w:rPr>
          <w:t xml:space="preserve">O.8 Financial transparency publications</w:t>
        </w:r>
        <w:r>
          <w:rPr>
            <w:noProof/>
            <w:webHidden/>
          </w:rPr>
          <w:tab/>
        </w:r>
        <w:r>
          <w:rPr>
            <w:noProof/>
            <w:webHidden/>
          </w:rPr>
          <w:fldChar w:fldCharType="begin"/>
        </w:r>
        <w:r>
          <w:rPr>
            <w:noProof/>
            <w:webHidden/>
          </w:rPr>
          <w:instrText xml:space="preserve"> PAGEREF _Toc263100182 \h </w:instrText>
        </w:r>
        <w:r>
          <w:rPr>
            <w:noProof/>
            <w:webHidden/>
          </w:rPr>
          <w:fldChar w:fldCharType="separate"/>
        </w:r>
        <w:r>
          <w:rPr>
            <w:rFonts w:ascii="Georgia" w:hAnsi="Georgia" w:eastAsia="Microsoft YaHei"/>
            <w:color w:val="263238"/>
            <w:sz w:val="22"/>
            <w:noProof/>
            <w:webHidden/>
          </w:rPr>
          <w:t xml:space="preserve">116</w:t>
        </w:r>
        <w:r>
          <w:rPr>
            <w:noProof/>
            <w:webHidden/>
          </w:rPr>
          <w:fldChar w:fldCharType="end"/>
        </w:r>
      </w:hyperlink>
    </w:p>
    <w:p>
      <w:pPr>
        <w:pStyle w:val="TOC2"/>
      </w:pPr>
      <w:hyperlink w:anchor="_Toc263100183" w:history="1">
        <w:r>
          <w:rPr>
            <w:rFonts w:ascii="Georgia" w:hAnsi="Georgia" w:eastAsia="Microsoft YaHei"/>
            <w:color w:val="263238"/>
            <w:sz w:val="22"/>
            <w:noProof/>
          </w:rPr>
          <w:t xml:space="preserve">O.9 The Financial Transparency Dashboard</w:t>
        </w:r>
        <w:r>
          <w:rPr>
            <w:noProof/>
            <w:webHidden/>
          </w:rPr>
          <w:tab/>
        </w:r>
        <w:r>
          <w:rPr>
            <w:noProof/>
            <w:webHidden/>
          </w:rPr>
          <w:fldChar w:fldCharType="begin"/>
        </w:r>
        <w:r>
          <w:rPr>
            <w:noProof/>
            <w:webHidden/>
          </w:rPr>
          <w:instrText xml:space="preserve"> PAGEREF _Toc263100183 \h </w:instrText>
        </w:r>
        <w:r>
          <w:rPr>
            <w:noProof/>
            <w:webHidden/>
          </w:rPr>
          <w:fldChar w:fldCharType="separate"/>
        </w:r>
        <w:r>
          <w:rPr>
            <w:rFonts w:ascii="Georgia" w:hAnsi="Georgia" w:eastAsia="Microsoft YaHei"/>
            <w:color w:val="263238"/>
            <w:sz w:val="22"/>
            <w:noProof/>
            <w:webHidden/>
          </w:rPr>
          <w:t xml:space="preserve">116</w:t>
        </w:r>
        <w:r>
          <w:rPr>
            <w:noProof/>
            <w:webHidden/>
          </w:rPr>
          <w:fldChar w:fldCharType="end"/>
        </w:r>
      </w:hyperlink>
    </w:p>
    <w:p>
      <w:pPr>
        <w:pStyle w:val="TOC1"/>
      </w:pPr>
      <w:hyperlink w:anchor="_Toc263100184" w:history="1">
        <w:r>
          <w:rPr>
            <w:rFonts w:ascii="Georgia" w:hAnsi="Georgia" w:eastAsia="Microsoft YaHei"/>
            <w:color w:val="263238"/>
            <w:sz w:val="22"/>
            <w:noProof/>
          </w:rPr>
          <w:t xml:space="preserve">Annex P: The Pilot Phase Operating Calendar</w:t>
        </w:r>
        <w:r>
          <w:rPr>
            <w:noProof/>
            <w:webHidden/>
          </w:rPr>
          <w:tab/>
        </w:r>
        <w:r>
          <w:rPr>
            <w:noProof/>
            <w:webHidden/>
          </w:rPr>
          <w:fldChar w:fldCharType="begin"/>
        </w:r>
        <w:r>
          <w:rPr>
            <w:noProof/>
            <w:webHidden/>
          </w:rPr>
          <w:instrText xml:space="preserve"> PAGEREF _Toc263100184 \h </w:instrText>
        </w:r>
        <w:r>
          <w:rPr>
            <w:noProof/>
            <w:webHidden/>
          </w:rPr>
          <w:fldChar w:fldCharType="separate"/>
        </w:r>
        <w:r>
          <w:rPr>
            <w:rFonts w:ascii="Georgia" w:hAnsi="Georgia" w:eastAsia="Microsoft YaHei"/>
            <w:color w:val="263238"/>
            <w:sz w:val="22"/>
            <w:noProof/>
            <w:webHidden/>
          </w:rPr>
          <w:t xml:space="preserve">118</w:t>
        </w:r>
        <w:r>
          <w:rPr>
            <w:noProof/>
            <w:webHidden/>
          </w:rPr>
          <w:fldChar w:fldCharType="end"/>
        </w:r>
      </w:hyperlink>
    </w:p>
    <w:p>
      <w:pPr>
        <w:pStyle w:val="TOC2"/>
      </w:pPr>
      <w:hyperlink w:anchor="_Toc263100185" w:history="1">
        <w:r>
          <w:rPr>
            <w:rFonts w:ascii="Georgia" w:hAnsi="Georgia" w:eastAsia="Microsoft YaHei"/>
            <w:color w:val="263238"/>
            <w:sz w:val="22"/>
            <w:noProof/>
          </w:rPr>
          <w:t xml:space="preserve">P.1 Calendar architecture</w:t>
        </w:r>
        <w:r>
          <w:rPr>
            <w:noProof/>
            <w:webHidden/>
          </w:rPr>
          <w:tab/>
        </w:r>
        <w:r>
          <w:rPr>
            <w:noProof/>
            <w:webHidden/>
          </w:rPr>
          <w:fldChar w:fldCharType="begin"/>
        </w:r>
        <w:r>
          <w:rPr>
            <w:noProof/>
            <w:webHidden/>
          </w:rPr>
          <w:instrText xml:space="preserve"> PAGEREF _Toc263100185 \h </w:instrText>
        </w:r>
        <w:r>
          <w:rPr>
            <w:noProof/>
            <w:webHidden/>
          </w:rPr>
          <w:fldChar w:fldCharType="separate"/>
        </w:r>
        <w:r>
          <w:rPr>
            <w:rFonts w:ascii="Georgia" w:hAnsi="Georgia" w:eastAsia="Microsoft YaHei"/>
            <w:color w:val="263238"/>
            <w:sz w:val="22"/>
            <w:noProof/>
            <w:webHidden/>
          </w:rPr>
          <w:t xml:space="preserve">118</w:t>
        </w:r>
        <w:r>
          <w:rPr>
            <w:noProof/>
            <w:webHidden/>
          </w:rPr>
          <w:fldChar w:fldCharType="end"/>
        </w:r>
      </w:hyperlink>
    </w:p>
    <w:p>
      <w:pPr>
        <w:pStyle w:val="TOC2"/>
      </w:pPr>
      <w:hyperlink w:anchor="_Toc263100186" w:history="1">
        <w:r>
          <w:rPr>
            <w:rFonts w:ascii="Georgia" w:hAnsi="Georgia" w:eastAsia="Microsoft YaHei"/>
            <w:color w:val="263238"/>
            <w:sz w:val="22"/>
            <w:noProof/>
          </w:rPr>
          <w:t xml:space="preserve">P.2 Phase One calendar, days 0 to 10</w:t>
        </w:r>
        <w:r>
          <w:rPr>
            <w:noProof/>
            <w:webHidden/>
          </w:rPr>
          <w:tab/>
        </w:r>
        <w:r>
          <w:rPr>
            <w:noProof/>
            <w:webHidden/>
          </w:rPr>
          <w:fldChar w:fldCharType="begin"/>
        </w:r>
        <w:r>
          <w:rPr>
            <w:noProof/>
            <w:webHidden/>
          </w:rPr>
          <w:instrText xml:space="preserve"> PAGEREF _Toc263100186 \h </w:instrText>
        </w:r>
        <w:r>
          <w:rPr>
            <w:noProof/>
            <w:webHidden/>
          </w:rPr>
          <w:fldChar w:fldCharType="separate"/>
        </w:r>
        <w:r>
          <w:rPr>
            <w:rFonts w:ascii="Georgia" w:hAnsi="Georgia" w:eastAsia="Microsoft YaHei"/>
            <w:color w:val="263238"/>
            <w:sz w:val="22"/>
            <w:noProof/>
            <w:webHidden/>
          </w:rPr>
          <w:t xml:space="preserve">118</w:t>
        </w:r>
        <w:r>
          <w:rPr>
            <w:noProof/>
            <w:webHidden/>
          </w:rPr>
          <w:fldChar w:fldCharType="end"/>
        </w:r>
      </w:hyperlink>
    </w:p>
    <w:p>
      <w:pPr>
        <w:pStyle w:val="TOC2"/>
      </w:pPr>
      <w:hyperlink w:anchor="_Toc263100187" w:history="1">
        <w:r>
          <w:rPr>
            <w:rFonts w:ascii="Georgia" w:hAnsi="Georgia" w:eastAsia="Microsoft YaHei"/>
            <w:color w:val="263238"/>
            <w:sz w:val="22"/>
            <w:noProof/>
          </w:rPr>
          <w:t xml:space="preserve">P.3 Phase Two calendar, days 11 to 20</w:t>
        </w:r>
        <w:r>
          <w:rPr>
            <w:noProof/>
            <w:webHidden/>
          </w:rPr>
          <w:tab/>
        </w:r>
        <w:r>
          <w:rPr>
            <w:noProof/>
            <w:webHidden/>
          </w:rPr>
          <w:fldChar w:fldCharType="begin"/>
        </w:r>
        <w:r>
          <w:rPr>
            <w:noProof/>
            <w:webHidden/>
          </w:rPr>
          <w:instrText xml:space="preserve"> PAGEREF _Toc263100187 \h </w:instrText>
        </w:r>
        <w:r>
          <w:rPr>
            <w:noProof/>
            <w:webHidden/>
          </w:rPr>
          <w:fldChar w:fldCharType="separate"/>
        </w:r>
        <w:r>
          <w:rPr>
            <w:rFonts w:ascii="Georgia" w:hAnsi="Georgia" w:eastAsia="Microsoft YaHei"/>
            <w:color w:val="263238"/>
            <w:sz w:val="22"/>
            <w:noProof/>
            <w:webHidden/>
          </w:rPr>
          <w:t xml:space="preserve">119</w:t>
        </w:r>
        <w:r>
          <w:rPr>
            <w:noProof/>
            <w:webHidden/>
          </w:rPr>
          <w:fldChar w:fldCharType="end"/>
        </w:r>
      </w:hyperlink>
    </w:p>
    <w:p>
      <w:pPr>
        <w:pStyle w:val="TOC2"/>
      </w:pPr>
      <w:hyperlink w:anchor="_Toc263100188" w:history="1">
        <w:r>
          <w:rPr>
            <w:rFonts w:ascii="Georgia" w:hAnsi="Georgia" w:eastAsia="Microsoft YaHei"/>
            <w:color w:val="263238"/>
            <w:sz w:val="22"/>
            <w:noProof/>
          </w:rPr>
          <w:t xml:space="preserve">P.4 Phase Three calendar, days 21 to 40</w:t>
        </w:r>
        <w:r>
          <w:rPr>
            <w:noProof/>
            <w:webHidden/>
          </w:rPr>
          <w:tab/>
        </w:r>
        <w:r>
          <w:rPr>
            <w:noProof/>
            <w:webHidden/>
          </w:rPr>
          <w:fldChar w:fldCharType="begin"/>
        </w:r>
        <w:r>
          <w:rPr>
            <w:noProof/>
            <w:webHidden/>
          </w:rPr>
          <w:instrText xml:space="preserve"> PAGEREF _Toc263100188 \h </w:instrText>
        </w:r>
        <w:r>
          <w:rPr>
            <w:noProof/>
            <w:webHidden/>
          </w:rPr>
          <w:fldChar w:fldCharType="separate"/>
        </w:r>
        <w:r>
          <w:rPr>
            <w:rFonts w:ascii="Georgia" w:hAnsi="Georgia" w:eastAsia="Microsoft YaHei"/>
            <w:color w:val="263238"/>
            <w:sz w:val="22"/>
            <w:noProof/>
            <w:webHidden/>
          </w:rPr>
          <w:t xml:space="preserve">119</w:t>
        </w:r>
        <w:r>
          <w:rPr>
            <w:noProof/>
            <w:webHidden/>
          </w:rPr>
          <w:fldChar w:fldCharType="end"/>
        </w:r>
      </w:hyperlink>
    </w:p>
    <w:p>
      <w:pPr>
        <w:pStyle w:val="TOC2"/>
      </w:pPr>
      <w:hyperlink w:anchor="_Toc263100189" w:history="1">
        <w:r>
          <w:rPr>
            <w:rFonts w:ascii="Georgia" w:hAnsi="Georgia" w:eastAsia="Microsoft YaHei"/>
            <w:color w:val="263238"/>
            <w:sz w:val="22"/>
            <w:noProof/>
          </w:rPr>
          <w:t xml:space="preserve">P.5 Phases Four to Six calendar, days 41 to 120</w:t>
        </w:r>
        <w:r>
          <w:rPr>
            <w:noProof/>
            <w:webHidden/>
          </w:rPr>
          <w:tab/>
        </w:r>
        <w:r>
          <w:rPr>
            <w:noProof/>
            <w:webHidden/>
          </w:rPr>
          <w:fldChar w:fldCharType="begin"/>
        </w:r>
        <w:r>
          <w:rPr>
            <w:noProof/>
            <w:webHidden/>
          </w:rPr>
          <w:instrText xml:space="preserve"> PAGEREF _Toc263100189 \h </w:instrText>
        </w:r>
        <w:r>
          <w:rPr>
            <w:noProof/>
            <w:webHidden/>
          </w:rPr>
          <w:fldChar w:fldCharType="separate"/>
        </w:r>
        <w:r>
          <w:rPr>
            <w:rFonts w:ascii="Georgia" w:hAnsi="Georgia" w:eastAsia="Microsoft YaHei"/>
            <w:color w:val="263238"/>
            <w:sz w:val="22"/>
            <w:noProof/>
            <w:webHidden/>
          </w:rPr>
          <w:t xml:space="preserve">120</w:t>
        </w:r>
        <w:r>
          <w:rPr>
            <w:noProof/>
            <w:webHidden/>
          </w:rPr>
          <w:fldChar w:fldCharType="end"/>
        </w:r>
      </w:hyperlink>
    </w:p>
    <w:p>
      <w:pPr>
        <w:pStyle w:val="TOC2"/>
      </w:pPr>
      <w:hyperlink w:anchor="_Toc263100190" w:history="1">
        <w:r>
          <w:rPr>
            <w:rFonts w:ascii="Georgia" w:hAnsi="Georgia" w:eastAsia="Microsoft YaHei"/>
            <w:color w:val="263238"/>
            <w:sz w:val="22"/>
            <w:noProof/>
          </w:rPr>
          <w:t xml:space="preserve">P.6 Calendar governance</w:t>
        </w:r>
        <w:r>
          <w:rPr>
            <w:noProof/>
            <w:webHidden/>
          </w:rPr>
          <w:tab/>
        </w:r>
        <w:r>
          <w:rPr>
            <w:noProof/>
            <w:webHidden/>
          </w:rPr>
          <w:fldChar w:fldCharType="begin"/>
        </w:r>
        <w:r>
          <w:rPr>
            <w:noProof/>
            <w:webHidden/>
          </w:rPr>
          <w:instrText xml:space="preserve"> PAGEREF _Toc263100190 \h </w:instrText>
        </w:r>
        <w:r>
          <w:rPr>
            <w:noProof/>
            <w:webHidden/>
          </w:rPr>
          <w:fldChar w:fldCharType="separate"/>
        </w:r>
        <w:r>
          <w:rPr>
            <w:rFonts w:ascii="Georgia" w:hAnsi="Georgia" w:eastAsia="Microsoft YaHei"/>
            <w:color w:val="263238"/>
            <w:sz w:val="22"/>
            <w:noProof/>
            <w:webHidden/>
          </w:rPr>
          <w:t xml:space="preserve">120</w:t>
        </w:r>
        <w:r>
          <w:rPr>
            <w:noProof/>
            <w:webHidden/>
          </w:rPr>
          <w:fldChar w:fldCharType="end"/>
        </w:r>
      </w:hyperlink>
    </w:p>
    <w:p>
      <w:pPr>
        <w:pStyle w:val="TOC1"/>
      </w:pPr>
      <w:hyperlink w:anchor="_Toc263100191" w:history="1">
        <w:r>
          <w:rPr>
            <w:rFonts w:ascii="Georgia" w:hAnsi="Georgia" w:eastAsia="Microsoft YaHei"/>
            <w:color w:val="263238"/>
            <w:sz w:val="22"/>
            <w:noProof/>
          </w:rPr>
          <w:t xml:space="preserve">Annex Q: Incident Scenario Playbooks</w:t>
        </w:r>
        <w:r>
          <w:rPr>
            <w:noProof/>
            <w:webHidden/>
          </w:rPr>
          <w:tab/>
        </w:r>
        <w:r>
          <w:rPr>
            <w:noProof/>
            <w:webHidden/>
          </w:rPr>
          <w:fldChar w:fldCharType="begin"/>
        </w:r>
        <w:r>
          <w:rPr>
            <w:noProof/>
            <w:webHidden/>
          </w:rPr>
          <w:instrText xml:space="preserve"> PAGEREF _Toc263100191 \h </w:instrText>
        </w:r>
        <w:r>
          <w:rPr>
            <w:noProof/>
            <w:webHidden/>
          </w:rPr>
          <w:fldChar w:fldCharType="separate"/>
        </w:r>
        <w:r>
          <w:rPr>
            <w:rFonts w:ascii="Georgia" w:hAnsi="Georgia" w:eastAsia="Microsoft YaHei"/>
            <w:color w:val="263238"/>
            <w:sz w:val="22"/>
            <w:noProof/>
            <w:webHidden/>
          </w:rPr>
          <w:t xml:space="preserve">121</w:t>
        </w:r>
        <w:r>
          <w:rPr>
            <w:noProof/>
            <w:webHidden/>
          </w:rPr>
          <w:fldChar w:fldCharType="end"/>
        </w:r>
      </w:hyperlink>
    </w:p>
    <w:p>
      <w:pPr>
        <w:pStyle w:val="TOC2"/>
      </w:pPr>
      <w:hyperlink w:anchor="_Toc263100192" w:history="1">
        <w:r>
          <w:rPr>
            <w:rFonts w:ascii="Georgia" w:hAnsi="Georgia" w:eastAsia="Microsoft YaHei"/>
            <w:color w:val="263238"/>
            <w:sz w:val="22"/>
            <w:noProof/>
          </w:rPr>
          <w:t xml:space="preserve">Q.1 Purpose</w:t>
        </w:r>
        <w:r>
          <w:rPr>
            <w:noProof/>
            <w:webHidden/>
          </w:rPr>
          <w:tab/>
        </w:r>
        <w:r>
          <w:rPr>
            <w:noProof/>
            <w:webHidden/>
          </w:rPr>
          <w:fldChar w:fldCharType="begin"/>
        </w:r>
        <w:r>
          <w:rPr>
            <w:noProof/>
            <w:webHidden/>
          </w:rPr>
          <w:instrText xml:space="preserve"> PAGEREF _Toc263100192 \h </w:instrText>
        </w:r>
        <w:r>
          <w:rPr>
            <w:noProof/>
            <w:webHidden/>
          </w:rPr>
          <w:fldChar w:fldCharType="separate"/>
        </w:r>
        <w:r>
          <w:rPr>
            <w:rFonts w:ascii="Georgia" w:hAnsi="Georgia" w:eastAsia="Microsoft YaHei"/>
            <w:color w:val="263238"/>
            <w:sz w:val="22"/>
            <w:noProof/>
            <w:webHidden/>
          </w:rPr>
          <w:t xml:space="preserve">121</w:t>
        </w:r>
        <w:r>
          <w:rPr>
            <w:noProof/>
            <w:webHidden/>
          </w:rPr>
          <w:fldChar w:fldCharType="end"/>
        </w:r>
      </w:hyperlink>
    </w:p>
    <w:p>
      <w:pPr>
        <w:pStyle w:val="TOC2"/>
      </w:pPr>
      <w:hyperlink w:anchor="_Toc263100193" w:history="1">
        <w:r>
          <w:rPr>
            <w:rFonts w:ascii="Georgia" w:hAnsi="Georgia" w:eastAsia="Microsoft YaHei"/>
            <w:color w:val="263238"/>
            <w:sz w:val="22"/>
            <w:noProof/>
          </w:rPr>
          <w:t xml:space="preserve">Q.2 Scenario One: unauthorized stop of a conforming vessel</w:t>
        </w:r>
        <w:r>
          <w:rPr>
            <w:noProof/>
            <w:webHidden/>
          </w:rPr>
          <w:tab/>
        </w:r>
        <w:r>
          <w:rPr>
            <w:noProof/>
            <w:webHidden/>
          </w:rPr>
          <w:fldChar w:fldCharType="begin"/>
        </w:r>
        <w:r>
          <w:rPr>
            <w:noProof/>
            <w:webHidden/>
          </w:rPr>
          <w:instrText xml:space="preserve"> PAGEREF _Toc263100193 \h </w:instrText>
        </w:r>
        <w:r>
          <w:rPr>
            <w:noProof/>
            <w:webHidden/>
          </w:rPr>
          <w:fldChar w:fldCharType="separate"/>
        </w:r>
        <w:r>
          <w:rPr>
            <w:rFonts w:ascii="Georgia" w:hAnsi="Georgia" w:eastAsia="Microsoft YaHei"/>
            <w:color w:val="263238"/>
            <w:sz w:val="22"/>
            <w:noProof/>
            <w:webHidden/>
          </w:rPr>
          <w:t xml:space="preserve">121</w:t>
        </w:r>
        <w:r>
          <w:rPr>
            <w:noProof/>
            <w:webHidden/>
          </w:rPr>
          <w:fldChar w:fldCharType="end"/>
        </w:r>
      </w:hyperlink>
    </w:p>
    <w:p>
      <w:pPr>
        <w:pStyle w:val="TOC2"/>
      </w:pPr>
      <w:hyperlink w:anchor="_Toc263100194" w:history="1">
        <w:r>
          <w:rPr>
            <w:rFonts w:ascii="Georgia" w:hAnsi="Georgia" w:eastAsia="Microsoft YaHei"/>
            <w:color w:val="263238"/>
            <w:sz w:val="22"/>
            <w:noProof/>
          </w:rPr>
          <w:t xml:space="preserve">Q.3 Scenario Two: suspected mine contact in the outbound corridor</w:t>
        </w:r>
        <w:r>
          <w:rPr>
            <w:noProof/>
            <w:webHidden/>
          </w:rPr>
          <w:tab/>
        </w:r>
        <w:r>
          <w:rPr>
            <w:noProof/>
            <w:webHidden/>
          </w:rPr>
          <w:fldChar w:fldCharType="begin"/>
        </w:r>
        <w:r>
          <w:rPr>
            <w:noProof/>
            <w:webHidden/>
          </w:rPr>
          <w:instrText xml:space="preserve"> PAGEREF _Toc263100194 \h </w:instrText>
        </w:r>
        <w:r>
          <w:rPr>
            <w:noProof/>
            <w:webHidden/>
          </w:rPr>
          <w:fldChar w:fldCharType="separate"/>
        </w:r>
        <w:r>
          <w:rPr>
            <w:rFonts w:ascii="Georgia" w:hAnsi="Georgia" w:eastAsia="Microsoft YaHei"/>
            <w:color w:val="263238"/>
            <w:sz w:val="22"/>
            <w:noProof/>
            <w:webHidden/>
          </w:rPr>
          <w:t xml:space="preserve">121</w:t>
        </w:r>
        <w:r>
          <w:rPr>
            <w:noProof/>
            <w:webHidden/>
          </w:rPr>
          <w:fldChar w:fldCharType="end"/>
        </w:r>
      </w:hyperlink>
    </w:p>
    <w:p>
      <w:pPr>
        <w:pStyle w:val="TOC2"/>
      </w:pPr>
      <w:hyperlink w:anchor="_Toc263100195" w:history="1">
        <w:r>
          <w:rPr>
            <w:rFonts w:ascii="Georgia" w:hAnsi="Georgia" w:eastAsia="Microsoft YaHei"/>
            <w:color w:val="263238"/>
            <w:sz w:val="22"/>
            <w:noProof/>
          </w:rPr>
          <w:t xml:space="preserve">Q.4 Scenario Three: attack by an unknown actor on a tanker</w:t>
        </w:r>
        <w:r>
          <w:rPr>
            <w:noProof/>
            <w:webHidden/>
          </w:rPr>
          <w:tab/>
        </w:r>
        <w:r>
          <w:rPr>
            <w:noProof/>
            <w:webHidden/>
          </w:rPr>
          <w:fldChar w:fldCharType="begin"/>
        </w:r>
        <w:r>
          <w:rPr>
            <w:noProof/>
            <w:webHidden/>
          </w:rPr>
          <w:instrText xml:space="preserve"> PAGEREF _Toc263100195 \h </w:instrText>
        </w:r>
        <w:r>
          <w:rPr>
            <w:noProof/>
            <w:webHidden/>
          </w:rPr>
          <w:fldChar w:fldCharType="separate"/>
        </w:r>
        <w:r>
          <w:rPr>
            <w:rFonts w:ascii="Georgia" w:hAnsi="Georgia" w:eastAsia="Microsoft YaHei"/>
            <w:color w:val="263238"/>
            <w:sz w:val="22"/>
            <w:noProof/>
            <w:webHidden/>
          </w:rPr>
          <w:t xml:space="preserve">121</w:t>
        </w:r>
        <w:r>
          <w:rPr>
            <w:noProof/>
            <w:webHidden/>
          </w:rPr>
          <w:fldChar w:fldCharType="end"/>
        </w:r>
      </w:hyperlink>
    </w:p>
    <w:p>
      <w:pPr>
        <w:pStyle w:val="TOC2"/>
      </w:pPr>
      <w:hyperlink w:anchor="_Toc263100196" w:history="1">
        <w:r>
          <w:rPr>
            <w:rFonts w:ascii="Georgia" w:hAnsi="Georgia" w:eastAsia="Microsoft YaHei"/>
            <w:color w:val="263238"/>
            <w:sz w:val="22"/>
            <w:noProof/>
          </w:rPr>
          <w:t xml:space="preserve">Q.5 Scenario Four: telemetry blackout at one desk</w:t>
        </w:r>
        <w:r>
          <w:rPr>
            <w:noProof/>
            <w:webHidden/>
          </w:rPr>
          <w:tab/>
        </w:r>
        <w:r>
          <w:rPr>
            <w:noProof/>
            <w:webHidden/>
          </w:rPr>
          <w:fldChar w:fldCharType="begin"/>
        </w:r>
        <w:r>
          <w:rPr>
            <w:noProof/>
            <w:webHidden/>
          </w:rPr>
          <w:instrText xml:space="preserve"> PAGEREF _Toc263100196 \h </w:instrText>
        </w:r>
        <w:r>
          <w:rPr>
            <w:noProof/>
            <w:webHidden/>
          </w:rPr>
          <w:fldChar w:fldCharType="separate"/>
        </w:r>
        <w:r>
          <w:rPr>
            <w:rFonts w:ascii="Georgia" w:hAnsi="Georgia" w:eastAsia="Microsoft YaHei"/>
            <w:color w:val="263238"/>
            <w:sz w:val="22"/>
            <w:noProof/>
            <w:webHidden/>
          </w:rPr>
          <w:t xml:space="preserve">122</w:t>
        </w:r>
        <w:r>
          <w:rPr>
            <w:noProof/>
            <w:webHidden/>
          </w:rPr>
          <w:fldChar w:fldCharType="end"/>
        </w:r>
      </w:hyperlink>
    </w:p>
    <w:p>
      <w:pPr>
        <w:pStyle w:val="TOC2"/>
      </w:pPr>
      <w:hyperlink w:anchor="_Toc263100197" w:history="1">
        <w:r>
          <w:rPr>
            <w:rFonts w:ascii="Georgia" w:hAnsi="Georgia" w:eastAsia="Microsoft YaHei"/>
            <w:color w:val="263238"/>
            <w:sz w:val="22"/>
            <w:noProof/>
          </w:rPr>
          <w:t xml:space="preserve">Q.6 Scenario Five: payment channel stress</w:t>
        </w:r>
        <w:r>
          <w:rPr>
            <w:noProof/>
            <w:webHidden/>
          </w:rPr>
          <w:tab/>
        </w:r>
        <w:r>
          <w:rPr>
            <w:noProof/>
            <w:webHidden/>
          </w:rPr>
          <w:fldChar w:fldCharType="begin"/>
        </w:r>
        <w:r>
          <w:rPr>
            <w:noProof/>
            <w:webHidden/>
          </w:rPr>
          <w:instrText xml:space="preserve"> PAGEREF _Toc263100197 \h </w:instrText>
        </w:r>
        <w:r>
          <w:rPr>
            <w:noProof/>
            <w:webHidden/>
          </w:rPr>
          <w:fldChar w:fldCharType="separate"/>
        </w:r>
        <w:r>
          <w:rPr>
            <w:rFonts w:ascii="Georgia" w:hAnsi="Georgia" w:eastAsia="Microsoft YaHei"/>
            <w:color w:val="263238"/>
            <w:sz w:val="22"/>
            <w:noProof/>
            <w:webHidden/>
          </w:rPr>
          <w:t xml:space="preserve">122</w:t>
        </w:r>
        <w:r>
          <w:rPr>
            <w:noProof/>
            <w:webHidden/>
          </w:rPr>
          <w:fldChar w:fldCharType="end"/>
        </w:r>
      </w:hyperlink>
    </w:p>
    <w:p>
      <w:pPr>
        <w:pStyle w:val="TOC2"/>
      </w:pPr>
      <w:hyperlink w:anchor="_Toc263100198" w:history="1">
        <w:r>
          <w:rPr>
            <w:rFonts w:ascii="Georgia" w:hAnsi="Georgia" w:eastAsia="Microsoft YaHei"/>
            <w:color w:val="263238"/>
            <w:sz w:val="22"/>
            <w:noProof/>
          </w:rPr>
          <w:t xml:space="preserve">Q.7 Scenario Six: political crisis in a participant capital</w:t>
        </w:r>
        <w:r>
          <w:rPr>
            <w:noProof/>
            <w:webHidden/>
          </w:rPr>
          <w:tab/>
        </w:r>
        <w:r>
          <w:rPr>
            <w:noProof/>
            <w:webHidden/>
          </w:rPr>
          <w:fldChar w:fldCharType="begin"/>
        </w:r>
        <w:r>
          <w:rPr>
            <w:noProof/>
            <w:webHidden/>
          </w:rPr>
          <w:instrText xml:space="preserve"> PAGEREF _Toc263100198 \h </w:instrText>
        </w:r>
        <w:r>
          <w:rPr>
            <w:noProof/>
            <w:webHidden/>
          </w:rPr>
          <w:fldChar w:fldCharType="separate"/>
        </w:r>
        <w:r>
          <w:rPr>
            <w:rFonts w:ascii="Georgia" w:hAnsi="Georgia" w:eastAsia="Microsoft YaHei"/>
            <w:color w:val="263238"/>
            <w:sz w:val="22"/>
            <w:noProof/>
            <w:webHidden/>
          </w:rPr>
          <w:t xml:space="preserve">122</w:t>
        </w:r>
        <w:r>
          <w:rPr>
            <w:noProof/>
            <w:webHidden/>
          </w:rPr>
          <w:fldChar w:fldCharType="end"/>
        </w:r>
      </w:hyperlink>
    </w:p>
    <w:p>
      <w:pPr>
        <w:pStyle w:val="TOC2"/>
      </w:pPr>
      <w:hyperlink w:anchor="_Toc263100199" w:history="1">
        <w:r>
          <w:rPr>
            <w:rFonts w:ascii="Georgia" w:hAnsi="Georgia" w:eastAsia="Microsoft YaHei"/>
            <w:color w:val="263238"/>
            <w:sz w:val="22"/>
            <w:noProof/>
          </w:rPr>
          <w:t xml:space="preserve">Q.8 Playbook maintenance</w:t>
        </w:r>
        <w:r>
          <w:rPr>
            <w:noProof/>
            <w:webHidden/>
          </w:rPr>
          <w:tab/>
        </w:r>
        <w:r>
          <w:rPr>
            <w:noProof/>
            <w:webHidden/>
          </w:rPr>
          <w:fldChar w:fldCharType="begin"/>
        </w:r>
        <w:r>
          <w:rPr>
            <w:noProof/>
            <w:webHidden/>
          </w:rPr>
          <w:instrText xml:space="preserve"> PAGEREF _Toc263100199 \h </w:instrText>
        </w:r>
        <w:r>
          <w:rPr>
            <w:noProof/>
            <w:webHidden/>
          </w:rPr>
          <w:fldChar w:fldCharType="separate"/>
        </w:r>
        <w:r>
          <w:rPr>
            <w:rFonts w:ascii="Georgia" w:hAnsi="Georgia" w:eastAsia="Microsoft YaHei"/>
            <w:color w:val="263238"/>
            <w:sz w:val="22"/>
            <w:noProof/>
            <w:webHidden/>
          </w:rPr>
          <w:t xml:space="preserve">122</w:t>
        </w:r>
        <w:r>
          <w:rPr>
            <w:noProof/>
            <w:webHidden/>
          </w:rPr>
          <w:fldChar w:fldCharType="end"/>
        </w:r>
      </w:hyperlink>
    </w:p>
    <w:p>
      <w:pPr>
        <w:pStyle w:val="TOC1"/>
      </w:pPr>
      <w:hyperlink w:anchor="_Toc263100200" w:history="1">
        <w:r>
          <w:rPr>
            <w:rFonts w:ascii="Georgia" w:hAnsi="Georgia" w:eastAsia="Microsoft YaHei"/>
            <w:color w:val="263238"/>
            <w:sz w:val="22"/>
            <w:noProof/>
          </w:rPr>
          <w:t xml:space="preserve">Annex R: Steady-State Annual Operating Calendar</w:t>
        </w:r>
        <w:r>
          <w:rPr>
            <w:noProof/>
            <w:webHidden/>
          </w:rPr>
          <w:tab/>
        </w:r>
        <w:r>
          <w:rPr>
            <w:noProof/>
            <w:webHidden/>
          </w:rPr>
          <w:fldChar w:fldCharType="begin"/>
        </w:r>
        <w:r>
          <w:rPr>
            <w:noProof/>
            <w:webHidden/>
          </w:rPr>
          <w:instrText xml:space="preserve"> PAGEREF _Toc263100200 \h </w:instrText>
        </w:r>
        <w:r>
          <w:rPr>
            <w:noProof/>
            <w:webHidden/>
          </w:rPr>
          <w:fldChar w:fldCharType="separate"/>
        </w:r>
        <w:r>
          <w:rPr>
            <w:rFonts w:ascii="Georgia" w:hAnsi="Georgia" w:eastAsia="Microsoft YaHei"/>
            <w:color w:val="263238"/>
            <w:sz w:val="22"/>
            <w:noProof/>
            <w:webHidden/>
          </w:rPr>
          <w:t xml:space="preserve">124</w:t>
        </w:r>
        <w:r>
          <w:rPr>
            <w:noProof/>
            <w:webHidden/>
          </w:rPr>
          <w:fldChar w:fldCharType="end"/>
        </w:r>
      </w:hyperlink>
    </w:p>
    <w:p>
      <w:pPr>
        <w:pStyle w:val="TOC2"/>
      </w:pPr>
      <w:hyperlink w:anchor="_Toc263100201" w:history="1">
        <w:r>
          <w:rPr>
            <w:rFonts w:ascii="Georgia" w:hAnsi="Georgia" w:eastAsia="Microsoft YaHei"/>
            <w:color w:val="263238"/>
            <w:sz w:val="22"/>
            <w:noProof/>
          </w:rPr>
          <w:t xml:space="preserve">R.1 The annual rhythm</w:t>
        </w:r>
        <w:r>
          <w:rPr>
            <w:noProof/>
            <w:webHidden/>
          </w:rPr>
          <w:tab/>
        </w:r>
        <w:r>
          <w:rPr>
            <w:noProof/>
            <w:webHidden/>
          </w:rPr>
          <w:fldChar w:fldCharType="begin"/>
        </w:r>
        <w:r>
          <w:rPr>
            <w:noProof/>
            <w:webHidden/>
          </w:rPr>
          <w:instrText xml:space="preserve"> PAGEREF _Toc263100201 \h </w:instrText>
        </w:r>
        <w:r>
          <w:rPr>
            <w:noProof/>
            <w:webHidden/>
          </w:rPr>
          <w:fldChar w:fldCharType="separate"/>
        </w:r>
        <w:r>
          <w:rPr>
            <w:rFonts w:ascii="Georgia" w:hAnsi="Georgia" w:eastAsia="Microsoft YaHei"/>
            <w:color w:val="263238"/>
            <w:sz w:val="22"/>
            <w:noProof/>
            <w:webHidden/>
          </w:rPr>
          <w:t xml:space="preserve">124</w:t>
        </w:r>
        <w:r>
          <w:rPr>
            <w:noProof/>
            <w:webHidden/>
          </w:rPr>
          <w:fldChar w:fldCharType="end"/>
        </w:r>
      </w:hyperlink>
    </w:p>
    <w:p>
      <w:pPr>
        <w:pStyle w:val="TOC2"/>
      </w:pPr>
      <w:hyperlink w:anchor="_Toc263100202" w:history="1">
        <w:r>
          <w:rPr>
            <w:rFonts w:ascii="Georgia" w:hAnsi="Georgia" w:eastAsia="Microsoft YaHei"/>
            <w:color w:val="263238"/>
            <w:sz w:val="22"/>
            <w:noProof/>
          </w:rPr>
          <w:t xml:space="preserve">R.2 The five-year rhythm</w:t>
        </w:r>
        <w:r>
          <w:rPr>
            <w:noProof/>
            <w:webHidden/>
          </w:rPr>
          <w:tab/>
        </w:r>
        <w:r>
          <w:rPr>
            <w:noProof/>
            <w:webHidden/>
          </w:rPr>
          <w:fldChar w:fldCharType="begin"/>
        </w:r>
        <w:r>
          <w:rPr>
            <w:noProof/>
            <w:webHidden/>
          </w:rPr>
          <w:instrText xml:space="preserve"> PAGEREF _Toc263100202 \h </w:instrText>
        </w:r>
        <w:r>
          <w:rPr>
            <w:noProof/>
            <w:webHidden/>
          </w:rPr>
          <w:fldChar w:fldCharType="separate"/>
        </w:r>
        <w:r>
          <w:rPr>
            <w:rFonts w:ascii="Georgia" w:hAnsi="Georgia" w:eastAsia="Microsoft YaHei"/>
            <w:color w:val="263238"/>
            <w:sz w:val="22"/>
            <w:noProof/>
            <w:webHidden/>
          </w:rPr>
          <w:t xml:space="preserve">124</w:t>
        </w:r>
        <w:r>
          <w:rPr>
            <w:noProof/>
            <w:webHidden/>
          </w:rPr>
          <w:fldChar w:fldCharType="end"/>
        </w:r>
      </w:hyperlink>
    </w:p>
    <w:p>
      <w:pPr>
        <w:pStyle w:val="TOC1"/>
      </w:pPr>
      <w:hyperlink w:anchor="_Toc263100203" w:history="1">
        <w:r>
          <w:rPr>
            <w:rFonts w:ascii="Georgia" w:hAnsi="Georgia" w:eastAsia="Microsoft YaHei"/>
            <w:color w:val="263238"/>
            <w:sz w:val="22"/>
            <w:noProof/>
          </w:rPr>
          <w:t xml:space="preserve">Annex S: Data and Registry Technical Standards</w:t>
        </w:r>
        <w:r>
          <w:rPr>
            <w:noProof/>
            <w:webHidden/>
          </w:rPr>
          <w:tab/>
        </w:r>
        <w:r>
          <w:rPr>
            <w:noProof/>
            <w:webHidden/>
          </w:rPr>
          <w:fldChar w:fldCharType="begin"/>
        </w:r>
        <w:r>
          <w:rPr>
            <w:noProof/>
            <w:webHidden/>
          </w:rPr>
          <w:instrText xml:space="preserve"> PAGEREF _Toc263100203 \h </w:instrText>
        </w:r>
        <w:r>
          <w:rPr>
            <w:noProof/>
            <w:webHidden/>
          </w:rPr>
          <w:fldChar w:fldCharType="separate"/>
        </w:r>
        <w:r>
          <w:rPr>
            <w:rFonts w:ascii="Georgia" w:hAnsi="Georgia" w:eastAsia="Microsoft YaHei"/>
            <w:color w:val="263238"/>
            <w:sz w:val="22"/>
            <w:noProof/>
            <w:webHidden/>
          </w:rPr>
          <w:t xml:space="preserve">125</w:t>
        </w:r>
        <w:r>
          <w:rPr>
            <w:noProof/>
            <w:webHidden/>
          </w:rPr>
          <w:fldChar w:fldCharType="end"/>
        </w:r>
      </w:hyperlink>
    </w:p>
    <w:p>
      <w:pPr>
        <w:pStyle w:val="TOC2"/>
      </w:pPr>
      <w:hyperlink w:anchor="_Toc263100204" w:history="1">
        <w:r>
          <w:rPr>
            <w:rFonts w:ascii="Georgia" w:hAnsi="Georgia" w:eastAsia="Microsoft YaHei"/>
            <w:color w:val="263238"/>
            <w:sz w:val="22"/>
            <w:noProof/>
          </w:rPr>
          <w:t xml:space="preserve">S.1 The Shared Registry</w:t>
        </w:r>
        <w:r>
          <w:rPr>
            <w:noProof/>
            <w:webHidden/>
          </w:rPr>
          <w:tab/>
        </w:r>
        <w:r>
          <w:rPr>
            <w:noProof/>
            <w:webHidden/>
          </w:rPr>
          <w:fldChar w:fldCharType="begin"/>
        </w:r>
        <w:r>
          <w:rPr>
            <w:noProof/>
            <w:webHidden/>
          </w:rPr>
          <w:instrText xml:space="preserve"> PAGEREF _Toc263100204 \h </w:instrText>
        </w:r>
        <w:r>
          <w:rPr>
            <w:noProof/>
            <w:webHidden/>
          </w:rPr>
          <w:fldChar w:fldCharType="separate"/>
        </w:r>
        <w:r>
          <w:rPr>
            <w:rFonts w:ascii="Georgia" w:hAnsi="Georgia" w:eastAsia="Microsoft YaHei"/>
            <w:color w:val="263238"/>
            <w:sz w:val="22"/>
            <w:noProof/>
            <w:webHidden/>
          </w:rPr>
          <w:t xml:space="preserve">125</w:t>
        </w:r>
        <w:r>
          <w:rPr>
            <w:noProof/>
            <w:webHidden/>
          </w:rPr>
          <w:fldChar w:fldCharType="end"/>
        </w:r>
      </w:hyperlink>
    </w:p>
    <w:p>
      <w:pPr>
        <w:pStyle w:val="TOC2"/>
      </w:pPr>
      <w:hyperlink w:anchor="_Toc263100205" w:history="1">
        <w:r>
          <w:rPr>
            <w:rFonts w:ascii="Georgia" w:hAnsi="Georgia" w:eastAsia="Microsoft YaHei"/>
            <w:color w:val="263238"/>
            <w:sz w:val="22"/>
            <w:noProof/>
          </w:rPr>
          <w:t xml:space="preserve">S.2 Availability and integrity targets</w:t>
        </w:r>
        <w:r>
          <w:rPr>
            <w:noProof/>
            <w:webHidden/>
          </w:rPr>
          <w:tab/>
        </w:r>
        <w:r>
          <w:rPr>
            <w:noProof/>
            <w:webHidden/>
          </w:rPr>
          <w:fldChar w:fldCharType="begin"/>
        </w:r>
        <w:r>
          <w:rPr>
            <w:noProof/>
            <w:webHidden/>
          </w:rPr>
          <w:instrText xml:space="preserve"> PAGEREF _Toc263100205 \h </w:instrText>
        </w:r>
        <w:r>
          <w:rPr>
            <w:noProof/>
            <w:webHidden/>
          </w:rPr>
          <w:fldChar w:fldCharType="separate"/>
        </w:r>
        <w:r>
          <w:rPr>
            <w:rFonts w:ascii="Georgia" w:hAnsi="Georgia" w:eastAsia="Microsoft YaHei"/>
            <w:color w:val="263238"/>
            <w:sz w:val="22"/>
            <w:noProof/>
            <w:webHidden/>
          </w:rPr>
          <w:t xml:space="preserve">125</w:t>
        </w:r>
        <w:r>
          <w:rPr>
            <w:noProof/>
            <w:webHidden/>
          </w:rPr>
          <w:fldChar w:fldCharType="end"/>
        </w:r>
      </w:hyperlink>
    </w:p>
    <w:p>
      <w:pPr>
        <w:pStyle w:val="TOC2"/>
      </w:pPr>
      <w:hyperlink w:anchor="_Toc263100206" w:history="1">
        <w:r>
          <w:rPr>
            <w:rFonts w:ascii="Georgia" w:hAnsi="Georgia" w:eastAsia="Microsoft YaHei"/>
            <w:color w:val="263238"/>
            <w:sz w:val="22"/>
            <w:noProof/>
          </w:rPr>
          <w:t xml:space="preserve">S.3 Interface standards</w:t>
        </w:r>
        <w:r>
          <w:rPr>
            <w:noProof/>
            <w:webHidden/>
          </w:rPr>
          <w:tab/>
        </w:r>
        <w:r>
          <w:rPr>
            <w:noProof/>
            <w:webHidden/>
          </w:rPr>
          <w:fldChar w:fldCharType="begin"/>
        </w:r>
        <w:r>
          <w:rPr>
            <w:noProof/>
            <w:webHidden/>
          </w:rPr>
          <w:instrText xml:space="preserve"> PAGEREF _Toc263100206 \h </w:instrText>
        </w:r>
        <w:r>
          <w:rPr>
            <w:noProof/>
            <w:webHidden/>
          </w:rPr>
          <w:fldChar w:fldCharType="separate"/>
        </w:r>
        <w:r>
          <w:rPr>
            <w:rFonts w:ascii="Georgia" w:hAnsi="Georgia" w:eastAsia="Microsoft YaHei"/>
            <w:color w:val="263238"/>
            <w:sz w:val="22"/>
            <w:noProof/>
            <w:webHidden/>
          </w:rPr>
          <w:t xml:space="preserve">125</w:t>
        </w:r>
        <w:r>
          <w:rPr>
            <w:noProof/>
            <w:webHidden/>
          </w:rPr>
          <w:fldChar w:fldCharType="end"/>
        </w:r>
      </w:hyperlink>
    </w:p>
    <w:p>
      <w:pPr>
        <w:pStyle w:val="TOC2"/>
      </w:pPr>
      <w:hyperlink w:anchor="_Toc263100207" w:history="1">
        <w:r>
          <w:rPr>
            <w:rFonts w:ascii="Georgia" w:hAnsi="Georgia" w:eastAsia="Microsoft YaHei"/>
            <w:color w:val="263238"/>
            <w:sz w:val="22"/>
            <w:noProof/>
          </w:rPr>
          <w:t xml:space="preserve">S.4 Access control</w:t>
        </w:r>
        <w:r>
          <w:rPr>
            <w:noProof/>
            <w:webHidden/>
          </w:rPr>
          <w:tab/>
        </w:r>
        <w:r>
          <w:rPr>
            <w:noProof/>
            <w:webHidden/>
          </w:rPr>
          <w:fldChar w:fldCharType="begin"/>
        </w:r>
        <w:r>
          <w:rPr>
            <w:noProof/>
            <w:webHidden/>
          </w:rPr>
          <w:instrText xml:space="preserve"> PAGEREF _Toc263100207 \h </w:instrText>
        </w:r>
        <w:r>
          <w:rPr>
            <w:noProof/>
            <w:webHidden/>
          </w:rPr>
          <w:fldChar w:fldCharType="separate"/>
        </w:r>
        <w:r>
          <w:rPr>
            <w:rFonts w:ascii="Georgia" w:hAnsi="Georgia" w:eastAsia="Microsoft YaHei"/>
            <w:color w:val="263238"/>
            <w:sz w:val="22"/>
            <w:noProof/>
            <w:webHidden/>
          </w:rPr>
          <w:t xml:space="preserve">125</w:t>
        </w:r>
        <w:r>
          <w:rPr>
            <w:noProof/>
            <w:webHidden/>
          </w:rPr>
          <w:fldChar w:fldCharType="end"/>
        </w:r>
      </w:hyperlink>
    </w:p>
    <w:p>
      <w:pPr>
        <w:pStyle w:val="TOC2"/>
      </w:pPr>
      <w:hyperlink w:anchor="_Toc263100208" w:history="1">
        <w:r>
          <w:rPr>
            <w:rFonts w:ascii="Georgia" w:hAnsi="Georgia" w:eastAsia="Microsoft YaHei"/>
            <w:color w:val="263238"/>
            <w:sz w:val="22"/>
            <w:noProof/>
          </w:rPr>
          <w:t xml:space="preserve">S.5 The public dashboard</w:t>
        </w:r>
        <w:r>
          <w:rPr>
            <w:noProof/>
            <w:webHidden/>
          </w:rPr>
          <w:tab/>
        </w:r>
        <w:r>
          <w:rPr>
            <w:noProof/>
            <w:webHidden/>
          </w:rPr>
          <w:fldChar w:fldCharType="begin"/>
        </w:r>
        <w:r>
          <w:rPr>
            <w:noProof/>
            <w:webHidden/>
          </w:rPr>
          <w:instrText xml:space="preserve"> PAGEREF _Toc263100208 \h </w:instrText>
        </w:r>
        <w:r>
          <w:rPr>
            <w:noProof/>
            <w:webHidden/>
          </w:rPr>
          <w:fldChar w:fldCharType="separate"/>
        </w:r>
        <w:r>
          <w:rPr>
            <w:rFonts w:ascii="Georgia" w:hAnsi="Georgia" w:eastAsia="Microsoft YaHei"/>
            <w:color w:val="263238"/>
            <w:sz w:val="22"/>
            <w:noProof/>
            <w:webHidden/>
          </w:rPr>
          <w:t xml:space="preserve">125</w:t>
        </w:r>
        <w:r>
          <w:rPr>
            <w:noProof/>
            <w:webHidden/>
          </w:rPr>
          <w:fldChar w:fldCharType="end"/>
        </w:r>
      </w:hyperlink>
    </w:p>
    <w:p>
      <w:pPr>
        <w:pStyle w:val="TOC2"/>
      </w:pPr>
      <w:hyperlink w:anchor="_Toc263100209" w:history="1">
        <w:r>
          <w:rPr>
            <w:rFonts w:ascii="Georgia" w:hAnsi="Georgia" w:eastAsia="Microsoft YaHei"/>
            <w:color w:val="263238"/>
            <w:sz w:val="22"/>
            <w:noProof/>
          </w:rPr>
          <w:t xml:space="preserve">S.6 Data retention</w:t>
        </w:r>
        <w:r>
          <w:rPr>
            <w:noProof/>
            <w:webHidden/>
          </w:rPr>
          <w:tab/>
        </w:r>
        <w:r>
          <w:rPr>
            <w:noProof/>
            <w:webHidden/>
          </w:rPr>
          <w:fldChar w:fldCharType="begin"/>
        </w:r>
        <w:r>
          <w:rPr>
            <w:noProof/>
            <w:webHidden/>
          </w:rPr>
          <w:instrText xml:space="preserve"> PAGEREF _Toc263100209 \h </w:instrText>
        </w:r>
        <w:r>
          <w:rPr>
            <w:noProof/>
            <w:webHidden/>
          </w:rPr>
          <w:fldChar w:fldCharType="separate"/>
        </w:r>
        <w:r>
          <w:rPr>
            <w:rFonts w:ascii="Georgia" w:hAnsi="Georgia" w:eastAsia="Microsoft YaHei"/>
            <w:color w:val="263238"/>
            <w:sz w:val="22"/>
            <w:noProof/>
            <w:webHidden/>
          </w:rPr>
          <w:t xml:space="preserve">126</w:t>
        </w:r>
        <w:r>
          <w:rPr>
            <w:noProof/>
            <w:webHidden/>
          </w:rPr>
          <w:fldChar w:fldCharType="end"/>
        </w:r>
      </w:hyperlink>
    </w:p>
    <w:p>
      <w:pPr>
        <w:pStyle w:val="TOC1"/>
      </w:pPr>
      <w:hyperlink w:anchor="_Toc263100210" w:history="1">
        <w:r>
          <w:rPr>
            <w:rFonts w:ascii="Georgia" w:hAnsi="Georgia" w:eastAsia="Microsoft YaHei"/>
            <w:color w:val="263238"/>
            <w:sz w:val="22"/>
            <w:noProof/>
          </w:rPr>
          <w:t xml:space="preserve">Annex T: Transitional Provisions for Wartime Legacy Matters</w:t>
        </w:r>
        <w:r>
          <w:rPr>
            <w:noProof/>
            <w:webHidden/>
          </w:rPr>
          <w:tab/>
        </w:r>
        <w:r>
          <w:rPr>
            <w:noProof/>
            <w:webHidden/>
          </w:rPr>
          <w:fldChar w:fldCharType="begin"/>
        </w:r>
        <w:r>
          <w:rPr>
            <w:noProof/>
            <w:webHidden/>
          </w:rPr>
          <w:instrText xml:space="preserve"> PAGEREF _Toc263100210 \h </w:instrText>
        </w:r>
        <w:r>
          <w:rPr>
            <w:noProof/>
            <w:webHidden/>
          </w:rPr>
          <w:fldChar w:fldCharType="separate"/>
        </w:r>
        <w:r>
          <w:rPr>
            <w:rFonts w:ascii="Georgia" w:hAnsi="Georgia" w:eastAsia="Microsoft YaHei"/>
            <w:color w:val="263238"/>
            <w:sz w:val="22"/>
            <w:noProof/>
            <w:webHidden/>
          </w:rPr>
          <w:t xml:space="preserve">127</w:t>
        </w:r>
        <w:r>
          <w:rPr>
            <w:noProof/>
            <w:webHidden/>
          </w:rPr>
          <w:fldChar w:fldCharType="end"/>
        </w:r>
      </w:hyperlink>
    </w:p>
    <w:p>
      <w:pPr>
        <w:pStyle w:val="TOC2"/>
      </w:pPr>
      <w:hyperlink w:anchor="_Toc263100211" w:history="1">
        <w:r>
          <w:rPr>
            <w:rFonts w:ascii="Georgia" w:hAnsi="Georgia" w:eastAsia="Microsoft YaHei"/>
            <w:color w:val="263238"/>
            <w:sz w:val="22"/>
            <w:noProof/>
          </w:rPr>
          <w:t xml:space="preserve">T.1 Purpose and restraint</w:t>
        </w:r>
        <w:r>
          <w:rPr>
            <w:noProof/>
            <w:webHidden/>
          </w:rPr>
          <w:tab/>
        </w:r>
        <w:r>
          <w:rPr>
            <w:noProof/>
            <w:webHidden/>
          </w:rPr>
          <w:fldChar w:fldCharType="begin"/>
        </w:r>
        <w:r>
          <w:rPr>
            <w:noProof/>
            <w:webHidden/>
          </w:rPr>
          <w:instrText xml:space="preserve"> PAGEREF _Toc263100211 \h </w:instrText>
        </w:r>
        <w:r>
          <w:rPr>
            <w:noProof/>
            <w:webHidden/>
          </w:rPr>
          <w:fldChar w:fldCharType="separate"/>
        </w:r>
        <w:r>
          <w:rPr>
            <w:rFonts w:ascii="Georgia" w:hAnsi="Georgia" w:eastAsia="Microsoft YaHei"/>
            <w:color w:val="263238"/>
            <w:sz w:val="22"/>
            <w:noProof/>
            <w:webHidden/>
          </w:rPr>
          <w:t xml:space="preserve">127</w:t>
        </w:r>
        <w:r>
          <w:rPr>
            <w:noProof/>
            <w:webHidden/>
          </w:rPr>
          <w:fldChar w:fldCharType="end"/>
        </w:r>
      </w:hyperlink>
    </w:p>
    <w:p>
      <w:pPr>
        <w:pStyle w:val="TOC2"/>
      </w:pPr>
      <w:hyperlink w:anchor="_Toc263100212" w:history="1">
        <w:r>
          <w:rPr>
            <w:rFonts w:ascii="Georgia" w:hAnsi="Georgia" w:eastAsia="Microsoft YaHei"/>
            <w:color w:val="263238"/>
            <w:sz w:val="22"/>
            <w:noProof/>
          </w:rPr>
          <w:t xml:space="preserve">T.2 Crew welfare continuity</w:t>
        </w:r>
        <w:r>
          <w:rPr>
            <w:noProof/>
            <w:webHidden/>
          </w:rPr>
          <w:tab/>
        </w:r>
        <w:r>
          <w:rPr>
            <w:noProof/>
            <w:webHidden/>
          </w:rPr>
          <w:fldChar w:fldCharType="begin"/>
        </w:r>
        <w:r>
          <w:rPr>
            <w:noProof/>
            <w:webHidden/>
          </w:rPr>
          <w:instrText xml:space="preserve"> PAGEREF _Toc263100212 \h </w:instrText>
        </w:r>
        <w:r>
          <w:rPr>
            <w:noProof/>
            <w:webHidden/>
          </w:rPr>
          <w:fldChar w:fldCharType="separate"/>
        </w:r>
        <w:r>
          <w:rPr>
            <w:rFonts w:ascii="Georgia" w:hAnsi="Georgia" w:eastAsia="Microsoft YaHei"/>
            <w:color w:val="263238"/>
            <w:sz w:val="22"/>
            <w:noProof/>
            <w:webHidden/>
          </w:rPr>
          <w:t xml:space="preserve">127</w:t>
        </w:r>
        <w:r>
          <w:rPr>
            <w:noProof/>
            <w:webHidden/>
          </w:rPr>
          <w:fldChar w:fldCharType="end"/>
        </w:r>
      </w:hyperlink>
    </w:p>
    <w:p>
      <w:pPr>
        <w:pStyle w:val="TOC2"/>
      </w:pPr>
      <w:hyperlink w:anchor="_Toc263100213" w:history="1">
        <w:r>
          <w:rPr>
            <w:rFonts w:ascii="Georgia" w:hAnsi="Georgia" w:eastAsia="Microsoft YaHei"/>
            <w:color w:val="263238"/>
            <w:sz w:val="22"/>
            <w:noProof/>
          </w:rPr>
          <w:t xml:space="preserve">T.3 Vessel status registry</w:t>
        </w:r>
        <w:r>
          <w:rPr>
            <w:noProof/>
            <w:webHidden/>
          </w:rPr>
          <w:tab/>
        </w:r>
        <w:r>
          <w:rPr>
            <w:noProof/>
            <w:webHidden/>
          </w:rPr>
          <w:fldChar w:fldCharType="begin"/>
        </w:r>
        <w:r>
          <w:rPr>
            <w:noProof/>
            <w:webHidden/>
          </w:rPr>
          <w:instrText xml:space="preserve"> PAGEREF _Toc263100213 \h </w:instrText>
        </w:r>
        <w:r>
          <w:rPr>
            <w:noProof/>
            <w:webHidden/>
          </w:rPr>
          <w:fldChar w:fldCharType="separate"/>
        </w:r>
        <w:r>
          <w:rPr>
            <w:rFonts w:ascii="Georgia" w:hAnsi="Georgia" w:eastAsia="Microsoft YaHei"/>
            <w:color w:val="263238"/>
            <w:sz w:val="22"/>
            <w:noProof/>
            <w:webHidden/>
          </w:rPr>
          <w:t xml:space="preserve">127</w:t>
        </w:r>
        <w:r>
          <w:rPr>
            <w:noProof/>
            <w:webHidden/>
          </w:rPr>
          <w:fldChar w:fldCharType="end"/>
        </w:r>
      </w:hyperlink>
    </w:p>
    <w:p>
      <w:pPr>
        <w:pStyle w:val="TOC2"/>
      </w:pPr>
      <w:hyperlink w:anchor="_Toc263100214" w:history="1">
        <w:r>
          <w:rPr>
            <w:rFonts w:ascii="Georgia" w:hAnsi="Georgia" w:eastAsia="Microsoft YaHei"/>
            <w:color w:val="263238"/>
            <w:sz w:val="22"/>
            <w:noProof/>
          </w:rPr>
          <w:t xml:space="preserve">T.4 Commercial loss channeling</w:t>
        </w:r>
        <w:r>
          <w:rPr>
            <w:noProof/>
            <w:webHidden/>
          </w:rPr>
          <w:tab/>
        </w:r>
        <w:r>
          <w:rPr>
            <w:noProof/>
            <w:webHidden/>
          </w:rPr>
          <w:fldChar w:fldCharType="begin"/>
        </w:r>
        <w:r>
          <w:rPr>
            <w:noProof/>
            <w:webHidden/>
          </w:rPr>
          <w:instrText xml:space="preserve"> PAGEREF _Toc263100214 \h </w:instrText>
        </w:r>
        <w:r>
          <w:rPr>
            <w:noProof/>
            <w:webHidden/>
          </w:rPr>
          <w:fldChar w:fldCharType="separate"/>
        </w:r>
        <w:r>
          <w:rPr>
            <w:rFonts w:ascii="Georgia" w:hAnsi="Georgia" w:eastAsia="Microsoft YaHei"/>
            <w:color w:val="263238"/>
            <w:sz w:val="22"/>
            <w:noProof/>
            <w:webHidden/>
          </w:rPr>
          <w:t xml:space="preserve">127</w:t>
        </w:r>
        <w:r>
          <w:rPr>
            <w:noProof/>
            <w:webHidden/>
          </w:rPr>
          <w:fldChar w:fldCharType="end"/>
        </w:r>
      </w:hyperlink>
    </w:p>
    <w:p>
      <w:pPr>
        <w:pStyle w:val="TOC2"/>
      </w:pPr>
      <w:hyperlink w:anchor="_Toc263100215" w:history="1">
        <w:r>
          <w:rPr>
            <w:rFonts w:ascii="Georgia" w:hAnsi="Georgia" w:eastAsia="Microsoft YaHei"/>
            <w:color w:val="263238"/>
            <w:sz w:val="22"/>
            <w:noProof/>
          </w:rPr>
          <w:t xml:space="preserve">T.5 The closure ledger of Article 41</w:t>
        </w:r>
        <w:r>
          <w:rPr>
            <w:noProof/>
            <w:webHidden/>
          </w:rPr>
          <w:tab/>
        </w:r>
        <w:r>
          <w:rPr>
            <w:noProof/>
            <w:webHidden/>
          </w:rPr>
          <w:fldChar w:fldCharType="begin"/>
        </w:r>
        <w:r>
          <w:rPr>
            <w:noProof/>
            <w:webHidden/>
          </w:rPr>
          <w:instrText xml:space="preserve"> PAGEREF _Toc263100215 \h </w:instrText>
        </w:r>
        <w:r>
          <w:rPr>
            <w:noProof/>
            <w:webHidden/>
          </w:rPr>
          <w:fldChar w:fldCharType="separate"/>
        </w:r>
        <w:r>
          <w:rPr>
            <w:rFonts w:ascii="Georgia" w:hAnsi="Georgia" w:eastAsia="Microsoft YaHei"/>
            <w:color w:val="263238"/>
            <w:sz w:val="22"/>
            <w:noProof/>
            <w:webHidden/>
          </w:rPr>
          <w:t xml:space="preserve">127</w:t>
        </w:r>
        <w:r>
          <w:rPr>
            <w:noProof/>
            <w:webHidden/>
          </w:rPr>
          <w:fldChar w:fldCharType="end"/>
        </w:r>
      </w:hyperlink>
    </w:p>
    <w:p>
      <w:pPr>
        <w:pStyle w:val="TOC2"/>
      </w:pPr>
      <w:hyperlink w:anchor="_Toc263100216" w:history="1">
        <w:r>
          <w:rPr>
            <w:rFonts w:ascii="Georgia" w:hAnsi="Georgia" w:eastAsia="Microsoft YaHei"/>
            <w:color w:val="263238"/>
            <w:sz w:val="22"/>
            <w:noProof/>
          </w:rPr>
          <w:t xml:space="preserve">T.6 Non-prejudice reaffirmed</w:t>
        </w:r>
        <w:r>
          <w:rPr>
            <w:noProof/>
            <w:webHidden/>
          </w:rPr>
          <w:tab/>
        </w:r>
        <w:r>
          <w:rPr>
            <w:noProof/>
            <w:webHidden/>
          </w:rPr>
          <w:fldChar w:fldCharType="begin"/>
        </w:r>
        <w:r>
          <w:rPr>
            <w:noProof/>
            <w:webHidden/>
          </w:rPr>
          <w:instrText xml:space="preserve"> PAGEREF _Toc263100216 \h </w:instrText>
        </w:r>
        <w:r>
          <w:rPr>
            <w:noProof/>
            <w:webHidden/>
          </w:rPr>
          <w:fldChar w:fldCharType="separate"/>
        </w:r>
        <w:r>
          <w:rPr>
            <w:rFonts w:ascii="Georgia" w:hAnsi="Georgia" w:eastAsia="Microsoft YaHei"/>
            <w:color w:val="263238"/>
            <w:sz w:val="22"/>
            <w:noProof/>
            <w:webHidden/>
          </w:rPr>
          <w:t xml:space="preserve">128</w:t>
        </w:r>
        <w:r>
          <w:rPr>
            <w:noProof/>
            <w:webHidden/>
          </w:rPr>
          <w:fldChar w:fldCharType="end"/>
        </w:r>
      </w:hyperlink>
    </w:p>
    <w:p>
      <w:pPr>
        <w:pStyle w:val="TOC1"/>
      </w:pPr>
      <w:hyperlink w:anchor="_Toc263100217" w:history="1">
        <w:r>
          <w:rPr>
            <w:rFonts w:ascii="Georgia" w:hAnsi="Georgia" w:eastAsia="Microsoft YaHei"/>
            <w:color w:val="263238"/>
            <w:sz w:val="22"/>
            <w:noProof/>
          </w:rPr>
          <w:t xml:space="preserve">Annex U: Regional Participant Schedules</w:t>
        </w:r>
        <w:r>
          <w:rPr>
            <w:noProof/>
            <w:webHidden/>
          </w:rPr>
          <w:tab/>
        </w:r>
        <w:r>
          <w:rPr>
            <w:noProof/>
            <w:webHidden/>
          </w:rPr>
          <w:fldChar w:fldCharType="begin"/>
        </w:r>
        <w:r>
          <w:rPr>
            <w:noProof/>
            <w:webHidden/>
          </w:rPr>
          <w:instrText xml:space="preserve"> PAGEREF _Toc263100217 \h </w:instrText>
        </w:r>
        <w:r>
          <w:rPr>
            <w:noProof/>
            <w:webHidden/>
          </w:rPr>
          <w:fldChar w:fldCharType="separate"/>
        </w:r>
        <w:r>
          <w:rPr>
            <w:rFonts w:ascii="Georgia" w:hAnsi="Georgia" w:eastAsia="Microsoft YaHei"/>
            <w:color w:val="263238"/>
            <w:sz w:val="22"/>
            <w:noProof/>
            <w:webHidden/>
          </w:rPr>
          <w:t xml:space="preserve">129</w:t>
        </w:r>
        <w:r>
          <w:rPr>
            <w:noProof/>
            <w:webHidden/>
          </w:rPr>
          <w:fldChar w:fldCharType="end"/>
        </w:r>
      </w:hyperlink>
    </w:p>
    <w:p>
      <w:pPr>
        <w:pStyle w:val="TOC2"/>
      </w:pPr>
      <w:hyperlink w:anchor="_Toc263100218" w:history="1">
        <w:r>
          <w:rPr>
            <w:rFonts w:ascii="Georgia" w:hAnsi="Georgia" w:eastAsia="Microsoft YaHei"/>
            <w:color w:val="263238"/>
            <w:sz w:val="22"/>
            <w:noProof/>
          </w:rPr>
          <w:t xml:space="preserve">U.1 The GCC contribution and integration schedule</w:t>
        </w:r>
        <w:r>
          <w:rPr>
            <w:noProof/>
            <w:webHidden/>
          </w:rPr>
          <w:tab/>
        </w:r>
        <w:r>
          <w:rPr>
            <w:noProof/>
            <w:webHidden/>
          </w:rPr>
          <w:fldChar w:fldCharType="begin"/>
        </w:r>
        <w:r>
          <w:rPr>
            <w:noProof/>
            <w:webHidden/>
          </w:rPr>
          <w:instrText xml:space="preserve"> PAGEREF _Toc263100218 \h </w:instrText>
        </w:r>
        <w:r>
          <w:rPr>
            <w:noProof/>
            <w:webHidden/>
          </w:rPr>
          <w:fldChar w:fldCharType="separate"/>
        </w:r>
        <w:r>
          <w:rPr>
            <w:rFonts w:ascii="Georgia" w:hAnsi="Georgia" w:eastAsia="Microsoft YaHei"/>
            <w:color w:val="263238"/>
            <w:sz w:val="22"/>
            <w:noProof/>
            <w:webHidden/>
          </w:rPr>
          <w:t xml:space="preserve">129</w:t>
        </w:r>
        <w:r>
          <w:rPr>
            <w:noProof/>
            <w:webHidden/>
          </w:rPr>
          <w:fldChar w:fldCharType="end"/>
        </w:r>
      </w:hyperlink>
    </w:p>
    <w:p>
      <w:pPr>
        <w:pStyle w:val="TOC2"/>
      </w:pPr>
      <w:hyperlink w:anchor="_Toc263100219" w:history="1">
        <w:r>
          <w:rPr>
            <w:rFonts w:ascii="Georgia" w:hAnsi="Georgia" w:eastAsia="Microsoft YaHei"/>
            <w:color w:val="263238"/>
            <w:sz w:val="22"/>
            <w:noProof/>
          </w:rPr>
          <w:t xml:space="preserve">U.2 Capacity factors</w:t>
        </w:r>
        <w:r>
          <w:rPr>
            <w:noProof/>
            <w:webHidden/>
          </w:rPr>
          <w:tab/>
        </w:r>
        <w:r>
          <w:rPr>
            <w:noProof/>
            <w:webHidden/>
          </w:rPr>
          <w:fldChar w:fldCharType="begin"/>
        </w:r>
        <w:r>
          <w:rPr>
            <w:noProof/>
            <w:webHidden/>
          </w:rPr>
          <w:instrText xml:space="preserve"> PAGEREF _Toc263100219 \h </w:instrText>
        </w:r>
        <w:r>
          <w:rPr>
            <w:noProof/>
            <w:webHidden/>
          </w:rPr>
          <w:fldChar w:fldCharType="separate"/>
        </w:r>
        <w:r>
          <w:rPr>
            <w:rFonts w:ascii="Georgia" w:hAnsi="Georgia" w:eastAsia="Microsoft YaHei"/>
            <w:color w:val="263238"/>
            <w:sz w:val="22"/>
            <w:noProof/>
            <w:webHidden/>
          </w:rPr>
          <w:t xml:space="preserve">129</w:t>
        </w:r>
        <w:r>
          <w:rPr>
            <w:noProof/>
            <w:webHidden/>
          </w:rPr>
          <w:fldChar w:fldCharType="end"/>
        </w:r>
      </w:hyperlink>
    </w:p>
    <w:p>
      <w:pPr>
        <w:pStyle w:val="TOC2"/>
      </w:pPr>
      <w:hyperlink w:anchor="_Toc263100220" w:history="1">
        <w:r>
          <w:rPr>
            <w:rFonts w:ascii="Georgia" w:hAnsi="Georgia" w:eastAsia="Microsoft YaHei"/>
            <w:color w:val="263238"/>
            <w:sz w:val="22"/>
            <w:noProof/>
          </w:rPr>
          <w:t xml:space="preserve">U.3 Observer College rotation</w:t>
        </w:r>
        <w:r>
          <w:rPr>
            <w:noProof/>
            <w:webHidden/>
          </w:rPr>
          <w:tab/>
        </w:r>
        <w:r>
          <w:rPr>
            <w:noProof/>
            <w:webHidden/>
          </w:rPr>
          <w:fldChar w:fldCharType="begin"/>
        </w:r>
        <w:r>
          <w:rPr>
            <w:noProof/>
            <w:webHidden/>
          </w:rPr>
          <w:instrText xml:space="preserve"> PAGEREF _Toc263100220 \h </w:instrText>
        </w:r>
        <w:r>
          <w:rPr>
            <w:noProof/>
            <w:webHidden/>
          </w:rPr>
          <w:fldChar w:fldCharType="separate"/>
        </w:r>
        <w:r>
          <w:rPr>
            <w:rFonts w:ascii="Georgia" w:hAnsi="Georgia" w:eastAsia="Microsoft YaHei"/>
            <w:color w:val="263238"/>
            <w:sz w:val="22"/>
            <w:noProof/>
            <w:webHidden/>
          </w:rPr>
          <w:t xml:space="preserve">129</w:t>
        </w:r>
        <w:r>
          <w:rPr>
            <w:noProof/>
            <w:webHidden/>
          </w:rPr>
          <w:fldChar w:fldCharType="end"/>
        </w:r>
      </w:hyperlink>
    </w:p>
    <w:p>
      <w:pPr>
        <w:pStyle w:val="TOC2"/>
      </w:pPr>
      <w:hyperlink w:anchor="_Toc263100221" w:history="1">
        <w:r>
          <w:rPr>
            <w:rFonts w:ascii="Georgia" w:hAnsi="Georgia" w:eastAsia="Microsoft YaHei"/>
            <w:color w:val="263238"/>
            <w:sz w:val="22"/>
            <w:noProof/>
          </w:rPr>
          <w:t xml:space="preserve">U.4 European and IMO observer schedules</w:t>
        </w:r>
        <w:r>
          <w:rPr>
            <w:noProof/>
            <w:webHidden/>
          </w:rPr>
          <w:tab/>
        </w:r>
        <w:r>
          <w:rPr>
            <w:noProof/>
            <w:webHidden/>
          </w:rPr>
          <w:fldChar w:fldCharType="begin"/>
        </w:r>
        <w:r>
          <w:rPr>
            <w:noProof/>
            <w:webHidden/>
          </w:rPr>
          <w:instrText xml:space="preserve"> PAGEREF _Toc263100221 \h </w:instrText>
        </w:r>
        <w:r>
          <w:rPr>
            <w:noProof/>
            <w:webHidden/>
          </w:rPr>
          <w:fldChar w:fldCharType="separate"/>
        </w:r>
        <w:r>
          <w:rPr>
            <w:rFonts w:ascii="Georgia" w:hAnsi="Georgia" w:eastAsia="Microsoft YaHei"/>
            <w:color w:val="263238"/>
            <w:sz w:val="22"/>
            <w:noProof/>
            <w:webHidden/>
          </w:rPr>
          <w:t xml:space="preserve">129</w:t>
        </w:r>
        <w:r>
          <w:rPr>
            <w:noProof/>
            <w:webHidden/>
          </w:rPr>
          <w:fldChar w:fldCharType="end"/>
        </w:r>
      </w:hyperlink>
    </w:p>
    <w:p>
      <w:pPr>
        <w:pStyle w:val="TOC2"/>
      </w:pPr>
      <w:hyperlink w:anchor="_Toc263100222" w:history="1">
        <w:r>
          <w:rPr>
            <w:rFonts w:ascii="Georgia" w:hAnsi="Georgia" w:eastAsia="Microsoft YaHei"/>
            <w:color w:val="263238"/>
            <w:sz w:val="22"/>
            <w:noProof/>
          </w:rPr>
          <w:t xml:space="preserve">U.5 United States Endorsement schedule</w:t>
        </w:r>
        <w:r>
          <w:rPr>
            <w:noProof/>
            <w:webHidden/>
          </w:rPr>
          <w:tab/>
        </w:r>
        <w:r>
          <w:rPr>
            <w:noProof/>
            <w:webHidden/>
          </w:rPr>
          <w:fldChar w:fldCharType="begin"/>
        </w:r>
        <w:r>
          <w:rPr>
            <w:noProof/>
            <w:webHidden/>
          </w:rPr>
          <w:instrText xml:space="preserve"> PAGEREF _Toc263100222 \h </w:instrText>
        </w:r>
        <w:r>
          <w:rPr>
            <w:noProof/>
            <w:webHidden/>
          </w:rPr>
          <w:fldChar w:fldCharType="separate"/>
        </w:r>
        <w:r>
          <w:rPr>
            <w:rFonts w:ascii="Georgia" w:hAnsi="Georgia" w:eastAsia="Microsoft YaHei"/>
            <w:color w:val="263238"/>
            <w:sz w:val="22"/>
            <w:noProof/>
            <w:webHidden/>
          </w:rPr>
          <w:t xml:space="preserve">129</w:t>
        </w:r>
        <w:r>
          <w:rPr>
            <w:noProof/>
            <w:webHidden/>
          </w:rPr>
          <w:fldChar w:fldCharType="end"/>
        </w:r>
      </w:hyperlink>
    </w:p>
    <w:p>
      <w:pPr>
        <w:pStyle w:val="TOC2"/>
      </w:pPr>
      <w:hyperlink w:anchor="_Toc263100223" w:history="1">
        <w:r>
          <w:rPr>
            <w:rFonts w:ascii="Georgia" w:hAnsi="Georgia" w:eastAsia="Microsoft YaHei"/>
            <w:color w:val="263238"/>
            <w:sz w:val="22"/>
            <w:noProof/>
          </w:rPr>
          <w:t xml:space="preserve">U.6 Revision of schedules</w:t>
        </w:r>
        <w:r>
          <w:rPr>
            <w:noProof/>
            <w:webHidden/>
          </w:rPr>
          <w:tab/>
        </w:r>
        <w:r>
          <w:rPr>
            <w:noProof/>
            <w:webHidden/>
          </w:rPr>
          <w:fldChar w:fldCharType="begin"/>
        </w:r>
        <w:r>
          <w:rPr>
            <w:noProof/>
            <w:webHidden/>
          </w:rPr>
          <w:instrText xml:space="preserve"> PAGEREF _Toc263100223 \h </w:instrText>
        </w:r>
        <w:r>
          <w:rPr>
            <w:noProof/>
            <w:webHidden/>
          </w:rPr>
          <w:fldChar w:fldCharType="separate"/>
        </w:r>
        <w:r>
          <w:rPr>
            <w:rFonts w:ascii="Georgia" w:hAnsi="Georgia" w:eastAsia="Microsoft YaHei"/>
            <w:color w:val="263238"/>
            <w:sz w:val="22"/>
            <w:noProof/>
            <w:webHidden/>
          </w:rPr>
          <w:t xml:space="preserve">130</w:t>
        </w:r>
        <w:r>
          <w:rPr>
            <w:noProof/>
            <w:webHidden/>
          </w:rPr>
          <w:fldChar w:fldCharType="end"/>
        </w:r>
      </w:hyperlink>
    </w:p>
    <w:p>
      <w:pPr>
        <w:pStyle w:val="TOC1"/>
      </w:pPr>
      <w:hyperlink w:anchor="_Toc263100224" w:history="1">
        <w:r>
          <w:rPr>
            <w:rFonts w:ascii="Georgia" w:hAnsi="Georgia" w:eastAsia="Microsoft YaHei"/>
            <w:color w:val="263238"/>
            <w:sz w:val="22"/>
            <w:noProof/>
          </w:rPr>
          <w:t xml:space="preserve">Annex V: Contingency Routing and Surge Capacity</w:t>
        </w:r>
        <w:r>
          <w:rPr>
            <w:noProof/>
            <w:webHidden/>
          </w:rPr>
          <w:tab/>
        </w:r>
        <w:r>
          <w:rPr>
            <w:noProof/>
            <w:webHidden/>
          </w:rPr>
          <w:fldChar w:fldCharType="begin"/>
        </w:r>
        <w:r>
          <w:rPr>
            <w:noProof/>
            <w:webHidden/>
          </w:rPr>
          <w:instrText xml:space="preserve"> PAGEREF _Toc263100224 \h </w:instrText>
        </w:r>
        <w:r>
          <w:rPr>
            <w:noProof/>
            <w:webHidden/>
          </w:rPr>
          <w:fldChar w:fldCharType="separate"/>
        </w:r>
        <w:r>
          <w:rPr>
            <w:rFonts w:ascii="Georgia" w:hAnsi="Georgia" w:eastAsia="Microsoft YaHei"/>
            <w:color w:val="263238"/>
            <w:sz w:val="22"/>
            <w:noProof/>
            <w:webHidden/>
          </w:rPr>
          <w:t xml:space="preserve">131</w:t>
        </w:r>
        <w:r>
          <w:rPr>
            <w:noProof/>
            <w:webHidden/>
          </w:rPr>
          <w:fldChar w:fldCharType="end"/>
        </w:r>
      </w:hyperlink>
    </w:p>
    <w:p>
      <w:pPr>
        <w:pStyle w:val="TOC2"/>
      </w:pPr>
      <w:hyperlink w:anchor="_Toc263100225" w:history="1">
        <w:r>
          <w:rPr>
            <w:rFonts w:ascii="Georgia" w:hAnsi="Georgia" w:eastAsia="Microsoft YaHei"/>
            <w:color w:val="263238"/>
            <w:sz w:val="22"/>
            <w:noProof/>
          </w:rPr>
          <w:t xml:space="preserve">V.1 The surge problem</w:t>
        </w:r>
        <w:r>
          <w:rPr>
            <w:noProof/>
            <w:webHidden/>
          </w:rPr>
          <w:tab/>
        </w:r>
        <w:r>
          <w:rPr>
            <w:noProof/>
            <w:webHidden/>
          </w:rPr>
          <w:fldChar w:fldCharType="begin"/>
        </w:r>
        <w:r>
          <w:rPr>
            <w:noProof/>
            <w:webHidden/>
          </w:rPr>
          <w:instrText xml:space="preserve"> PAGEREF _Toc263100225 \h </w:instrText>
        </w:r>
        <w:r>
          <w:rPr>
            <w:noProof/>
            <w:webHidden/>
          </w:rPr>
          <w:fldChar w:fldCharType="separate"/>
        </w:r>
        <w:r>
          <w:rPr>
            <w:rFonts w:ascii="Georgia" w:hAnsi="Georgia" w:eastAsia="Microsoft YaHei"/>
            <w:color w:val="263238"/>
            <w:sz w:val="22"/>
            <w:noProof/>
            <w:webHidden/>
          </w:rPr>
          <w:t xml:space="preserve">131</w:t>
        </w:r>
        <w:r>
          <w:rPr>
            <w:noProof/>
            <w:webHidden/>
          </w:rPr>
          <w:fldChar w:fldCharType="end"/>
        </w:r>
      </w:hyperlink>
    </w:p>
    <w:p>
      <w:pPr>
        <w:pStyle w:val="TOC2"/>
      </w:pPr>
      <w:hyperlink w:anchor="_Toc263100226" w:history="1">
        <w:r>
          <w:rPr>
            <w:rFonts w:ascii="Georgia" w:hAnsi="Georgia" w:eastAsia="Microsoft YaHei"/>
            <w:color w:val="263238"/>
            <w:sz w:val="22"/>
            <w:noProof/>
          </w:rPr>
          <w:t xml:space="preserve">V.2 Post-crisis surge protocol</w:t>
        </w:r>
        <w:r>
          <w:rPr>
            <w:noProof/>
            <w:webHidden/>
          </w:rPr>
          <w:tab/>
        </w:r>
        <w:r>
          <w:rPr>
            <w:noProof/>
            <w:webHidden/>
          </w:rPr>
          <w:fldChar w:fldCharType="begin"/>
        </w:r>
        <w:r>
          <w:rPr>
            <w:noProof/>
            <w:webHidden/>
          </w:rPr>
          <w:instrText xml:space="preserve"> PAGEREF _Toc263100226 \h </w:instrText>
        </w:r>
        <w:r>
          <w:rPr>
            <w:noProof/>
            <w:webHidden/>
          </w:rPr>
          <w:fldChar w:fldCharType="separate"/>
        </w:r>
        <w:r>
          <w:rPr>
            <w:rFonts w:ascii="Georgia" w:hAnsi="Georgia" w:eastAsia="Microsoft YaHei"/>
            <w:color w:val="263238"/>
            <w:sz w:val="22"/>
            <w:noProof/>
            <w:webHidden/>
          </w:rPr>
          <w:t xml:space="preserve">131</w:t>
        </w:r>
        <w:r>
          <w:rPr>
            <w:noProof/>
            <w:webHidden/>
          </w:rPr>
          <w:fldChar w:fldCharType="end"/>
        </w:r>
      </w:hyperlink>
    </w:p>
    <w:p>
      <w:pPr>
        <w:pStyle w:val="TOC2"/>
      </w:pPr>
      <w:hyperlink w:anchor="_Toc263100227" w:history="1">
        <w:r>
          <w:rPr>
            <w:rFonts w:ascii="Georgia" w:hAnsi="Georgia" w:eastAsia="Microsoft YaHei"/>
            <w:color w:val="263238"/>
            <w:sz w:val="22"/>
            <w:noProof/>
          </w:rPr>
          <w:t xml:space="preserve">V.3 In-crisis diversion support</w:t>
        </w:r>
        <w:r>
          <w:rPr>
            <w:noProof/>
            <w:webHidden/>
          </w:rPr>
          <w:tab/>
        </w:r>
        <w:r>
          <w:rPr>
            <w:noProof/>
            <w:webHidden/>
          </w:rPr>
          <w:fldChar w:fldCharType="begin"/>
        </w:r>
        <w:r>
          <w:rPr>
            <w:noProof/>
            <w:webHidden/>
          </w:rPr>
          <w:instrText xml:space="preserve"> PAGEREF _Toc263100227 \h </w:instrText>
        </w:r>
        <w:r>
          <w:rPr>
            <w:noProof/>
            <w:webHidden/>
          </w:rPr>
          <w:fldChar w:fldCharType="separate"/>
        </w:r>
        <w:r>
          <w:rPr>
            <w:rFonts w:ascii="Georgia" w:hAnsi="Georgia" w:eastAsia="Microsoft YaHei"/>
            <w:color w:val="263238"/>
            <w:sz w:val="22"/>
            <w:noProof/>
            <w:webHidden/>
          </w:rPr>
          <w:t xml:space="preserve">131</w:t>
        </w:r>
        <w:r>
          <w:rPr>
            <w:noProof/>
            <w:webHidden/>
          </w:rPr>
          <w:fldChar w:fldCharType="end"/>
        </w:r>
      </w:hyperlink>
    </w:p>
    <w:p>
      <w:pPr>
        <w:pStyle w:val="TOC2"/>
      </w:pPr>
      <w:hyperlink w:anchor="_Toc263100228" w:history="1">
        <w:r>
          <w:rPr>
            <w:rFonts w:ascii="Georgia" w:hAnsi="Georgia" w:eastAsia="Microsoft YaHei"/>
            <w:color w:val="263238"/>
            <w:sz w:val="22"/>
            <w:noProof/>
          </w:rPr>
          <w:t xml:space="preserve">V.4 Corridor throughput capacity</w:t>
        </w:r>
        <w:r>
          <w:rPr>
            <w:noProof/>
            <w:webHidden/>
          </w:rPr>
          <w:tab/>
        </w:r>
        <w:r>
          <w:rPr>
            <w:noProof/>
            <w:webHidden/>
          </w:rPr>
          <w:fldChar w:fldCharType="begin"/>
        </w:r>
        <w:r>
          <w:rPr>
            <w:noProof/>
            <w:webHidden/>
          </w:rPr>
          <w:instrText xml:space="preserve"> PAGEREF _Toc263100228 \h </w:instrText>
        </w:r>
        <w:r>
          <w:rPr>
            <w:noProof/>
            <w:webHidden/>
          </w:rPr>
          <w:fldChar w:fldCharType="separate"/>
        </w:r>
        <w:r>
          <w:rPr>
            <w:rFonts w:ascii="Georgia" w:hAnsi="Georgia" w:eastAsia="Microsoft YaHei"/>
            <w:color w:val="263238"/>
            <w:sz w:val="22"/>
            <w:noProof/>
            <w:webHidden/>
          </w:rPr>
          <w:t xml:space="preserve">131</w:t>
        </w:r>
        <w:r>
          <w:rPr>
            <w:noProof/>
            <w:webHidden/>
          </w:rPr>
          <w:fldChar w:fldCharType="end"/>
        </w:r>
      </w:hyperlink>
    </w:p>
    <w:p>
      <w:pPr>
        <w:pStyle w:val="TOC2"/>
      </w:pPr>
      <w:hyperlink w:anchor="_Toc263100229" w:history="1">
        <w:r>
          <w:rPr>
            <w:rFonts w:ascii="Georgia" w:hAnsi="Georgia" w:eastAsia="Microsoft YaHei"/>
            <w:color w:val="263238"/>
            <w:sz w:val="22"/>
            <w:noProof/>
          </w:rPr>
          <w:t xml:space="preserve">V.5 Port approach coordination</w:t>
        </w:r>
        <w:r>
          <w:rPr>
            <w:noProof/>
            <w:webHidden/>
          </w:rPr>
          <w:tab/>
        </w:r>
        <w:r>
          <w:rPr>
            <w:noProof/>
            <w:webHidden/>
          </w:rPr>
          <w:fldChar w:fldCharType="begin"/>
        </w:r>
        <w:r>
          <w:rPr>
            <w:noProof/>
            <w:webHidden/>
          </w:rPr>
          <w:instrText xml:space="preserve"> PAGEREF _Toc263100229 \h </w:instrText>
        </w:r>
        <w:r>
          <w:rPr>
            <w:noProof/>
            <w:webHidden/>
          </w:rPr>
          <w:fldChar w:fldCharType="separate"/>
        </w:r>
        <w:r>
          <w:rPr>
            <w:rFonts w:ascii="Georgia" w:hAnsi="Georgia" w:eastAsia="Microsoft YaHei"/>
            <w:color w:val="263238"/>
            <w:sz w:val="22"/>
            <w:noProof/>
            <w:webHidden/>
          </w:rPr>
          <w:t xml:space="preserve">132</w:t>
        </w:r>
        <w:r>
          <w:rPr>
            <w:noProof/>
            <w:webHidden/>
          </w:rPr>
          <w:fldChar w:fldCharType="end"/>
        </w:r>
      </w:hyperlink>
    </w:p>
    <w:p>
      <w:pPr>
        <w:pStyle w:val="TOC2"/>
      </w:pPr>
      <w:hyperlink w:anchor="_Toc263100230" w:history="1">
        <w:r>
          <w:rPr>
            <w:rFonts w:ascii="Georgia" w:hAnsi="Georgia" w:eastAsia="Microsoft YaHei"/>
            <w:color w:val="263238"/>
            <w:sz w:val="22"/>
            <w:noProof/>
          </w:rPr>
          <w:t xml:space="preserve">V.6 Weather and visibility contingencies</w:t>
        </w:r>
        <w:r>
          <w:rPr>
            <w:noProof/>
            <w:webHidden/>
          </w:rPr>
          <w:tab/>
        </w:r>
        <w:r>
          <w:rPr>
            <w:noProof/>
            <w:webHidden/>
          </w:rPr>
          <w:fldChar w:fldCharType="begin"/>
        </w:r>
        <w:r>
          <w:rPr>
            <w:noProof/>
            <w:webHidden/>
          </w:rPr>
          <w:instrText xml:space="preserve"> PAGEREF _Toc263100230 \h </w:instrText>
        </w:r>
        <w:r>
          <w:rPr>
            <w:noProof/>
            <w:webHidden/>
          </w:rPr>
          <w:fldChar w:fldCharType="separate"/>
        </w:r>
        <w:r>
          <w:rPr>
            <w:rFonts w:ascii="Georgia" w:hAnsi="Georgia" w:eastAsia="Microsoft YaHei"/>
            <w:color w:val="263238"/>
            <w:sz w:val="22"/>
            <w:noProof/>
            <w:webHidden/>
          </w:rPr>
          <w:t xml:space="preserve">132</w:t>
        </w:r>
        <w:r>
          <w:rPr>
            <w:noProof/>
            <w:webHidden/>
          </w:rPr>
          <w:fldChar w:fldCharType="end"/>
        </w:r>
      </w:hyperlink>
    </w:p>
    <w:p>
      <w:pPr>
        <w:pStyle w:val="TOC1"/>
      </w:pPr>
      <w:hyperlink w:anchor="_Toc263100231" w:history="1">
        <w:r>
          <w:rPr>
            <w:rFonts w:ascii="Georgia" w:hAnsi="Georgia" w:eastAsia="Microsoft YaHei"/>
            <w:color w:val="263238"/>
            <w:sz w:val="22"/>
            <w:noProof/>
          </w:rPr>
          <w:t xml:space="preserve">Annex W: Training, Accreditation, and Personnel Standards</w:t>
        </w:r>
        <w:r>
          <w:rPr>
            <w:noProof/>
            <w:webHidden/>
          </w:rPr>
          <w:tab/>
        </w:r>
        <w:r>
          <w:rPr>
            <w:noProof/>
            <w:webHidden/>
          </w:rPr>
          <w:fldChar w:fldCharType="begin"/>
        </w:r>
        <w:r>
          <w:rPr>
            <w:noProof/>
            <w:webHidden/>
          </w:rPr>
          <w:instrText xml:space="preserve"> PAGEREF _Toc263100231 \h </w:instrText>
        </w:r>
        <w:r>
          <w:rPr>
            <w:noProof/>
            <w:webHidden/>
          </w:rPr>
          <w:fldChar w:fldCharType="separate"/>
        </w:r>
        <w:r>
          <w:rPr>
            <w:rFonts w:ascii="Georgia" w:hAnsi="Georgia" w:eastAsia="Microsoft YaHei"/>
            <w:color w:val="263238"/>
            <w:sz w:val="22"/>
            <w:noProof/>
            <w:webHidden/>
          </w:rPr>
          <w:t xml:space="preserve">133</w:t>
        </w:r>
        <w:r>
          <w:rPr>
            <w:noProof/>
            <w:webHidden/>
          </w:rPr>
          <w:fldChar w:fldCharType="end"/>
        </w:r>
      </w:hyperlink>
    </w:p>
    <w:p>
      <w:pPr>
        <w:pStyle w:val="TOC2"/>
      </w:pPr>
      <w:hyperlink w:anchor="_Toc263100232" w:history="1">
        <w:r>
          <w:rPr>
            <w:rFonts w:ascii="Georgia" w:hAnsi="Georgia" w:eastAsia="Microsoft YaHei"/>
            <w:color w:val="263238"/>
            <w:sz w:val="22"/>
            <w:noProof/>
          </w:rPr>
          <w:t xml:space="preserve">W.1 The people standard</w:t>
        </w:r>
        <w:r>
          <w:rPr>
            <w:noProof/>
            <w:webHidden/>
          </w:rPr>
          <w:tab/>
        </w:r>
        <w:r>
          <w:rPr>
            <w:noProof/>
            <w:webHidden/>
          </w:rPr>
          <w:fldChar w:fldCharType="begin"/>
        </w:r>
        <w:r>
          <w:rPr>
            <w:noProof/>
            <w:webHidden/>
          </w:rPr>
          <w:instrText xml:space="preserve"> PAGEREF _Toc263100232 \h </w:instrText>
        </w:r>
        <w:r>
          <w:rPr>
            <w:noProof/>
            <w:webHidden/>
          </w:rPr>
          <w:fldChar w:fldCharType="separate"/>
        </w:r>
        <w:r>
          <w:rPr>
            <w:rFonts w:ascii="Georgia" w:hAnsi="Georgia" w:eastAsia="Microsoft YaHei"/>
            <w:color w:val="263238"/>
            <w:sz w:val="22"/>
            <w:noProof/>
            <w:webHidden/>
          </w:rPr>
          <w:t xml:space="preserve">133</w:t>
        </w:r>
        <w:r>
          <w:rPr>
            <w:noProof/>
            <w:webHidden/>
          </w:rPr>
          <w:fldChar w:fldCharType="end"/>
        </w:r>
      </w:hyperlink>
    </w:p>
    <w:p>
      <w:pPr>
        <w:pStyle w:val="TOC2"/>
      </w:pPr>
      <w:hyperlink w:anchor="_Toc263100233" w:history="1">
        <w:r>
          <w:rPr>
            <w:rFonts w:ascii="Georgia" w:hAnsi="Georgia" w:eastAsia="Microsoft YaHei"/>
            <w:color w:val="263238"/>
            <w:sz w:val="22"/>
            <w:noProof/>
          </w:rPr>
          <w:t xml:space="preserve">W.2 Role curricula</w:t>
        </w:r>
        <w:r>
          <w:rPr>
            <w:noProof/>
            <w:webHidden/>
          </w:rPr>
          <w:tab/>
        </w:r>
        <w:r>
          <w:rPr>
            <w:noProof/>
            <w:webHidden/>
          </w:rPr>
          <w:fldChar w:fldCharType="begin"/>
        </w:r>
        <w:r>
          <w:rPr>
            <w:noProof/>
            <w:webHidden/>
          </w:rPr>
          <w:instrText xml:space="preserve"> PAGEREF _Toc263100233 \h </w:instrText>
        </w:r>
        <w:r>
          <w:rPr>
            <w:noProof/>
            <w:webHidden/>
          </w:rPr>
          <w:fldChar w:fldCharType="separate"/>
        </w:r>
        <w:r>
          <w:rPr>
            <w:rFonts w:ascii="Georgia" w:hAnsi="Georgia" w:eastAsia="Microsoft YaHei"/>
            <w:color w:val="263238"/>
            <w:sz w:val="22"/>
            <w:noProof/>
            <w:webHidden/>
          </w:rPr>
          <w:t xml:space="preserve">133</w:t>
        </w:r>
        <w:r>
          <w:rPr>
            <w:noProof/>
            <w:webHidden/>
          </w:rPr>
          <w:fldChar w:fldCharType="end"/>
        </w:r>
      </w:hyperlink>
    </w:p>
    <w:p>
      <w:pPr>
        <w:pStyle w:val="TOC2"/>
      </w:pPr>
      <w:hyperlink w:anchor="_Toc263100234" w:history="1">
        <w:r>
          <w:rPr>
            <w:rFonts w:ascii="Georgia" w:hAnsi="Georgia" w:eastAsia="Microsoft YaHei"/>
            <w:color w:val="263238"/>
            <w:sz w:val="22"/>
            <w:noProof/>
          </w:rPr>
          <w:t xml:space="preserve">W.3 Cross-training and the parity dividend</w:t>
        </w:r>
        <w:r>
          <w:rPr>
            <w:noProof/>
            <w:webHidden/>
          </w:rPr>
          <w:tab/>
        </w:r>
        <w:r>
          <w:rPr>
            <w:noProof/>
            <w:webHidden/>
          </w:rPr>
          <w:fldChar w:fldCharType="begin"/>
        </w:r>
        <w:r>
          <w:rPr>
            <w:noProof/>
            <w:webHidden/>
          </w:rPr>
          <w:instrText xml:space="preserve"> PAGEREF _Toc263100234 \h </w:instrText>
        </w:r>
        <w:r>
          <w:rPr>
            <w:noProof/>
            <w:webHidden/>
          </w:rPr>
          <w:fldChar w:fldCharType="separate"/>
        </w:r>
        <w:r>
          <w:rPr>
            <w:rFonts w:ascii="Georgia" w:hAnsi="Georgia" w:eastAsia="Microsoft YaHei"/>
            <w:color w:val="263238"/>
            <w:sz w:val="22"/>
            <w:noProof/>
            <w:webHidden/>
          </w:rPr>
          <w:t xml:space="preserve">133</w:t>
        </w:r>
        <w:r>
          <w:rPr>
            <w:noProof/>
            <w:webHidden/>
          </w:rPr>
          <w:fldChar w:fldCharType="end"/>
        </w:r>
      </w:hyperlink>
    </w:p>
    <w:p>
      <w:pPr>
        <w:pStyle w:val="TOC2"/>
      </w:pPr>
      <w:hyperlink w:anchor="_Toc263100235" w:history="1">
        <w:r>
          <w:rPr>
            <w:rFonts w:ascii="Georgia" w:hAnsi="Georgia" w:eastAsia="Microsoft YaHei"/>
            <w:color w:val="263238"/>
            <w:sz w:val="22"/>
            <w:noProof/>
          </w:rPr>
          <w:t xml:space="preserve">W.4 Currency and refresher rules</w:t>
        </w:r>
        <w:r>
          <w:rPr>
            <w:noProof/>
            <w:webHidden/>
          </w:rPr>
          <w:tab/>
        </w:r>
        <w:r>
          <w:rPr>
            <w:noProof/>
            <w:webHidden/>
          </w:rPr>
          <w:fldChar w:fldCharType="begin"/>
        </w:r>
        <w:r>
          <w:rPr>
            <w:noProof/>
            <w:webHidden/>
          </w:rPr>
          <w:instrText xml:space="preserve"> PAGEREF _Toc263100235 \h </w:instrText>
        </w:r>
        <w:r>
          <w:rPr>
            <w:noProof/>
            <w:webHidden/>
          </w:rPr>
          <w:fldChar w:fldCharType="separate"/>
        </w:r>
        <w:r>
          <w:rPr>
            <w:rFonts w:ascii="Georgia" w:hAnsi="Georgia" w:eastAsia="Microsoft YaHei"/>
            <w:color w:val="263238"/>
            <w:sz w:val="22"/>
            <w:noProof/>
            <w:webHidden/>
          </w:rPr>
          <w:t xml:space="preserve">133</w:t>
        </w:r>
        <w:r>
          <w:rPr>
            <w:noProof/>
            <w:webHidden/>
          </w:rPr>
          <w:fldChar w:fldCharType="end"/>
        </w:r>
      </w:hyperlink>
    </w:p>
    <w:p>
      <w:pPr>
        <w:pStyle w:val="TOC2"/>
      </w:pPr>
      <w:hyperlink w:anchor="_Toc263100236" w:history="1">
        <w:r>
          <w:rPr>
            <w:rFonts w:ascii="Georgia" w:hAnsi="Georgia" w:eastAsia="Microsoft YaHei"/>
            <w:color w:val="263238"/>
            <w:sz w:val="22"/>
            <w:noProof/>
          </w:rPr>
          <w:t xml:space="preserve">W.5 Language competency</w:t>
        </w:r>
        <w:r>
          <w:rPr>
            <w:noProof/>
            <w:webHidden/>
          </w:rPr>
          <w:tab/>
        </w:r>
        <w:r>
          <w:rPr>
            <w:noProof/>
            <w:webHidden/>
          </w:rPr>
          <w:fldChar w:fldCharType="begin"/>
        </w:r>
        <w:r>
          <w:rPr>
            <w:noProof/>
            <w:webHidden/>
          </w:rPr>
          <w:instrText xml:space="preserve"> PAGEREF _Toc263100236 \h </w:instrText>
        </w:r>
        <w:r>
          <w:rPr>
            <w:noProof/>
            <w:webHidden/>
          </w:rPr>
          <w:fldChar w:fldCharType="separate"/>
        </w:r>
        <w:r>
          <w:rPr>
            <w:rFonts w:ascii="Georgia" w:hAnsi="Georgia" w:eastAsia="Microsoft YaHei"/>
            <w:color w:val="263238"/>
            <w:sz w:val="22"/>
            <w:noProof/>
            <w:webHidden/>
          </w:rPr>
          <w:t xml:space="preserve">134</w:t>
        </w:r>
        <w:r>
          <w:rPr>
            <w:noProof/>
            <w:webHidden/>
          </w:rPr>
          <w:fldChar w:fldCharType="end"/>
        </w:r>
      </w:hyperlink>
    </w:p>
    <w:p>
      <w:pPr>
        <w:pStyle w:val="TOC2"/>
      </w:pPr>
      <w:hyperlink w:anchor="_Toc263100237" w:history="1">
        <w:r>
          <w:rPr>
            <w:rFonts w:ascii="Georgia" w:hAnsi="Georgia" w:eastAsia="Microsoft YaHei"/>
            <w:color w:val="263238"/>
            <w:sz w:val="22"/>
            <w:noProof/>
          </w:rPr>
          <w:t xml:space="preserve">W.6 Conduct and conflict-of-interest rules</w:t>
        </w:r>
        <w:r>
          <w:rPr>
            <w:noProof/>
            <w:webHidden/>
          </w:rPr>
          <w:tab/>
        </w:r>
        <w:r>
          <w:rPr>
            <w:noProof/>
            <w:webHidden/>
          </w:rPr>
          <w:fldChar w:fldCharType="begin"/>
        </w:r>
        <w:r>
          <w:rPr>
            <w:noProof/>
            <w:webHidden/>
          </w:rPr>
          <w:instrText xml:space="preserve"> PAGEREF _Toc263100237 \h </w:instrText>
        </w:r>
        <w:r>
          <w:rPr>
            <w:noProof/>
            <w:webHidden/>
          </w:rPr>
          <w:fldChar w:fldCharType="separate"/>
        </w:r>
        <w:r>
          <w:rPr>
            <w:rFonts w:ascii="Georgia" w:hAnsi="Georgia" w:eastAsia="Microsoft YaHei"/>
            <w:color w:val="263238"/>
            <w:sz w:val="22"/>
            <w:noProof/>
            <w:webHidden/>
          </w:rPr>
          <w:t xml:space="preserve">134</w:t>
        </w:r>
        <w:r>
          <w:rPr>
            <w:noProof/>
            <w:webHidden/>
          </w:rPr>
          <w:fldChar w:fldCharType="end"/>
        </w:r>
      </w:hyperlink>
    </w:p>
    <w:p>
      <w:pPr>
        <w:pStyle w:val="TOC2"/>
      </w:pPr>
      <w:hyperlink w:anchor="_Toc263100238" w:history="1">
        <w:r>
          <w:rPr>
            <w:rFonts w:ascii="Georgia" w:hAnsi="Georgia" w:eastAsia="Microsoft YaHei"/>
            <w:color w:val="263238"/>
            <w:sz w:val="22"/>
            <w:noProof/>
          </w:rPr>
          <w:t xml:space="preserve">W.7 The exchange program with the industry</w:t>
        </w:r>
        <w:r>
          <w:rPr>
            <w:noProof/>
            <w:webHidden/>
          </w:rPr>
          <w:tab/>
        </w:r>
        <w:r>
          <w:rPr>
            <w:noProof/>
            <w:webHidden/>
          </w:rPr>
          <w:fldChar w:fldCharType="begin"/>
        </w:r>
        <w:r>
          <w:rPr>
            <w:noProof/>
            <w:webHidden/>
          </w:rPr>
          <w:instrText xml:space="preserve"> PAGEREF _Toc263100238 \h </w:instrText>
        </w:r>
        <w:r>
          <w:rPr>
            <w:noProof/>
            <w:webHidden/>
          </w:rPr>
          <w:fldChar w:fldCharType="separate"/>
        </w:r>
        <w:r>
          <w:rPr>
            <w:rFonts w:ascii="Georgia" w:hAnsi="Georgia" w:eastAsia="Microsoft YaHei"/>
            <w:color w:val="263238"/>
            <w:sz w:val="22"/>
            <w:noProof/>
            <w:webHidden/>
          </w:rPr>
          <w:t xml:space="preserve">134</w:t>
        </w:r>
        <w:r>
          <w:rPr>
            <w:noProof/>
            <w:webHidden/>
          </w:rPr>
          <w:fldChar w:fldCharType="end"/>
        </w:r>
      </w:hyperlink>
    </w:p>
    <w:p>
      <w:pPr>
        <w:pStyle w:val="TOC2"/>
      </w:pPr>
      <w:hyperlink w:anchor="_Toc263100239" w:history="1">
        <w:r>
          <w:rPr>
            <w:rFonts w:ascii="Georgia" w:hAnsi="Georgia" w:eastAsia="Microsoft YaHei"/>
            <w:color w:val="263238"/>
            <w:sz w:val="22"/>
            <w:noProof/>
          </w:rPr>
          <w:t xml:space="preserve">W.8 The Excellence in Boring Certification</w:t>
        </w:r>
        <w:r>
          <w:rPr>
            <w:noProof/>
            <w:webHidden/>
          </w:rPr>
          <w:tab/>
        </w:r>
        <w:r>
          <w:rPr>
            <w:noProof/>
            <w:webHidden/>
          </w:rPr>
          <w:fldChar w:fldCharType="begin"/>
        </w:r>
        <w:r>
          <w:rPr>
            <w:noProof/>
            <w:webHidden/>
          </w:rPr>
          <w:instrText xml:space="preserve"> PAGEREF _Toc263100239 \h </w:instrText>
        </w:r>
        <w:r>
          <w:rPr>
            <w:noProof/>
            <w:webHidden/>
          </w:rPr>
          <w:fldChar w:fldCharType="separate"/>
        </w:r>
        <w:r>
          <w:rPr>
            <w:rFonts w:ascii="Georgia" w:hAnsi="Georgia" w:eastAsia="Microsoft YaHei"/>
            <w:color w:val="263238"/>
            <w:sz w:val="22"/>
            <w:noProof/>
            <w:webHidden/>
          </w:rPr>
          <w:t xml:space="preserve">134</w:t>
        </w:r>
        <w:r>
          <w:rPr>
            <w:noProof/>
            <w:webHidden/>
          </w:rPr>
          <w:fldChar w:fldCharType="end"/>
        </w:r>
      </w:hyperlink>
    </w:p>
    <w:p>
      <w:pPr>
        <w:pStyle w:val="TOC1"/>
      </w:pPr>
      <w:hyperlink w:anchor="_Toc263100240" w:history="1">
        <w:r>
          <w:rPr>
            <w:rFonts w:ascii="Georgia" w:hAnsi="Georgia" w:eastAsia="Microsoft YaHei"/>
            <w:color w:val="263238"/>
            <w:sz w:val="22"/>
            <w:noProof/>
          </w:rPr>
          <w:t xml:space="preserve">Annex X: Communications and Public Information Protocol</w:t>
        </w:r>
        <w:r>
          <w:rPr>
            <w:noProof/>
            <w:webHidden/>
          </w:rPr>
          <w:tab/>
        </w:r>
        <w:r>
          <w:rPr>
            <w:noProof/>
            <w:webHidden/>
          </w:rPr>
          <w:fldChar w:fldCharType="begin"/>
        </w:r>
        <w:r>
          <w:rPr>
            <w:noProof/>
            <w:webHidden/>
          </w:rPr>
          <w:instrText xml:space="preserve"> PAGEREF _Toc263100240 \h </w:instrText>
        </w:r>
        <w:r>
          <w:rPr>
            <w:noProof/>
            <w:webHidden/>
          </w:rPr>
          <w:fldChar w:fldCharType="separate"/>
        </w:r>
        <w:r>
          <w:rPr>
            <w:rFonts w:ascii="Georgia" w:hAnsi="Georgia" w:eastAsia="Microsoft YaHei"/>
            <w:color w:val="263238"/>
            <w:sz w:val="22"/>
            <w:noProof/>
            <w:webHidden/>
          </w:rPr>
          <w:t xml:space="preserve">135</w:t>
        </w:r>
        <w:r>
          <w:rPr>
            <w:noProof/>
            <w:webHidden/>
          </w:rPr>
          <w:fldChar w:fldCharType="end"/>
        </w:r>
      </w:hyperlink>
    </w:p>
    <w:p>
      <w:pPr>
        <w:pStyle w:val="TOC2"/>
      </w:pPr>
      <w:hyperlink w:anchor="_Toc263100241" w:history="1">
        <w:r>
          <w:rPr>
            <w:rFonts w:ascii="Georgia" w:hAnsi="Georgia" w:eastAsia="Microsoft YaHei"/>
            <w:color w:val="263238"/>
            <w:sz w:val="22"/>
            <w:noProof/>
          </w:rPr>
          <w:t xml:space="preserve">X.1 The single voice rule</w:t>
        </w:r>
        <w:r>
          <w:rPr>
            <w:noProof/>
            <w:webHidden/>
          </w:rPr>
          <w:tab/>
        </w:r>
        <w:r>
          <w:rPr>
            <w:noProof/>
            <w:webHidden/>
          </w:rPr>
          <w:fldChar w:fldCharType="begin"/>
        </w:r>
        <w:r>
          <w:rPr>
            <w:noProof/>
            <w:webHidden/>
          </w:rPr>
          <w:instrText xml:space="preserve"> PAGEREF _Toc263100241 \h </w:instrText>
        </w:r>
        <w:r>
          <w:rPr>
            <w:noProof/>
            <w:webHidden/>
          </w:rPr>
          <w:fldChar w:fldCharType="separate"/>
        </w:r>
        <w:r>
          <w:rPr>
            <w:rFonts w:ascii="Georgia" w:hAnsi="Georgia" w:eastAsia="Microsoft YaHei"/>
            <w:color w:val="263238"/>
            <w:sz w:val="22"/>
            <w:noProof/>
            <w:webHidden/>
          </w:rPr>
          <w:t xml:space="preserve">135</w:t>
        </w:r>
        <w:r>
          <w:rPr>
            <w:noProof/>
            <w:webHidden/>
          </w:rPr>
          <w:fldChar w:fldCharType="end"/>
        </w:r>
      </w:hyperlink>
    </w:p>
    <w:p>
      <w:pPr>
        <w:pStyle w:val="TOC2"/>
      </w:pPr>
      <w:hyperlink w:anchor="_Toc263100242" w:history="1">
        <w:r>
          <w:rPr>
            <w:rFonts w:ascii="Georgia" w:hAnsi="Georgia" w:eastAsia="Microsoft YaHei"/>
            <w:color w:val="263238"/>
            <w:sz w:val="22"/>
            <w:noProof/>
          </w:rPr>
          <w:t xml:space="preserve">X.2 Crisis communication</w:t>
        </w:r>
        <w:r>
          <w:rPr>
            <w:noProof/>
            <w:webHidden/>
          </w:rPr>
          <w:tab/>
        </w:r>
        <w:r>
          <w:rPr>
            <w:noProof/>
            <w:webHidden/>
          </w:rPr>
          <w:fldChar w:fldCharType="begin"/>
        </w:r>
        <w:r>
          <w:rPr>
            <w:noProof/>
            <w:webHidden/>
          </w:rPr>
          <w:instrText xml:space="preserve"> PAGEREF _Toc263100242 \h </w:instrText>
        </w:r>
        <w:r>
          <w:rPr>
            <w:noProof/>
            <w:webHidden/>
          </w:rPr>
          <w:fldChar w:fldCharType="separate"/>
        </w:r>
        <w:r>
          <w:rPr>
            <w:rFonts w:ascii="Georgia" w:hAnsi="Georgia" w:eastAsia="Microsoft YaHei"/>
            <w:color w:val="263238"/>
            <w:sz w:val="22"/>
            <w:noProof/>
            <w:webHidden/>
          </w:rPr>
          <w:t xml:space="preserve">135</w:t>
        </w:r>
        <w:r>
          <w:rPr>
            <w:noProof/>
            <w:webHidden/>
          </w:rPr>
          <w:fldChar w:fldCharType="end"/>
        </w:r>
      </w:hyperlink>
    </w:p>
    <w:p>
      <w:pPr>
        <w:pStyle w:val="TOC2"/>
      </w:pPr>
      <w:hyperlink w:anchor="_Toc263100243" w:history="1">
        <w:r>
          <w:rPr>
            <w:rFonts w:ascii="Georgia" w:hAnsi="Georgia" w:eastAsia="Microsoft YaHei"/>
            <w:color w:val="263238"/>
            <w:sz w:val="22"/>
            <w:noProof/>
          </w:rPr>
          <w:t xml:space="preserve">X.3 The rumor response desk</w:t>
        </w:r>
        <w:r>
          <w:rPr>
            <w:noProof/>
            <w:webHidden/>
          </w:rPr>
          <w:tab/>
        </w:r>
        <w:r>
          <w:rPr>
            <w:noProof/>
            <w:webHidden/>
          </w:rPr>
          <w:fldChar w:fldCharType="begin"/>
        </w:r>
        <w:r>
          <w:rPr>
            <w:noProof/>
            <w:webHidden/>
          </w:rPr>
          <w:instrText xml:space="preserve"> PAGEREF _Toc263100243 \h </w:instrText>
        </w:r>
        <w:r>
          <w:rPr>
            <w:noProof/>
            <w:webHidden/>
          </w:rPr>
          <w:fldChar w:fldCharType="separate"/>
        </w:r>
        <w:r>
          <w:rPr>
            <w:rFonts w:ascii="Georgia" w:hAnsi="Georgia" w:eastAsia="Microsoft YaHei"/>
            <w:color w:val="263238"/>
            <w:sz w:val="22"/>
            <w:noProof/>
            <w:webHidden/>
          </w:rPr>
          <w:t xml:space="preserve">135</w:t>
        </w:r>
        <w:r>
          <w:rPr>
            <w:noProof/>
            <w:webHidden/>
          </w:rPr>
          <w:fldChar w:fldCharType="end"/>
        </w:r>
      </w:hyperlink>
    </w:p>
    <w:p>
      <w:pPr>
        <w:pStyle w:val="TOC2"/>
      </w:pPr>
      <w:hyperlink w:anchor="_Toc263100244" w:history="1">
        <w:r>
          <w:rPr>
            <w:rFonts w:ascii="Georgia" w:hAnsi="Georgia" w:eastAsia="Microsoft YaHei"/>
            <w:color w:val="263238"/>
            <w:sz w:val="22"/>
            <w:noProof/>
          </w:rPr>
          <w:t xml:space="preserve">X.4 Multilingual publication</w:t>
        </w:r>
        <w:r>
          <w:rPr>
            <w:noProof/>
            <w:webHidden/>
          </w:rPr>
          <w:tab/>
        </w:r>
        <w:r>
          <w:rPr>
            <w:noProof/>
            <w:webHidden/>
          </w:rPr>
          <w:fldChar w:fldCharType="begin"/>
        </w:r>
        <w:r>
          <w:rPr>
            <w:noProof/>
            <w:webHidden/>
          </w:rPr>
          <w:instrText xml:space="preserve"> PAGEREF _Toc263100244 \h </w:instrText>
        </w:r>
        <w:r>
          <w:rPr>
            <w:noProof/>
            <w:webHidden/>
          </w:rPr>
          <w:fldChar w:fldCharType="separate"/>
        </w:r>
        <w:r>
          <w:rPr>
            <w:rFonts w:ascii="Georgia" w:hAnsi="Georgia" w:eastAsia="Microsoft YaHei"/>
            <w:color w:val="263238"/>
            <w:sz w:val="22"/>
            <w:noProof/>
            <w:webHidden/>
          </w:rPr>
          <w:t xml:space="preserve">135</w:t>
        </w:r>
        <w:r>
          <w:rPr>
            <w:noProof/>
            <w:webHidden/>
          </w:rPr>
          <w:fldChar w:fldCharType="end"/>
        </w:r>
      </w:hyperlink>
    </w:p>
    <w:p>
      <w:pPr>
        <w:pStyle w:val="TOC2"/>
      </w:pPr>
      <w:hyperlink w:anchor="_Toc263100245" w:history="1">
        <w:r>
          <w:rPr>
            <w:rFonts w:ascii="Georgia" w:hAnsi="Georgia" w:eastAsia="Microsoft YaHei"/>
            <w:color w:val="263238"/>
            <w:sz w:val="22"/>
            <w:noProof/>
          </w:rPr>
          <w:t xml:space="preserve">X.5 Media and researcher access</w:t>
        </w:r>
        <w:r>
          <w:rPr>
            <w:noProof/>
            <w:webHidden/>
          </w:rPr>
          <w:tab/>
        </w:r>
        <w:r>
          <w:rPr>
            <w:noProof/>
            <w:webHidden/>
          </w:rPr>
          <w:fldChar w:fldCharType="begin"/>
        </w:r>
        <w:r>
          <w:rPr>
            <w:noProof/>
            <w:webHidden/>
          </w:rPr>
          <w:instrText xml:space="preserve"> PAGEREF _Toc263100245 \h </w:instrText>
        </w:r>
        <w:r>
          <w:rPr>
            <w:noProof/>
            <w:webHidden/>
          </w:rPr>
          <w:fldChar w:fldCharType="separate"/>
        </w:r>
        <w:r>
          <w:rPr>
            <w:rFonts w:ascii="Georgia" w:hAnsi="Georgia" w:eastAsia="Microsoft YaHei"/>
            <w:color w:val="263238"/>
            <w:sz w:val="22"/>
            <w:noProof/>
            <w:webHidden/>
          </w:rPr>
          <w:t xml:space="preserve">135</w:t>
        </w:r>
        <w:r>
          <w:rPr>
            <w:noProof/>
            <w:webHidden/>
          </w:rPr>
          <w:fldChar w:fldCharType="end"/>
        </w:r>
      </w:hyperlink>
    </w:p>
    <w:p>
      <w:pPr>
        <w:pStyle w:val="TOC2"/>
      </w:pPr>
      <w:hyperlink w:anchor="_Toc263100246" w:history="1">
        <w:r>
          <w:rPr>
            <w:rFonts w:ascii="Georgia" w:hAnsi="Georgia" w:eastAsia="Microsoft YaHei"/>
            <w:color w:val="263238"/>
            <w:sz w:val="22"/>
            <w:noProof/>
          </w:rPr>
          <w:t xml:space="preserve">X.6 The One-Word Test for Public Statements</w:t>
        </w:r>
        <w:r>
          <w:rPr>
            <w:noProof/>
            <w:webHidden/>
          </w:rPr>
          <w:tab/>
        </w:r>
        <w:r>
          <w:rPr>
            <w:noProof/>
            <w:webHidden/>
          </w:rPr>
          <w:fldChar w:fldCharType="begin"/>
        </w:r>
        <w:r>
          <w:rPr>
            <w:noProof/>
            <w:webHidden/>
          </w:rPr>
          <w:instrText xml:space="preserve"> PAGEREF _Toc263100246 \h </w:instrText>
        </w:r>
        <w:r>
          <w:rPr>
            <w:noProof/>
            <w:webHidden/>
          </w:rPr>
          <w:fldChar w:fldCharType="separate"/>
        </w:r>
        <w:r>
          <w:rPr>
            <w:rFonts w:ascii="Georgia" w:hAnsi="Georgia" w:eastAsia="Microsoft YaHei"/>
            <w:color w:val="263238"/>
            <w:sz w:val="22"/>
            <w:noProof/>
            <w:webHidden/>
          </w:rPr>
          <w:t xml:space="preserve">136</w:t>
        </w:r>
        <w:r>
          <w:rPr>
            <w:noProof/>
            <w:webHidden/>
          </w:rPr>
          <w:fldChar w:fldCharType="end"/>
        </w:r>
      </w:hyperlink>
    </w:p>
    <w:p>
      <w:pPr>
        <w:pStyle w:val="TOC1"/>
      </w:pPr>
      <w:hyperlink w:anchor="_Toc263100247" w:history="1">
        <w:r>
          <w:rPr>
            <w:rFonts w:ascii="Georgia" w:hAnsi="Georgia" w:eastAsia="Microsoft YaHei"/>
            <w:color w:val="263238"/>
            <w:sz w:val="22"/>
            <w:noProof/>
          </w:rPr>
          <w:t xml:space="preserve">Annex Y: Frequently Raised Questions and Their Resolutions</w:t>
        </w:r>
        <w:r>
          <w:rPr>
            <w:noProof/>
            <w:webHidden/>
          </w:rPr>
          <w:tab/>
        </w:r>
        <w:r>
          <w:rPr>
            <w:noProof/>
            <w:webHidden/>
          </w:rPr>
          <w:fldChar w:fldCharType="begin"/>
        </w:r>
        <w:r>
          <w:rPr>
            <w:noProof/>
            <w:webHidden/>
          </w:rPr>
          <w:instrText xml:space="preserve"> PAGEREF _Toc263100247 \h </w:instrText>
        </w:r>
        <w:r>
          <w:rPr>
            <w:noProof/>
            <w:webHidden/>
          </w:rPr>
          <w:fldChar w:fldCharType="separate"/>
        </w:r>
        <w:r>
          <w:rPr>
            <w:rFonts w:ascii="Georgia" w:hAnsi="Georgia" w:eastAsia="Microsoft YaHei"/>
            <w:color w:val="263238"/>
            <w:sz w:val="22"/>
            <w:noProof/>
            <w:webHidden/>
          </w:rPr>
          <w:t xml:space="preserve">137</w:t>
        </w:r>
        <w:r>
          <w:rPr>
            <w:noProof/>
            <w:webHidden/>
          </w:rPr>
          <w:fldChar w:fldCharType="end"/>
        </w:r>
      </w:hyperlink>
    </w:p>
    <w:p>
      <w:pPr>
        <w:pStyle w:val="TOC2"/>
      </w:pPr>
      <w:hyperlink w:anchor="_Toc263100248" w:history="1">
        <w:r>
          <w:rPr>
            <w:rFonts w:ascii="Georgia" w:hAnsi="Georgia" w:eastAsia="Microsoft YaHei"/>
            <w:color w:val="263238"/>
            <w:sz w:val="22"/>
            <w:noProof/>
          </w:rPr>
          <w:t xml:space="preserve">Y.1 Purpose</w:t>
        </w:r>
        <w:r>
          <w:rPr>
            <w:noProof/>
            <w:webHidden/>
          </w:rPr>
          <w:tab/>
        </w:r>
        <w:r>
          <w:rPr>
            <w:noProof/>
            <w:webHidden/>
          </w:rPr>
          <w:fldChar w:fldCharType="begin"/>
        </w:r>
        <w:r>
          <w:rPr>
            <w:noProof/>
            <w:webHidden/>
          </w:rPr>
          <w:instrText xml:space="preserve"> PAGEREF _Toc263100248 \h </w:instrText>
        </w:r>
        <w:r>
          <w:rPr>
            <w:noProof/>
            <w:webHidden/>
          </w:rPr>
          <w:fldChar w:fldCharType="separate"/>
        </w:r>
        <w:r>
          <w:rPr>
            <w:rFonts w:ascii="Georgia" w:hAnsi="Georgia" w:eastAsia="Microsoft YaHei"/>
            <w:color w:val="263238"/>
            <w:sz w:val="22"/>
            <w:noProof/>
            <w:webHidden/>
          </w:rPr>
          <w:t xml:space="preserve">137</w:t>
        </w:r>
        <w:r>
          <w:rPr>
            <w:noProof/>
            <w:webHidden/>
          </w:rPr>
          <w:fldChar w:fldCharType="end"/>
        </w:r>
      </w:hyperlink>
    </w:p>
    <w:p>
      <w:pPr>
        <w:pStyle w:val="TOC2"/>
      </w:pPr>
      <w:hyperlink w:anchor="_Toc263100249" w:history="1">
        <w:r>
          <w:rPr>
            <w:rFonts w:ascii="Georgia" w:hAnsi="Georgia" w:eastAsia="Microsoft YaHei"/>
            <w:color w:val="263238"/>
            <w:sz w:val="22"/>
            <w:noProof/>
          </w:rPr>
          <w:t xml:space="preserve">Y.2 Does the Accord charge for passage?</w:t>
        </w:r>
        <w:r>
          <w:rPr>
            <w:noProof/>
            <w:webHidden/>
          </w:rPr>
          <w:tab/>
        </w:r>
        <w:r>
          <w:rPr>
            <w:noProof/>
            <w:webHidden/>
          </w:rPr>
          <w:fldChar w:fldCharType="begin"/>
        </w:r>
        <w:r>
          <w:rPr>
            <w:noProof/>
            <w:webHidden/>
          </w:rPr>
          <w:instrText xml:space="preserve"> PAGEREF _Toc263100249 \h </w:instrText>
        </w:r>
        <w:r>
          <w:rPr>
            <w:noProof/>
            <w:webHidden/>
          </w:rPr>
          <w:fldChar w:fldCharType="separate"/>
        </w:r>
        <w:r>
          <w:rPr>
            <w:rFonts w:ascii="Georgia" w:hAnsi="Georgia" w:eastAsia="Microsoft YaHei"/>
            <w:color w:val="263238"/>
            <w:sz w:val="22"/>
            <w:noProof/>
            <w:webHidden/>
          </w:rPr>
          <w:t xml:space="preserve">137</w:t>
        </w:r>
        <w:r>
          <w:rPr>
            <w:noProof/>
            <w:webHidden/>
          </w:rPr>
          <w:fldChar w:fldCharType="end"/>
        </w:r>
      </w:hyperlink>
    </w:p>
    <w:p>
      <w:pPr>
        <w:pStyle w:val="TOC2"/>
      </w:pPr>
      <w:hyperlink w:anchor="_Toc263100250" w:history="1">
        <w:r>
          <w:rPr>
            <w:rFonts w:ascii="Georgia" w:hAnsi="Georgia" w:eastAsia="Microsoft YaHei"/>
            <w:color w:val="263238"/>
            <w:sz w:val="22"/>
            <w:noProof/>
          </w:rPr>
          <w:t xml:space="preserve">Y.3 Who controls the strait?</w:t>
        </w:r>
        <w:r>
          <w:rPr>
            <w:noProof/>
            <w:webHidden/>
          </w:rPr>
          <w:tab/>
        </w:r>
        <w:r>
          <w:rPr>
            <w:noProof/>
            <w:webHidden/>
          </w:rPr>
          <w:fldChar w:fldCharType="begin"/>
        </w:r>
        <w:r>
          <w:rPr>
            <w:noProof/>
            <w:webHidden/>
          </w:rPr>
          <w:instrText xml:space="preserve"> PAGEREF _Toc263100250 \h </w:instrText>
        </w:r>
        <w:r>
          <w:rPr>
            <w:noProof/>
            <w:webHidden/>
          </w:rPr>
          <w:fldChar w:fldCharType="separate"/>
        </w:r>
        <w:r>
          <w:rPr>
            <w:rFonts w:ascii="Georgia" w:hAnsi="Georgia" w:eastAsia="Microsoft YaHei"/>
            <w:color w:val="263238"/>
            <w:sz w:val="22"/>
            <w:noProof/>
            <w:webHidden/>
          </w:rPr>
          <w:t xml:space="preserve">137</w:t>
        </w:r>
        <w:r>
          <w:rPr>
            <w:noProof/>
            <w:webHidden/>
          </w:rPr>
          <w:fldChar w:fldCharType="end"/>
        </w:r>
      </w:hyperlink>
    </w:p>
    <w:p>
      <w:pPr>
        <w:pStyle w:val="TOC2"/>
      </w:pPr>
      <w:hyperlink w:anchor="_Toc263100251" w:history="1">
        <w:r>
          <w:rPr>
            <w:rFonts w:ascii="Georgia" w:hAnsi="Georgia" w:eastAsia="Microsoft YaHei"/>
            <w:color w:val="263238"/>
            <w:sz w:val="22"/>
            <w:noProof/>
          </w:rPr>
          <w:t xml:space="preserve">Y.4 What happens if relations between the Parties deteriorate?</w:t>
        </w:r>
        <w:r>
          <w:rPr>
            <w:noProof/>
            <w:webHidden/>
          </w:rPr>
          <w:tab/>
        </w:r>
        <w:r>
          <w:rPr>
            <w:noProof/>
            <w:webHidden/>
          </w:rPr>
          <w:fldChar w:fldCharType="begin"/>
        </w:r>
        <w:r>
          <w:rPr>
            <w:noProof/>
            <w:webHidden/>
          </w:rPr>
          <w:instrText xml:space="preserve"> PAGEREF _Toc263100251 \h </w:instrText>
        </w:r>
        <w:r>
          <w:rPr>
            <w:noProof/>
            <w:webHidden/>
          </w:rPr>
          <w:fldChar w:fldCharType="separate"/>
        </w:r>
        <w:r>
          <w:rPr>
            <w:rFonts w:ascii="Georgia" w:hAnsi="Georgia" w:eastAsia="Microsoft YaHei"/>
            <w:color w:val="263238"/>
            <w:sz w:val="22"/>
            <w:noProof/>
            <w:webHidden/>
          </w:rPr>
          <w:t xml:space="preserve">137</w:t>
        </w:r>
        <w:r>
          <w:rPr>
            <w:noProof/>
            <w:webHidden/>
          </w:rPr>
          <w:fldChar w:fldCharType="end"/>
        </w:r>
      </w:hyperlink>
    </w:p>
    <w:p>
      <w:pPr>
        <w:pStyle w:val="TOC2"/>
      </w:pPr>
      <w:hyperlink w:anchor="_Toc263100252" w:history="1">
        <w:r>
          <w:rPr>
            <w:rFonts w:ascii="Georgia" w:hAnsi="Georgia" w:eastAsia="Microsoft YaHei"/>
            <w:color w:val="263238"/>
            <w:sz w:val="22"/>
            <w:noProof/>
          </w:rPr>
          <w:t xml:space="preserve">Y.5 How does the Accord satisfy sanctions law?</w:t>
        </w:r>
        <w:r>
          <w:rPr>
            <w:noProof/>
            <w:webHidden/>
          </w:rPr>
          <w:tab/>
        </w:r>
        <w:r>
          <w:rPr>
            <w:noProof/>
            <w:webHidden/>
          </w:rPr>
          <w:fldChar w:fldCharType="begin"/>
        </w:r>
        <w:r>
          <w:rPr>
            <w:noProof/>
            <w:webHidden/>
          </w:rPr>
          <w:instrText xml:space="preserve"> PAGEREF _Toc263100252 \h </w:instrText>
        </w:r>
        <w:r>
          <w:rPr>
            <w:noProof/>
            <w:webHidden/>
          </w:rPr>
          <w:fldChar w:fldCharType="separate"/>
        </w:r>
        <w:r>
          <w:rPr>
            <w:rFonts w:ascii="Georgia" w:hAnsi="Georgia" w:eastAsia="Microsoft YaHei"/>
            <w:color w:val="263238"/>
            <w:sz w:val="22"/>
            <w:noProof/>
            <w:webHidden/>
          </w:rPr>
          <w:t xml:space="preserve">138</w:t>
        </w:r>
        <w:r>
          <w:rPr>
            <w:noProof/>
            <w:webHidden/>
          </w:rPr>
          <w:fldChar w:fldCharType="end"/>
        </w:r>
      </w:hyperlink>
    </w:p>
    <w:p>
      <w:pPr>
        <w:pStyle w:val="TOC2"/>
      </w:pPr>
      <w:hyperlink w:anchor="_Toc263100253" w:history="1">
        <w:r>
          <w:rPr>
            <w:rFonts w:ascii="Georgia" w:hAnsi="Georgia" w:eastAsia="Microsoft YaHei"/>
            <w:color w:val="263238"/>
            <w:sz w:val="22"/>
            <w:noProof/>
          </w:rPr>
          <w:t xml:space="preserve">Y.6 What stops a Party from closing the strait again?</w:t>
        </w:r>
        <w:r>
          <w:rPr>
            <w:noProof/>
            <w:webHidden/>
          </w:rPr>
          <w:tab/>
        </w:r>
        <w:r>
          <w:rPr>
            <w:noProof/>
            <w:webHidden/>
          </w:rPr>
          <w:fldChar w:fldCharType="begin"/>
        </w:r>
        <w:r>
          <w:rPr>
            <w:noProof/>
            <w:webHidden/>
          </w:rPr>
          <w:instrText xml:space="preserve"> PAGEREF _Toc263100253 \h </w:instrText>
        </w:r>
        <w:r>
          <w:rPr>
            <w:noProof/>
            <w:webHidden/>
          </w:rPr>
          <w:fldChar w:fldCharType="separate"/>
        </w:r>
        <w:r>
          <w:rPr>
            <w:rFonts w:ascii="Georgia" w:hAnsi="Georgia" w:eastAsia="Microsoft YaHei"/>
            <w:color w:val="263238"/>
            <w:sz w:val="22"/>
            <w:noProof/>
            <w:webHidden/>
          </w:rPr>
          <w:t xml:space="preserve">138</w:t>
        </w:r>
        <w:r>
          <w:rPr>
            <w:noProof/>
            <w:webHidden/>
          </w:rPr>
          <w:fldChar w:fldCharType="end"/>
        </w:r>
      </w:hyperlink>
    </w:p>
    <w:p>
      <w:pPr>
        <w:pStyle w:val="TOC2"/>
      </w:pPr>
      <w:hyperlink w:anchor="_Toc263100254" w:history="1">
        <w:r>
          <w:rPr>
            <w:rFonts w:ascii="Georgia" w:hAnsi="Georgia" w:eastAsia="Microsoft YaHei"/>
            <w:color w:val="263238"/>
            <w:sz w:val="22"/>
            <w:noProof/>
          </w:rPr>
          <w:t xml:space="preserve">Y.7 Why does the United States hold no command role?</w:t>
        </w:r>
        <w:r>
          <w:rPr>
            <w:noProof/>
            <w:webHidden/>
          </w:rPr>
          <w:tab/>
        </w:r>
        <w:r>
          <w:rPr>
            <w:noProof/>
            <w:webHidden/>
          </w:rPr>
          <w:fldChar w:fldCharType="begin"/>
        </w:r>
        <w:r>
          <w:rPr>
            <w:noProof/>
            <w:webHidden/>
          </w:rPr>
          <w:instrText xml:space="preserve"> PAGEREF _Toc263100254 \h </w:instrText>
        </w:r>
        <w:r>
          <w:rPr>
            <w:noProof/>
            <w:webHidden/>
          </w:rPr>
          <w:fldChar w:fldCharType="separate"/>
        </w:r>
        <w:r>
          <w:rPr>
            <w:rFonts w:ascii="Georgia" w:hAnsi="Georgia" w:eastAsia="Microsoft YaHei"/>
            <w:color w:val="263238"/>
            <w:sz w:val="22"/>
            <w:noProof/>
            <w:webHidden/>
          </w:rPr>
          <w:t xml:space="preserve">138</w:t>
        </w:r>
        <w:r>
          <w:rPr>
            <w:noProof/>
            <w:webHidden/>
          </w:rPr>
          <w:fldChar w:fldCharType="end"/>
        </w:r>
      </w:hyperlink>
    </w:p>
    <w:p>
      <w:pPr>
        <w:pStyle w:val="TOC2"/>
      </w:pPr>
      <w:hyperlink w:anchor="_Toc263100255" w:history="1">
        <w:r>
          <w:rPr>
            <w:rFonts w:ascii="Georgia" w:hAnsi="Georgia" w:eastAsia="Microsoft YaHei"/>
            <w:color w:val="263238"/>
            <w:sz w:val="22"/>
            <w:noProof/>
          </w:rPr>
          <w:t xml:space="preserve">Y.8 Do the corridors change over time?</w:t>
        </w:r>
        <w:r>
          <w:rPr>
            <w:noProof/>
            <w:webHidden/>
          </w:rPr>
          <w:tab/>
        </w:r>
        <w:r>
          <w:rPr>
            <w:noProof/>
            <w:webHidden/>
          </w:rPr>
          <w:fldChar w:fldCharType="begin"/>
        </w:r>
        <w:r>
          <w:rPr>
            <w:noProof/>
            <w:webHidden/>
          </w:rPr>
          <w:instrText xml:space="preserve"> PAGEREF _Toc263100255 \h </w:instrText>
        </w:r>
        <w:r>
          <w:rPr>
            <w:noProof/>
            <w:webHidden/>
          </w:rPr>
          <w:fldChar w:fldCharType="separate"/>
        </w:r>
        <w:r>
          <w:rPr>
            <w:rFonts w:ascii="Georgia" w:hAnsi="Georgia" w:eastAsia="Microsoft YaHei"/>
            <w:color w:val="263238"/>
            <w:sz w:val="22"/>
            <w:noProof/>
            <w:webHidden/>
          </w:rPr>
          <w:t xml:space="preserve">138</w:t>
        </w:r>
        <w:r>
          <w:rPr>
            <w:noProof/>
            <w:webHidden/>
          </w:rPr>
          <w:fldChar w:fldCharType="end"/>
        </w:r>
      </w:hyperlink>
    </w:p>
    <w:p>
      <w:pPr>
        <w:pStyle w:val="TOC2"/>
      </w:pPr>
      <w:hyperlink w:anchor="_Toc263100256" w:history="1">
        <w:r>
          <w:rPr>
            <w:rFonts w:ascii="Georgia" w:hAnsi="Georgia" w:eastAsia="Microsoft YaHei"/>
            <w:color w:val="263238"/>
            <w:sz w:val="22"/>
            <w:noProof/>
          </w:rPr>
          <w:t xml:space="preserve">Y.9 What does success look like in five years?</w:t>
        </w:r>
        <w:r>
          <w:rPr>
            <w:noProof/>
            <w:webHidden/>
          </w:rPr>
          <w:tab/>
        </w:r>
        <w:r>
          <w:rPr>
            <w:noProof/>
            <w:webHidden/>
          </w:rPr>
          <w:fldChar w:fldCharType="begin"/>
        </w:r>
        <w:r>
          <w:rPr>
            <w:noProof/>
            <w:webHidden/>
          </w:rPr>
          <w:instrText xml:space="preserve"> PAGEREF _Toc263100256 \h </w:instrText>
        </w:r>
        <w:r>
          <w:rPr>
            <w:noProof/>
            <w:webHidden/>
          </w:rPr>
          <w:fldChar w:fldCharType="separate"/>
        </w:r>
        <w:r>
          <w:rPr>
            <w:rFonts w:ascii="Georgia" w:hAnsi="Georgia" w:eastAsia="Microsoft YaHei"/>
            <w:color w:val="263238"/>
            <w:sz w:val="22"/>
            <w:noProof/>
            <w:webHidden/>
          </w:rPr>
          <w:t xml:space="preserve">138</w:t>
        </w:r>
        <w:r>
          <w:rPr>
            <w:noProof/>
            <w:webHidden/>
          </w:rPr>
          <w:fldChar w:fldCharType="end"/>
        </w:r>
      </w:hyperlink>
    </w:p>
    <w:p>
      <w:pPr>
        <w:pStyle w:val="TOC2"/>
      </w:pPr>
      <w:hyperlink w:anchor="_Toc263100257" w:history="1">
        <w:r>
          <w:rPr>
            <w:rFonts w:ascii="Georgia" w:hAnsi="Georgia" w:eastAsia="Microsoft YaHei"/>
            <w:color w:val="263238"/>
            <w:sz w:val="22"/>
            <w:noProof/>
          </w:rPr>
          <w:t xml:space="preserve">Y.10 The Legacy Transmission Document</w:t>
        </w:r>
        <w:r>
          <w:rPr>
            <w:noProof/>
            <w:webHidden/>
          </w:rPr>
          <w:tab/>
        </w:r>
        <w:r>
          <w:rPr>
            <w:noProof/>
            <w:webHidden/>
          </w:rPr>
          <w:fldChar w:fldCharType="begin"/>
        </w:r>
        <w:r>
          <w:rPr>
            <w:noProof/>
            <w:webHidden/>
          </w:rPr>
          <w:instrText xml:space="preserve"> PAGEREF _Toc263100257 \h </w:instrText>
        </w:r>
        <w:r>
          <w:rPr>
            <w:noProof/>
            <w:webHidden/>
          </w:rPr>
          <w:fldChar w:fldCharType="separate"/>
        </w:r>
        <w:r>
          <w:rPr>
            <w:rFonts w:ascii="Georgia" w:hAnsi="Georgia" w:eastAsia="Microsoft YaHei"/>
            <w:color w:val="263238"/>
            <w:sz w:val="22"/>
            <w:noProof/>
            <w:webHidden/>
          </w:rPr>
          <w:t xml:space="preserve">139</w:t>
        </w:r>
        <w:r>
          <w:rPr>
            <w:noProof/>
            <w:webHidden/>
          </w:rPr>
          <w:fldChar w:fldCharType="end"/>
        </w:r>
      </w:hyperlink>
    </w:p>
    <w:p>
      <w:pPr>
        <w:pStyle w:val="TOC1"/>
      </w:pPr>
      <w:hyperlink w:anchor="_Toc263100258" w:history="1">
        <w:r>
          <w:rPr>
            <w:rFonts w:ascii="Georgia" w:hAnsi="Georgia" w:eastAsia="Microsoft YaHei"/>
            <w:color w:val="263238"/>
            <w:sz w:val="22"/>
            <w:noProof/>
          </w:rPr>
          <w:t xml:space="preserve">Annex Z: Pre-Activation Trust-Building and Shadow Implementation</w:t>
        </w:r>
        <w:r>
          <w:rPr>
            <w:noProof/>
            <w:webHidden/>
          </w:rPr>
          <w:tab/>
        </w:r>
        <w:r>
          <w:rPr>
            <w:noProof/>
            <w:webHidden/>
          </w:rPr>
          <w:fldChar w:fldCharType="begin"/>
        </w:r>
        <w:r>
          <w:rPr>
            <w:noProof/>
            <w:webHidden/>
          </w:rPr>
          <w:instrText xml:space="preserve"> PAGEREF _Toc263100258 \h </w:instrText>
        </w:r>
        <w:r>
          <w:rPr>
            <w:noProof/>
            <w:webHidden/>
          </w:rPr>
          <w:fldChar w:fldCharType="separate"/>
        </w:r>
        <w:r>
          <w:rPr>
            <w:rFonts w:ascii="Georgia" w:hAnsi="Georgia" w:eastAsia="Microsoft YaHei"/>
            <w:color w:val="263238"/>
            <w:sz w:val="22"/>
            <w:noProof/>
            <w:webHidden/>
          </w:rPr>
          <w:t xml:space="preserve">140</w:t>
        </w:r>
        <w:r>
          <w:rPr>
            <w:noProof/>
            <w:webHidden/>
          </w:rPr>
          <w:fldChar w:fldCharType="end"/>
        </w:r>
      </w:hyperlink>
    </w:p>
    <w:p>
      <w:pPr>
        <w:pStyle w:val="TOC2"/>
      </w:pPr>
      <w:hyperlink w:anchor="_Toc263100259" w:history="1">
        <w:r>
          <w:rPr>
            <w:rFonts w:ascii="Georgia" w:hAnsi="Georgia" w:eastAsia="Microsoft YaHei"/>
            <w:color w:val="263238"/>
            <w:sz w:val="22"/>
            <w:noProof/>
          </w:rPr>
          <w:t xml:space="preserve">Z.1 Purpose</w:t>
        </w:r>
        <w:r>
          <w:rPr>
            <w:noProof/>
            <w:webHidden/>
          </w:rPr>
          <w:tab/>
        </w:r>
        <w:r>
          <w:rPr>
            <w:noProof/>
            <w:webHidden/>
          </w:rPr>
          <w:fldChar w:fldCharType="begin"/>
        </w:r>
        <w:r>
          <w:rPr>
            <w:noProof/>
            <w:webHidden/>
          </w:rPr>
          <w:instrText xml:space="preserve"> PAGEREF _Toc263100259 \h </w:instrText>
        </w:r>
        <w:r>
          <w:rPr>
            <w:noProof/>
            <w:webHidden/>
          </w:rPr>
          <w:fldChar w:fldCharType="separate"/>
        </w:r>
        <w:r>
          <w:rPr>
            <w:rFonts w:ascii="Georgia" w:hAnsi="Georgia" w:eastAsia="Microsoft YaHei"/>
            <w:color w:val="263238"/>
            <w:sz w:val="22"/>
            <w:noProof/>
            <w:webHidden/>
          </w:rPr>
          <w:t xml:space="preserve">140</w:t>
        </w:r>
        <w:r>
          <w:rPr>
            <w:noProof/>
            <w:webHidden/>
          </w:rPr>
          <w:fldChar w:fldCharType="end"/>
        </w:r>
      </w:hyperlink>
    </w:p>
    <w:p>
      <w:pPr>
        <w:pStyle w:val="TOC2"/>
      </w:pPr>
      <w:hyperlink w:anchor="_Toc263100260" w:history="1">
        <w:r>
          <w:rPr>
            <w:rFonts w:ascii="Georgia" w:hAnsi="Georgia" w:eastAsia="Microsoft YaHei"/>
            <w:color w:val="263238"/>
            <w:sz w:val="22"/>
            <w:noProof/>
          </w:rPr>
          <w:t xml:space="preserve">Z.2 Shadow implementation</w:t>
        </w:r>
        <w:r>
          <w:rPr>
            <w:noProof/>
            <w:webHidden/>
          </w:rPr>
          <w:tab/>
        </w:r>
        <w:r>
          <w:rPr>
            <w:noProof/>
            <w:webHidden/>
          </w:rPr>
          <w:fldChar w:fldCharType="begin"/>
        </w:r>
        <w:r>
          <w:rPr>
            <w:noProof/>
            <w:webHidden/>
          </w:rPr>
          <w:instrText xml:space="preserve"> PAGEREF _Toc263100260 \h </w:instrText>
        </w:r>
        <w:r>
          <w:rPr>
            <w:noProof/>
            <w:webHidden/>
          </w:rPr>
          <w:fldChar w:fldCharType="separate"/>
        </w:r>
        <w:r>
          <w:rPr>
            <w:rFonts w:ascii="Georgia" w:hAnsi="Georgia" w:eastAsia="Microsoft YaHei"/>
            <w:color w:val="263238"/>
            <w:sz w:val="22"/>
            <w:noProof/>
            <w:webHidden/>
          </w:rPr>
          <w:t xml:space="preserve">140</w:t>
        </w:r>
        <w:r>
          <w:rPr>
            <w:noProof/>
            <w:webHidden/>
          </w:rPr>
          <w:fldChar w:fldCharType="end"/>
        </w:r>
      </w:hyperlink>
    </w:p>
    <w:p>
      <w:pPr>
        <w:pStyle w:val="TOC2"/>
      </w:pPr>
      <w:hyperlink w:anchor="_Toc263100261" w:history="1">
        <w:r>
          <w:rPr>
            <w:rFonts w:ascii="Georgia" w:hAnsi="Georgia" w:eastAsia="Microsoft YaHei"/>
            <w:color w:val="263238"/>
            <w:sz w:val="22"/>
            <w:noProof/>
          </w:rPr>
          <w:t xml:space="preserve">Z.3 The trust drills</w:t>
        </w:r>
        <w:r>
          <w:rPr>
            <w:noProof/>
            <w:webHidden/>
          </w:rPr>
          <w:tab/>
        </w:r>
        <w:r>
          <w:rPr>
            <w:noProof/>
            <w:webHidden/>
          </w:rPr>
          <w:fldChar w:fldCharType="begin"/>
        </w:r>
        <w:r>
          <w:rPr>
            <w:noProof/>
            <w:webHidden/>
          </w:rPr>
          <w:instrText xml:space="preserve"> PAGEREF _Toc263100261 \h </w:instrText>
        </w:r>
        <w:r>
          <w:rPr>
            <w:noProof/>
            <w:webHidden/>
          </w:rPr>
          <w:fldChar w:fldCharType="separate"/>
        </w:r>
        <w:r>
          <w:rPr>
            <w:rFonts w:ascii="Georgia" w:hAnsi="Georgia" w:eastAsia="Microsoft YaHei"/>
            <w:color w:val="263238"/>
            <w:sz w:val="22"/>
            <w:noProof/>
            <w:webHidden/>
          </w:rPr>
          <w:t xml:space="preserve">140</w:t>
        </w:r>
        <w:r>
          <w:rPr>
            <w:noProof/>
            <w:webHidden/>
          </w:rPr>
          <w:fldChar w:fldCharType="end"/>
        </w:r>
      </w:hyperlink>
    </w:p>
    <w:p>
      <w:pPr>
        <w:pStyle w:val="TOC2"/>
      </w:pPr>
      <w:hyperlink w:anchor="_Toc263100262" w:history="1">
        <w:r>
          <w:rPr>
            <w:rFonts w:ascii="Georgia" w:hAnsi="Georgia" w:eastAsia="Microsoft YaHei"/>
            <w:color w:val="263238"/>
            <w:sz w:val="22"/>
            <w:noProof/>
          </w:rPr>
          <w:t xml:space="preserve">Z.4 The National Readiness Certificates</w:t>
        </w:r>
        <w:r>
          <w:rPr>
            <w:noProof/>
            <w:webHidden/>
          </w:rPr>
          <w:tab/>
        </w:r>
        <w:r>
          <w:rPr>
            <w:noProof/>
            <w:webHidden/>
          </w:rPr>
          <w:fldChar w:fldCharType="begin"/>
        </w:r>
        <w:r>
          <w:rPr>
            <w:noProof/>
            <w:webHidden/>
          </w:rPr>
          <w:instrText xml:space="preserve"> PAGEREF _Toc263100262 \h </w:instrText>
        </w:r>
        <w:r>
          <w:rPr>
            <w:noProof/>
            <w:webHidden/>
          </w:rPr>
          <w:fldChar w:fldCharType="separate"/>
        </w:r>
        <w:r>
          <w:rPr>
            <w:rFonts w:ascii="Georgia" w:hAnsi="Georgia" w:eastAsia="Microsoft YaHei"/>
            <w:color w:val="263238"/>
            <w:sz w:val="22"/>
            <w:noProof/>
            <w:webHidden/>
          </w:rPr>
          <w:t xml:space="preserve">140</w:t>
        </w:r>
        <w:r>
          <w:rPr>
            <w:noProof/>
            <w:webHidden/>
          </w:rPr>
          <w:fldChar w:fldCharType="end"/>
        </w:r>
      </w:hyperlink>
    </w:p>
    <w:p>
      <w:pPr>
        <w:pStyle w:val="TOC2"/>
      </w:pPr>
      <w:hyperlink w:anchor="_Toc263100263" w:history="1">
        <w:r>
          <w:rPr>
            <w:rFonts w:ascii="Georgia" w:hAnsi="Georgia" w:eastAsia="Microsoft YaHei"/>
            <w:color w:val="263238"/>
            <w:sz w:val="22"/>
            <w:noProof/>
          </w:rPr>
          <w:t xml:space="preserve">Z.5 The Fail Fast Protocol</w:t>
        </w:r>
        <w:r>
          <w:rPr>
            <w:noProof/>
            <w:webHidden/>
          </w:rPr>
          <w:tab/>
        </w:r>
        <w:r>
          <w:rPr>
            <w:noProof/>
            <w:webHidden/>
          </w:rPr>
          <w:fldChar w:fldCharType="begin"/>
        </w:r>
        <w:r>
          <w:rPr>
            <w:noProof/>
            <w:webHidden/>
          </w:rPr>
          <w:instrText xml:space="preserve"> PAGEREF _Toc263100263 \h </w:instrText>
        </w:r>
        <w:r>
          <w:rPr>
            <w:noProof/>
            <w:webHidden/>
          </w:rPr>
          <w:fldChar w:fldCharType="separate"/>
        </w:r>
        <w:r>
          <w:rPr>
            <w:rFonts w:ascii="Georgia" w:hAnsi="Georgia" w:eastAsia="Microsoft YaHei"/>
            <w:color w:val="263238"/>
            <w:sz w:val="22"/>
            <w:noProof/>
            <w:webHidden/>
          </w:rPr>
          <w:t xml:space="preserve">140</w:t>
        </w:r>
        <w:r>
          <w:rPr>
            <w:noProof/>
            <w:webHidden/>
          </w:rPr>
          <w:fldChar w:fldCharType="end"/>
        </w:r>
      </w:hyperlink>
    </w:p>
    <w:p>
      <w:pPr>
        <w:pStyle w:val="TOC2"/>
      </w:pPr>
      <w:hyperlink w:anchor="_Toc263100264" w:history="1">
        <w:r>
          <w:rPr>
            <w:rFonts w:ascii="Georgia" w:hAnsi="Georgia" w:eastAsia="Microsoft YaHei"/>
            <w:color w:val="263238"/>
            <w:sz w:val="22"/>
            <w:noProof/>
          </w:rPr>
          <w:t xml:space="preserve">Z.6 The Confidence Memorandum</w:t>
        </w:r>
        <w:r>
          <w:rPr>
            <w:noProof/>
            <w:webHidden/>
          </w:rPr>
          <w:tab/>
        </w:r>
        <w:r>
          <w:rPr>
            <w:noProof/>
            <w:webHidden/>
          </w:rPr>
          <w:fldChar w:fldCharType="begin"/>
        </w:r>
        <w:r>
          <w:rPr>
            <w:noProof/>
            <w:webHidden/>
          </w:rPr>
          <w:instrText xml:space="preserve"> PAGEREF _Toc263100264 \h </w:instrText>
        </w:r>
        <w:r>
          <w:rPr>
            <w:noProof/>
            <w:webHidden/>
          </w:rPr>
          <w:fldChar w:fldCharType="separate"/>
        </w:r>
        <w:r>
          <w:rPr>
            <w:rFonts w:ascii="Georgia" w:hAnsi="Georgia" w:eastAsia="Microsoft YaHei"/>
            <w:color w:val="263238"/>
            <w:sz w:val="22"/>
            <w:noProof/>
            <w:webHidden/>
          </w:rPr>
          <w:t xml:space="preserve">141</w:t>
        </w:r>
        <w:r>
          <w:rPr>
            <w:noProof/>
            <w:webHidden/>
          </w:rPr>
          <w:fldChar w:fldCharType="end"/>
        </w:r>
      </w:hyperlink>
    </w:p>
    <w:p>
      <w:pPr>
        <w:pStyle w:val="TOC1"/>
      </w:pPr>
      <w:hyperlink w:anchor="_Toc263100265" w:history="1">
        <w:r>
          <w:rPr>
            <w:rFonts w:ascii="Georgia" w:hAnsi="Georgia" w:eastAsia="Microsoft YaHei"/>
            <w:color w:val="263238"/>
            <w:sz w:val="22"/>
            <w:noProof/>
          </w:rPr>
          <w:t xml:space="preserve">Closing Note: The Architecture in One View</w:t>
        </w:r>
        <w:r>
          <w:rPr>
            <w:noProof/>
            <w:webHidden/>
          </w:rPr>
          <w:tab/>
        </w:r>
        <w:r>
          <w:rPr>
            <w:noProof/>
            <w:webHidden/>
          </w:rPr>
          <w:fldChar w:fldCharType="begin"/>
        </w:r>
        <w:r>
          <w:rPr>
            <w:noProof/>
            <w:webHidden/>
          </w:rPr>
          <w:instrText xml:space="preserve"> PAGEREF _Toc263100265 \h </w:instrText>
        </w:r>
        <w:r>
          <w:rPr>
            <w:noProof/>
            <w:webHidden/>
          </w:rPr>
          <w:fldChar w:fldCharType="separate"/>
        </w:r>
        <w:r>
          <w:rPr>
            <w:rFonts w:ascii="Georgia" w:hAnsi="Georgia" w:eastAsia="Microsoft YaHei"/>
            <w:color w:val="263238"/>
            <w:sz w:val="22"/>
            <w:noProof/>
            <w:webHidden/>
          </w:rPr>
          <w:t xml:space="preserve">142</w:t>
        </w:r>
        <w:r>
          <w:rPr>
            <w:noProof/>
            <w:webHidden/>
          </w:rPr>
          <w:fldChar w:fldCharType="end"/>
        </w:r>
      </w:hyperlink>
      <w:r>
        <w:rPr>
          <w:noProof/>
          <w:webHidden/>
        </w:rPr>
        <w:fldChar w:fldCharType="end"/>
      </w:r>
    </w:p>
    <w:p>
      <w:pPr>
        <w:sectPr>
          <w:headerReference w:type="default" r:id="R4d80861153844bbd"/>
          <w:footerReference w:type="default" r:id="Re7a55a1e2d8f496e"/>
          <w:type w:val="nextPage"/>
          <w:pgSz w:w="11906" w:h="16838"/>
          <w:pgMar w:top="1600" w:right="1440" w:bottom="1440" w:left="1440" w:header="720" w:footer="720"/>
        </w:sectPr>
      </w:pPr>
    </w:p>
    <w:p>
      <w:pPr>
        <w:pStyle w:val="Normal"/>
      </w:pPr>
      <w:r>
        <w:rPr>
          <w:rFonts w:ascii="Georgia" w:hAnsi="Georgia" w:eastAsia="Microsoft YaHei"/>
          <w:color w:val="263238"/>
          <w:sz w:val="22"/>
        </w:rPr>
        <w:t xml:space="preserve">THE HORMUZ</w:t>
      </w:r>
    </w:p>
    <w:p>
      <w:pPr>
        <w:pStyle w:val="Normal"/>
      </w:pPr>
      <w:r>
        <w:rPr>
          <w:rFonts w:ascii="Georgia" w:hAnsi="Georgia" w:eastAsia="Microsoft YaHei"/>
          <w:color w:val="263238"/>
          <w:sz w:val="22"/>
        </w:rPr>
        <w:t xml:space="preserve">GLOBAL COMMERCE ACCORD</w:t>
      </w:r>
    </w:p>
    <w:p>
      <w:pPr>
        <w:pStyle w:val="Normal"/>
      </w:pPr>
      <w:r>
        <w:rPr>
          <w:rFonts w:ascii="Georgia" w:hAnsi="Georgia" w:eastAsia="Microsoft YaHei"/>
          <w:color w:val="263238"/>
          <w:sz w:val="22"/>
        </w:rPr>
        <w:t xml:space="preserve">The Final Governance Architecture for the Strait of Hormuz</w:t>
      </w:r>
    </w:p>
    <w:p>
      <w:pPr>
        <w:pStyle w:val="Normal"/>
      </w:pPr>
      <w:r>
        <w:rPr>
          <w:rFonts w:ascii="Georgia" w:hAnsi="Georgia" w:eastAsia="Microsoft YaHei"/>
          <w:color w:val="263238"/>
          <w:sz w:val="22"/>
        </w:rPr>
        <w:t xml:space="preserve">Corridors, Institutions, Finance, Verification, Compliance, and Activation</w:t>
      </w:r>
    </w:p>
    <w:p>
      <w:pPr>
        <w:pStyle w:val="Normal"/>
      </w:pPr>
      <w:r>
        <w:rPr>
          <w:rFonts w:ascii="Georgia" w:hAnsi="Georgia" w:eastAsia="Microsoft YaHei"/>
          <w:color w:val="263238"/>
          <w:sz w:val="22"/>
        </w:rPr>
        <w:t xml:space="preserve">VERSION 1.0  |  AUGUST 2026</w:t>
      </w:r>
    </w:p>
    <w:p>
      <w:pPr>
        <w:pStyle w:val="Normal"/>
      </w:pPr>
      <w:r>
        <w:rPr>
          <w:rFonts w:ascii="Georgia" w:hAnsi="Georgia" w:eastAsia="Microsoft YaHei"/>
          <w:color w:val="263238"/>
          <w:sz w:val="22"/>
        </w:rPr>
        <w:t xml:space="preserve">Negotiating Draft for Authorized Participants</w:t>
      </w:r>
    </w:p>
    <w:p>
      <w:pPr>
        <w:pStyle w:val="Normal"/>
      </w:pPr>
      <w:r>
        <w:rPr>
          <w:rFonts w:ascii="Georgia" w:hAnsi="Georgia" w:eastAsia="Microsoft YaHei"/>
          <w:color w:val="263238"/>
          <w:sz w:val="22"/>
        </w:rPr>
        <w:t xml:space="preserve">The Islamic Republic of Iran  ·  The Sultanate of Oman</w:t>
      </w:r>
    </w:p>
    <w:p>
      <w:pPr>
        <w:pStyle w:val="Normal"/>
      </w:pPr>
      <w:r>
        <w:rPr>
          <w:rFonts w:ascii="Georgia" w:hAnsi="Georgia" w:eastAsia="Microsoft YaHei"/>
          <w:color w:val="263238"/>
          <w:sz w:val="22"/>
        </w:rPr>
        <w:t xml:space="preserve">with the Gulf Cooperation Council Observer College</w:t>
      </w:r>
    </w:p>
    <w:p>
      <w:pPr>
        <w:pStyle w:val="Normal"/>
      </w:pPr>
      <w:r>
        <w:rPr>
          <w:rFonts w:ascii="Georgia" w:hAnsi="Georgia" w:eastAsia="Microsoft YaHei"/>
          <w:color w:val="263238"/>
          <w:sz w:val="22"/>
        </w:rPr>
        <w:t xml:space="preserve">and the United States of America as Endorsing Stakeholder</w:t>
      </w:r>
    </w:p>
    <w:p>
      <w:pPr>
        <w:pStyle w:val="Normal"/>
      </w:pPr>
      <w:r>
        <w:rPr>
          <w:rFonts w:ascii="Georgia" w:hAnsi="Georgia" w:eastAsia="Microsoft YaHei"/>
          <w:color w:val="263238"/>
          <w:sz w:val="22"/>
        </w:rPr>
        <w:t xml:space="preserve">Mediator of Record: The Sultanate of Oman</w:t>
      </w:r>
    </w:p>
    <w:p>
      <w:pPr>
        <w:pStyle w:val="Normal"/>
      </w:pPr>
      <w:r>
        <w:rPr>
          <w:rFonts w:ascii="Georgia" w:hAnsi="Georgia" w:eastAsia="Microsoft YaHei"/>
          <w:color w:val="263238"/>
          <w:sz w:val="22"/>
        </w:rPr>
        <w:t xml:space="preserve">Neutral Facilitator and Depositary: The Swiss Confederation</w:t>
      </w:r>
    </w:p>
    <w:p>
      <w:pPr>
        <w:pStyle w:val="Normal"/>
      </w:pPr>
      <w:r>
        <w:rPr>
          <w:rFonts w:ascii="Georgia" w:hAnsi="Georgia" w:eastAsia="Microsoft YaHei"/>
          <w:color w:val="263238"/>
          <w:sz w:val="22"/>
        </w:rPr>
        <w:t xml:space="preserve">Facilitators: The State of Qatar and the Islamic Republic of Pakistan</w:t>
      </w:r>
    </w:p>
    <w:p>
      <w:pPr>
        <w:pStyle w:val="Normal"/>
      </w:pPr>
      <w:r>
        <w:rPr>
          <w:rFonts w:ascii="Georgia" w:hAnsi="Georgia" w:eastAsia="Microsoft YaHei"/>
          <w:color w:val="263238"/>
          <w:sz w:val="22"/>
        </w:rPr>
        <w:t xml:space="preserve">Drafted in strict adherence to the Immutable Present-Tense Matrix</w:t>
      </w:r>
    </w:p>
    <w:p>
      <w:pPr>
        <w:pStyle w:val="Normal"/>
      </w:pPr>
      <w:r>
        <w:rPr>
          <w:rFonts w:ascii="Georgia" w:hAnsi="Georgia" w:eastAsia="Microsoft YaHei"/>
          <w:color w:val="263238"/>
          <w:sz w:val="22"/>
        </w:rPr>
        <w:t xml:space="preserve">Lodged with the International Maritime Organization upon entry into force</w:t>
      </w:r>
    </w:p>
    <w:p>
      <w:pPr>
        <w:pStyle w:val="Heading1"/>
      </w:pPr>
      <w:bookmarkStart w:id="100" w:name="_Toc263100000"/>
      <w:r>
        <w:rPr>
          <w:rFonts w:ascii="Georgia" w:hAnsi="Georgia" w:eastAsia="Microsoft YaHei"/>
          <w:color w:val="263238"/>
          <w:sz w:val="22"/>
        </w:rPr>
        <w:t xml:space="preserve">Executive Summary</w:t>
      </w:r>
      <w:bookmarkEnd w:id="100"/>
    </w:p>
    <w:p>
      <w:pPr>
        <w:pStyle w:val="Normal"/>
      </w:pPr>
      <w:r>
        <w:rPr>
          <w:rFonts w:ascii="Georgia" w:hAnsi="Georgia" w:eastAsia="Microsoft YaHei"/>
          <w:color w:val="263238"/>
          <w:sz w:val="22"/>
        </w:rPr>
        <w:t xml:space="preserve">The Hormuz Global Commerce Accord is the complete governance architecture for the Strait of Hormuz, drafted for the conditions of August 2026 and built to outlast them. It converts the agreed Iran-Oman technical mapping into a permanent, multilateral, self-funding, self-verifying regime, and it resolves the four unfinished components of the current negotiations: security authority, the fee framework, the reopening mechanism, and multilateral acceptance.</w:t>
      </w:r>
    </w:p>
    <w:p>
      <w:pPr>
        <w:pStyle w:val="Normal"/>
      </w:pPr>
      <w:r>
        <w:rPr>
          <w:rFonts w:ascii="Georgia" w:hAnsi="Georgia" w:eastAsia="Microsoft YaHei"/>
          <w:color w:val="263238"/>
          <w:sz w:val="22"/>
        </w:rPr>
        <w:t xml:space="preserve">On security authority, the Accord allocates functions rather than sovereignty. Iran performs inbound navigation safety functions in the Northern Coordination Corridor. Oman performs outbound functions in the Southern Assurance Corridor and administers the escrow. The Central Buffer Corridor stands jointly managed. Every sensitive action executes under the Twin Key Rule: an initiating desk and a concurring key, witnessed by the Neutral Watch Office. No party acts alone, and no external power commands anything.</w:t>
      </w:r>
    </w:p>
    <w:p>
      <w:pPr>
        <w:pStyle w:val="Normal"/>
      </w:pPr>
      <w:r>
        <w:rPr>
          <w:rFonts w:ascii="Georgia" w:hAnsi="Georgia" w:eastAsia="Microsoft YaHei"/>
          <w:color w:val="263238"/>
          <w:sz w:val="22"/>
        </w:rPr>
        <w:t xml:space="preserve">On fees, the Accord settles the toll question permanently. The Zero-Toll Rule prohibits any charge on passage itself, in every circumstance, forever. The corridor system funds itself through published service charges on delivered services, collected through an Omani-administered escrow with Swiss facilitation, structured in four firewall layers so that lawful payment stays lawful for every payer under every sanctions regime.</w:t>
      </w:r>
    </w:p>
    <w:p>
      <w:pPr>
        <w:pStyle w:val="Normal"/>
      </w:pPr>
      <w:r>
        <w:rPr>
          <w:rFonts w:ascii="Georgia" w:hAnsi="Georgia" w:eastAsia="Microsoft YaHei"/>
          <w:color w:val="263238"/>
          <w:sz w:val="22"/>
        </w:rPr>
        <w:t xml:space="preserve">On reopening, the Accord sequences a ninety to one hundred twenty day pilot in six phases: minimal viable activation, pilot announcement, sequential corridor activation in the order buffer, outbound, inbound, payment channel proving, a five-domain Stability Audit on live operations, and full activation on evidence. Wartime lanes sunset corridor by corridor against signed certificates, never against dates alone.</w:t>
      </w:r>
    </w:p>
    <w:p>
      <w:pPr>
        <w:pStyle w:val="Normal"/>
      </w:pPr>
      <w:r>
        <w:rPr>
          <w:rFonts w:ascii="Georgia" w:hAnsi="Georgia" w:eastAsia="Microsoft YaHei"/>
          <w:color w:val="263238"/>
          <w:sz w:val="22"/>
        </w:rPr>
        <w:t xml:space="preserve">On multilateral acceptance, the Accord gives every stakeholder a defined station: the United States as principal Endorsing Stakeholder with full monitoring access and no command authority; GCC states through the Observer College with the concurring key on outbound functions and a standing accession path; European and IMO observers with the transparency and environmental guarantees they have registered; and the shipping and insurance industries through the Stakeholder Panel and the Route Assurance Data Service.</w:t>
      </w:r>
    </w:p>
    <w:p>
      <w:pPr>
        <w:pStyle w:val="Normal"/>
      </w:pPr>
      <w:r>
        <w:rPr>
          <w:rFonts w:ascii="Georgia" w:hAnsi="Georgia" w:eastAsia="Microsoft YaHei"/>
          <w:color w:val="263238"/>
          <w:sz w:val="22"/>
        </w:rPr>
        <w:t xml:space="preserve">The compliance engine breathes rather than snaps: three tiers of events, graduated and proportionate step-back, automatic earn-back, humanitarian and safety functions absolutely protected, and no automatic military escalation of any kind, ever. The architecture assumes friction and designs for recovery. It is simple where mariners touch it, rigorous where money and data move, and humble where politics still has work to do.</w:t>
      </w:r>
    </w:p>
    <w:p>
      <w:pPr>
        <w:pStyle w:val="Heading1"/>
      </w:pPr>
      <w:bookmarkStart w:id="101" w:name="_Toc263100001"/>
      <w:r>
        <w:rPr>
          <w:rFonts w:ascii="Georgia" w:hAnsi="Georgia" w:eastAsia="Microsoft YaHei"/>
          <w:color w:val="263238"/>
          <w:sz w:val="22"/>
        </w:rPr>
        <w:t xml:space="preserve">Reader's Guide: How to Use This Accord</w:t>
      </w:r>
      <w:bookmarkEnd w:id="101"/>
    </w:p>
    <w:p>
      <w:pPr>
        <w:pStyle w:val="Normal"/>
      </w:pPr>
      <w:r>
        <w:rPr>
          <w:rFonts w:ascii="Georgia" w:hAnsi="Georgia" w:eastAsia="Microsoft YaHei"/>
          <w:color w:val="263238"/>
          <w:sz w:val="22"/>
        </w:rPr>
        <w:t xml:space="preserve">Different readers need different doors into this document. The master of a vessel needs Annex K: six steps on one page, the current Flow State, and the emergency channels. The shipowner and the insurer need Articles 21 through 26 and Annexes D and H: what services cost, how payment works, and what the measured risk picture says. The regulator and the sanctions counsel need Article 24 and Annex O: the firewall, the attestation pack, and the annual counsel opinion. The diplomat needs Articles 1 through 7 and Annex I: the foundations, the Red Lines Register, and the participation architecture. The watch officer needs Articles 9 through 14 and Annexes B, C, and J: corridors, procedures, drills, and checklists. The auditor needs Annexes H, O, and S: metrics, controls, and data standards.</w:t>
      </w:r>
    </w:p>
    <w:p>
      <w:pPr>
        <w:pStyle w:val="Normal"/>
      </w:pPr>
      <w:r>
        <w:rPr>
          <w:rFonts w:ascii="Georgia" w:hAnsi="Georgia" w:eastAsia="Microsoft YaHei"/>
          <w:color w:val="263238"/>
          <w:sz w:val="22"/>
        </w:rPr>
        <w:t xml:space="preserve">The Accord reads in layers. The Declaration of Principles states the philosophy in twelve lines. The forty-three Articles carry the operative law of the system. The twenty-one Annexes carry the engineering. Where a reader finds tension between layers, the interpretation notes of Annex M resolve it, and where tension survives interpretation, the Red Lines Register governs. Every definition lives in Article 7 and Annex M. Every number that matters publishes in the Annex it governs.</w:t>
      </w:r>
    </w:p>
    <w:p>
      <w:pPr>
        <w:pStyle w:val="Normal"/>
      </w:pPr>
      <w:r>
        <w:rPr>
          <w:rFonts w:ascii="Georgia" w:hAnsi="Georgia" w:eastAsia="Microsoft YaHei"/>
          <w:color w:val="263238"/>
          <w:sz w:val="22"/>
        </w:rPr>
        <w:t xml:space="preserve">Three habits make the document easy to hold. First, follow the functions: whenever a question of authority arises, ask which desk performs the function and which key concurs, per Annex C. Second, follow the evidence: whenever a question of fact arises, ask what the golden record shows, per Annex B. Third, follow the sequence: whenever a question of timing arises, ask which phase the calendar sits in, per Annex P. Functions, evidence, sequence: the three habits answer most questions the Accord generates.</w:t>
      </w:r>
    </w:p>
    <w:p>
      <w:r>
        <w:br w:type="page"/>
      </w:r>
    </w:p>
    <w:p>
      <w:pPr>
        <w:pStyle w:val="Heading1"/>
      </w:pPr>
      <w:bookmarkStart w:id="102" w:name="_Toc263100002"/>
      <w:r>
        <w:rPr>
          <w:rFonts w:ascii="Georgia" w:hAnsi="Georgia" w:eastAsia="Microsoft YaHei"/>
          <w:color w:val="263238"/>
          <w:sz w:val="22"/>
        </w:rPr>
        <w:t xml:space="preserve">Document Control</w:t>
      </w:r>
      <w:bookmarkEnd w:id="102"/>
    </w:p>
    <w:p>
      <w:pPr>
        <w:pStyle w:val="Normal"/>
      </w:pPr>
      <w:r>
        <w:rPr>
          <w:rFonts w:ascii="Georgia" w:hAnsi="Georgia" w:eastAsia="Microsoft YaHei"/>
          <w:color w:val="263238"/>
          <w:sz w:val="22"/>
        </w:rPr>
        <w:t xml:space="preserve">Document title: The Hormuz Global Commerce Accord (THGCA). Short title: the Accord. Version: 1.0. Status: Final Governance Architecture, Negotiating Draft for Authorized Participants. Date: August 2026. Seat of the Accord institutions: the Hormuz Operations Center, Muscat, Sultanate of Oman, with the Mirror Facility of Equal Rank at Bandar Abbas, Islamic Republic of Iran.</w:t>
      </w:r>
    </w:p>
    <w:p>
      <w:pPr>
        <w:pStyle w:val="Normal"/>
      </w:pPr>
      <w:r>
        <w:rPr>
          <w:rFonts w:ascii="Georgia" w:hAnsi="Georgia" w:eastAsia="Microsoft YaHei"/>
          <w:color w:val="263238"/>
          <w:sz w:val="22"/>
        </w:rPr>
        <w:t xml:space="preserve">Drafted in strict adherence to the Immutable Present-Tense Matrix. All operative clauses state direct, active, present-tense obligations. All prohibitions attach to the framework architecture itself, never to the unilateral restraint of a single Party. The Accord contains no sunset, no snapback, and no hierarchical command.</w:t>
      </w:r>
    </w:p>
    <w:tbl>
      <w:tblPr>
        <w:tblW w:w="5000" w:type="pct"/>
        <w:tblBorders>
          <w:top w:val="single" w:color="1C3F4E" w:sz="12"/>
          <w:left w:val="nil"/>
          <w:bottom w:val="single" w:color="1C3F4E" w:sz="12"/>
          <w:right w:val="nil"/>
          <w:insideH w:val="single" w:color="C4D2D8" w:sz="2"/>
          <w:insideV w:val="nil"/>
        </w:tblBorders>
      </w:tblPr>
      <w:tblGrid>
        <w:gridCol w:w="4513"/>
        <w:gridCol w:w="4513"/>
      </w:tblGrid>
      <w:tr>
        <w:trPr>
          <w:tblHeader/>
        </w:trPr>
        <w:tc>
          <w:tcPr>
            <w:tcW w:w="4513"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Field</w:t>
            </w:r>
          </w:p>
        </w:tc>
        <w:tc>
          <w:tcPr>
            <w:tcW w:w="4513"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Entry</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ll title</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Hormuz Global Commerce Accord (THGCA)</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rsion and date</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Version 1.0, August 2026</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cument class</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Final governance architecture for the Strait of Hormuz</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astal State Parties</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Islamic Republic of Iran and the Sultanate of Oman</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gional Participants</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Gulf Cooperation Council member states through the Accession Protocol</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dorsing Stakeholders</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United States of America and additional maritime powers through the Endorsement Protocol</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diator of Record</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Sultanate of Oman</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utral Facilitator</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Swiss Confederation</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cilitators</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State of Qatar and the Islamic Republic of Pakistan</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positary</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Swiss Confederation</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chnical registrar</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International Maritime Organization, through registration of the corridor system and the Accord text</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stodian of charts</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Hormuz Operations Center, Muscat</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verning language</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English, with equally authoritative Arabic and Persian texts</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lated instruments</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The Islamabad Memorandum of Understanding of 14 June 2026, the Iran-Oman Technical Mapping Record of July 2026, and the Joint Maritime Information Center notices then in effect</w:t>
            </w:r>
          </w:p>
        </w:tc>
      </w:tr>
    </w:tbl>
    <w:p>
      <w:pPr>
        <w:pStyle w:val="Normal"/>
      </w:pPr>
      <w:r>
        <w:rPr>
          <w:rFonts w:ascii="Georgia" w:hAnsi="Georgia" w:eastAsia="Microsoft YaHei"/>
          <w:color w:val="263238"/>
          <w:sz w:val="22"/>
        </w:rPr>
        <w:t xml:space="preserve">Distribution: Authorized Participants only during the negotiation window. Upon entry into force, the Depositary lodges the Accord with the International Maritime Organization and publishes the full text, all Annexes, and the corridor Reference Charts.</w:t>
      </w:r>
    </w:p>
    <w:p>
      <w:pPr>
        <w:pStyle w:val="Caption"/>
      </w:pPr>
      <w:r>
        <w:rPr>
          <w:rFonts w:ascii="Georgia" w:hAnsi="Georgia" w:eastAsia="Microsoft YaHei"/>
          <w:color w:val="263238"/>
          <w:sz w:val="22"/>
        </w:rPr>
        <w:t xml:space="preserve">Document Control summary: the Accord unifies corridor governance, institutional design, financial settlement, verification, compliance, and activation sequencing in a single instrument.</w:t>
      </w:r>
    </w:p>
    <w:p>
      <w:r>
        <w:br w:type="page"/>
      </w:r>
    </w:p>
    <w:p>
      <w:pPr>
        <w:pStyle w:val="Heading1"/>
      </w:pPr>
      <w:bookmarkStart w:id="103" w:name="_Toc263100003"/>
      <w:r>
        <w:rPr>
          <w:rFonts w:ascii="Georgia" w:hAnsi="Georgia" w:eastAsia="Microsoft YaHei"/>
          <w:color w:val="263238"/>
          <w:sz w:val="22"/>
        </w:rPr>
        <w:t xml:space="preserve">The Hormuz Declaration of Principles</w:t>
      </w:r>
      <w:bookmarkEnd w:id="103"/>
    </w:p>
    <w:p>
      <w:pPr>
        <w:pStyle w:val="Normal"/>
      </w:pPr>
      <w:r>
        <w:rPr>
          <w:rFonts w:ascii="Georgia" w:hAnsi="Georgia" w:eastAsia="Microsoft YaHei"/>
          <w:color w:val="263238"/>
          <w:sz w:val="22"/>
        </w:rPr>
        <w:t xml:space="preserve">The Parties adopt the following twelve principles as the interpretive foundation of the Accord. Every operative clause reads against these principles, and every dispute panel applies them as the first layer of interpretation.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1: The Strait of Hormuz operates as one continuous international waterway. Passage itself carries no price. Services carry prices; passage never does.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2: Governance rests with the coastal States acting together, never with one coastal State acting alone, and never with an external power acting over them.</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3: Every function in the corridor system performs under a shared key. No single Party opens, closes, stops, or diverts traffic alone.</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4: Transparency precedes trust. The Accord publishes what it does, measures what it publishes, and audits what it measures.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5: The framework architecture breathes. Infractions produce proportional, reversible consequences. The architecture never collapses on a single event.</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6: Humanitarian passage remains absolute. Food, medicine, medical equipment, and emergency assistance move under every condition, in every Flow State, without interruption.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7: Verification is reciprocal. All Parties invest, all Parties observe, all Parties recover.</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8: Economic settlement and military judgment travel on separate tracks. No compliance event in the Accord automatically authorizes, triggers, or justifies the use of force by any Party or Stakeholder.</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9: Simplicity outranks sophistication. Every instruction in the Accord completes in six steps or fewer, and every mariner-facing rule fits on one page.</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10: Cost discipline governs design. The Accord builds on institutions, channels, and infrastructure that already exist, and adds only what the corridor system genuinely needs.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11: Synchronization preserves face. Parties act together, announce together, and adjust together. The Accord contains no unilateral humiliation mechanism.</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Principle 12: Political acceptability is a design constraint, not an afterthought. The Accord crosses no registered Red Line of any Party or Stakeholder.</w:t>
      </w:r>
    </w:p>
    <w:p>
      <w:r>
        <w:br w:type="page"/>
      </w:r>
    </w:p>
    <w:p>
      <w:pPr>
        <w:pStyle w:val="Heading1"/>
      </w:pPr>
      <w:bookmarkStart w:id="104" w:name="_Toc263100004"/>
      <w:r>
        <w:rPr>
          <w:rFonts w:ascii="Georgia" w:hAnsi="Georgia" w:eastAsia="Microsoft YaHei"/>
          <w:color w:val="263238"/>
          <w:sz w:val="22"/>
        </w:rPr>
        <w:t xml:space="preserve">Preamble: The Moment of August 2026</w:t>
      </w:r>
      <w:bookmarkEnd w:id="104"/>
    </w:p>
    <w:p>
      <w:pPr>
        <w:pStyle w:val="Normal"/>
      </w:pPr>
      <w:r>
        <w:rPr>
          <w:rFonts w:ascii="Georgia" w:hAnsi="Georgia" w:eastAsia="Microsoft YaHei"/>
          <w:color w:val="263238"/>
          <w:sz w:val="22"/>
        </w:rPr>
        <w:t xml:space="preserve">The Strait of Hormuz enters August 2026 in a condition without precedent in its modern history. The conflict that opened on 28 February 2026 closed the strait in practical terms for months, drove war-risk insurance premiums beyond the reach of ordinary commerce, stranded more than 1,500 vessels and 22,500 mariners at the height of the crisis, and forced the rerouting of roughly one fifth of global seaborne oil supply. The ceasefire of 7 and 8 April 2026 stopped the major combat. The Islamabad Memorandum of Understanding of 14 June 2026 sketched a sixty-day path toward a formal end of the conflict. That path broke down in early July 2026, when attacks on three commercial vessels transiting along the Omani coast triggered renewed strikes, the suspension of Iranian commitments under the Memorandum on 18 July 2026, and the reimposition of the naval blockade of Iranian ports on 14 July 2026.</w:t>
      </w:r>
    </w:p>
    <w:p>
      <w:pPr>
        <w:pStyle w:val="Normal"/>
      </w:pPr>
      <w:r>
        <w:rPr>
          <w:rFonts w:ascii="Georgia" w:hAnsi="Georgia" w:eastAsia="Microsoft YaHei"/>
          <w:color w:val="263238"/>
          <w:sz w:val="22"/>
        </w:rPr>
        <w:t xml:space="preserve">And yet the technical work never stopped. Through June, July, and the first week of August 2026, Iranian and Omani technical teams completed the geographic mapping of a three-corridor routing system: an inbound corridor through Iranian waters, an outbound corridor through Omani waters, and a central buffer corridor between them. Entry and exit points stand agreed. The joint Iran-Oman statement rests in final review. Indirect technical talks between the United States and Iran in Doha produced what all sides describe as positive progress on maritime traffic. Qatar, Pakistan, and Oman sustain an active mediation channel. The technical architecture stands complete; the governance does not.</w:t>
      </w:r>
    </w:p>
    <w:p>
      <w:pPr>
        <w:pStyle w:val="Normal"/>
      </w:pPr>
      <w:r>
        <w:rPr>
          <w:rFonts w:ascii="Georgia" w:hAnsi="Georgia" w:eastAsia="Microsoft YaHei"/>
          <w:color w:val="263238"/>
          <w:sz w:val="22"/>
        </w:rPr>
        <w:t xml:space="preserve">Four components remain unfinished at the moment of drafting: the security authority agreement that decides who performs which function under which shared key; the fee and revenue framework that settles services, rates, audits, and sanctions-compatible payment routing; the reopening and activation mechanism that sequences the transition from wartime lanes to permanent corridors; and the multilateral acceptance that turns an Iran-Oman technical achievement into a durable international regime.</w:t>
      </w:r>
    </w:p>
    <w:p>
      <w:pPr>
        <w:pStyle w:val="Normal"/>
      </w:pPr>
      <w:r>
        <w:rPr>
          <w:rFonts w:ascii="Georgia" w:hAnsi="Georgia" w:eastAsia="Microsoft YaHei"/>
          <w:color w:val="263238"/>
          <w:sz w:val="22"/>
        </w:rPr>
        <w:t xml:space="preserve">The Hormuz Global Commerce Accord exists to finish those four components, and to do so in a way every capital signs with pride. It draws the corridor geometry from the completed Iran-Oman technical record. It draws the compliance engine from proven graduated-response architecture. It draws the financial settlement from the service-fee tradition of cooperative strait mechanisms and from the plain red lines now on record in Washington, Tehran, Muscat, the Gulf capitals, and European maritime institutions. It treats the political map of August 2026 not as an obstacle but as a specification.</w:t>
      </w:r>
    </w:p>
    <w:p>
      <w:pPr>
        <w:pStyle w:val="Normal"/>
      </w:pPr>
      <w:r>
        <w:rPr>
          <w:rFonts w:ascii="Georgia" w:hAnsi="Georgia" w:eastAsia="Microsoft YaHei"/>
          <w:color w:val="263238"/>
          <w:sz w:val="22"/>
        </w:rPr>
        <w:t xml:space="preserve">The Parties therefore adopt this Accord as the final governance architecture for the Strait of Hormuz: complete in its institutions, operative in its instructions, measurable in its compliance, and durable by design.</w:t>
      </w:r>
    </w:p>
    <w:p>
      <w:r>
        <w:br w:type="page"/>
      </w:r>
    </w:p>
    <w:p>
      <w:pPr>
        <w:pStyle w:val="Heading1"/>
      </w:pPr>
      <w:bookmarkStart w:id="105" w:name="_Toc263100005"/>
      <w:r>
        <w:rPr>
          <w:rFonts w:ascii="Georgia" w:hAnsi="Georgia" w:eastAsia="Microsoft YaHei"/>
          <w:color w:val="263238"/>
          <w:sz w:val="22"/>
        </w:rPr>
        <w:t xml:space="preserve">Part I: Foundations</w:t>
      </w:r>
      <w:bookmarkEnd w:id="105"/>
    </w:p>
    <w:p>
      <w:pPr>
        <w:pStyle w:val="Heading2"/>
      </w:pPr>
      <w:bookmarkStart w:id="106" w:name="_Toc263100006"/>
      <w:r>
        <w:rPr>
          <w:rFonts w:ascii="Georgia" w:hAnsi="Georgia" w:eastAsia="Microsoft YaHei"/>
          <w:color w:val="263238"/>
          <w:sz w:val="22"/>
        </w:rPr>
        <w:t xml:space="preserve">Article 1: Establishment, Purpose, and Scope</w:t>
      </w:r>
      <w:bookmarkEnd w:id="106"/>
    </w:p>
    <w:p>
      <w:pPr>
        <w:pStyle w:val="Heading3"/>
      </w:pPr>
      <w:r>
        <w:rPr>
          <w:rFonts w:ascii="Georgia" w:hAnsi="Georgia" w:eastAsia="Microsoft YaHei"/>
          <w:color w:val="263238"/>
          <w:sz w:val="22"/>
        </w:rPr>
        <w:t xml:space="preserve">1.1 Establishment</w:t>
      </w:r>
    </w:p>
    <w:p>
      <w:pPr>
        <w:pStyle w:val="Normal"/>
      </w:pPr>
      <w:r>
        <w:rPr>
          <w:rFonts w:ascii="Georgia" w:hAnsi="Georgia" w:eastAsia="Microsoft YaHei"/>
          <w:color w:val="263238"/>
          <w:sz w:val="22"/>
        </w:rPr>
        <w:t xml:space="preserve">The Parties establish the Hormuz Global Commerce Accord as the standing governance framework for commercial navigation, safety, environmental protection, and maritime transparency in the Strait of Hormuz. The Accord enters into force under Article 38 and operates without a sunset clause.</w:t>
      </w:r>
    </w:p>
    <w:p>
      <w:pPr>
        <w:pStyle w:val="Heading3"/>
      </w:pPr>
      <w:r>
        <w:rPr>
          <w:rFonts w:ascii="Georgia" w:hAnsi="Georgia" w:eastAsia="Microsoft YaHei"/>
          <w:color w:val="263238"/>
          <w:sz w:val="22"/>
        </w:rPr>
        <w:t xml:space="preserve">1.2 Purpose</w:t>
      </w:r>
    </w:p>
    <w:p>
      <w:pPr>
        <w:pStyle w:val="Normal"/>
      </w:pPr>
      <w:r>
        <w:rPr>
          <w:rFonts w:ascii="Georgia" w:hAnsi="Georgia" w:eastAsia="Microsoft YaHei"/>
          <w:color w:val="263238"/>
          <w:sz w:val="22"/>
        </w:rPr>
        <w:t xml:space="preserve">The Accord pursues five purposes in equal rank: first, uninterrupted safe passage for all commercial vessels through the Strait of Hormuz in conformity with international law; second, a shared, transparent, and jointly administered corridor system that replaces wartime routing with permanent civilian governance; third, a financial architecture that funds corridor services through lawful service charges without tolls on passage; fourth, a verification and compliance architecture that detects deviation early, responds proportionally, and restores full standing automatically; and fifth, a regional stability dividend that lowers insurance costs, protects energy flows, and removes the strait as an instrument of leverage in any bilateral dispute.</w:t>
      </w:r>
    </w:p>
    <w:p>
      <w:pPr>
        <w:pStyle w:val="Heading3"/>
      </w:pPr>
      <w:r>
        <w:rPr>
          <w:rFonts w:ascii="Georgia" w:hAnsi="Georgia" w:eastAsia="Microsoft YaHei"/>
          <w:color w:val="263238"/>
          <w:sz w:val="22"/>
        </w:rPr>
        <w:t xml:space="preserve">1.3 Geographic scope</w:t>
      </w:r>
    </w:p>
    <w:p>
      <w:pPr>
        <w:pStyle w:val="Normal"/>
      </w:pPr>
      <w:r>
        <w:rPr>
          <w:rFonts w:ascii="Georgia" w:hAnsi="Georgia" w:eastAsia="Microsoft YaHei"/>
          <w:color w:val="263238"/>
          <w:sz w:val="22"/>
        </w:rPr>
        <w:t xml:space="preserve">The Accord governs the Hormuz Governance Area, the maritime area enclosed by the outer boundary described in Article 8 and charted in Annex A. The Governance Area spans the Strait of Hormuz proper, its eastern approaches in the Gulf of Oman to a line between Ras al Kuh and the Omani coast near Ras al Hadd approaches, and its western approaches to the line of the inbound and outbound entry points agreed in the Iran-Oman Technical Mapping Record.</w:t>
      </w:r>
    </w:p>
    <w:p>
      <w:pPr>
        <w:pStyle w:val="Heading3"/>
      </w:pPr>
      <w:r>
        <w:rPr>
          <w:rFonts w:ascii="Georgia" w:hAnsi="Georgia" w:eastAsia="Microsoft YaHei"/>
          <w:color w:val="263238"/>
          <w:sz w:val="22"/>
        </w:rPr>
        <w:t xml:space="preserve">1.4 Functional scope</w:t>
      </w:r>
    </w:p>
    <w:p>
      <w:pPr>
        <w:pStyle w:val="Normal"/>
      </w:pPr>
      <w:r>
        <w:rPr>
          <w:rFonts w:ascii="Georgia" w:hAnsi="Georgia" w:eastAsia="Microsoft YaHei"/>
          <w:color w:val="263238"/>
          <w:sz w:val="22"/>
        </w:rPr>
        <w:t xml:space="preserve">The Accord governs: corridor geometry and traffic organization; vessel classification and routing instructions; safe passage services and the non-interdiction protocol; hazard survey, mine-risk response, and the reopening sequence; monitoring, data custody, and transparency; service charges, escrow, audit, and the sanctions-compliance firewall; verification, naval deconfliction, and incident management; compliance, dispute resolution, and activation sequencing. The Accord does not govern: the delimitation of territorial sea boundaries between the coastal States; the bilateral questions pending between the United States and Iran, including the blockade and the nuclear file; the internal port regulations of any Party outside the corridor system; or the military doctrine of any Party or Stakeholder outside the deconfliction channels the Accord establishes.</w:t>
      </w:r>
    </w:p>
    <w:p>
      <w:pPr>
        <w:pStyle w:val="Heading3"/>
      </w:pPr>
      <w:r>
        <w:rPr>
          <w:rFonts w:ascii="Georgia" w:hAnsi="Georgia" w:eastAsia="Microsoft YaHei"/>
          <w:color w:val="263238"/>
          <w:sz w:val="22"/>
        </w:rPr>
        <w:t xml:space="preserve">1.5 What the Accord does and does not do</w:t>
      </w:r>
    </w:p>
    <w:p>
      <w:pPr>
        <w:pStyle w:val="Normal"/>
      </w:pPr>
      <w:r>
        <w:rPr>
          <w:rFonts w:ascii="Georgia" w:hAnsi="Georgia" w:eastAsia="Microsoft YaHei"/>
          <w:color w:val="263238"/>
          <w:sz w:val="22"/>
        </w:rPr>
        <w:t xml:space="preserve">The Accord creates a civilian governance system. It creates no military alliance, no mutual defense obligation, and no command relationship over any naval force. It recognizes no sovereignty claim that the Parties themselves do not register, and it extinguishes none. It settles the toll question permanently through the Zero-Toll Rule in Article 21. It leaves every Party's legal position on every other question exactly where that Party places it.</w:t>
      </w:r>
    </w:p>
    <w:p>
      <w:pPr>
        <w:pStyle w:val="Heading3"/>
      </w:pPr>
      <w:r>
        <w:rPr>
          <w:rFonts w:ascii="Georgia" w:hAnsi="Georgia" w:eastAsia="Microsoft YaHei"/>
          <w:color w:val="263238"/>
          <w:sz w:val="22"/>
        </w:rPr>
        <w:t xml:space="preserve">1.6 Jurisdictional layers</w:t>
      </w:r>
    </w:p>
    <w:p>
      <w:pPr>
        <w:pStyle w:val="Normal"/>
      </w:pPr>
      <w:r>
        <w:rPr>
          <w:rFonts w:ascii="Georgia" w:hAnsi="Georgia" w:eastAsia="Microsoft YaHei"/>
          <w:color w:val="263238"/>
          <w:sz w:val="22"/>
        </w:rPr>
        <w:t xml:space="preserve">The Accord operates in three jurisdictional layers. The first layer covers the corridor system itself, where the Accord governs directly. The second layer covers the territorial seas of the coastal States outside the corridors, where coastal State law governs and the Accord supplies coordination procedures only. The third layer covers waters beyond the Governance Area, where international law governs and the Accord supplies nothing. Nothing in the second or third layer diminishes the first.</w:t>
      </w:r>
    </w:p>
    <w:p>
      <w:pPr>
        <w:pStyle w:val="Heading2"/>
      </w:pPr>
      <w:bookmarkStart w:id="107" w:name="_Toc263100007"/>
      <w:r>
        <w:rPr>
          <w:rFonts w:ascii="Georgia" w:hAnsi="Georgia" w:eastAsia="Microsoft YaHei"/>
          <w:color w:val="263238"/>
          <w:sz w:val="22"/>
        </w:rPr>
        <w:t xml:space="preserve">Article 2: Legal Foundations</w:t>
      </w:r>
      <w:bookmarkEnd w:id="107"/>
    </w:p>
    <w:p>
      <w:pPr>
        <w:pStyle w:val="Heading3"/>
      </w:pPr>
      <w:r>
        <w:rPr>
          <w:rFonts w:ascii="Georgia" w:hAnsi="Georgia" w:eastAsia="Microsoft YaHei"/>
          <w:color w:val="263238"/>
          <w:sz w:val="22"/>
        </w:rPr>
        <w:t xml:space="preserve">2.1 Sovereign basis</w:t>
      </w:r>
    </w:p>
    <w:p>
      <w:pPr>
        <w:pStyle w:val="Normal"/>
      </w:pPr>
      <w:r>
        <w:rPr>
          <w:rFonts w:ascii="Georgia" w:hAnsi="Georgia" w:eastAsia="Microsoft YaHei"/>
          <w:color w:val="263238"/>
          <w:sz w:val="22"/>
        </w:rPr>
        <w:t xml:space="preserve">The Accord rests on the sovereign equality of the coastal States and on the cooperative mechanisms of international maritime law. Iran and Oman act as Coastal State Parties of equal rank. Every institutional seat, every data feed, every audit right, and every verification channel reflects that equality in measurable form.</w:t>
      </w:r>
    </w:p>
    <w:p>
      <w:pPr>
        <w:pStyle w:val="Heading3"/>
      </w:pPr>
      <w:r>
        <w:rPr>
          <w:rFonts w:ascii="Georgia" w:hAnsi="Georgia" w:eastAsia="Microsoft YaHei"/>
          <w:color w:val="263238"/>
          <w:sz w:val="22"/>
        </w:rPr>
        <w:t xml:space="preserve">2.2 Transit passage preserved</w:t>
      </w:r>
    </w:p>
    <w:p>
      <w:pPr>
        <w:pStyle w:val="Normal"/>
      </w:pPr>
      <w:r>
        <w:rPr>
          <w:rFonts w:ascii="Georgia" w:hAnsi="Georgia" w:eastAsia="Microsoft YaHei"/>
          <w:color w:val="263238"/>
          <w:sz w:val="22"/>
        </w:rPr>
        <w:t xml:space="preserve">The Accord preserves the regime of transit passage through the Strait of Hormuz in its entirety. Transit passage continues unimpeded for all ships and aircraft consistent with international law. Nothing in the corridor system suspends, conditions, or charges that right. Corridor routing organizes traffic; it never gates it.</w:t>
      </w:r>
    </w:p>
    <w:p>
      <w:pPr>
        <w:pStyle w:val="Heading3"/>
      </w:pPr>
      <w:r>
        <w:rPr>
          <w:rFonts w:ascii="Georgia" w:hAnsi="Georgia" w:eastAsia="Microsoft YaHei"/>
          <w:color w:val="263238"/>
          <w:sz w:val="22"/>
        </w:rPr>
        <w:t xml:space="preserve">2.3 The service-fee distinction</w:t>
      </w:r>
    </w:p>
    <w:p>
      <w:pPr>
        <w:pStyle w:val="Normal"/>
      </w:pPr>
      <w:r>
        <w:rPr>
          <w:rFonts w:ascii="Georgia" w:hAnsi="Georgia" w:eastAsia="Microsoft YaHei"/>
          <w:color w:val="263238"/>
          <w:sz w:val="22"/>
        </w:rPr>
        <w:t xml:space="preserve">The Accord draws a bright line between passage and services. Passage belongs to international law and carries no charge. Services belong to the corridor system and carry published charges: traffic management, route assurance data, environmental monitoring, search-and-rescue readiness, and optional pilotage and tug assistance. Article 21 codifies this distinction as the Zero-Toll Rule, and Annex D prices every service in the open.</w:t>
      </w:r>
    </w:p>
    <w:p>
      <w:pPr>
        <w:pStyle w:val="Heading3"/>
      </w:pPr>
      <w:r>
        <w:rPr>
          <w:rFonts w:ascii="Georgia" w:hAnsi="Georgia" w:eastAsia="Microsoft YaHei"/>
          <w:color w:val="263238"/>
          <w:sz w:val="22"/>
        </w:rPr>
        <w:t xml:space="preserve">2.4 Relationship to the Islamabad Memorandum</w:t>
      </w:r>
    </w:p>
    <w:p>
      <w:pPr>
        <w:pStyle w:val="Normal"/>
      </w:pPr>
      <w:r>
        <w:rPr>
          <w:rFonts w:ascii="Georgia" w:hAnsi="Georgia" w:eastAsia="Microsoft YaHei"/>
          <w:color w:val="263238"/>
          <w:sz w:val="22"/>
        </w:rPr>
        <w:t xml:space="preserve">The Accord acknowledges the Islamabad Memorandum of Understanding of 14 June 2026 and the commitments suspended under it in July 2026. The Accord neither revives nor replaces the Memorandum. It supplies the maritime governance layer that the Memorandum left unresolved, and it operates independently of the Memorandum's status. Restoration, amendment, lapse, or replacement of the Memorandum leaves the Accord intact.</w:t>
      </w:r>
    </w:p>
    <w:p>
      <w:pPr>
        <w:pStyle w:val="Heading3"/>
      </w:pPr>
      <w:r>
        <w:rPr>
          <w:rFonts w:ascii="Georgia" w:hAnsi="Georgia" w:eastAsia="Microsoft YaHei"/>
          <w:color w:val="263238"/>
          <w:sz w:val="22"/>
        </w:rPr>
        <w:t xml:space="preserve">2.5 Relationship to the International Maritime Organization</w:t>
      </w:r>
    </w:p>
    <w:p>
      <w:pPr>
        <w:pStyle w:val="Normal"/>
      </w:pPr>
      <w:r>
        <w:rPr>
          <w:rFonts w:ascii="Georgia" w:hAnsi="Georgia" w:eastAsia="Microsoft YaHei"/>
          <w:color w:val="263238"/>
          <w:sz w:val="22"/>
        </w:rPr>
        <w:t xml:space="preserve">The Depositary lodges the Accord, the corridor Reference Charts, and every subsequent chart amendment with the International Maritime Organization. The corridor system adopts the routeing measures of the Organization as their technical baseline, and the Technical and Standards Committee maintains the corridor documentation in the Organization's formats. An IMO observer holds a standing seat at the Hormuz Operations Center under Article 18.</w:t>
      </w:r>
    </w:p>
    <w:p>
      <w:pPr>
        <w:pStyle w:val="Heading3"/>
      </w:pPr>
      <w:r>
        <w:rPr>
          <w:rFonts w:ascii="Georgia" w:hAnsi="Georgia" w:eastAsia="Microsoft YaHei"/>
          <w:color w:val="263238"/>
          <w:sz w:val="22"/>
        </w:rPr>
        <w:t xml:space="preserve">2.6 Non-prejudice and no precedent</w:t>
      </w:r>
    </w:p>
    <w:p>
      <w:pPr>
        <w:pStyle w:val="Normal"/>
      </w:pPr>
      <w:r>
        <w:rPr>
          <w:rFonts w:ascii="Georgia" w:hAnsi="Georgia" w:eastAsia="Microsoft YaHei"/>
          <w:color w:val="263238"/>
          <w:sz w:val="22"/>
        </w:rPr>
        <w:t xml:space="preserve">Participation in the Accord prejudices no position. A Party's signature, an Endorsing Stakeholder's endorsement, and an observer's attendance create no recognition of any territorial claim, any blockade measure, any sanctions regime, or any domestic legal characterization of any other participant. The Accord creates no precedent for any other strait, canal, or waterway, and no Party or Stakeholder invokes it as one.</w:t>
      </w:r>
    </w:p>
    <w:p>
      <w:pPr>
        <w:pStyle w:val="Heading3"/>
      </w:pPr>
      <w:r>
        <w:rPr>
          <w:rFonts w:ascii="Georgia" w:hAnsi="Georgia" w:eastAsia="Microsoft YaHei"/>
          <w:color w:val="263238"/>
          <w:sz w:val="22"/>
        </w:rPr>
        <w:t xml:space="preserve">2.7 Relationship to prior routeing measures</w:t>
      </w:r>
    </w:p>
    <w:p>
      <w:pPr>
        <w:pStyle w:val="Normal"/>
      </w:pPr>
      <w:r>
        <w:rPr>
          <w:rFonts w:ascii="Georgia" w:hAnsi="Georgia" w:eastAsia="Microsoft YaHei"/>
          <w:color w:val="263238"/>
          <w:sz w:val="22"/>
        </w:rPr>
        <w:t xml:space="preserve">The corridor system replaces the temporary wartime lanes in force during 2026 and modernizes the traffic separation arrangements that preceded the conflict. Annex A charts the succession explicitly: each wartime lane maps to its permanent successor, and the sunset of each wartime lane follows the activation sequence in Article 39.</w:t>
      </w:r>
    </w:p>
    <w:p>
      <w:pPr>
        <w:pStyle w:val="Heading2"/>
      </w:pPr>
      <w:bookmarkStart w:id="108" w:name="_Toc263100008"/>
      <w:r>
        <w:rPr>
          <w:rFonts w:ascii="Georgia" w:hAnsi="Georgia" w:eastAsia="Microsoft YaHei"/>
          <w:color w:val="263238"/>
          <w:sz w:val="22"/>
        </w:rPr>
        <w:t xml:space="preserve">Article 3: Core Operating Principles</w:t>
      </w:r>
      <w:bookmarkEnd w:id="108"/>
    </w:p>
    <w:p>
      <w:pPr>
        <w:pStyle w:val="Heading3"/>
      </w:pPr>
      <w:r>
        <w:rPr>
          <w:rFonts w:ascii="Georgia" w:hAnsi="Georgia" w:eastAsia="Microsoft YaHei"/>
          <w:color w:val="263238"/>
          <w:sz w:val="22"/>
        </w:rPr>
        <w:t xml:space="preserve">3.1 The political acceptability rule</w:t>
      </w:r>
    </w:p>
    <w:p>
      <w:pPr>
        <w:pStyle w:val="Normal"/>
      </w:pPr>
      <w:r>
        <w:rPr>
          <w:rFonts w:ascii="Georgia" w:hAnsi="Georgia" w:eastAsia="Microsoft YaHei"/>
          <w:color w:val="263238"/>
          <w:sz w:val="22"/>
        </w:rPr>
        <w:t xml:space="preserve">Every operative provision of the Accord passes a single test: each Coastal State Party, each Regional Participant, and the Endorsing Stakeholders defends the provision at home as a gain rather than a concession. The drafting applies the rule in three ways. Functions, not sovereign claims, carry the operative weight. Shared keys, not unilateral powers, activate every sensitive action. The framework architecture, not any Party's restraint, expresses every prohibition.</w:t>
      </w:r>
    </w:p>
    <w:p>
      <w:pPr>
        <w:pStyle w:val="Heading3"/>
      </w:pPr>
      <w:r>
        <w:rPr>
          <w:rFonts w:ascii="Georgia" w:hAnsi="Georgia" w:eastAsia="Microsoft YaHei"/>
          <w:color w:val="263238"/>
          <w:sz w:val="22"/>
        </w:rPr>
        <w:t xml:space="preserve">3.2 Symmetry of investment</w:t>
      </w:r>
    </w:p>
    <w:p>
      <w:pPr>
        <w:pStyle w:val="Normal"/>
      </w:pPr>
      <w:r>
        <w:rPr>
          <w:rFonts w:ascii="Georgia" w:hAnsi="Georgia" w:eastAsia="Microsoft YaHei"/>
          <w:color w:val="263238"/>
          <w:sz w:val="22"/>
        </w:rPr>
        <w:t xml:space="preserve">Both Coastal State Parties invest in the system: Iran hosts the Mirror Facility, operates the inbound service desk, and staffs the joint watch; Oman hosts the Operations Center, operates the outbound service desk, and administers the escrow. Both submit to the same verification, the same audit, the same data standards, and the same compliance engine. Asymmetry of burden reads as a drafting defect and triggers correction under the Technical Corrections Protocol in Annex M.</w:t>
      </w:r>
    </w:p>
    <w:p>
      <w:pPr>
        <w:pStyle w:val="Heading3"/>
      </w:pPr>
      <w:r>
        <w:rPr>
          <w:rFonts w:ascii="Georgia" w:hAnsi="Georgia" w:eastAsia="Microsoft YaHei"/>
          <w:color w:val="263238"/>
          <w:sz w:val="22"/>
        </w:rPr>
        <w:t xml:space="preserve">3.3 Symmetry of benefit</w:t>
      </w:r>
    </w:p>
    <w:p>
      <w:pPr>
        <w:pStyle w:val="Normal"/>
      </w:pPr>
      <w:r>
        <w:rPr>
          <w:rFonts w:ascii="Georgia" w:hAnsi="Georgia" w:eastAsia="Microsoft YaHei"/>
          <w:color w:val="263238"/>
          <w:sz w:val="22"/>
        </w:rPr>
        <w:t xml:space="preserve">Benefits flow to all participants in published proportions: service revenue under Annex D, insurance normalization under Article 26, data access under Annex B, and stability dividends under the Reciprocity Ledger in Article 35. No participant captures a benefit that the architecture does not price, publish, and audit.</w:t>
      </w:r>
    </w:p>
    <w:p>
      <w:pPr>
        <w:pStyle w:val="Heading3"/>
      </w:pPr>
      <w:r>
        <w:rPr>
          <w:rFonts w:ascii="Georgia" w:hAnsi="Georgia" w:eastAsia="Microsoft YaHei"/>
          <w:color w:val="263238"/>
          <w:sz w:val="22"/>
        </w:rPr>
        <w:t xml:space="preserve">3.4 Civilian character</w:t>
      </w:r>
    </w:p>
    <w:p>
      <w:pPr>
        <w:pStyle w:val="Normal"/>
      </w:pPr>
      <w:r>
        <w:rPr>
          <w:rFonts w:ascii="Georgia" w:hAnsi="Georgia" w:eastAsia="Microsoft YaHei"/>
          <w:color w:val="263238"/>
          <w:sz w:val="22"/>
        </w:rPr>
        <w:t xml:space="preserve">The corridor system is a civilian system. The Hormuz Operations Center, the Mirror Facility, the service desks, and the escrow operate under civilian management, civilian staffing, and civilian law. Military liaison enters the system through the deconfliction channels of Article 28 and nowhere else.</w:t>
      </w:r>
    </w:p>
    <w:p>
      <w:pPr>
        <w:pStyle w:val="Heading3"/>
      </w:pPr>
      <w:r>
        <w:rPr>
          <w:rFonts w:ascii="Georgia" w:hAnsi="Georgia" w:eastAsia="Microsoft YaHei"/>
          <w:color w:val="263238"/>
          <w:sz w:val="22"/>
        </w:rPr>
        <w:t xml:space="preserve">3.5 Continuity over perfection</w:t>
      </w:r>
    </w:p>
    <w:p>
      <w:pPr>
        <w:pStyle w:val="Normal"/>
      </w:pPr>
      <w:r>
        <w:rPr>
          <w:rFonts w:ascii="Georgia" w:hAnsi="Georgia" w:eastAsia="Microsoft YaHei"/>
          <w:color w:val="263238"/>
          <w:sz w:val="22"/>
        </w:rPr>
        <w:t xml:space="preserve">The architecture prefers degraded operation to suspension. Every component carries a defined degraded mode: the Hormuz Watch under Article 34 for the governance layer, degraded-mode data operation under Article 27, and escrow continuity under Article 24. The system bends; it does not break.</w:t>
      </w:r>
    </w:p>
    <w:p>
      <w:pPr>
        <w:pStyle w:val="Heading2"/>
      </w:pPr>
      <w:bookmarkStart w:id="109" w:name="_Toc263100009"/>
      <w:r>
        <w:rPr>
          <w:rFonts w:ascii="Georgia" w:hAnsi="Georgia" w:eastAsia="Microsoft YaHei"/>
          <w:color w:val="263238"/>
          <w:sz w:val="22"/>
        </w:rPr>
        <w:t xml:space="preserve">Article 4: The Six-Step Rule and the Simplicity Mandate</w:t>
      </w:r>
      <w:bookmarkEnd w:id="109"/>
    </w:p>
    <w:p>
      <w:pPr>
        <w:pStyle w:val="Heading3"/>
      </w:pPr>
      <w:r>
        <w:rPr>
          <w:rFonts w:ascii="Georgia" w:hAnsi="Georgia" w:eastAsia="Microsoft YaHei"/>
          <w:color w:val="263238"/>
          <w:sz w:val="22"/>
        </w:rPr>
        <w:t xml:space="preserve">4.1 The Six-Step Rule</w:t>
      </w:r>
    </w:p>
    <w:p>
      <w:pPr>
        <w:pStyle w:val="Normal"/>
      </w:pPr>
      <w:r>
        <w:rPr>
          <w:rFonts w:ascii="Georgia" w:hAnsi="Georgia" w:eastAsia="Microsoft YaHei"/>
          <w:color w:val="263238"/>
          <w:sz w:val="22"/>
        </w:rPr>
        <w:t xml:space="preserve">Every operational instruction in the Accord and its Annexes completes in six steps or fewer. The rule binds mariner-facing instructions, watch-floor procedures, payment workflows, incident protocols, and activation checklists. The Technical and Standards Committee counts the steps of every instruction at drafting and again at each annual review. An instruction that exceeds six steps returns to the Committee for redesign.</w:t>
      </w:r>
    </w:p>
    <w:p>
      <w:pPr>
        <w:pStyle w:val="Heading3"/>
      </w:pPr>
      <w:r>
        <w:rPr>
          <w:rFonts w:ascii="Georgia" w:hAnsi="Georgia" w:eastAsia="Microsoft YaHei"/>
          <w:color w:val="263238"/>
          <w:sz w:val="22"/>
        </w:rPr>
        <w:t xml:space="preserve">4.2 The one-page principle</w:t>
      </w:r>
    </w:p>
    <w:p>
      <w:pPr>
        <w:pStyle w:val="Normal"/>
      </w:pPr>
      <w:r>
        <w:rPr>
          <w:rFonts w:ascii="Georgia" w:hAnsi="Georgia" w:eastAsia="Microsoft YaHei"/>
          <w:color w:val="263238"/>
          <w:sz w:val="22"/>
        </w:rPr>
        <w:t xml:space="preserve">Every rule a mariner applies at sea fits on a single page: the routing instruction, the reporting points, the Flow State rules, the emergency diversion, and the contact list. Annex K publishes the one-page cards for each vessel class. The Operations Center distributes the cards in English, Arabic, Persian, and the working languages of the major registries.</w:t>
      </w:r>
    </w:p>
    <w:p>
      <w:pPr>
        <w:pStyle w:val="Heading3"/>
      </w:pPr>
      <w:r>
        <w:rPr>
          <w:rFonts w:ascii="Georgia" w:hAnsi="Georgia" w:eastAsia="Microsoft YaHei"/>
          <w:color w:val="263238"/>
          <w:sz w:val="22"/>
        </w:rPr>
        <w:t xml:space="preserve">4.3 The complexity audit</w:t>
      </w:r>
    </w:p>
    <w:p>
      <w:pPr>
        <w:pStyle w:val="Normal"/>
      </w:pPr>
      <w:r>
        <w:rPr>
          <w:rFonts w:ascii="Georgia" w:hAnsi="Georgia" w:eastAsia="Microsoft YaHei"/>
          <w:color w:val="263238"/>
          <w:sz w:val="22"/>
        </w:rPr>
        <w:t xml:space="preserve">Once each year, an external reviewer appointed by the Swiss Facilitator audits the Accord and its Annexes for complexity creep: instructions longer than six steps, forms demanding data the system already holds, duplicated reporting channels, and fees without a matching published service. The audit publishes its findings. The Council acts on each finding within ninety days, and the Reciprocity Ledger records the disposition.</w:t>
      </w:r>
    </w:p>
    <w:p>
      <w:pPr>
        <w:pStyle w:val="Heading3"/>
      </w:pPr>
      <w:r>
        <w:rPr>
          <w:rFonts w:ascii="Georgia" w:hAnsi="Georgia" w:eastAsia="Microsoft YaHei"/>
          <w:color w:val="263238"/>
          <w:sz w:val="22"/>
        </w:rPr>
        <w:t xml:space="preserve">4.4 Cost discipline</w:t>
      </w:r>
    </w:p>
    <w:p>
      <w:pPr>
        <w:pStyle w:val="Normal"/>
      </w:pPr>
      <w:r>
        <w:rPr>
          <w:rFonts w:ascii="Georgia" w:hAnsi="Georgia" w:eastAsia="Microsoft YaHei"/>
          <w:color w:val="263238"/>
          <w:sz w:val="22"/>
        </w:rPr>
        <w:t xml:space="preserve">The Accord adds no institution that an existing institution performs adequately. The escrow builds on Omani financial administration with Swiss facilitation rather than a new international bank. The watch floor builds on the fused radar and AIS feeds the coastal States already operate. The audit builds on internationally recognized accounting firms rather than a standing inspectorate. Article 25 caps the administrative overhead of the system at twelve percent of service revenue, measured annually and published.</w:t>
      </w:r>
    </w:p>
    <w:p>
      <w:pPr>
        <w:pStyle w:val="Heading2"/>
      </w:pPr>
      <w:bookmarkStart w:id="110" w:name="_Toc263100010"/>
      <w:r>
        <w:rPr>
          <w:rFonts w:ascii="Georgia" w:hAnsi="Georgia" w:eastAsia="Microsoft YaHei"/>
          <w:color w:val="263238"/>
          <w:sz w:val="22"/>
        </w:rPr>
        <w:t xml:space="preserve">Article 5: The Nofade Guarantee</w:t>
      </w:r>
      <w:bookmarkEnd w:id="110"/>
    </w:p>
    <w:p>
      <w:pPr>
        <w:pStyle w:val="Heading3"/>
      </w:pPr>
      <w:r>
        <w:rPr>
          <w:rFonts w:ascii="Georgia" w:hAnsi="Georgia" w:eastAsia="Microsoft YaHei"/>
          <w:color w:val="263238"/>
          <w:sz w:val="22"/>
        </w:rPr>
        <w:t xml:space="preserve">5.1 No sunset</w:t>
      </w:r>
    </w:p>
    <w:p>
      <w:pPr>
        <w:pStyle w:val="Normal"/>
      </w:pPr>
      <w:r>
        <w:rPr>
          <w:rFonts w:ascii="Georgia" w:hAnsi="Georgia" w:eastAsia="Microsoft YaHei"/>
          <w:color w:val="263238"/>
          <w:sz w:val="22"/>
        </w:rPr>
        <w:t xml:space="preserve">The Accord contains no expiry date. It operates from entry into force until the Parties amend it under Article 42 or a Party completes the withdrawal procedure of Article 42. Absence of news is absence of change: silence never terminates an obligation, a benefit, or an institution.</w:t>
      </w:r>
    </w:p>
    <w:p>
      <w:pPr>
        <w:pStyle w:val="Heading3"/>
      </w:pPr>
      <w:r>
        <w:rPr>
          <w:rFonts w:ascii="Georgia" w:hAnsi="Georgia" w:eastAsia="Microsoft YaHei"/>
          <w:color w:val="263238"/>
          <w:sz w:val="22"/>
        </w:rPr>
        <w:t xml:space="preserve">5.2 No fade of commitments</w:t>
      </w:r>
    </w:p>
    <w:p>
      <w:pPr>
        <w:pStyle w:val="Normal"/>
      </w:pPr>
      <w:r>
        <w:rPr>
          <w:rFonts w:ascii="Georgia" w:hAnsi="Georgia" w:eastAsia="Microsoft YaHei"/>
          <w:color w:val="263238"/>
          <w:sz w:val="22"/>
        </w:rPr>
        <w:t xml:space="preserve">Commitments do not erode through inattention. Each January, the Council re-executes a single page of standing confirmations: corridor status, escrow standing, audit standing, and watch-floor readiness. The Shared Registry timestamps the page. A missed confirmation page triggers a Level 1 administrative notice, never a compliance event.</w:t>
      </w:r>
    </w:p>
    <w:p>
      <w:pPr>
        <w:pStyle w:val="Heading3"/>
      </w:pPr>
      <w:r>
        <w:rPr>
          <w:rFonts w:ascii="Georgia" w:hAnsi="Georgia" w:eastAsia="Microsoft YaHei"/>
          <w:color w:val="263238"/>
          <w:sz w:val="22"/>
        </w:rPr>
        <w:t xml:space="preserve">5.3 No fade of earned benefits</w:t>
      </w:r>
    </w:p>
    <w:p>
      <w:pPr>
        <w:pStyle w:val="Normal"/>
      </w:pPr>
      <w:r>
        <w:rPr>
          <w:rFonts w:ascii="Georgia" w:hAnsi="Georgia" w:eastAsia="Microsoft YaHei"/>
          <w:color w:val="263238"/>
          <w:sz w:val="22"/>
        </w:rPr>
        <w:t xml:space="preserve">Benefits earned under the compliance engine, the Reciprocity Ledger, or the pilot phase persist. No later event forfeits an earned benefit except a determination under the compliance engine itself, and every such determination carries the earn-back pathway of Article 33.</w:t>
      </w:r>
    </w:p>
    <w:p>
      <w:pPr>
        <w:pStyle w:val="Heading3"/>
      </w:pPr>
      <w:r>
        <w:rPr>
          <w:rFonts w:ascii="Georgia" w:hAnsi="Georgia" w:eastAsia="Microsoft YaHei"/>
          <w:color w:val="263238"/>
          <w:sz w:val="22"/>
        </w:rPr>
        <w:t xml:space="preserve">5.4 No fade of verification</w:t>
      </w:r>
    </w:p>
    <w:p>
      <w:pPr>
        <w:pStyle w:val="Normal"/>
      </w:pPr>
      <w:r>
        <w:rPr>
          <w:rFonts w:ascii="Georgia" w:hAnsi="Georgia" w:eastAsia="Microsoft YaHei"/>
          <w:color w:val="263238"/>
          <w:sz w:val="22"/>
        </w:rPr>
        <w:t xml:space="preserve">Verification coverage never lapses below the floor set in Annex B: continuous AIS coverage, continuous fused radar coverage at the published availability rate, and a staffed watch floor around the clock. A lapse below the floor activates the automatic protection rule of Article 27, not a penalty against a Party.</w:t>
      </w:r>
    </w:p>
    <w:p>
      <w:pPr>
        <w:pStyle w:val="Heading3"/>
      </w:pPr>
      <w:r>
        <w:rPr>
          <w:rFonts w:ascii="Georgia" w:hAnsi="Georgia" w:eastAsia="Microsoft YaHei"/>
          <w:color w:val="263238"/>
          <w:sz w:val="22"/>
        </w:rPr>
        <w:t xml:space="preserve">5.5 No fade of the Zero-Toll Rule</w:t>
      </w:r>
    </w:p>
    <w:p>
      <w:pPr>
        <w:pStyle w:val="Normal"/>
      </w:pPr>
      <w:r>
        <w:rPr>
          <w:rFonts w:ascii="Georgia" w:hAnsi="Georgia" w:eastAsia="Microsoft YaHei"/>
          <w:color w:val="263238"/>
          <w:sz w:val="22"/>
        </w:rPr>
        <w:t xml:space="preserve">The Zero-Toll Rule binds at entry into force, during the pilot phase, during any Flow State, during any Hormuz Watch period, and during any dispute. No emergency, no escalation, and no amendment procedure touches it except an amendment adopted under Article 42 with the affirmative vote of every Coastal State Party.</w:t>
      </w:r>
    </w:p>
    <w:p>
      <w:pPr>
        <w:pStyle w:val="Heading3"/>
      </w:pPr>
      <w:r>
        <w:rPr>
          <w:rFonts w:ascii="Georgia" w:hAnsi="Georgia" w:eastAsia="Microsoft YaHei"/>
          <w:color w:val="263238"/>
          <w:sz w:val="22"/>
        </w:rPr>
        <w:t xml:space="preserve">5.6 No fade of institutional memory</w:t>
      </w:r>
    </w:p>
    <w:p>
      <w:pPr>
        <w:pStyle w:val="Normal"/>
      </w:pPr>
      <w:r>
        <w:rPr>
          <w:rFonts w:ascii="Georgia" w:hAnsi="Georgia" w:eastAsia="Microsoft YaHei"/>
          <w:color w:val="263238"/>
          <w:sz w:val="22"/>
        </w:rPr>
        <w:t xml:space="preserve">The Shared Registry retains the full operational record of the Accord for ten years: every bulletin, every incident log, every audit, every determination, and every earn-back certificate. The Depositary holds a sealed duplicate. Alongside the Registry, the Swiss Facilitator maintains the Institutional Memory Vault, a narrative archive holding: the annual State of the System narrative written by the outgoing Council chair; recordings of Council sessions and major drills; a lessons-learned repository updated after every significant incident and exercise; and a personnel continuity register tracking accreditation and rotation of every key role. The Vault seals and deposits with the Depositary every five years and opens to every participant on request. Institutional memory survives staff rotation, political transition, technical refresh, and the passage of generations.</w:t>
      </w:r>
    </w:p>
    <w:p>
      <w:pPr>
        <w:pStyle w:val="Heading3"/>
      </w:pPr>
      <w:r>
        <w:rPr>
          <w:rFonts w:ascii="Georgia" w:hAnsi="Georgia" w:eastAsia="Microsoft YaHei"/>
          <w:color w:val="263238"/>
          <w:sz w:val="22"/>
        </w:rPr>
        <w:t xml:space="preserve">5.7 Renewal by silence and default continuity</w:t>
      </w:r>
    </w:p>
    <w:p>
      <w:pPr>
        <w:pStyle w:val="Normal"/>
      </w:pPr>
      <w:r>
        <w:rPr>
          <w:rFonts w:ascii="Georgia" w:hAnsi="Georgia" w:eastAsia="Microsoft YaHei"/>
          <w:color w:val="263238"/>
          <w:sz w:val="22"/>
        </w:rPr>
        <w:t xml:space="preserve">Administrative arrangements under the Accord renew by silence. A procedure that expires without objection continues on identical terms. Default continuity governs every gap the drafting does not close explicitly: the system keeps operating on the last agreed configuration while the Council deliberates.</w:t>
      </w:r>
    </w:p>
    <w:p>
      <w:pPr>
        <w:pStyle w:val="Heading3"/>
      </w:pPr>
      <w:r>
        <w:rPr>
          <w:rFonts w:ascii="Georgia" w:hAnsi="Georgia" w:eastAsia="Microsoft YaHei"/>
          <w:color w:val="263238"/>
          <w:sz w:val="22"/>
        </w:rPr>
        <w:t xml:space="preserve">5.8 Exit is an act, not a fade</w:t>
      </w:r>
    </w:p>
    <w:p>
      <w:pPr>
        <w:pStyle w:val="Normal"/>
      </w:pPr>
      <w:r>
        <w:rPr>
          <w:rFonts w:ascii="Georgia" w:hAnsi="Georgia" w:eastAsia="Microsoft YaHei"/>
          <w:color w:val="263238"/>
          <w:sz w:val="22"/>
        </w:rPr>
        <w:t xml:space="preserve">Departure from the Accord takes a written instrument, a notice period, and the settlement procedure of Article 42. Drift, silence, non-attendance, and non-payment never constitute departure. The architecture treats every ambiguous signal as continuation.</w:t>
      </w:r>
    </w:p>
    <w:p>
      <w:pPr>
        <w:pStyle w:val="Heading3"/>
      </w:pPr>
      <w:r>
        <w:rPr>
          <w:rFonts w:ascii="Georgia" w:hAnsi="Georgia" w:eastAsia="Microsoft YaHei"/>
          <w:color w:val="263238"/>
          <w:sz w:val="22"/>
        </w:rPr>
        <w:t xml:space="preserve">5.9 The Alumni Network</w:t>
      </w:r>
    </w:p>
    <w:p>
      <w:pPr>
        <w:pStyle w:val="Normal"/>
      </w:pPr>
      <w:r>
        <w:rPr>
          <w:rFonts w:ascii="Georgia" w:hAnsi="Georgia" w:eastAsia="Microsoft YaHei"/>
          <w:color w:val="263238"/>
          <w:sz w:val="22"/>
        </w:rPr>
        <w:t xml:space="preserve">A voluntary Alumni Network links former Council members, Operations Center directors, escrow officers, and Neutral Watch Office heads. The Swiss Facilitator hosts the Network, maintains its contact directory, and convenes it annually. The Network holds no authority and decides nothing; it preserves the human memory of the architecture and stands available for informal advice when the system faces a situation it has seen before.</w:t>
      </w:r>
    </w:p>
    <w:p>
      <w:pPr>
        <w:pStyle w:val="Heading2"/>
      </w:pPr>
      <w:bookmarkStart w:id="111" w:name="_Toc263100011"/>
      <w:r>
        <w:rPr>
          <w:rFonts w:ascii="Georgia" w:hAnsi="Georgia" w:eastAsia="Microsoft YaHei"/>
          <w:color w:val="263238"/>
          <w:sz w:val="22"/>
        </w:rPr>
        <w:t xml:space="preserve">Article 6: The Red Lines Register and the Perimeter Test</w:t>
      </w:r>
      <w:bookmarkEnd w:id="111"/>
    </w:p>
    <w:p>
      <w:pPr>
        <w:pStyle w:val="Heading3"/>
      </w:pPr>
      <w:r>
        <w:rPr>
          <w:rFonts w:ascii="Georgia" w:hAnsi="Georgia" w:eastAsia="Microsoft YaHei"/>
          <w:color w:val="263238"/>
          <w:sz w:val="22"/>
        </w:rPr>
        <w:t xml:space="preserve">6.1 Purpose and method</w:t>
      </w:r>
    </w:p>
    <w:p>
      <w:pPr>
        <w:pStyle w:val="Normal"/>
      </w:pPr>
      <w:r>
        <w:rPr>
          <w:rFonts w:ascii="Georgia" w:hAnsi="Georgia" w:eastAsia="Microsoft YaHei"/>
          <w:color w:val="263238"/>
          <w:sz w:val="22"/>
        </w:rPr>
        <w:t xml:space="preserve">The Accord protects itself from the politics it cannot settle. Each Party, Regional Participant, and Endorsing Stakeholder registers its Red Lines in Annex I: the positions it cannot cross and remain inside the framework. The Register remains a closed, enumerated, and public record within the participant group. Drafting, interpretation, and amendment all respect the Register absolutely.</w:t>
      </w:r>
    </w:p>
    <w:p>
      <w:pPr>
        <w:pStyle w:val="Heading3"/>
      </w:pPr>
      <w:r>
        <w:rPr>
          <w:rFonts w:ascii="Georgia" w:hAnsi="Georgia" w:eastAsia="Microsoft YaHei"/>
          <w:color w:val="263238"/>
          <w:sz w:val="22"/>
        </w:rPr>
        <w:t xml:space="preserve">6.2 The Perimeter Test</w:t>
      </w:r>
    </w:p>
    <w:p>
      <w:pPr>
        <w:pStyle w:val="Normal"/>
      </w:pPr>
      <w:r>
        <w:rPr>
          <w:rFonts w:ascii="Georgia" w:hAnsi="Georgia" w:eastAsia="Microsoft YaHei"/>
          <w:color w:val="263238"/>
          <w:sz w:val="22"/>
        </w:rPr>
        <w:t xml:space="preserve">Before the Council adopts any rule, rate, chart change, or procedure, the Secretariat runs the Perimeter Test: the text circulates against the Red Lines Register, and any collision returns the text to drafting. A collision identified after adoption suspends the provision automatically pending redrafting, and the suspended provision reverts to the prior configuration under default continuity.</w:t>
      </w:r>
    </w:p>
    <w:p>
      <w:pPr>
        <w:pStyle w:val="Heading3"/>
      </w:pPr>
      <w:r>
        <w:rPr>
          <w:rFonts w:ascii="Georgia" w:hAnsi="Georgia" w:eastAsia="Microsoft YaHei"/>
          <w:color w:val="263238"/>
          <w:sz w:val="22"/>
        </w:rPr>
        <w:t xml:space="preserve">6.3 No trading of Red Lines</w:t>
      </w:r>
    </w:p>
    <w:p>
      <w:pPr>
        <w:pStyle w:val="Normal"/>
      </w:pPr>
      <w:r>
        <w:rPr>
          <w:rFonts w:ascii="Georgia" w:hAnsi="Georgia" w:eastAsia="Microsoft YaHei"/>
          <w:color w:val="263238"/>
          <w:sz w:val="22"/>
        </w:rPr>
        <w:t xml:space="preserve">Red Lines never trade against each other. The Accord contains no bargain in which one Party crosses its own Red Line in exchange for another Party crossing its own. The architecture resolves conflicts by redesign: it finds the functional formulation that clears every perimeter at once, or it leaves the question in the status quo ante.</w:t>
      </w:r>
    </w:p>
    <w:p>
      <w:pPr>
        <w:pStyle w:val="Heading3"/>
      </w:pPr>
      <w:r>
        <w:rPr>
          <w:rFonts w:ascii="Georgia" w:hAnsi="Georgia" w:eastAsia="Microsoft YaHei"/>
          <w:color w:val="263238"/>
          <w:sz w:val="22"/>
        </w:rPr>
        <w:t xml:space="preserve">6.4 Red Line Consultation</w:t>
      </w:r>
    </w:p>
    <w:p>
      <w:pPr>
        <w:pStyle w:val="Normal"/>
      </w:pPr>
      <w:r>
        <w:rPr>
          <w:rFonts w:ascii="Georgia" w:hAnsi="Georgia" w:eastAsia="Microsoft YaHei"/>
          <w:color w:val="263238"/>
          <w:sz w:val="22"/>
        </w:rPr>
        <w:t xml:space="preserve">Any participant invokes Red Line Consultation by written notice to the Secretariat. Consultation convenes within seventy-two hours, runs for no more than fourteen days, and produces one of three outcomes: redesign of the offending provision, classification of the concern as outside the Register, or referral to the Guarantor and Facilitation Panel. During consultation, default continuity holds.</w:t>
      </w:r>
    </w:p>
    <w:p>
      <w:pPr>
        <w:pStyle w:val="Heading2"/>
      </w:pPr>
      <w:bookmarkStart w:id="112" w:name="_Toc263100012"/>
      <w:r>
        <w:rPr>
          <w:rFonts w:ascii="Georgia" w:hAnsi="Georgia" w:eastAsia="Microsoft YaHei"/>
          <w:color w:val="263238"/>
          <w:sz w:val="22"/>
        </w:rPr>
        <w:t xml:space="preserve">Article 7: Definitions</w:t>
      </w:r>
      <w:bookmarkEnd w:id="112"/>
    </w:p>
    <w:p>
      <w:pPr>
        <w:pStyle w:val="Normal"/>
      </w:pPr>
      <w:r>
        <w:rPr>
          <w:rFonts w:ascii="Georgia" w:hAnsi="Georgia" w:eastAsia="Microsoft YaHei"/>
          <w:color w:val="263238"/>
          <w:sz w:val="22"/>
        </w:rPr>
        <w:t xml:space="preserve">Annex M carries the complete definitions register. The following ten definitions anchor the operative text.</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Accord: this instrument, its Annexes, and every rule, rate, and chart adopted under it.</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Governance Area: the maritime area enclosed by the outer boundary in Article 8 and Annex A.</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Corridor system: the Northern Coordination Corridor, the Central Buffer Corridor, and the Southern Assurance Corridor, together with their entry and exit points, reporting points, and charted margins.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Flow State: the published operating condition of the corridor system: GREEN, AMBER, or RED, under Article 10.</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Service charge: a published price for a published service in the Verified Services Catalog, payable through the escrow under Annex D. A service charge never prices passage.</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Toll: any charge, fee, levy, or exaction on passage itself. The Accord prohibits tolls absolutely.</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Twin Key: the rule that a sensitive action activates only on the concurrence of two designated keys, per the assignment table in Annex C.</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Watch floor: the continuous joint monitoring operation at the Hormuz Operations Center and its Mirror Facility.</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Stability Audit: the structured measurement of corridor performance in Annex H, gating full activation and recurring annually thereafter.</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Hormuz Watch: the degraded governance mode of Article 34, in which the system narrows to its protective core and continuity rules carry the rest.</w:t>
      </w:r>
    </w:p>
    <w:p>
      <w:r>
        <w:br w:type="page"/>
      </w:r>
    </w:p>
    <w:p>
      <w:pPr>
        <w:pStyle w:val="Heading1"/>
      </w:pPr>
      <w:bookmarkStart w:id="113" w:name="_Toc263100013"/>
      <w:r>
        <w:rPr>
          <w:rFonts w:ascii="Georgia" w:hAnsi="Georgia" w:eastAsia="Microsoft YaHei"/>
          <w:color w:val="263238"/>
          <w:sz w:val="22"/>
        </w:rPr>
        <w:t xml:space="preserve">Part II: The Three-Corridor Navigation System</w:t>
      </w:r>
      <w:bookmarkEnd w:id="113"/>
    </w:p>
    <w:p>
      <w:pPr>
        <w:pStyle w:val="Heading2"/>
      </w:pPr>
      <w:bookmarkStart w:id="114" w:name="_Toc263100014"/>
      <w:r>
        <w:rPr>
          <w:rFonts w:ascii="Georgia" w:hAnsi="Georgia" w:eastAsia="Microsoft YaHei"/>
          <w:color w:val="263238"/>
          <w:sz w:val="22"/>
        </w:rPr>
        <w:t xml:space="preserve">Article 8: The Governance Area and Boundary Coordinates</w:t>
      </w:r>
      <w:bookmarkEnd w:id="114"/>
    </w:p>
    <w:p>
      <w:pPr>
        <w:pStyle w:val="Heading3"/>
      </w:pPr>
      <w:r>
        <w:rPr>
          <w:rFonts w:ascii="Georgia" w:hAnsi="Georgia" w:eastAsia="Microsoft YaHei"/>
          <w:color w:val="263238"/>
          <w:sz w:val="22"/>
        </w:rPr>
        <w:t xml:space="preserve">8.1 Establishment</w:t>
      </w:r>
    </w:p>
    <w:p>
      <w:pPr>
        <w:pStyle w:val="Normal"/>
      </w:pPr>
      <w:r>
        <w:rPr>
          <w:rFonts w:ascii="Georgia" w:hAnsi="Georgia" w:eastAsia="Microsoft YaHei"/>
          <w:color w:val="263238"/>
          <w:sz w:val="22"/>
        </w:rPr>
        <w:t xml:space="preserve">The Parties establish the Hormuz Governance Area as the geographic frame of the Accord. The Governance Area encloses the Strait of Hormuz and its operational approaches. Annex A publishes the complete outer boundary as a closed polygon of turning points, together with the Reference Chart THGCA-RC-01.</w:t>
      </w:r>
    </w:p>
    <w:p>
      <w:pPr>
        <w:pStyle w:val="Heading3"/>
      </w:pPr>
      <w:r>
        <w:rPr>
          <w:rFonts w:ascii="Georgia" w:hAnsi="Georgia" w:eastAsia="Microsoft YaHei"/>
          <w:color w:val="263238"/>
          <w:sz w:val="22"/>
        </w:rPr>
        <w:t xml:space="preserve">8.2 Outer boundary</w:t>
      </w:r>
    </w:p>
    <w:p>
      <w:pPr>
        <w:pStyle w:val="Normal"/>
      </w:pPr>
      <w:r>
        <w:rPr>
          <w:rFonts w:ascii="Georgia" w:hAnsi="Georgia" w:eastAsia="Microsoft YaHei"/>
          <w:color w:val="263238"/>
          <w:sz w:val="22"/>
        </w:rPr>
        <w:t xml:space="preserve">The outer boundary runs from a western limit west of the Tunb approaches, through the main strait between Larak Island and the Musandam coast, to an eastern limit in the Gulf of Oman between the Iranian coast east of Jask approaches and the Omani coast off Ras al Hadd approaches. The boundary follows, in sequence: Point GA-1 at 26 degrees 48 minutes North, 55 degrees 58 minutes East; Point GA-2 at 26 degrees 30 minutes North, 56 degrees 12 minutes East; Point GA-3 at 26 degrees 42 minutes North, 56 degrees 40 minutes East; Point GA-4 at 26 degrees 18 minutes North, 57 degrees 05 minutes East; Point GA-5 at 25 degrees 56 minutes North, 57 degrees 38 minutes East; Point GA-6 at 25 degrees 40 minutes North, 57 degrees 22 minutes East; Point GA-7 at 25 degrees 44 minutes North, 56 degrees 50 minutes East; Point GA-8 at 25 degrees 58 minutes North, 56 degrees 18 minutes East; and Point GA-9 at 26 degrees 12 minutes North, 56 degrees 02 minutes East, closing to GA-1. Annex A states every coordinate in degrees, minutes, and decimal minutes, and charts them on THGCA-RC-01.</w:t>
      </w:r>
    </w:p>
    <w:p>
      <w:pPr>
        <w:pStyle w:val="Heading3"/>
      </w:pPr>
      <w:r>
        <w:rPr>
          <w:rFonts w:ascii="Georgia" w:hAnsi="Georgia" w:eastAsia="Microsoft YaHei"/>
          <w:color w:val="263238"/>
          <w:sz w:val="22"/>
        </w:rPr>
        <w:t xml:space="preserve">8.3 Internal reference lines</w:t>
      </w:r>
    </w:p>
    <w:p>
      <w:pPr>
        <w:pStyle w:val="Normal"/>
      </w:pPr>
      <w:r>
        <w:rPr>
          <w:rFonts w:ascii="Georgia" w:hAnsi="Georgia" w:eastAsia="Microsoft YaHei"/>
          <w:color w:val="263238"/>
          <w:sz w:val="22"/>
        </w:rPr>
        <w:t xml:space="preserve">Three internal reference lines organize the Governance Area: the Northern Reference Line along the axis of the inbound corridor; the Central Reference Line along the axis of the buffer corridor; and the Southern Reference Line along the axis of the outbound corridor. Annex A publishes all three. Reference lines carry no legal boundary meaning; they exist for navigation, measurement, and audit.</w:t>
      </w:r>
    </w:p>
    <w:p>
      <w:pPr>
        <w:pStyle w:val="Heading3"/>
      </w:pPr>
      <w:r>
        <w:rPr>
          <w:rFonts w:ascii="Georgia" w:hAnsi="Georgia" w:eastAsia="Microsoft YaHei"/>
          <w:color w:val="263238"/>
          <w:sz w:val="22"/>
        </w:rPr>
        <w:t xml:space="preserve">8.4 Chart custody and amendment</w:t>
      </w:r>
    </w:p>
    <w:p>
      <w:pPr>
        <w:pStyle w:val="Normal"/>
      </w:pPr>
      <w:r>
        <w:rPr>
          <w:rFonts w:ascii="Georgia" w:hAnsi="Georgia" w:eastAsia="Microsoft YaHei"/>
          <w:color w:val="263238"/>
          <w:sz w:val="22"/>
        </w:rPr>
        <w:t xml:space="preserve">The Operations Center holds custody of the Reference Charts. The Mirror Facility holds a certified duplicate. Chart amendment follows the Technical Amendment Track of Article 19: the Technical and Standards Committee drafts, the silence procedure runs for twenty-one days, and the Depositary lodges the amended chart with the International Maritime Organization. No chart amendment alters a Red Line, a corridor width, or an entry or exit point without the affirmative vote of both Coastal State Parties.</w:t>
      </w:r>
    </w:p>
    <w:p>
      <w:pPr>
        <w:pStyle w:val="Heading2"/>
      </w:pPr>
      <w:bookmarkStart w:id="115" w:name="_Toc263100015"/>
      <w:r>
        <w:rPr>
          <w:rFonts w:ascii="Georgia" w:hAnsi="Georgia" w:eastAsia="Microsoft YaHei"/>
          <w:color w:val="263238"/>
          <w:sz w:val="22"/>
        </w:rPr>
        <w:t xml:space="preserve">Article 9: The Three Corridors</w:t>
      </w:r>
      <w:bookmarkEnd w:id="115"/>
    </w:p>
    <w:p>
      <w:pPr>
        <w:pStyle w:val="Heading3"/>
      </w:pPr>
      <w:r>
        <w:rPr>
          <w:rFonts w:ascii="Georgia" w:hAnsi="Georgia" w:eastAsia="Microsoft YaHei"/>
          <w:color w:val="263238"/>
          <w:sz w:val="22"/>
        </w:rPr>
        <w:t xml:space="preserve">9.1 The three-corridor system</w:t>
      </w:r>
    </w:p>
    <w:p>
      <w:pPr>
        <w:pStyle w:val="Normal"/>
      </w:pPr>
      <w:r>
        <w:rPr>
          <w:rFonts w:ascii="Georgia" w:hAnsi="Georgia" w:eastAsia="Microsoft YaHei"/>
          <w:color w:val="263238"/>
          <w:sz w:val="22"/>
        </w:rPr>
        <w:t xml:space="preserve">The Governance Area operates three corridors in permanent arrangement: the Northern Coordination Corridor for inbound traffic, the Central Buffer Corridor for separation and emergency routing, and the Southern Assurance Corridor for outbound traffic. The sequence from north to south reads: inbound, buffer, outbound. Every commercial vessel entering the Gulf transits the Northern Coordination Corridor; every commercial vessel leaving the Gulf transits the Southern Assurance Corridor; the Central Buffer Corridor stands open at all times for its defined functions.</w:t>
      </w:r>
    </w:p>
    <w:p>
      <w:pPr>
        <w:pStyle w:val="Heading3"/>
      </w:pPr>
      <w:r>
        <w:rPr>
          <w:rFonts w:ascii="Georgia" w:hAnsi="Georgia" w:eastAsia="Microsoft YaHei"/>
          <w:color w:val="263238"/>
          <w:sz w:val="22"/>
        </w:rPr>
        <w:t xml:space="preserve">9.2 The Northern Coordination Corridor</w:t>
      </w:r>
    </w:p>
    <w:p>
      <w:pPr>
        <w:pStyle w:val="Normal"/>
      </w:pPr>
      <w:r>
        <w:rPr>
          <w:rFonts w:ascii="Georgia" w:hAnsi="Georgia" w:eastAsia="Microsoft YaHei"/>
          <w:color w:val="263238"/>
          <w:sz w:val="22"/>
        </w:rPr>
        <w:t xml:space="preserve">The Northern Coordination Corridor carries all inbound commercial traffic through Iranian waters. Its charted width measures 2.0 nautical miles between the corridor margins published in Annex A, with entry point NCC-E at the eastern limit and exit point NCC-W at the western limit. Iran performs the inbound navigation safety functions: traffic management, route guidance, environmental monitoring, and first-response coordination. Every inbound function performs under the Twin Key Rule: the Iran desk initiates, the Oman desk concurs, and the concurrence runs automatically through the watch floor protocol in Annex C. The corridor operates at the same publication, audit, and data standards as every other component of the system.</w:t>
      </w:r>
    </w:p>
    <w:p>
      <w:pPr>
        <w:pStyle w:val="Heading3"/>
      </w:pPr>
      <w:r>
        <w:rPr>
          <w:rFonts w:ascii="Georgia" w:hAnsi="Georgia" w:eastAsia="Microsoft YaHei"/>
          <w:color w:val="263238"/>
          <w:sz w:val="22"/>
        </w:rPr>
        <w:t xml:space="preserve">9.3 The Southern Assurance Corridor</w:t>
      </w:r>
    </w:p>
    <w:p>
      <w:pPr>
        <w:pStyle w:val="Normal"/>
      </w:pPr>
      <w:r>
        <w:rPr>
          <w:rFonts w:ascii="Georgia" w:hAnsi="Georgia" w:eastAsia="Microsoft YaHei"/>
          <w:color w:val="263238"/>
          <w:sz w:val="22"/>
        </w:rPr>
        <w:t xml:space="preserve">The Southern Assurance Corridor carries all outbound commercial traffic through Omani waters. Its charted width measures 2.0 nautical miles between the margins published in Annex A, with entry point SAC-E and exit point SAC-W. Oman performs the outbound navigation safety functions on identical terms: traffic management, route guidance, environmental monitoring, and first-response coordination. Outbound functions perform under the Twin Key Rule with the GCC observer desk as the concurring key under Annex C. Symmetry holds in both directions: the same standards, the same publication, the same audit.</w:t>
      </w:r>
    </w:p>
    <w:p>
      <w:pPr>
        <w:pStyle w:val="Heading3"/>
      </w:pPr>
      <w:r>
        <w:rPr>
          <w:rFonts w:ascii="Georgia" w:hAnsi="Georgia" w:eastAsia="Microsoft YaHei"/>
          <w:color w:val="263238"/>
          <w:sz w:val="22"/>
        </w:rPr>
        <w:t xml:space="preserve">9.4 The Central Buffer Corridor</w:t>
      </w:r>
    </w:p>
    <w:p>
      <w:pPr>
        <w:pStyle w:val="Normal"/>
      </w:pPr>
      <w:r>
        <w:rPr>
          <w:rFonts w:ascii="Georgia" w:hAnsi="Georgia" w:eastAsia="Microsoft YaHei"/>
          <w:color w:val="263238"/>
          <w:sz w:val="22"/>
        </w:rPr>
        <w:t xml:space="preserve">The Central Buffer Corridor occupies the charted separation between the inbound and outbound corridors, 2.0 nautical miles wide along the Central Reference Line. It performs four functions: physical separation of opposing traffic flows; emergency diversion for any vessel in distress or hazard; mine-risk avoidance routing under Article 11; and naval deconfliction routing under Article 28. The buffer corridor carries no routine commercial traffic. The Operations Center administers it jointly: the Iran desk and the Oman desk co-manage, the Neutral Watch Office observes, and GCC and IMO observers hold data access under Annex B.</w:t>
      </w:r>
    </w:p>
    <w:p>
      <w:pPr>
        <w:pStyle w:val="Heading3"/>
      </w:pPr>
      <w:r>
        <w:rPr>
          <w:rFonts w:ascii="Georgia" w:hAnsi="Georgia" w:eastAsia="Microsoft YaHei"/>
          <w:color w:val="263238"/>
          <w:sz w:val="22"/>
        </w:rPr>
        <w:t xml:space="preserve">9.5 Management arrangement</w:t>
      </w:r>
    </w:p>
    <w:p>
      <w:pPr>
        <w:pStyle w:val="Normal"/>
      </w:pPr>
      <w:r>
        <w:rPr>
          <w:rFonts w:ascii="Georgia" w:hAnsi="Georgia" w:eastAsia="Microsoft YaHei"/>
          <w:color w:val="263238"/>
          <w:sz w:val="22"/>
        </w:rPr>
        <w:t xml:space="preserve">Corridor management follows the functional allocation table: functions, not sovereign claims. Iran performs inbound functions; Oman performs outbound functions; both co-manage the buffer; the watch floor fuses the picture; the Council governs the whole. Annex C enumerates every function, its performing desk, its concurring key, and its fallback.</w:t>
      </w:r>
    </w:p>
    <w:tbl>
      <w:tblPr>
        <w:tblW w:w="5000" w:type="pct"/>
        <w:tblBorders>
          <w:top w:val="single" w:color="1C3F4E" w:sz="12"/>
          <w:left w:val="nil"/>
          <w:bottom w:val="single" w:color="1C3F4E" w:sz="12"/>
          <w:right w:val="nil"/>
          <w:insideH w:val="single" w:color="C4D2D8" w:sz="2"/>
          <w:insideV w:val="nil"/>
        </w:tblBorders>
      </w:tblPr>
      <w:tblGrid>
        <w:gridCol w:w="1504"/>
        <w:gridCol w:w="1504"/>
        <w:gridCol w:w="1504"/>
        <w:gridCol w:w="1504"/>
        <w:gridCol w:w="1504"/>
        <w:gridCol w:w="1504"/>
      </w:tblGrid>
      <w:tr>
        <w:trPr>
          <w:tblHeader/>
        </w:trPr>
        <w:tc>
          <w:tcPr>
            <w:tcW w:w="1504"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Corridor</w:t>
            </w:r>
          </w:p>
        </w:tc>
        <w:tc>
          <w:tcPr>
            <w:tcW w:w="1504"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Direction</w:t>
            </w:r>
          </w:p>
        </w:tc>
        <w:tc>
          <w:tcPr>
            <w:tcW w:w="1504"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Waters</w:t>
            </w:r>
          </w:p>
        </w:tc>
        <w:tc>
          <w:tcPr>
            <w:tcW w:w="1504"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Performing desk</w:t>
            </w:r>
          </w:p>
        </w:tc>
        <w:tc>
          <w:tcPr>
            <w:tcW w:w="1504"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Concurring key</w:t>
            </w:r>
          </w:p>
        </w:tc>
        <w:tc>
          <w:tcPr>
            <w:tcW w:w="1504"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Width</w:t>
            </w:r>
          </w:p>
        </w:tc>
      </w:tr>
      <w:tr>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rthern Coordination Corridor</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Gulf-entering</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Iranian waters</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Iran desk</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Oman desk</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2.0 nautical miles</w:t>
            </w:r>
          </w:p>
        </w:tc>
      </w:tr>
      <w:tr>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ntral Buffer Corridor</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Emergency and deconfliction only</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Median waters</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Joint, both desks</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2.0 nautical miles</w:t>
            </w:r>
          </w:p>
        </w:tc>
      </w:tr>
      <w:tr>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uthern Assurance Corridor</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Outbound, Gulf-exiting</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Omani waters</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Oman desk</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GCC observer desk</w:t>
            </w:r>
          </w:p>
        </w:tc>
        <w:tc>
          <w:tcPr>
            <w:tcW w:w="1504"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2.0 nautical miles</w:t>
            </w:r>
          </w:p>
        </w:tc>
      </w:tr>
    </w:tbl>
    <w:p>
      <w:pPr>
        <w:pStyle w:val="Caption"/>
      </w:pPr>
      <w:r>
        <w:rPr>
          <w:rFonts w:ascii="Georgia" w:hAnsi="Georgia" w:eastAsia="Microsoft YaHei"/>
          <w:color w:val="263238"/>
          <w:sz w:val="22"/>
        </w:rPr>
        <w:t xml:space="preserve">Table 9-1: The corridor system at a glance. Functions travel with desks; concurrence travels with keys.</w:t>
      </w:r>
    </w:p>
    <w:p>
      <w:pPr>
        <w:pStyle w:val="Heading3"/>
      </w:pPr>
      <w:r>
        <w:rPr>
          <w:rFonts w:ascii="Georgia" w:hAnsi="Georgia" w:eastAsia="Microsoft YaHei"/>
          <w:color w:val="263238"/>
          <w:sz w:val="22"/>
        </w:rPr>
        <w:t xml:space="preserve">9.6 Corridor margins and tolerances</w:t>
      </w:r>
    </w:p>
    <w:p>
      <w:pPr>
        <w:pStyle w:val="Normal"/>
      </w:pPr>
      <w:r>
        <w:rPr>
          <w:rFonts w:ascii="Georgia" w:hAnsi="Georgia" w:eastAsia="Microsoft YaHei"/>
          <w:color w:val="263238"/>
          <w:sz w:val="22"/>
        </w:rPr>
        <w:t xml:space="preserve">Each corridor carries charted margins of 0.5 nautical miles on each side. A vessel inside the margins counts as inside the corridor for audit purposes. The corridor adherence metric of Annex H measures against the corridor axis with a tolerance of 0.25 nautical miles, so that ordinary seamanship never reads as deviation.</w:t>
      </w:r>
    </w:p>
    <w:p>
      <w:pPr>
        <w:pStyle w:val="Heading2"/>
      </w:pPr>
      <w:bookmarkStart w:id="116" w:name="_Toc263100016"/>
      <w:r>
        <w:rPr>
          <w:rFonts w:ascii="Georgia" w:hAnsi="Georgia" w:eastAsia="Microsoft YaHei"/>
          <w:color w:val="263238"/>
          <w:sz w:val="22"/>
        </w:rPr>
        <w:t xml:space="preserve">Article 10: Flow States and the Open Water Bulletin</w:t>
      </w:r>
      <w:bookmarkEnd w:id="116"/>
    </w:p>
    <w:p>
      <w:pPr>
        <w:pStyle w:val="Heading3"/>
      </w:pPr>
      <w:r>
        <w:rPr>
          <w:rFonts w:ascii="Georgia" w:hAnsi="Georgia" w:eastAsia="Microsoft YaHei"/>
          <w:color w:val="263238"/>
          <w:sz w:val="22"/>
        </w:rPr>
        <w:t xml:space="preserve">10.1 The three Flow States</w:t>
      </w:r>
    </w:p>
    <w:p>
      <w:pPr>
        <w:pStyle w:val="Normal"/>
      </w:pPr>
      <w:r>
        <w:rPr>
          <w:rFonts w:ascii="Georgia" w:hAnsi="Georgia" w:eastAsia="Microsoft YaHei"/>
          <w:color w:val="263238"/>
          <w:sz w:val="22"/>
        </w:rPr>
        <w:t xml:space="preserve">The corridor system operates in three published Flow States. Flow State GREEN is normal operation: all corridors open, standard reporting, standard charges. Flow State AMBER operates at heightened readiness: all corridors open, enhanced reporting, escort pooling active, and the watch floor at elevated staffing. Flow State RED is protective operation: commercial traffic continues under corridor discipline, buffer corridor diversions expand, military deconfliction channels run at continuous readiness, and the Hormuz Watch provisions of Article 34 stand pre-armed. No Flow State closes the strait. Closure is not an operating condition of this architecture.</w:t>
      </w:r>
    </w:p>
    <w:p>
      <w:pPr>
        <w:pStyle w:val="Heading3"/>
      </w:pPr>
      <w:r>
        <w:rPr>
          <w:rFonts w:ascii="Georgia" w:hAnsi="Georgia" w:eastAsia="Microsoft YaHei"/>
          <w:color w:val="263238"/>
          <w:sz w:val="22"/>
        </w:rPr>
        <w:t xml:space="preserve">10.2 Setting the Flow State</w:t>
      </w:r>
    </w:p>
    <w:p>
      <w:pPr>
        <w:pStyle w:val="Normal"/>
      </w:pPr>
      <w:r>
        <w:rPr>
          <w:rFonts w:ascii="Georgia" w:hAnsi="Georgia" w:eastAsia="Microsoft YaHei"/>
          <w:color w:val="263238"/>
          <w:sz w:val="22"/>
        </w:rPr>
        <w:t xml:space="preserve">The Council sets the Flow State by the Twin Key Rule: both Coastal State desks concur, or the state stays where it is. A move from GREEN to AMBER or from AMBER to RED executes on one desk's initiation with the other's automatic concurrence, because protective escalation always runs downhill. A move back toward GREEN executes only on both desks' recorded concurrence. The Shared Registry timestamps every state change, and the Open Water Bulletin publishes it within fifteen minutes.</w:t>
      </w:r>
    </w:p>
    <w:p>
      <w:pPr>
        <w:pStyle w:val="Heading3"/>
      </w:pPr>
      <w:r>
        <w:rPr>
          <w:rFonts w:ascii="Georgia" w:hAnsi="Georgia" w:eastAsia="Microsoft YaHei"/>
          <w:color w:val="263238"/>
          <w:sz w:val="22"/>
        </w:rPr>
        <w:t xml:space="preserve">10.3 The De-escalation Timer</w:t>
      </w:r>
    </w:p>
    <w:p>
      <w:pPr>
        <w:pStyle w:val="Normal"/>
      </w:pPr>
      <w:r>
        <w:rPr>
          <w:rFonts w:ascii="Georgia" w:hAnsi="Georgia" w:eastAsia="Microsoft YaHei"/>
          <w:color w:val="263238"/>
          <w:sz w:val="22"/>
        </w:rPr>
        <w:t xml:space="preserve">A Flow State of RED or AMBER that persists beyond thirty days downgrades automatically by one level on the thirty-first day, unless both Coastal State desks file a joint written statement documenting an ongoing security threat. One desk alone never holds the system hostage: the clock runs, the evidence speaks, or the state steps down. The Shared Registry timestamps every timer event, and the Bulletin publishes each downgrade like any other state change.</w:t>
      </w:r>
    </w:p>
    <w:p>
      <w:pPr>
        <w:pStyle w:val="Heading3"/>
      </w:pPr>
      <w:r>
        <w:rPr>
          <w:rFonts w:ascii="Georgia" w:hAnsi="Georgia" w:eastAsia="Microsoft YaHei"/>
          <w:color w:val="263238"/>
          <w:sz w:val="22"/>
        </w:rPr>
        <w:t xml:space="preserve">10.4 The Facilitator Override</w:t>
      </w:r>
    </w:p>
    <w:p>
      <w:pPr>
        <w:pStyle w:val="Normal"/>
      </w:pPr>
      <w:r>
        <w:rPr>
          <w:rFonts w:ascii="Georgia" w:hAnsi="Georgia" w:eastAsia="Microsoft YaHei"/>
          <w:color w:val="263238"/>
          <w:sz w:val="22"/>
        </w:rPr>
        <w:t xml:space="preserve">Where one desk blocks de-escalation, the Guarantor and Facilitation Panel reviews the security data on the request of the other desk. Where the Panel finds no material threat, it issues a Facilitator's Recommendation for Normalization. The recommendation takes effect seventy-two hours after issuance unless the blocking desk presents its evidence to the Council; the Council then decides under Consensus Minus One, with the default favoring de-escalation unless the blocking desk proves its case on the record.</w:t>
      </w:r>
    </w:p>
    <w:p>
      <w:pPr>
        <w:pStyle w:val="Heading3"/>
      </w:pPr>
      <w:r>
        <w:rPr>
          <w:rFonts w:ascii="Georgia" w:hAnsi="Georgia" w:eastAsia="Microsoft YaHei"/>
          <w:color w:val="263238"/>
          <w:sz w:val="22"/>
        </w:rPr>
        <w:t xml:space="preserve">10.5 Storm Mode</w:t>
      </w:r>
    </w:p>
    <w:p>
      <w:pPr>
        <w:pStyle w:val="Normal"/>
      </w:pPr>
      <w:r>
        <w:rPr>
          <w:rFonts w:ascii="Georgia" w:hAnsi="Georgia" w:eastAsia="Microsoft YaHei"/>
          <w:color w:val="263238"/>
          <w:sz w:val="22"/>
        </w:rPr>
        <w:t xml:space="preserve">Storm Mode activates on a joint weather advisory of both Coastal States or a recognized meteorological authority, for specific corridors or the whole Governance Area, and operates on top of the weather contingencies of Annex V. In Storm Mode: speed bands reduce by twenty percent, spacing doubles, escort pooling activates regardless of Flow State, the buffer corridor opens for emergency shelter, and pilotage receives a published recommendation. Storm Mode charges standard rates; weather never carries a surcharge. Expiry of the advisory reverts the system to the underlying Flow State automatically.</w:t>
      </w:r>
    </w:p>
    <w:p>
      <w:pPr>
        <w:pStyle w:val="Heading3"/>
      </w:pPr>
      <w:r>
        <w:rPr>
          <w:rFonts w:ascii="Georgia" w:hAnsi="Georgia" w:eastAsia="Microsoft YaHei"/>
          <w:color w:val="263238"/>
          <w:sz w:val="22"/>
        </w:rPr>
        <w:t xml:space="preserve">10.6 The Open Water Bulletin</w:t>
      </w:r>
    </w:p>
    <w:p>
      <w:pPr>
        <w:pStyle w:val="Normal"/>
      </w:pPr>
      <w:r>
        <w:rPr>
          <w:rFonts w:ascii="Georgia" w:hAnsi="Georgia" w:eastAsia="Microsoft YaHei"/>
          <w:color w:val="263238"/>
          <w:sz w:val="22"/>
        </w:rPr>
        <w:t xml:space="preserve">The Operations Center issues the Open Water Bulletin every six hours in every Flow State, and immediately upon any state change, corridor advisory, or hazard notice. The Bulletin states, on one page: the current Flow State; the status of each corridor; any active hazard notices; the reporting points in force; and the emergency contact channels. The Bulletin publishes in English, Arabic, and Persian simultaneously, feeds the Route Assurance Data Service, and posts to the public incident log.</w:t>
      </w:r>
    </w:p>
    <w:p>
      <w:pPr>
        <w:pStyle w:val="Heading2"/>
      </w:pPr>
      <w:bookmarkStart w:id="117" w:name="_Toc263100017"/>
      <w:r>
        <w:rPr>
          <w:rFonts w:ascii="Georgia" w:hAnsi="Georgia" w:eastAsia="Microsoft YaHei"/>
          <w:color w:val="263238"/>
          <w:sz w:val="22"/>
        </w:rPr>
        <w:t xml:space="preserve">Article 11: Hazard Survey, Mines, and the Reopening Sequence</w:t>
      </w:r>
      <w:bookmarkEnd w:id="117"/>
    </w:p>
    <w:p>
      <w:pPr>
        <w:pStyle w:val="Heading3"/>
      </w:pPr>
      <w:r>
        <w:rPr>
          <w:rFonts w:ascii="Georgia" w:hAnsi="Georgia" w:eastAsia="Microsoft YaHei"/>
          <w:color w:val="263238"/>
          <w:sz w:val="22"/>
        </w:rPr>
        <w:t xml:space="preserve">11.1 The mine exclusion</w:t>
      </w:r>
    </w:p>
    <w:p>
      <w:pPr>
        <w:pStyle w:val="Normal"/>
      </w:pPr>
      <w:r>
        <w:rPr>
          <w:rFonts w:ascii="Georgia" w:hAnsi="Georgia" w:eastAsia="Microsoft YaHei"/>
          <w:color w:val="263238"/>
          <w:sz w:val="22"/>
        </w:rPr>
        <w:t xml:space="preserve">The framework architecture excludes naval mines from the corridor system entirely and permanently. No Party, Stakeholder, or participant places, deploys, or tolerates mines in the Governance Area. The exclusion stands in every Flow State, in peace and in crisis, and forms part of every participant's registered Red Lines in Annex I.</w:t>
      </w:r>
    </w:p>
    <w:p>
      <w:pPr>
        <w:pStyle w:val="Heading3"/>
      </w:pPr>
      <w:r>
        <w:rPr>
          <w:rFonts w:ascii="Georgia" w:hAnsi="Georgia" w:eastAsia="Microsoft YaHei"/>
          <w:color w:val="263238"/>
          <w:sz w:val="22"/>
        </w:rPr>
        <w:t xml:space="preserve">11.2 The Day One hazard declaration</w:t>
      </w:r>
    </w:p>
    <w:p>
      <w:pPr>
        <w:pStyle w:val="Normal"/>
      </w:pPr>
      <w:r>
        <w:rPr>
          <w:rFonts w:ascii="Georgia" w:hAnsi="Georgia" w:eastAsia="Microsoft YaHei"/>
          <w:color w:val="263238"/>
          <w:sz w:val="22"/>
        </w:rPr>
        <w:t xml:space="preserve">On the day of signature, both Coastal State Parties issue a joint hazard declaration: the complete, honest statement of every known mine, unexploded ordnance, wreck, cable, and obstruction in the Governance Area, with coordinates and confidence grades. The declaration enters the Shared Registry and feeds the hazard layer of the Route Assurance Data Service. An unknown hazard discovered later enters the declaration within twenty-four hours of confirmation.</w:t>
      </w:r>
    </w:p>
    <w:p>
      <w:pPr>
        <w:pStyle w:val="Heading3"/>
      </w:pPr>
      <w:r>
        <w:rPr>
          <w:rFonts w:ascii="Georgia" w:hAnsi="Georgia" w:eastAsia="Microsoft YaHei"/>
          <w:color w:val="263238"/>
          <w:sz w:val="22"/>
        </w:rPr>
        <w:t xml:space="preserve">11.3 Hazard survey and clearance</w:t>
      </w:r>
    </w:p>
    <w:p>
      <w:pPr>
        <w:pStyle w:val="Normal"/>
      </w:pPr>
      <w:r>
        <w:rPr>
          <w:rFonts w:ascii="Georgia" w:hAnsi="Georgia" w:eastAsia="Microsoft YaHei"/>
          <w:color w:val="263238"/>
          <w:sz w:val="22"/>
        </w:rPr>
        <w:t xml:space="preserve">The joint survey program runs in three bands. Band One covers the corridor axes and margins: swept, certified, and re-surveyed on a rolling ninety-day cycle. Band Two covers the buffer corridor: surveyed on a rolling one-hundred-eighty-day cycle. Band Three covers the remainder of the Governance Area: surveyed annually. Clearance assets operate under the Twin Key Rule with the Neutral Watch Office observing, and every clearance operation logs to the Shared Registry with track data.</w:t>
      </w:r>
    </w:p>
    <w:p>
      <w:pPr>
        <w:pStyle w:val="Heading3"/>
      </w:pPr>
      <w:r>
        <w:rPr>
          <w:rFonts w:ascii="Georgia" w:hAnsi="Georgia" w:eastAsia="Microsoft YaHei"/>
          <w:color w:val="263238"/>
          <w:sz w:val="22"/>
        </w:rPr>
        <w:t xml:space="preserve">11.4 The reopening sequence</w:t>
      </w:r>
    </w:p>
    <w:p>
      <w:pPr>
        <w:pStyle w:val="Normal"/>
      </w:pPr>
      <w:r>
        <w:rPr>
          <w:rFonts w:ascii="Georgia" w:hAnsi="Georgia" w:eastAsia="Microsoft YaHei"/>
          <w:color w:val="263238"/>
          <w:sz w:val="22"/>
        </w:rPr>
        <w:t xml:space="preserve">The reopening of the strait to full commercial confidence follows the activation sequence of Article 39 in strict order: hazard declaration first, buffer corridor certification second, outbound corridor certification third, inbound corridor certification fourth. Each certification issues only on the joint signature of both Coastal State desks and the Neutral Watch Office, on the evidence of the survey record. No corridor opens on assurance alone; the survey record speaks.</w:t>
      </w:r>
    </w:p>
    <w:p>
      <w:pPr>
        <w:pStyle w:val="Heading3"/>
      </w:pPr>
      <w:r>
        <w:rPr>
          <w:rFonts w:ascii="Georgia" w:hAnsi="Georgia" w:eastAsia="Microsoft YaHei"/>
          <w:color w:val="263238"/>
          <w:sz w:val="22"/>
        </w:rPr>
        <w:t xml:space="preserve">11.5 Insurance normalization linkage</w:t>
      </w:r>
    </w:p>
    <w:p>
      <w:pPr>
        <w:pStyle w:val="Normal"/>
      </w:pPr>
      <w:r>
        <w:rPr>
          <w:rFonts w:ascii="Georgia" w:hAnsi="Georgia" w:eastAsia="Microsoft YaHei"/>
          <w:color w:val="263238"/>
          <w:sz w:val="22"/>
        </w:rPr>
        <w:t xml:space="preserve">Each certification triggers an automatic notice to the Assurance Registry under Article 26. The Registry publishes the survey evidence to the insurance market through the Route Assurance Data Service, so that war-risk premiums reprice on data rather than on headlines. The premium normalization metric of Annex H tracks the result.</w:t>
      </w:r>
    </w:p>
    <w:p>
      <w:pPr>
        <w:pStyle w:val="Heading2"/>
      </w:pPr>
      <w:bookmarkStart w:id="118" w:name="_Toc263100018"/>
      <w:r>
        <w:rPr>
          <w:rFonts w:ascii="Georgia" w:hAnsi="Georgia" w:eastAsia="Microsoft YaHei"/>
          <w:color w:val="263238"/>
          <w:sz w:val="22"/>
        </w:rPr>
        <w:t xml:space="preserve">Article 12: Vessel Classification and Differentiated Treatment</w:t>
      </w:r>
      <w:bookmarkEnd w:id="118"/>
    </w:p>
    <w:p>
      <w:pPr>
        <w:pStyle w:val="Heading3"/>
      </w:pPr>
      <w:r>
        <w:rPr>
          <w:rFonts w:ascii="Georgia" w:hAnsi="Georgia" w:eastAsia="Microsoft YaHei"/>
          <w:color w:val="263238"/>
          <w:sz w:val="22"/>
        </w:rPr>
        <w:t xml:space="preserve">12.1 The classification principle</w:t>
      </w:r>
    </w:p>
    <w:p>
      <w:pPr>
        <w:pStyle w:val="Normal"/>
      </w:pPr>
      <w:r>
        <w:rPr>
          <w:rFonts w:ascii="Georgia" w:hAnsi="Georgia" w:eastAsia="Microsoft YaHei"/>
          <w:color w:val="263238"/>
          <w:sz w:val="22"/>
        </w:rPr>
        <w:t xml:space="preserve">Every vessel in the Governance Area transits under a published class, and every class carries a published treatment. Classification exists to price services fairly, to apply safety rules proportionally, and to route traffic efficiently. It never exists to discriminate by flag, ownership, cargo destination, or cargo origin.</w:t>
      </w:r>
    </w:p>
    <w:p>
      <w:pPr>
        <w:pStyle w:val="Heading3"/>
      </w:pPr>
      <w:r>
        <w:rPr>
          <w:rFonts w:ascii="Georgia" w:hAnsi="Georgia" w:eastAsia="Microsoft YaHei"/>
          <w:color w:val="263238"/>
          <w:sz w:val="22"/>
        </w:rPr>
        <w:t xml:space="preserve">12.2 The eight classes</w:t>
      </w:r>
    </w:p>
    <w:p>
      <w:pPr>
        <w:pStyle w:val="Normal"/>
      </w:pPr>
      <w:r>
        <w:rPr>
          <w:rFonts w:ascii="Georgia" w:hAnsi="Georgia" w:eastAsia="Microsoft YaHei"/>
          <w:color w:val="263238"/>
          <w:sz w:val="22"/>
        </w:rPr>
        <w:t xml:space="preserve">Class A: laden crude and product tankers of 200,000 deadweight tons and above. Class B: tankers between 80,000 and 200,000 deadweight tons. Class C: tankers, gas carriers, and bulk carriers below 80,000 deadweight tons. Class D: container vessels, priced per twenty-foot equivalent unit. Class E: liquefied natural gas and liquefied petroleum gas carriers above Class C tonnage. Class F: general cargo, roll-on roll-off, and vehicle carriers. Class G: passenger vessels and cruise ships. Class H: vessels in exceptional categories: stateless vessels, vessels under sanctions designation of any participant, vessels without valid insurance, and vessels with a casualty history inside the Governance Area.</w:t>
      </w:r>
    </w:p>
    <w:p>
      <w:pPr>
        <w:pStyle w:val="Heading3"/>
      </w:pPr>
      <w:r>
        <w:rPr>
          <w:rFonts w:ascii="Georgia" w:hAnsi="Georgia" w:eastAsia="Microsoft YaHei"/>
          <w:color w:val="263238"/>
          <w:sz w:val="22"/>
        </w:rPr>
        <w:t xml:space="preserve">12.3 Treatment principles</w:t>
      </w:r>
    </w:p>
    <w:p>
      <w:pPr>
        <w:pStyle w:val="Normal"/>
      </w:pPr>
      <w:r>
        <w:rPr>
          <w:rFonts w:ascii="Georgia" w:hAnsi="Georgia" w:eastAsia="Microsoft YaHei"/>
          <w:color w:val="263238"/>
          <w:sz w:val="22"/>
        </w:rPr>
        <w:t xml:space="preserve">Classes A through G transit on standard corridor discipline: continuous AIS, reporting at the published points, and the one-page routing card of Annex K. Class H vessels transit under the Anchor-and-Verify Protocol of section 12.4. Humanitarian vessels, in any class, transit at zero charge with priority routing. Naval and government non-commercial vessels follow Article 29 and pay nothing.</w:t>
      </w:r>
    </w:p>
    <w:p>
      <w:pPr>
        <w:pStyle w:val="Heading3"/>
      </w:pPr>
      <w:r>
        <w:rPr>
          <w:rFonts w:ascii="Georgia" w:hAnsi="Georgia" w:eastAsia="Microsoft YaHei"/>
          <w:color w:val="263238"/>
          <w:sz w:val="22"/>
        </w:rPr>
        <w:t xml:space="preserve">12.4 Class H and the Anchor-and-Verify Protocol</w:t>
      </w:r>
    </w:p>
    <w:p>
      <w:pPr>
        <w:pStyle w:val="Normal"/>
      </w:pPr>
      <w:r>
        <w:rPr>
          <w:rFonts w:ascii="Georgia" w:hAnsi="Georgia" w:eastAsia="Microsoft YaHei"/>
          <w:color w:val="263238"/>
          <w:sz w:val="22"/>
        </w:rPr>
        <w:t xml:space="preserve">A Class H vessel does not enter a corridor directly. It anchors at the designated verification anchorage off the eastern entry, notifies the Operations Center, and receives a joint verification visit within twelve hours: one inspector from each Coastal State desk and one Neutral Watch Office observer. The visit verifies identity, insurance, crew list, and declared cargo against the documents. On clearance, the vessel transits under escort-pooling priority with continuous watch-floor attention. The protocol is administrative, not punitive: it protects the corridor system, the vessel itself, and every other user. Class H status never attaches to a flag; it attaches to the vessel's documented condition, and it clears the moment the condition clears.</w:t>
      </w:r>
    </w:p>
    <w:p>
      <w:pPr>
        <w:pStyle w:val="Heading3"/>
      </w:pPr>
      <w:r>
        <w:rPr>
          <w:rFonts w:ascii="Georgia" w:hAnsi="Georgia" w:eastAsia="Microsoft YaHei"/>
          <w:color w:val="263238"/>
          <w:sz w:val="22"/>
        </w:rPr>
        <w:t xml:space="preserve">12.5 Non-discrimination</w:t>
      </w:r>
    </w:p>
    <w:p>
      <w:pPr>
        <w:pStyle w:val="Normal"/>
      </w:pPr>
      <w:r>
        <w:rPr>
          <w:rFonts w:ascii="Georgia" w:hAnsi="Georgia" w:eastAsia="Microsoft YaHei"/>
          <w:color w:val="263238"/>
          <w:sz w:val="22"/>
        </w:rPr>
        <w:t xml:space="preserve">Treatment tracks class, never nationality. The audit trail of Annex B demonstrates the fact continuously: routing times, verification times, and incident response times publish by class, never by flag. A pattern that correlates with flag rather than class reads as a drafting or operating defect and triggers the complexity and fairness audit of Article 4.</w:t>
      </w:r>
    </w:p>
    <w:p>
      <w:pPr>
        <w:pStyle w:val="Heading3"/>
      </w:pPr>
      <w:r>
        <w:rPr>
          <w:rFonts w:ascii="Georgia" w:hAnsi="Georgia" w:eastAsia="Microsoft YaHei"/>
          <w:color w:val="263238"/>
          <w:sz w:val="22"/>
        </w:rPr>
        <w:t xml:space="preserve">12.6 The ground-truth patrol program</w:t>
      </w:r>
    </w:p>
    <w:p>
      <w:pPr>
        <w:pStyle w:val="Normal"/>
      </w:pPr>
      <w:r>
        <w:rPr>
          <w:rFonts w:ascii="Georgia" w:hAnsi="Georgia" w:eastAsia="Microsoft YaHei"/>
          <w:color w:val="263238"/>
          <w:sz w:val="22"/>
        </w:rPr>
        <w:t xml:space="preserve">The joint ground-truth patrol program keeps the paper system honest. Mixed patrol units, one vessel from each Coastal State operating in company, run scheduled visibility patrols along the corridor margins. The patrols observe, assist, and report. They carry no interdiction authority. Their logs feed the Shared Registry, and their presence anchors the insurance market's confidence in the physical reality of the system.</w:t>
      </w:r>
    </w:p>
    <w:p>
      <w:pPr>
        <w:pStyle w:val="Heading2"/>
      </w:pPr>
      <w:bookmarkStart w:id="119" w:name="_Toc263100019"/>
      <w:r>
        <w:rPr>
          <w:rFonts w:ascii="Georgia" w:hAnsi="Georgia" w:eastAsia="Microsoft YaHei"/>
          <w:color w:val="263238"/>
          <w:sz w:val="22"/>
        </w:rPr>
        <w:t xml:space="preserve">Article 13: Safe Passage and the Non-Interdiction Protocol</w:t>
      </w:r>
      <w:bookmarkEnd w:id="119"/>
    </w:p>
    <w:p>
      <w:pPr>
        <w:pStyle w:val="Heading3"/>
      </w:pPr>
      <w:r>
        <w:rPr>
          <w:rFonts w:ascii="Georgia" w:hAnsi="Georgia" w:eastAsia="Microsoft YaHei"/>
          <w:color w:val="263238"/>
          <w:sz w:val="22"/>
        </w:rPr>
        <w:t xml:space="preserve">13.1 The guarantee of safe passage</w:t>
      </w:r>
    </w:p>
    <w:p>
      <w:pPr>
        <w:pStyle w:val="Normal"/>
      </w:pPr>
      <w:r>
        <w:rPr>
          <w:rFonts w:ascii="Georgia" w:hAnsi="Georgia" w:eastAsia="Microsoft YaHei"/>
          <w:color w:val="263238"/>
          <w:sz w:val="22"/>
        </w:rPr>
        <w:t xml:space="preserve">Every commercial vessel in conformity with its class treatment transits the corridor system safely, predictably, and without interference. The guarantee attaches to the architecture: the corridors, the survey record, the watch floor, the escort pool, and the compliance engine together deliver it. No Party guarantees against the acts of strangers to the Accord alone; the framework architecture answers those acts through Article 30 and the compliance engine of Article 33.</w:t>
      </w:r>
    </w:p>
    <w:p>
      <w:pPr>
        <w:pStyle w:val="Heading3"/>
      </w:pPr>
      <w:r>
        <w:rPr>
          <w:rFonts w:ascii="Georgia" w:hAnsi="Georgia" w:eastAsia="Microsoft YaHei"/>
          <w:color w:val="263238"/>
          <w:sz w:val="22"/>
        </w:rPr>
        <w:t xml:space="preserve">13.2 The Non-Interdiction Protocol</w:t>
      </w:r>
    </w:p>
    <w:p>
      <w:pPr>
        <w:pStyle w:val="Normal"/>
      </w:pPr>
      <w:r>
        <w:rPr>
          <w:rFonts w:ascii="Georgia" w:hAnsi="Georgia" w:eastAsia="Microsoft YaHei"/>
          <w:color w:val="263238"/>
          <w:sz w:val="22"/>
        </w:rPr>
        <w:t xml:space="preserve">Commercial transit operates under an absolute non-interdiction protocol within the framework. No organ of the Accord stops, boards, diverts, detains, or delays a conforming commercial vessel. The protocol binds every desk, every patrol, every escort, and every observer. The single exception runs through the Twin Key Safety Intercept of Annex C: an imminent danger to life or to the corridor system activates a jointly concurred intercept, time-limited, logged in real time, and reviewable by the dispute tier within twenty-four hours. Nothing else interrupts passage.</w:t>
      </w:r>
    </w:p>
    <w:p>
      <w:pPr>
        <w:pStyle w:val="Heading3"/>
      </w:pPr>
      <w:r>
        <w:rPr>
          <w:rFonts w:ascii="Georgia" w:hAnsi="Georgia" w:eastAsia="Microsoft YaHei"/>
          <w:color w:val="263238"/>
          <w:sz w:val="22"/>
        </w:rPr>
        <w:t xml:space="preserve">13.3 Excluded measures</w:t>
      </w:r>
    </w:p>
    <w:p>
      <w:pPr>
        <w:pStyle w:val="Normal"/>
      </w:pPr>
      <w:r>
        <w:rPr>
          <w:rFonts w:ascii="Georgia" w:hAnsi="Georgia" w:eastAsia="Microsoft YaHei"/>
          <w:color w:val="263238"/>
          <w:sz w:val="22"/>
        </w:rPr>
        <w:t xml:space="preserve">The framework architecture excludes the following from the corridor system in every circumstance: tolls on passage; unilateral inspection regimes; flag-based routing; closure of any corridor to conforming traffic; and the use of corridor data for purposes outside the Accord. Each exclusion appears in the Red Lines Register, and the Perimeter Test screens every new rule against them.</w:t>
      </w:r>
    </w:p>
    <w:p>
      <w:pPr>
        <w:pStyle w:val="Heading3"/>
      </w:pPr>
      <w:r>
        <w:rPr>
          <w:rFonts w:ascii="Georgia" w:hAnsi="Georgia" w:eastAsia="Microsoft YaHei"/>
          <w:color w:val="263238"/>
          <w:sz w:val="22"/>
        </w:rPr>
        <w:t xml:space="preserve">13.4 The joint openness declaration</w:t>
      </w:r>
    </w:p>
    <w:p>
      <w:pPr>
        <w:pStyle w:val="Normal"/>
      </w:pPr>
      <w:r>
        <w:rPr>
          <w:rFonts w:ascii="Georgia" w:hAnsi="Georgia" w:eastAsia="Microsoft YaHei"/>
          <w:color w:val="263238"/>
          <w:sz w:val="22"/>
        </w:rPr>
        <w:t xml:space="preserve">Each year, on the anniversary of entry into force, the Coastal State Parties issue a joint openness declaration: the strait stands open, the corridors stand certified, and the Zero-Toll Rule stands intact. The declaration publishes with the Stability Audit, and the Depositary circulates it to all participants and to the International Maritime Organization.</w:t>
      </w:r>
    </w:p>
    <w:p>
      <w:pPr>
        <w:pStyle w:val="Heading3"/>
      </w:pPr>
      <w:r>
        <w:rPr>
          <w:rFonts w:ascii="Georgia" w:hAnsi="Georgia" w:eastAsia="Microsoft YaHei"/>
          <w:color w:val="263238"/>
          <w:sz w:val="22"/>
        </w:rPr>
        <w:t xml:space="preserve">13.5 Safe passage services</w:t>
      </w:r>
    </w:p>
    <w:p>
      <w:pPr>
        <w:pStyle w:val="Normal"/>
      </w:pPr>
      <w:r>
        <w:rPr>
          <w:rFonts w:ascii="Georgia" w:hAnsi="Georgia" w:eastAsia="Microsoft YaHei"/>
          <w:color w:val="263238"/>
          <w:sz w:val="22"/>
        </w:rPr>
        <w:t xml:space="preserve">The corridor system delivers safe passage through services, not promises: continuous traffic management on both corridors; route assurance data to every subscriber; escort pooling in AMBER and RED; search-and-rescue readiness under Annex G; and emergency diversion through the buffer corridor at all times. Annex D prices the bundle transparently; Annex B audits its delivery.</w:t>
      </w:r>
    </w:p>
    <w:p>
      <w:pPr>
        <w:pStyle w:val="Heading2"/>
      </w:pPr>
      <w:bookmarkStart w:id="120" w:name="_Toc263100020"/>
      <w:r>
        <w:rPr>
          <w:rFonts w:ascii="Georgia" w:hAnsi="Georgia" w:eastAsia="Microsoft YaHei"/>
          <w:color w:val="263238"/>
          <w:sz w:val="22"/>
        </w:rPr>
        <w:t xml:space="preserve">Article 14: Pilotage, Tug, and Optional Safety Services</w:t>
      </w:r>
      <w:bookmarkEnd w:id="120"/>
    </w:p>
    <w:p>
      <w:pPr>
        <w:pStyle w:val="Heading3"/>
      </w:pPr>
      <w:r>
        <w:rPr>
          <w:rFonts w:ascii="Georgia" w:hAnsi="Georgia" w:eastAsia="Microsoft YaHei"/>
          <w:color w:val="263238"/>
          <w:sz w:val="22"/>
        </w:rPr>
        <w:t xml:space="preserve">14.1 Optional services catalog</w:t>
      </w:r>
    </w:p>
    <w:p>
      <w:pPr>
        <w:pStyle w:val="Normal"/>
      </w:pPr>
      <w:r>
        <w:rPr>
          <w:rFonts w:ascii="Georgia" w:hAnsi="Georgia" w:eastAsia="Microsoft YaHei"/>
          <w:color w:val="263238"/>
          <w:sz w:val="22"/>
        </w:rPr>
        <w:t xml:space="preserve">Beyond the standard service bundle, the corridor system offers optional services on published rates: pilotage through the strait by licensed coastal State pilots; tug assistance for deep-laden or restricted-maneuverability vessels; and enhanced route assurance for vessels carrying sensitive cargoes. Optional means optional: a vessel takes the standard bundle alone and transits on equal terms.</w:t>
      </w:r>
    </w:p>
    <w:p>
      <w:pPr>
        <w:pStyle w:val="Heading3"/>
      </w:pPr>
      <w:r>
        <w:rPr>
          <w:rFonts w:ascii="Georgia" w:hAnsi="Georgia" w:eastAsia="Microsoft YaHei"/>
          <w:color w:val="263238"/>
          <w:sz w:val="22"/>
        </w:rPr>
        <w:t xml:space="preserve">14.2 Pilot exchange points</w:t>
      </w:r>
    </w:p>
    <w:p>
      <w:pPr>
        <w:pStyle w:val="Normal"/>
      </w:pPr>
      <w:r>
        <w:rPr>
          <w:rFonts w:ascii="Georgia" w:hAnsi="Georgia" w:eastAsia="Microsoft YaHei"/>
          <w:color w:val="263238"/>
          <w:sz w:val="22"/>
        </w:rPr>
        <w:t xml:space="preserve">Annex A charts two pilot exchange points, one serving each corridor, positioned for safe boarding in the prevailing sea states. Pilot operations run under the safety rules of Annex F, with boarding windows published in the Open Water Bulletin.</w:t>
      </w:r>
    </w:p>
    <w:p>
      <w:pPr>
        <w:pStyle w:val="Heading3"/>
      </w:pPr>
      <w:r>
        <w:rPr>
          <w:rFonts w:ascii="Georgia" w:hAnsi="Georgia" w:eastAsia="Microsoft YaHei"/>
          <w:color w:val="263238"/>
          <w:sz w:val="22"/>
        </w:rPr>
        <w:t xml:space="preserve">14.3 Service delivery states</w:t>
      </w:r>
    </w:p>
    <w:p>
      <w:pPr>
        <w:pStyle w:val="Normal"/>
      </w:pPr>
      <w:r>
        <w:rPr>
          <w:rFonts w:ascii="Georgia" w:hAnsi="Georgia" w:eastAsia="Microsoft YaHei"/>
          <w:color w:val="263238"/>
          <w:sz w:val="22"/>
        </w:rPr>
        <w:t xml:space="preserve">Every service in the catalog carries a published delivery state: Available, Degraded, or Suspended, with the reason and the restoration estimate. Delivery states publish on the Route Assurance Data Service in real time. A suspended service never charges; the escrow logic of Annex D handles the adjustment automatically.</w:t>
      </w:r>
    </w:p>
    <w:p>
      <w:r>
        <w:br w:type="page"/>
      </w:r>
    </w:p>
    <w:p>
      <w:pPr>
        <w:pStyle w:val="Heading1"/>
      </w:pPr>
      <w:bookmarkStart w:id="121" w:name="_Toc263100021"/>
      <w:r>
        <w:rPr>
          <w:rFonts w:ascii="Georgia" w:hAnsi="Georgia" w:eastAsia="Microsoft YaHei"/>
          <w:color w:val="263238"/>
          <w:sz w:val="22"/>
        </w:rPr>
        <w:t xml:space="preserve">Part III: Institutional Architecture</w:t>
      </w:r>
      <w:bookmarkEnd w:id="121"/>
    </w:p>
    <w:p>
      <w:pPr>
        <w:pStyle w:val="Heading2"/>
      </w:pPr>
      <w:bookmarkStart w:id="122" w:name="_Toc263100022"/>
      <w:r>
        <w:rPr>
          <w:rFonts w:ascii="Georgia" w:hAnsi="Georgia" w:eastAsia="Microsoft YaHei"/>
          <w:color w:val="263238"/>
          <w:sz w:val="22"/>
        </w:rPr>
        <w:t xml:space="preserve">Article 15: The Hormuz Global Commerce Council</w:t>
      </w:r>
      <w:bookmarkEnd w:id="122"/>
    </w:p>
    <w:p>
      <w:pPr>
        <w:pStyle w:val="Heading3"/>
      </w:pPr>
      <w:r>
        <w:rPr>
          <w:rFonts w:ascii="Georgia" w:hAnsi="Georgia" w:eastAsia="Microsoft YaHei"/>
          <w:color w:val="263238"/>
          <w:sz w:val="22"/>
        </w:rPr>
        <w:t xml:space="preserve">15.1 Composition</w:t>
      </w:r>
    </w:p>
    <w:p>
      <w:pPr>
        <w:pStyle w:val="Normal"/>
      </w:pPr>
      <w:r>
        <w:rPr>
          <w:rFonts w:ascii="Georgia" w:hAnsi="Georgia" w:eastAsia="Microsoft YaHei"/>
          <w:color w:val="263238"/>
          <w:sz w:val="22"/>
        </w:rPr>
        <w:t xml:space="preserve">The Hormuz Global Commerce Council governs the Accord. The Council seats two Coastal State Parties of equal rank: the Islamic Republic of Iran and the Sultanate of Oman, each with one vote and one delegation. The Council further seats: one GCC Observer College with a single consultative voice, rotating annually among the Gulf Cooperation Council member states; one IMO Observer with consultative voice; one European Maritime Safety Observer with consultative voice, nominated through the European maritime awareness mission in the strait; and one Endorsing Stakeholder Observer for the United States, with the access rights of Article 18 and consultative voice. Consultative voice speaks and receives every document; it does not vote.</w:t>
      </w:r>
    </w:p>
    <w:p>
      <w:pPr>
        <w:pStyle w:val="Heading3"/>
      </w:pPr>
      <w:r>
        <w:rPr>
          <w:rFonts w:ascii="Georgia" w:hAnsi="Georgia" w:eastAsia="Microsoft YaHei"/>
          <w:color w:val="263238"/>
          <w:sz w:val="22"/>
        </w:rPr>
        <w:t xml:space="preserve">15.2 Functions</w:t>
      </w:r>
    </w:p>
    <w:p>
      <w:pPr>
        <w:pStyle w:val="Normal"/>
      </w:pPr>
      <w:r>
        <w:rPr>
          <w:rFonts w:ascii="Georgia" w:hAnsi="Georgia" w:eastAsia="Microsoft YaHei"/>
          <w:color w:val="263238"/>
          <w:sz w:val="22"/>
        </w:rPr>
        <w:t xml:space="preserve">The Council: adopts and amends rules, rates, and charts through the decision tracks of Article 19; sets the Flow State under Article 10; certifies corridor activation and audit outcomes under Articles 39 and 40; adopts the annual budget of Article 25; appoints the executive head of the Operations Center on Omani nomination with Iranian concurrence, and the deputy head on Iranian nomination with Omani concurrence; and receives every audit, every Stability Audit, and every dispute report.</w:t>
      </w:r>
    </w:p>
    <w:p>
      <w:pPr>
        <w:pStyle w:val="Heading3"/>
      </w:pPr>
      <w:r>
        <w:rPr>
          <w:rFonts w:ascii="Georgia" w:hAnsi="Georgia" w:eastAsia="Microsoft YaHei"/>
          <w:color w:val="263238"/>
          <w:sz w:val="22"/>
        </w:rPr>
        <w:t xml:space="preserve">15.3 Meetings and cadence</w:t>
      </w:r>
    </w:p>
    <w:p>
      <w:pPr>
        <w:pStyle w:val="Normal"/>
      </w:pPr>
      <w:r>
        <w:rPr>
          <w:rFonts w:ascii="Georgia" w:hAnsi="Georgia" w:eastAsia="Microsoft YaHei"/>
          <w:color w:val="263238"/>
          <w:sz w:val="22"/>
        </w:rPr>
        <w:t xml:space="preserve">The Council meets in ordinary session monthly at the Operations Center, alternating ceremonial hosting between Muscat and Bandar Abbas while the seat remains in Muscat. Extraordinary session convenes within seventy-two hours on the call of either Coastal State Party, the Secretariat, or the Guarantor and Facilitation Panel. Quorum is both Coastal State Parties; the Council does not deliberate in the absence of either.</w:t>
      </w:r>
    </w:p>
    <w:p>
      <w:pPr>
        <w:pStyle w:val="Heading3"/>
      </w:pPr>
      <w:r>
        <w:rPr>
          <w:rFonts w:ascii="Georgia" w:hAnsi="Georgia" w:eastAsia="Microsoft YaHei"/>
          <w:color w:val="263238"/>
          <w:sz w:val="22"/>
        </w:rPr>
        <w:t xml:space="preserve">15.4 The Corridor Management Board</w:t>
      </w:r>
    </w:p>
    <w:p>
      <w:pPr>
        <w:pStyle w:val="Normal"/>
      </w:pPr>
      <w:r>
        <w:rPr>
          <w:rFonts w:ascii="Georgia" w:hAnsi="Georgia" w:eastAsia="Microsoft YaHei"/>
          <w:color w:val="263238"/>
          <w:sz w:val="22"/>
        </w:rPr>
        <w:t xml:space="preserve">A standing Corridor Management Board handles routine operations between Council sessions: bulletin schedules, escort pool rosters, patrol schedules, and delivery-state changes. The Board staffs equally from both desks, decides by consensus, and logs every decision to the Shared Registry the same day. The Board holds no power over rates, charts, Flow State transitions toward GREEN, or any compliance determination.</w:t>
      </w:r>
    </w:p>
    <w:p>
      <w:pPr>
        <w:pStyle w:val="Heading2"/>
      </w:pPr>
      <w:bookmarkStart w:id="123" w:name="_Toc263100023"/>
      <w:r>
        <w:rPr>
          <w:rFonts w:ascii="Georgia" w:hAnsi="Georgia" w:eastAsia="Microsoft YaHei"/>
          <w:color w:val="263238"/>
          <w:sz w:val="22"/>
        </w:rPr>
        <w:t xml:space="preserve">Article 16: The Hormuz Operations Center and the Mirror Facility</w:t>
      </w:r>
      <w:bookmarkEnd w:id="123"/>
    </w:p>
    <w:p>
      <w:pPr>
        <w:pStyle w:val="Heading3"/>
      </w:pPr>
      <w:r>
        <w:rPr>
          <w:rFonts w:ascii="Georgia" w:hAnsi="Georgia" w:eastAsia="Microsoft YaHei"/>
          <w:color w:val="263238"/>
          <w:sz w:val="22"/>
        </w:rPr>
        <w:t xml:space="preserve">16.1 Seat and mirror facility</w:t>
      </w:r>
    </w:p>
    <w:p>
      <w:pPr>
        <w:pStyle w:val="Normal"/>
      </w:pPr>
      <w:r>
        <w:rPr>
          <w:rFonts w:ascii="Georgia" w:hAnsi="Georgia" w:eastAsia="Microsoft YaHei"/>
          <w:color w:val="263238"/>
          <w:sz w:val="22"/>
        </w:rPr>
        <w:t xml:space="preserve">The Hormuz Operations Center seats in Muscat. The Mirror Facility of Equal Rank operates in Bandar Abbas. The two sites run as one institution on two shores: identical watch floors, identical data, identical authority within their desks, and continuous replication between them. Neither site directs the other. The Shared Registry arbitrates any divergence between their pictures automatically, per the convergence standard of Article 27.</w:t>
      </w:r>
    </w:p>
    <w:p>
      <w:pPr>
        <w:pStyle w:val="Heading3"/>
      </w:pPr>
      <w:r>
        <w:rPr>
          <w:rFonts w:ascii="Georgia" w:hAnsi="Georgia" w:eastAsia="Microsoft YaHei"/>
          <w:color w:val="263238"/>
          <w:sz w:val="22"/>
        </w:rPr>
        <w:t xml:space="preserve">16.2 Co-equal staffing</w:t>
      </w:r>
    </w:p>
    <w:p>
      <w:pPr>
        <w:pStyle w:val="Normal"/>
      </w:pPr>
      <w:r>
        <w:rPr>
          <w:rFonts w:ascii="Georgia" w:hAnsi="Georgia" w:eastAsia="Microsoft YaHei"/>
          <w:color w:val="263238"/>
          <w:sz w:val="22"/>
        </w:rPr>
        <w:t xml:space="preserve">Each site staffs on a parity formula: the host State supplies the site director and fifty percent of watch personnel; the other Coastal State supplies the deputy site director and fifty percent of watch personnel. The Neutral Watch Office supplies the observing layer at both sites. Staffing parity is an audited metric: Annex B measures it monthly, and a deviation beyond one watch position for more than fourteen days reads as a Tier 1 technical event.</w:t>
      </w:r>
    </w:p>
    <w:p>
      <w:pPr>
        <w:pStyle w:val="Heading3"/>
      </w:pPr>
      <w:r>
        <w:rPr>
          <w:rFonts w:ascii="Georgia" w:hAnsi="Georgia" w:eastAsia="Microsoft YaHei"/>
          <w:color w:val="263238"/>
          <w:sz w:val="22"/>
        </w:rPr>
        <w:t xml:space="preserve">16.3 The watch floor</w:t>
      </w:r>
    </w:p>
    <w:p>
      <w:pPr>
        <w:pStyle w:val="Normal"/>
      </w:pPr>
      <w:r>
        <w:rPr>
          <w:rFonts w:ascii="Georgia" w:hAnsi="Georgia" w:eastAsia="Microsoft YaHei"/>
          <w:color w:val="263238"/>
          <w:sz w:val="22"/>
        </w:rPr>
        <w:t xml:space="preserve">The watch floor runs continuously in three watches per day. Each watch carries: one duty officer from each desk; two traffic operators per corridor; one data custodian; one Neutral Watch Office observer; and one communications operator per language channel. The watch floor maintains the fused radar and AIS picture, issues the Open Water Bulletin, runs the reporting points, coordinates escort pooling, and executes the incident protocols of Article 30.</w:t>
      </w:r>
    </w:p>
    <w:p>
      <w:pPr>
        <w:pStyle w:val="Heading3"/>
      </w:pPr>
      <w:r>
        <w:rPr>
          <w:rFonts w:ascii="Georgia" w:hAnsi="Georgia" w:eastAsia="Microsoft YaHei"/>
          <w:color w:val="263238"/>
          <w:sz w:val="22"/>
        </w:rPr>
        <w:t xml:space="preserve">16.4 Functions and limits</w:t>
      </w:r>
    </w:p>
    <w:p>
      <w:pPr>
        <w:pStyle w:val="Normal"/>
      </w:pPr>
      <w:r>
        <w:rPr>
          <w:rFonts w:ascii="Georgia" w:hAnsi="Georgia" w:eastAsia="Microsoft YaHei"/>
          <w:color w:val="263238"/>
          <w:sz w:val="22"/>
        </w:rPr>
        <w:t xml:space="preserve">The watch floor operates the corridor system; it does not govern it. It holds no authority over rates, no authority over compliance classifications, and no authority over any naval force. Its authority over traffic is procedural and published: reporting, sequencing, diversion routing, and distress priority. Everything beyond the published procedures belongs to the Council.</w:t>
      </w:r>
    </w:p>
    <w:p>
      <w:pPr>
        <w:pStyle w:val="Heading3"/>
      </w:pPr>
      <w:r>
        <w:rPr>
          <w:rFonts w:ascii="Georgia" w:hAnsi="Georgia" w:eastAsia="Microsoft YaHei"/>
          <w:color w:val="263238"/>
          <w:sz w:val="22"/>
        </w:rPr>
        <w:t xml:space="preserve">16.5 Data custody</w:t>
      </w:r>
    </w:p>
    <w:p>
      <w:pPr>
        <w:pStyle w:val="Normal"/>
      </w:pPr>
      <w:r>
        <w:rPr>
          <w:rFonts w:ascii="Georgia" w:hAnsi="Georgia" w:eastAsia="Microsoft YaHei"/>
          <w:color w:val="263238"/>
          <w:sz w:val="22"/>
        </w:rPr>
        <w:t xml:space="preserve">The watch floor holds operational custody of corridor data. The Shared Registry holds permanent custody. The data sovereignty rule of Article 27 governs access: each Coastal State holds one key to its own contributed raw feeds, both keys together open the fused record, and observer access runs through the published tiers of Annex B. No single hand opens the vault.</w:t>
      </w:r>
    </w:p>
    <w:p>
      <w:pPr>
        <w:pStyle w:val="Heading3"/>
      </w:pPr>
      <w:r>
        <w:rPr>
          <w:rFonts w:ascii="Georgia" w:hAnsi="Georgia" w:eastAsia="Microsoft YaHei"/>
          <w:color w:val="263238"/>
          <w:sz w:val="22"/>
        </w:rPr>
        <w:t xml:space="preserve">16.6 The Civilian Character Clause</w:t>
      </w:r>
    </w:p>
    <w:p>
      <w:pPr>
        <w:pStyle w:val="Normal"/>
      </w:pPr>
      <w:r>
        <w:rPr>
          <w:rFonts w:ascii="Georgia" w:hAnsi="Georgia" w:eastAsia="Microsoft YaHei"/>
          <w:color w:val="263238"/>
          <w:sz w:val="22"/>
        </w:rPr>
        <w:t xml:space="preserve">Both sites operate as civilian establishments. Military personnel participate only through the deconfliction liaison posts of Article 28, in published roles, in published numbers. The sites welcome inspection of this clause at any time by the Neutral Watch Office, and the inspection record publishes.</w:t>
      </w:r>
    </w:p>
    <w:p>
      <w:pPr>
        <w:pStyle w:val="Heading3"/>
      </w:pPr>
      <w:r>
        <w:rPr>
          <w:rFonts w:ascii="Georgia" w:hAnsi="Georgia" w:eastAsia="Microsoft YaHei"/>
          <w:color w:val="263238"/>
          <w:sz w:val="22"/>
        </w:rPr>
        <w:t xml:space="preserve">16.7 Working language</w:t>
      </w:r>
    </w:p>
    <w:p>
      <w:pPr>
        <w:pStyle w:val="Normal"/>
      </w:pPr>
      <w:r>
        <w:rPr>
          <w:rFonts w:ascii="Georgia" w:hAnsi="Georgia" w:eastAsia="Microsoft YaHei"/>
          <w:color w:val="263238"/>
          <w:sz w:val="22"/>
        </w:rPr>
        <w:t xml:space="preserve">The working language of the watch floor is English, with simultaneous Arabic and Persian channels on every operational circuit. The one-page mariner cards publish additionally in the working languages of the major registries. Language never gates safety: a distress call in any language receives immediate response.</w:t>
      </w:r>
    </w:p>
    <w:p>
      <w:pPr>
        <w:pStyle w:val="Heading3"/>
      </w:pPr>
      <w:r>
        <w:rPr>
          <w:rFonts w:ascii="Georgia" w:hAnsi="Georgia" w:eastAsia="Microsoft YaHei"/>
          <w:color w:val="263238"/>
          <w:sz w:val="22"/>
        </w:rPr>
        <w:t xml:space="preserve">16.8 System integrity</w:t>
      </w:r>
    </w:p>
    <w:p>
      <w:pPr>
        <w:pStyle w:val="Normal"/>
      </w:pPr>
      <w:r>
        <w:rPr>
          <w:rFonts w:ascii="Georgia" w:hAnsi="Georgia" w:eastAsia="Microsoft YaHei"/>
          <w:color w:val="263238"/>
          <w:sz w:val="22"/>
        </w:rPr>
        <w:t xml:space="preserve">The Shared Registry logs every watch-floor action with cryptographic chain of custody. No operator edits, deletes, or redacts a logged record. Corrections append; they never overwrite. The Red Team of Annex B probes the integrity of the system continuously, and its weekly report goes to both desks and the Neutral Watch Office without filtering.</w:t>
      </w:r>
    </w:p>
    <w:p>
      <w:pPr>
        <w:pStyle w:val="Heading3"/>
      </w:pPr>
      <w:r>
        <w:rPr>
          <w:rFonts w:ascii="Georgia" w:hAnsi="Georgia" w:eastAsia="Microsoft YaHei"/>
          <w:color w:val="263238"/>
          <w:sz w:val="22"/>
        </w:rPr>
        <w:t xml:space="preserve">16.9 Whistleblower protection</w:t>
      </w:r>
    </w:p>
    <w:p>
      <w:pPr>
        <w:pStyle w:val="Normal"/>
      </w:pPr>
      <w:r>
        <w:rPr>
          <w:rFonts w:ascii="Georgia" w:hAnsi="Georgia" w:eastAsia="Microsoft YaHei"/>
          <w:color w:val="263238"/>
          <w:sz w:val="22"/>
        </w:rPr>
        <w:t xml:space="preserve">Any staff member who reports a manipulation, a falsified log, or an unauthorized action through the protected channel of Annex B receives absolute protection: no dismissal, no transfer, no penalty, and no identification without consent. A substantiated whistleblower report triggers automatic technical review within forty-eight hours.</w:t>
      </w:r>
    </w:p>
    <w:p>
      <w:pPr>
        <w:pStyle w:val="Heading3"/>
      </w:pPr>
      <w:r>
        <w:rPr>
          <w:rFonts w:ascii="Georgia" w:hAnsi="Georgia" w:eastAsia="Microsoft YaHei"/>
          <w:color w:val="263238"/>
          <w:sz w:val="22"/>
        </w:rPr>
        <w:t xml:space="preserve">16.10 Physical security</w:t>
      </w:r>
    </w:p>
    <w:p>
      <w:pPr>
        <w:pStyle w:val="Normal"/>
      </w:pPr>
      <w:r>
        <w:rPr>
          <w:rFonts w:ascii="Georgia" w:hAnsi="Georgia" w:eastAsia="Microsoft YaHei"/>
          <w:color w:val="263238"/>
          <w:sz w:val="22"/>
        </w:rPr>
        <w:t xml:space="preserve">Each host State provides the physical security of its site under its own law, and each accepts the other Party's liaison security detail in published numbers. The sites design for continuity: hardened power, duplicated communications, and a published evacuation-and-continuity plan that shifts full watch capability to the surviving site within one hour.</w:t>
      </w:r>
    </w:p>
    <w:p>
      <w:pPr>
        <w:pStyle w:val="Heading3"/>
      </w:pPr>
      <w:r>
        <w:rPr>
          <w:rFonts w:ascii="Georgia" w:hAnsi="Georgia" w:eastAsia="Microsoft YaHei"/>
          <w:color w:val="263238"/>
          <w:sz w:val="22"/>
        </w:rPr>
        <w:t xml:space="preserve">16.11 Supply chain integrity</w:t>
      </w:r>
    </w:p>
    <w:p>
      <w:pPr>
        <w:pStyle w:val="Normal"/>
      </w:pPr>
      <w:r>
        <w:rPr>
          <w:rFonts w:ascii="Georgia" w:hAnsi="Georgia" w:eastAsia="Microsoft YaHei"/>
          <w:color w:val="263238"/>
          <w:sz w:val="22"/>
        </w:rPr>
        <w:t xml:space="preserve">Procurement for both sites follows the joint procurement rules of Article 25: open tender, published criteria, and provenance screening of critical components. The Technical and Standards Committee maintains the approved equipment list, and the Red Team verifies installed systems against it annually.</w:t>
      </w:r>
    </w:p>
    <w:p>
      <w:pPr>
        <w:pStyle w:val="Heading3"/>
      </w:pPr>
      <w:r>
        <w:rPr>
          <w:rFonts w:ascii="Georgia" w:hAnsi="Georgia" w:eastAsia="Microsoft YaHei"/>
          <w:color w:val="263238"/>
          <w:sz w:val="22"/>
        </w:rPr>
        <w:t xml:space="preserve">16.12 The Operations Center-in-a-Box</w:t>
      </w:r>
    </w:p>
    <w:p>
      <w:pPr>
        <w:pStyle w:val="Normal"/>
      </w:pPr>
      <w:r>
        <w:rPr>
          <w:rFonts w:ascii="Georgia" w:hAnsi="Georgia" w:eastAsia="Microsoft YaHei"/>
          <w:color w:val="263238"/>
          <w:sz w:val="22"/>
        </w:rPr>
        <w:t xml:space="preserve">The Swiss Facilitator maintains the Operations Center-in-a-Box: a containerized, rapidly deployable mobile watch floor carrying duplicate communications, radar and AIS processing, and full data-logging capability, positioned for airlift to any regional location within seventy-two hours. The Operations Center-in-a-Box drills quarterly in full-system failover, alternating between the two fixed sites. If both fixed sites lose capability, the mobile unit assumes full watch-floor functions within twenty-four hours of deployment, and the Shared Registry continues uninterrupted through its independent logging chain.</w:t>
      </w:r>
    </w:p>
    <w:p>
      <w:pPr>
        <w:pStyle w:val="Heading3"/>
      </w:pPr>
      <w:r>
        <w:rPr>
          <w:rFonts w:ascii="Georgia" w:hAnsi="Georgia" w:eastAsia="Microsoft YaHei"/>
          <w:color w:val="263238"/>
          <w:sz w:val="22"/>
        </w:rPr>
        <w:t xml:space="preserve">16.13 Energy and communications independence</w:t>
      </w:r>
    </w:p>
    <w:p>
      <w:pPr>
        <w:pStyle w:val="Normal"/>
      </w:pPr>
      <w:r>
        <w:rPr>
          <w:rFonts w:ascii="Georgia" w:hAnsi="Georgia" w:eastAsia="Microsoft YaHei"/>
          <w:color w:val="263238"/>
          <w:sz w:val="22"/>
        </w:rPr>
        <w:t xml:space="preserve">Both sites hold a minimum of seventy-two hours of backup power, with at least forty-eight hours from on-site renewable generation and storage. Each site maintains three independent communications paths: terrestrial fiber, satellite links from at least two providers including commercial low-earth-orbit constellations, and radio. The Technical and Standards Committee certifies energy and communications independence annually, and the certification publishes.</w:t>
      </w:r>
    </w:p>
    <w:p>
      <w:pPr>
        <w:pStyle w:val="Heading2"/>
      </w:pPr>
      <w:bookmarkStart w:id="124" w:name="_Toc263100024"/>
      <w:r>
        <w:rPr>
          <w:rFonts w:ascii="Georgia" w:hAnsi="Georgia" w:eastAsia="Microsoft YaHei"/>
          <w:color w:val="263238"/>
          <w:sz w:val="22"/>
        </w:rPr>
        <w:t xml:space="preserve">Article 17: The Technical and Standards Committee</w:t>
      </w:r>
      <w:bookmarkEnd w:id="124"/>
    </w:p>
    <w:p>
      <w:pPr>
        <w:pStyle w:val="Heading3"/>
      </w:pPr>
      <w:r>
        <w:rPr>
          <w:rFonts w:ascii="Georgia" w:hAnsi="Georgia" w:eastAsia="Microsoft YaHei"/>
          <w:color w:val="263238"/>
          <w:sz w:val="22"/>
        </w:rPr>
        <w:t xml:space="preserve">17.1 Mandate and composition</w:t>
      </w:r>
    </w:p>
    <w:p>
      <w:pPr>
        <w:pStyle w:val="Normal"/>
      </w:pPr>
      <w:r>
        <w:rPr>
          <w:rFonts w:ascii="Georgia" w:hAnsi="Georgia" w:eastAsia="Microsoft YaHei"/>
          <w:color w:val="263238"/>
          <w:sz w:val="22"/>
        </w:rPr>
        <w:t xml:space="preserve">The Technical and Standards Committee owns the engineering layer of the Accord: corridor documentation, equipment standards, data formats, instruction step-counts, and the annual complexity audit preparation. It seats three members per Coastal State, one IMO technical adviser, and one chair rotating annually between the desks.</w:t>
      </w:r>
    </w:p>
    <w:p>
      <w:pPr>
        <w:pStyle w:val="Heading3"/>
      </w:pPr>
      <w:r>
        <w:rPr>
          <w:rFonts w:ascii="Georgia" w:hAnsi="Georgia" w:eastAsia="Microsoft YaHei"/>
          <w:color w:val="263238"/>
          <w:sz w:val="22"/>
        </w:rPr>
        <w:t xml:space="preserve">17.2 The silence procedure</w:t>
      </w:r>
    </w:p>
    <w:p>
      <w:pPr>
        <w:pStyle w:val="Normal"/>
      </w:pPr>
      <w:r>
        <w:rPr>
          <w:rFonts w:ascii="Georgia" w:hAnsi="Georgia" w:eastAsia="Microsoft YaHei"/>
          <w:color w:val="263238"/>
          <w:sz w:val="22"/>
        </w:rPr>
        <w:t xml:space="preserve">Technical determinations adopt by silence. The Committee circulates a determination; absent objection within fourteen days, the determination enters into force. Objection escalates to the Council, and default continuity holds during escalation. Silence never adopts a rate change, a chart change to corridor width, or a compliance rule; those travel the decision tracks of Article 19.</w:t>
      </w:r>
    </w:p>
    <w:p>
      <w:pPr>
        <w:pStyle w:val="Heading3"/>
      </w:pPr>
      <w:r>
        <w:rPr>
          <w:rFonts w:ascii="Georgia" w:hAnsi="Georgia" w:eastAsia="Microsoft YaHei"/>
          <w:color w:val="263238"/>
          <w:sz w:val="22"/>
        </w:rPr>
        <w:t xml:space="preserve">17.3 Standards register</w:t>
      </w:r>
    </w:p>
    <w:p>
      <w:pPr>
        <w:pStyle w:val="Normal"/>
      </w:pPr>
      <w:r>
        <w:rPr>
          <w:rFonts w:ascii="Georgia" w:hAnsi="Georgia" w:eastAsia="Microsoft YaHei"/>
          <w:color w:val="263238"/>
          <w:sz w:val="22"/>
        </w:rPr>
        <w:t xml:space="preserve">The Committee maintains the Standards Register: every interface, every message format, every chart datum, every equipment class, and every software version in the corridor system. The Register publishes in full. A change to the Register follows the silence procedure, and the Shared Registry versions every change.</w:t>
      </w:r>
    </w:p>
    <w:p>
      <w:pPr>
        <w:pStyle w:val="Heading2"/>
      </w:pPr>
      <w:bookmarkStart w:id="125" w:name="_Toc263100025"/>
      <w:r>
        <w:rPr>
          <w:rFonts w:ascii="Georgia" w:hAnsi="Georgia" w:eastAsia="Microsoft YaHei"/>
          <w:color w:val="263238"/>
          <w:sz w:val="22"/>
        </w:rPr>
        <w:t xml:space="preserve">Article 18: Participation Architecture and the Role of External Stakeholders</w:t>
      </w:r>
      <w:bookmarkEnd w:id="125"/>
    </w:p>
    <w:p>
      <w:pPr>
        <w:pStyle w:val="Heading3"/>
      </w:pPr>
      <w:r>
        <w:rPr>
          <w:rFonts w:ascii="Georgia" w:hAnsi="Georgia" w:eastAsia="Microsoft YaHei"/>
          <w:color w:val="263238"/>
          <w:sz w:val="22"/>
        </w:rPr>
        <w:t xml:space="preserve">18.1 The participation layers</w:t>
      </w:r>
    </w:p>
    <w:p>
      <w:pPr>
        <w:pStyle w:val="Normal"/>
      </w:pPr>
      <w:r>
        <w:rPr>
          <w:rFonts w:ascii="Georgia" w:hAnsi="Georgia" w:eastAsia="Microsoft YaHei"/>
          <w:color w:val="263238"/>
          <w:sz w:val="22"/>
        </w:rPr>
        <w:t xml:space="preserve">The Accord organizes participation in four layers. Layer One: the Coastal State Parties, holding governance votes and corridor functions. Layer Two: Regional Participants, the GCC member states holding observer seats, monitoring access, and the Accession Protocol of Article 42. Layer Three: Endorsing Stakeholders, led by the United States, holding the endorsement rights of this Article. Layer Four: institutional observers, the IMO, the European maritime mission, and the insurance and shipping industry panel of section 18.4.</w:t>
      </w:r>
    </w:p>
    <w:p>
      <w:pPr>
        <w:pStyle w:val="Heading3"/>
      </w:pPr>
      <w:r>
        <w:rPr>
          <w:rFonts w:ascii="Georgia" w:hAnsi="Georgia" w:eastAsia="Microsoft YaHei"/>
          <w:color w:val="263238"/>
          <w:sz w:val="22"/>
        </w:rPr>
        <w:t xml:space="preserve">18.2 The United States as Endorsing Stakeholder</w:t>
      </w:r>
    </w:p>
    <w:p>
      <w:pPr>
        <w:pStyle w:val="Normal"/>
      </w:pPr>
      <w:r>
        <w:rPr>
          <w:rFonts w:ascii="Georgia" w:hAnsi="Georgia" w:eastAsia="Microsoft YaHei"/>
          <w:color w:val="263238"/>
          <w:sz w:val="22"/>
        </w:rPr>
        <w:t xml:space="preserve">The United States participates as the principal Endorsing Stakeholder. The endorsement carries: full access to the fused radar and AIS picture through the observer feed of Annex B; a standing observer seat at the Operations Center and the Mirror Facility; access to the military deconfliction channel of Article 28; receipt of every audit, every Stability Audit, and every incident log; and consultative voice in the Council. The endorsement carries no command authority, no veto over corridor operations, no corridor function, and no fee. It converts outside pressure into inside visibility, on terms the Red Lines Register of every Party accepts.</w:t>
      </w:r>
    </w:p>
    <w:p>
      <w:pPr>
        <w:pStyle w:val="Heading3"/>
      </w:pPr>
      <w:r>
        <w:rPr>
          <w:rFonts w:ascii="Georgia" w:hAnsi="Georgia" w:eastAsia="Microsoft YaHei"/>
          <w:color w:val="263238"/>
          <w:sz w:val="22"/>
        </w:rPr>
        <w:t xml:space="preserve">18.3 Observer states and regional participants</w:t>
      </w:r>
    </w:p>
    <w:p>
      <w:pPr>
        <w:pStyle w:val="Normal"/>
      </w:pPr>
      <w:r>
        <w:rPr>
          <w:rFonts w:ascii="Georgia" w:hAnsi="Georgia" w:eastAsia="Microsoft YaHei"/>
          <w:color w:val="263238"/>
          <w:sz w:val="22"/>
        </w:rPr>
        <w:t xml:space="preserve">GCC member states hold: observer seats in the Council through the GCC Observer College; the concurring key on outbound functions under Annex C; full monitoring access under Annex B; co-lead participation in search and rescue under Annex G; and the accession path of Article 42 toward full Participant standing. Regional Participants contribute to the Transit Services Fund under the schedule of Annex D and draw its services on equal terms.</w:t>
      </w:r>
    </w:p>
    <w:p>
      <w:pPr>
        <w:pStyle w:val="Heading3"/>
      </w:pPr>
      <w:r>
        <w:rPr>
          <w:rFonts w:ascii="Georgia" w:hAnsi="Georgia" w:eastAsia="Microsoft YaHei"/>
          <w:color w:val="263238"/>
          <w:sz w:val="22"/>
        </w:rPr>
        <w:t xml:space="preserve">18.4 The Stakeholder Panel</w:t>
      </w:r>
    </w:p>
    <w:p>
      <w:pPr>
        <w:pStyle w:val="Normal"/>
      </w:pPr>
      <w:r>
        <w:rPr>
          <w:rFonts w:ascii="Georgia" w:hAnsi="Georgia" w:eastAsia="Microsoft YaHei"/>
          <w:color w:val="263238"/>
          <w:sz w:val="22"/>
        </w:rPr>
        <w:t xml:space="preserve">The shipping and insurance industries participate through a standing Stakeholder Panel: six seats for shipowners' associations, four for protection and indemnity clubs, and two for the war-risk market. The Panel receives the Route Assurance Data Service, reviews the Stability Audit, and delivers an annual confidence statement to the Council. The Panel advises; it does not govern. Its confidence statement publishes unedited.</w:t>
      </w:r>
    </w:p>
    <w:p>
      <w:pPr>
        <w:pStyle w:val="Normal"/>
      </w:pPr>
      <w:r>
        <w:rPr>
          <w:rFonts w:ascii="Georgia" w:hAnsi="Georgia" w:eastAsia="Microsoft YaHei"/>
          <w:color w:val="263238"/>
          <w:sz w:val="22"/>
        </w:rPr>
        <w:t xml:space="preserve">The Panel holds one formal trigger: where the Stability Audit and the Assurance Registry record sustained positive performance across two consecutive annual audits, the Panel issues a published recommendation to the insurance market for a lower war-risk classification of the strait, with the full evidence base attached. The recommendation binds no underwriter; it arms them. Premium decisions remain commercial; the Panel's job is to make the evidence impossible to miss.</w:t>
      </w:r>
    </w:p>
    <w:p>
      <w:pPr>
        <w:pStyle w:val="Heading3"/>
      </w:pPr>
      <w:r>
        <w:rPr>
          <w:rFonts w:ascii="Georgia" w:hAnsi="Georgia" w:eastAsia="Microsoft YaHei"/>
          <w:color w:val="263238"/>
          <w:sz w:val="22"/>
        </w:rPr>
        <w:t xml:space="preserve">18.5 No external command</w:t>
      </w:r>
    </w:p>
    <w:p>
      <w:pPr>
        <w:pStyle w:val="Normal"/>
      </w:pPr>
      <w:r>
        <w:rPr>
          <w:rFonts w:ascii="Georgia" w:hAnsi="Georgia" w:eastAsia="Microsoft YaHei"/>
          <w:color w:val="263238"/>
          <w:sz w:val="22"/>
        </w:rPr>
        <w:t xml:space="preserve">No external power commands any organ of the Accord. Endorsement, observation, and participation never convert into authority over the corridor system, the escrow, the compliance engine, or the watch floor. The clause sits in the Red Lines Register of both Coastal State Parties, and the Perimeter Test screens every external arrangement against it.</w:t>
      </w:r>
    </w:p>
    <w:p>
      <w:pPr>
        <w:pStyle w:val="Heading3"/>
      </w:pPr>
      <w:r>
        <w:rPr>
          <w:rFonts w:ascii="Georgia" w:hAnsi="Georgia" w:eastAsia="Microsoft YaHei"/>
          <w:color w:val="263238"/>
          <w:sz w:val="22"/>
        </w:rPr>
        <w:t xml:space="preserve">18.6 Non-participation</w:t>
      </w:r>
    </w:p>
    <w:p>
      <w:pPr>
        <w:pStyle w:val="Normal"/>
      </w:pPr>
      <w:r>
        <w:rPr>
          <w:rFonts w:ascii="Georgia" w:hAnsi="Georgia" w:eastAsia="Microsoft YaHei"/>
          <w:color w:val="263238"/>
          <w:sz w:val="22"/>
        </w:rPr>
        <w:t xml:space="preserve">A state or institution that declines participation loses nothing under international law and gains nothing under the Accord. Non-participants transit under the same corridor discipline, pay the same published charges, and receive the same safe passage services. The system governs traffic, not allegiance.</w:t>
      </w:r>
    </w:p>
    <w:p>
      <w:pPr>
        <w:pStyle w:val="Heading3"/>
      </w:pPr>
      <w:r>
        <w:rPr>
          <w:rFonts w:ascii="Georgia" w:hAnsi="Georgia" w:eastAsia="Microsoft YaHei"/>
          <w:color w:val="263238"/>
          <w:sz w:val="22"/>
        </w:rPr>
        <w:t xml:space="preserve">18.7 Public accountability</w:t>
      </w:r>
    </w:p>
    <w:p>
      <w:pPr>
        <w:pStyle w:val="Normal"/>
      </w:pPr>
      <w:r>
        <w:rPr>
          <w:rFonts w:ascii="Georgia" w:hAnsi="Georgia" w:eastAsia="Microsoft YaHei"/>
          <w:color w:val="263238"/>
          <w:sz w:val="22"/>
        </w:rPr>
        <w:t xml:space="preserve">The Accord publishes: the Open Water Bulletin continuously; the incident log in near real time; audits and Stability Audits on adoption; the annual budget and expenditure report; and the Register of participants. Confidentiality attaches only to personal data, to active verification visits under Article 12, and to the live locations of naval units in the deconfliction channel, and even those declassify on the schedule of Annex M.</w:t>
      </w:r>
    </w:p>
    <w:p>
      <w:pPr>
        <w:pStyle w:val="Heading3"/>
      </w:pPr>
      <w:r>
        <w:rPr>
          <w:rFonts w:ascii="Georgia" w:hAnsi="Georgia" w:eastAsia="Microsoft YaHei"/>
          <w:color w:val="263238"/>
          <w:sz w:val="22"/>
        </w:rPr>
        <w:t xml:space="preserve">18.8 Regional dialogue</w:t>
      </w:r>
    </w:p>
    <w:p>
      <w:pPr>
        <w:pStyle w:val="Normal"/>
      </w:pPr>
      <w:r>
        <w:rPr>
          <w:rFonts w:ascii="Georgia" w:hAnsi="Georgia" w:eastAsia="Microsoft YaHei"/>
          <w:color w:val="263238"/>
          <w:sz w:val="22"/>
        </w:rPr>
        <w:t xml:space="preserve">The Council hosts a Regional Maritime Dialogue twice each year, open to every littoral state of the Gulf and the Gulf of Oman, participant or not. The Dialogue receives a technical briefing on the corridor system and a preview of planned changes. It builds the constituency for stability beyond the signature pages.</w:t>
      </w:r>
    </w:p>
    <w:p>
      <w:pPr>
        <w:pStyle w:val="Heading3"/>
      </w:pPr>
      <w:r>
        <w:rPr>
          <w:rFonts w:ascii="Georgia" w:hAnsi="Georgia" w:eastAsia="Microsoft YaHei"/>
          <w:color w:val="263238"/>
          <w:sz w:val="22"/>
        </w:rPr>
        <w:t xml:space="preserve">18.9 User feedback channel</w:t>
      </w:r>
    </w:p>
    <w:p>
      <w:pPr>
        <w:pStyle w:val="Normal"/>
      </w:pPr>
      <w:r>
        <w:rPr>
          <w:rFonts w:ascii="Georgia" w:hAnsi="Georgia" w:eastAsia="Microsoft YaHei"/>
          <w:color w:val="263238"/>
          <w:sz w:val="22"/>
        </w:rPr>
        <w:t xml:space="preserve">Any master, owner, agent, or insurer files operational feedback through the Route Assurance Data Service: routing friction, fee questions, delivery-state disputes, or safety suggestions. The Operations Center answers within seventy-two hours, aggregates the feedback monthly, and routes systemic issues to the Technical and Standards Committee. The Navigator's Log publishes every substantive feedback item monthly: the date, the nature of the feedback, the system's response, and the action taken. The Log closes the loop in public, and the market reads a system that listens.</w:t>
      </w:r>
    </w:p>
    <w:p>
      <w:pPr>
        <w:pStyle w:val="Heading3"/>
      </w:pPr>
      <w:r>
        <w:rPr>
          <w:rFonts w:ascii="Georgia" w:hAnsi="Georgia" w:eastAsia="Microsoft YaHei"/>
          <w:color w:val="263238"/>
          <w:sz w:val="22"/>
        </w:rPr>
        <w:t xml:space="preserve">18.10 The Mariners' Trust Council</w:t>
      </w:r>
    </w:p>
    <w:p>
      <w:pPr>
        <w:pStyle w:val="Normal"/>
      </w:pPr>
      <w:r>
        <w:rPr>
          <w:rFonts w:ascii="Georgia" w:hAnsi="Georgia" w:eastAsia="Microsoft YaHei"/>
          <w:color w:val="263238"/>
          <w:sz w:val="22"/>
        </w:rPr>
        <w:t xml:space="preserve">A standing Mariners' Trust Council seats two active tanker masters, two active container masters, one licensed strait pilot rotating annually between the Iranian and Omani pilot services, and one representative of an international seafarers' union. The Trust Council reviews every routing instruction, every one-page card, and every service delivery procedure before adoption, and issues an annual Seafarer Confidence Statement evaluating the system from the bridge. The Statement publishes unedited alongside the Stability Audit. A system that seafarers trust is a system that works.</w:t>
      </w:r>
    </w:p>
    <w:p>
      <w:pPr>
        <w:pStyle w:val="Heading3"/>
      </w:pPr>
      <w:r>
        <w:rPr>
          <w:rFonts w:ascii="Georgia" w:hAnsi="Georgia" w:eastAsia="Microsoft YaHei"/>
          <w:color w:val="263238"/>
          <w:sz w:val="22"/>
        </w:rPr>
        <w:t xml:space="preserve">18.11 The Success Clause for Endorsement</w:t>
      </w:r>
    </w:p>
    <w:p>
      <w:pPr>
        <w:pStyle w:val="Normal"/>
      </w:pPr>
      <w:r>
        <w:rPr>
          <w:rFonts w:ascii="Georgia" w:hAnsi="Georgia" w:eastAsia="Microsoft YaHei"/>
          <w:color w:val="263238"/>
          <w:sz w:val="22"/>
        </w:rPr>
        <w:t xml:space="preserve">Each Endorsing Stakeholder's endorsement stands on the system's demonstrable success as measured by the Stability Audit, and renews automatically each year on a passing or conditionally passing audit. A failing audit opens an endorsement review: the Endorsing Stakeholder states its position in writing within ninety days, and the Facilitators offer good offices to address the audit's findings. A lapse of endorsement touches the endorsement layer alone; corridor operations, the escrow, and every obligation of the Parties continue under default continuity and the Nofade Guarantee. The clause gives endorsement an honest exit and the audit a permanent audience.</w:t>
      </w:r>
    </w:p>
    <w:p>
      <w:pPr>
        <w:pStyle w:val="Heading3"/>
      </w:pPr>
      <w:r>
        <w:rPr>
          <w:rFonts w:ascii="Georgia" w:hAnsi="Georgia" w:eastAsia="Microsoft YaHei"/>
          <w:color w:val="263238"/>
          <w:sz w:val="22"/>
        </w:rPr>
        <w:t xml:space="preserve">18.12 The Security Guarantee by Performance</w:t>
      </w:r>
    </w:p>
    <w:p>
      <w:pPr>
        <w:pStyle w:val="Normal"/>
      </w:pPr>
      <w:r>
        <w:rPr>
          <w:rFonts w:ascii="Georgia" w:hAnsi="Georgia" w:eastAsia="Microsoft YaHei"/>
          <w:color w:val="263238"/>
          <w:sz w:val="22"/>
        </w:rPr>
        <w:t xml:space="preserve">The United States, as principal Endorsing Stakeholder, commits its attention and its capabilities to the defense of the corridor system's integrity against any external actor that is not a Party and that seeks to close or disrupt the strait, under three conditions: the Stability Audit confirms substantial compliance with the Accord; the incident stands unattributable to any Party; and notification issues to the United Nations Security Council. Nothing in this section compels the use of force: it commits the Endorsing Stakeholder to consider action in defense of the system and to articulate its reasoning publicly if it declines. The guarantee converts outside power into a principled backstop, tied to the system's performance rather than to any blanket commitment, and it changes no governance authority anywhere in the Accord.</w:t>
      </w:r>
    </w:p>
    <w:p>
      <w:pPr>
        <w:pStyle w:val="Heading2"/>
      </w:pPr>
      <w:bookmarkStart w:id="126" w:name="_Toc263100026"/>
      <w:r>
        <w:rPr>
          <w:rFonts w:ascii="Georgia" w:hAnsi="Georgia" w:eastAsia="Microsoft YaHei"/>
          <w:color w:val="263238"/>
          <w:sz w:val="22"/>
        </w:rPr>
        <w:t xml:space="preserve">Article 19: Decision Rules</w:t>
      </w:r>
      <w:bookmarkEnd w:id="126"/>
    </w:p>
    <w:p>
      <w:pPr>
        <w:pStyle w:val="Heading3"/>
      </w:pPr>
      <w:r>
        <w:rPr>
          <w:rFonts w:ascii="Georgia" w:hAnsi="Georgia" w:eastAsia="Microsoft YaHei"/>
          <w:color w:val="263238"/>
          <w:sz w:val="22"/>
        </w:rPr>
        <w:t xml:space="preserve">19.1 The three tracks</w:t>
      </w:r>
    </w:p>
    <w:p>
      <w:pPr>
        <w:pStyle w:val="Normal"/>
      </w:pPr>
      <w:r>
        <w:rPr>
          <w:rFonts w:ascii="Georgia" w:hAnsi="Georgia" w:eastAsia="Microsoft YaHei"/>
          <w:color w:val="263238"/>
          <w:sz w:val="22"/>
        </w:rPr>
        <w:t xml:space="preserve">Decisions travel three tracks. The Consensus Track governs rates, budgets, corridor geometry, Flow State moves toward GREEN, activation certifications, and amendments: both Coastal State Parties vote affirmatively, or the measure does not pass. The Twin Key Track governs sensitive operational actions: the designated initiator and the designated concurring key activate together, per the assignment table of Annex C. The Silence Track governs technical determinations under Article 17.</w:t>
      </w:r>
    </w:p>
    <w:p>
      <w:pPr>
        <w:pStyle w:val="Heading3"/>
      </w:pPr>
      <w:r>
        <w:rPr>
          <w:rFonts w:ascii="Georgia" w:hAnsi="Georgia" w:eastAsia="Microsoft YaHei"/>
          <w:color w:val="263238"/>
          <w:sz w:val="22"/>
        </w:rPr>
        <w:t xml:space="preserve">19.2 The Twin Key Rule</w:t>
      </w:r>
    </w:p>
    <w:p>
      <w:pPr>
        <w:pStyle w:val="Normal"/>
      </w:pPr>
      <w:r>
        <w:rPr>
          <w:rFonts w:ascii="Georgia" w:hAnsi="Georgia" w:eastAsia="Microsoft YaHei"/>
          <w:color w:val="263238"/>
          <w:sz w:val="22"/>
        </w:rPr>
        <w:t xml:space="preserve">A Twin Key action executes only when both designated keys record concurrence in the Shared Registry within the published window. Annex C assigns keys function by function: inbound functions initiate at the Iran desk and concur at the Oman desk; outbound functions initiate at the Oman desk and concur at the GCC observer desk; buffer corridor, mine-risk, and deconfliction actions initiate at either desk and concur at the other desk plus the Neutral Watch Office. Concurrence for protective escalation runs automatically; concurrence for normalization requires active confirmation.</w:t>
      </w:r>
    </w:p>
    <w:p>
      <w:pPr>
        <w:pStyle w:val="Heading3"/>
      </w:pPr>
      <w:r>
        <w:rPr>
          <w:rFonts w:ascii="Georgia" w:hAnsi="Georgia" w:eastAsia="Microsoft YaHei"/>
          <w:color w:val="263238"/>
          <w:sz w:val="22"/>
        </w:rPr>
        <w:t xml:space="preserve">19.3 Consensus and Consensus Minus One</w:t>
      </w:r>
    </w:p>
    <w:p>
      <w:pPr>
        <w:pStyle w:val="Normal"/>
      </w:pPr>
      <w:r>
        <w:rPr>
          <w:rFonts w:ascii="Georgia" w:hAnsi="Georgia" w:eastAsia="Microsoft YaHei"/>
          <w:color w:val="263238"/>
          <w:sz w:val="22"/>
        </w:rPr>
        <w:t xml:space="preserve">The Council decides by consensus of the Coastal State Parties. For compliance determinations that concern the conduct of one participant, the Consensus Minus One rule applies: the participant whose conduct the determination concerns abstains, and the remaining voting members decide. Where Consensus Minus One fails, the question refers automatically to the Guarantor and Facilitation Panel for final political judgment.</w:t>
      </w:r>
    </w:p>
    <w:p>
      <w:pPr>
        <w:pStyle w:val="Heading3"/>
      </w:pPr>
      <w:r>
        <w:rPr>
          <w:rFonts w:ascii="Georgia" w:hAnsi="Georgia" w:eastAsia="Microsoft YaHei"/>
          <w:color w:val="263238"/>
          <w:sz w:val="22"/>
        </w:rPr>
        <w:t xml:space="preserve">19.4 Technical determinations</w:t>
      </w:r>
    </w:p>
    <w:p>
      <w:pPr>
        <w:pStyle w:val="Normal"/>
      </w:pPr>
      <w:r>
        <w:rPr>
          <w:rFonts w:ascii="Georgia" w:hAnsi="Georgia" w:eastAsia="Microsoft YaHei"/>
          <w:color w:val="263238"/>
          <w:sz w:val="22"/>
        </w:rPr>
        <w:t xml:space="preserve">Technical facts determine on evidence, not votes: the survey record, the fused picture, the audit trail, and the Standards Register. The Neutral Watch Office certifies technical facts, and its certification binds unless the dispute tier of Article 36 overturns it on the evidence.</w:t>
      </w:r>
    </w:p>
    <w:p>
      <w:pPr>
        <w:pStyle w:val="Heading3"/>
      </w:pPr>
      <w:r>
        <w:rPr>
          <w:rFonts w:ascii="Georgia" w:hAnsi="Georgia" w:eastAsia="Microsoft YaHei"/>
          <w:color w:val="263238"/>
          <w:sz w:val="22"/>
        </w:rPr>
        <w:t xml:space="preserve">19.5 Default continuity</w:t>
      </w:r>
    </w:p>
    <w:p>
      <w:pPr>
        <w:pStyle w:val="Normal"/>
      </w:pPr>
      <w:r>
        <w:rPr>
          <w:rFonts w:ascii="Georgia" w:hAnsi="Georgia" w:eastAsia="Microsoft YaHei"/>
          <w:color w:val="263238"/>
          <w:sz w:val="22"/>
        </w:rPr>
        <w:t xml:space="preserve">Every undecided question resolves to continuity. A failed vote keeps the current rule. An expired mandate continues on its last terms. A deadlock freezes nothing except the proposed change. The architecture treats inaction as a decision to continue, never as a decision to stop.</w:t>
      </w:r>
    </w:p>
    <w:p>
      <w:pPr>
        <w:pStyle w:val="Heading3"/>
      </w:pPr>
      <w:r>
        <w:rPr>
          <w:rFonts w:ascii="Georgia" w:hAnsi="Georgia" w:eastAsia="Microsoft YaHei"/>
          <w:color w:val="263238"/>
          <w:sz w:val="22"/>
        </w:rPr>
        <w:t xml:space="preserve">19.6 The Guarantor and Facilitation Panel</w:t>
      </w:r>
    </w:p>
    <w:p>
      <w:pPr>
        <w:pStyle w:val="Normal"/>
      </w:pPr>
      <w:r>
        <w:rPr>
          <w:rFonts w:ascii="Georgia" w:hAnsi="Georgia" w:eastAsia="Microsoft YaHei"/>
          <w:color w:val="263238"/>
          <w:sz w:val="22"/>
        </w:rPr>
        <w:t xml:space="preserve">The Guarantor and Facilitation Panel seats the Mediator of Record (Oman), the Neutral Facilitator (Switzerland), and the two Facilitators (Qatar and Pakistan). The Panel: receives referrals under Consensus Minus One; convenes Red Line Consultations; proposes de-escalation measures in any dispute; and certifies the integrity of the activation sequence. It decides by consensus of its own members, it commands no organ of the Accord, and its interventions run through facilitation, never instruction.</w:t>
      </w:r>
    </w:p>
    <w:p>
      <w:pPr>
        <w:pStyle w:val="Normal"/>
      </w:pPr>
      <w:r>
        <w:rPr>
          <w:rFonts w:ascii="Georgia" w:hAnsi="Georgia" w:eastAsia="Microsoft YaHei"/>
          <w:color w:val="263238"/>
          <w:sz w:val="22"/>
        </w:rPr>
        <w:t xml:space="preserve">The Swiss Confederation chairs the Panel permanently, providing continuity of convening and institutional memory. Each Panel member names its own successor through its own constitutional process, subject to Council confirmation, and the succession record publishes. The Panel stands as a permanent institution of the Accord with a standing budget line in the Fund and a small standing secretariat hosted by Switzerland; it never sunsets, never drifts, and never waits for a crisis to exist.</w:t>
      </w:r>
    </w:p>
    <w:p>
      <w:pPr>
        <w:pStyle w:val="Heading2"/>
      </w:pPr>
      <w:bookmarkStart w:id="127" w:name="_Toc263100027"/>
      <w:r>
        <w:rPr>
          <w:rFonts w:ascii="Georgia" w:hAnsi="Georgia" w:eastAsia="Microsoft YaHei"/>
          <w:color w:val="263238"/>
          <w:sz w:val="22"/>
        </w:rPr>
        <w:t xml:space="preserve">Article 20: Secretariat and the Neutral Watch Office</w:t>
      </w:r>
      <w:bookmarkEnd w:id="127"/>
    </w:p>
    <w:p>
      <w:pPr>
        <w:pStyle w:val="Heading3"/>
      </w:pPr>
      <w:r>
        <w:rPr>
          <w:rFonts w:ascii="Georgia" w:hAnsi="Georgia" w:eastAsia="Microsoft YaHei"/>
          <w:color w:val="263238"/>
          <w:sz w:val="22"/>
        </w:rPr>
        <w:t xml:space="preserve">20.1 The Secretariat</w:t>
      </w:r>
    </w:p>
    <w:p>
      <w:pPr>
        <w:pStyle w:val="Normal"/>
      </w:pPr>
      <w:r>
        <w:rPr>
          <w:rFonts w:ascii="Georgia" w:hAnsi="Georgia" w:eastAsia="Microsoft YaHei"/>
          <w:color w:val="263238"/>
          <w:sz w:val="22"/>
        </w:rPr>
        <w:t xml:space="preserve">A small Secretariat serves the Council: document custody, meeting logistics, the Red Lines Register, the Perimeter Test, and publication. The Swiss Facilitator seconds the head of Secretariat for the first three years, after which the Council appoints on the parity formula. The Secretariat numbers no more than twelve staff, in keeping with the cost discipline of Article 4.</w:t>
      </w:r>
    </w:p>
    <w:p>
      <w:pPr>
        <w:pStyle w:val="Heading3"/>
      </w:pPr>
      <w:r>
        <w:rPr>
          <w:rFonts w:ascii="Georgia" w:hAnsi="Georgia" w:eastAsia="Microsoft YaHei"/>
          <w:color w:val="263238"/>
          <w:sz w:val="22"/>
        </w:rPr>
        <w:t xml:space="preserve">20.2 The Neutral Watch Office</w:t>
      </w:r>
    </w:p>
    <w:p>
      <w:pPr>
        <w:pStyle w:val="Normal"/>
      </w:pPr>
      <w:r>
        <w:rPr>
          <w:rFonts w:ascii="Georgia" w:hAnsi="Georgia" w:eastAsia="Microsoft YaHei"/>
          <w:color w:val="263238"/>
          <w:sz w:val="22"/>
        </w:rPr>
        <w:t xml:space="preserve">The Neutral Watch Office staffs the observing layer of both watch floors: eight observers drawn from states outside the region, accredited by the Swiss Facilitator, serving one-year terms. The Office observes every Twin Key action, certifies technical facts under Article 19, witnesses every activation certification, and holds the third key on buffer, mine-risk, and deconfliction actions. It reports monthly, publishes its reports, and answers to no government.</w:t>
      </w:r>
    </w:p>
    <w:p>
      <w:pPr>
        <w:pStyle w:val="Heading3"/>
      </w:pPr>
      <w:r>
        <w:rPr>
          <w:rFonts w:ascii="Georgia" w:hAnsi="Georgia" w:eastAsia="Microsoft YaHei"/>
          <w:color w:val="263238"/>
          <w:sz w:val="22"/>
        </w:rPr>
        <w:t xml:space="preserve">20.3 Accreditation and rotation</w:t>
      </w:r>
    </w:p>
    <w:p>
      <w:pPr>
        <w:pStyle w:val="Normal"/>
      </w:pPr>
      <w:r>
        <w:rPr>
          <w:rFonts w:ascii="Georgia" w:hAnsi="Georgia" w:eastAsia="Microsoft YaHei"/>
          <w:color w:val="263238"/>
          <w:sz w:val="22"/>
        </w:rPr>
        <w:t xml:space="preserve">The Swiss Facilitator maintains the accreditation register for all observers, auditors, experts, and referees under the Accord. Accreditation standards publish in full. Rotation prevents capture: no observer, auditor, or referee serves longer than three consecutive years in the same role.</w:t>
      </w:r>
    </w:p>
    <w:p>
      <w:pPr>
        <w:pStyle w:val="Heading3"/>
      </w:pPr>
      <w:r>
        <w:rPr>
          <w:rFonts w:ascii="Georgia" w:hAnsi="Georgia" w:eastAsia="Microsoft YaHei"/>
          <w:color w:val="263238"/>
          <w:sz w:val="22"/>
        </w:rPr>
        <w:t xml:space="preserve">20.4 Double-track succession</w:t>
      </w:r>
    </w:p>
    <w:p>
      <w:pPr>
        <w:pStyle w:val="Normal"/>
      </w:pPr>
      <w:r>
        <w:rPr>
          <w:rFonts w:ascii="Georgia" w:hAnsi="Georgia" w:eastAsia="Microsoft YaHei"/>
          <w:color w:val="263238"/>
          <w:sz w:val="22"/>
        </w:rPr>
        <w:t xml:space="preserve">Every designated role under the Accord carries a named alternate from the moment of appointment: the Council head, the site directors, the Escrow Administrator, and the head of the Neutral Watch Office. Alternates hold identical credentials, complete identical training, and attend every key briefing. An alternate assumes the role automatically within seventy-two hours of the incumbent's incapacity, with no additional approval. The succession record lives in the Institutional Memory Vault and publishes annually. No single person is a single point of failure.</w:t>
      </w:r>
    </w:p>
    <w:p>
      <w:r>
        <w:br w:type="page"/>
      </w:r>
    </w:p>
    <w:p>
      <w:pPr>
        <w:pStyle w:val="Heading1"/>
      </w:pPr>
      <w:bookmarkStart w:id="128" w:name="_Toc263100028"/>
      <w:r>
        <w:rPr>
          <w:rFonts w:ascii="Georgia" w:hAnsi="Georgia" w:eastAsia="Microsoft YaHei"/>
          <w:color w:val="263238"/>
          <w:sz w:val="22"/>
        </w:rPr>
        <w:t xml:space="preserve">Part IV: The Financial Architecture: Settlement of the Toll Question</w:t>
      </w:r>
      <w:bookmarkEnd w:id="128"/>
    </w:p>
    <w:p>
      <w:pPr>
        <w:pStyle w:val="Heading2"/>
      </w:pPr>
      <w:bookmarkStart w:id="129" w:name="_Toc263100029"/>
      <w:r>
        <w:rPr>
          <w:rFonts w:ascii="Georgia" w:hAnsi="Georgia" w:eastAsia="Microsoft YaHei"/>
          <w:color w:val="263238"/>
          <w:sz w:val="22"/>
        </w:rPr>
        <w:t xml:space="preserve">Article 21: The Zero-Toll Rule</w:t>
      </w:r>
      <w:bookmarkEnd w:id="129"/>
    </w:p>
    <w:p>
      <w:pPr>
        <w:pStyle w:val="Heading3"/>
      </w:pPr>
      <w:r>
        <w:rPr>
          <w:rFonts w:ascii="Georgia" w:hAnsi="Georgia" w:eastAsia="Microsoft YaHei"/>
          <w:color w:val="263238"/>
          <w:sz w:val="22"/>
        </w:rPr>
        <w:t xml:space="preserve">21.1 The rule</w:t>
      </w:r>
    </w:p>
    <w:p>
      <w:pPr>
        <w:pStyle w:val="Normal"/>
      </w:pPr>
      <w:r>
        <w:rPr>
          <w:rFonts w:ascii="Georgia" w:hAnsi="Georgia" w:eastAsia="Microsoft YaHei"/>
          <w:color w:val="263238"/>
          <w:sz w:val="22"/>
        </w:rPr>
        <w:t xml:space="preserve">No toll exists in the Strait of Hormuz. No Party, organ, desk, escrow, or agent of the Accord charges, collects, rebates, or offsets any payment for passage itself, in any currency, through any channel, under any name. The rule binds in every Flow State, during the pilot phase, during the Hormuz Watch, and during any dispute. It is the settlement of the toll question, and it settles the question permanently.</w:t>
      </w:r>
    </w:p>
    <w:p>
      <w:pPr>
        <w:pStyle w:val="Heading3"/>
      </w:pPr>
      <w:r>
        <w:rPr>
          <w:rFonts w:ascii="Georgia" w:hAnsi="Georgia" w:eastAsia="Microsoft YaHei"/>
          <w:color w:val="263238"/>
          <w:sz w:val="22"/>
        </w:rPr>
        <w:t xml:space="preserve">21.2 What the rule permits</w:t>
      </w:r>
    </w:p>
    <w:p>
      <w:pPr>
        <w:pStyle w:val="Normal"/>
      </w:pPr>
      <w:r>
        <w:rPr>
          <w:rFonts w:ascii="Georgia" w:hAnsi="Georgia" w:eastAsia="Microsoft YaHei"/>
          <w:color w:val="263238"/>
          <w:sz w:val="22"/>
        </w:rPr>
        <w:t xml:space="preserve">The rule permits exactly one financial instrument: the published service charge of the Verified Services Catalog, priced against delivered services, collected through the escrow of Article 24, and audited under Article 25. A service charge passes three tests: it prices a service, not a passage; it matches a published rate; and it flows through the published channel. Any payment failing a test is a toll, and the architecture treats it as one.</w:t>
      </w:r>
    </w:p>
    <w:p>
      <w:pPr>
        <w:pStyle w:val="Heading3"/>
      </w:pPr>
      <w:r>
        <w:rPr>
          <w:rFonts w:ascii="Georgia" w:hAnsi="Georgia" w:eastAsia="Microsoft YaHei"/>
          <w:color w:val="263238"/>
          <w:sz w:val="22"/>
        </w:rPr>
        <w:t xml:space="preserve">21.3 Mandatory insurance excluded</w:t>
      </w:r>
    </w:p>
    <w:p>
      <w:pPr>
        <w:pStyle w:val="Normal"/>
      </w:pPr>
      <w:r>
        <w:rPr>
          <w:rFonts w:ascii="Georgia" w:hAnsi="Georgia" w:eastAsia="Microsoft YaHei"/>
          <w:color w:val="263238"/>
          <w:sz w:val="22"/>
        </w:rPr>
        <w:t xml:space="preserve">The Accord imposes no insurance condition on passage. Insurance remains a private contract between vessel and market. The Accord supports the market through the Assurance Registry of Article 26; it never gates transit on a policy.</w:t>
      </w:r>
    </w:p>
    <w:p>
      <w:pPr>
        <w:pStyle w:val="Heading3"/>
      </w:pPr>
      <w:r>
        <w:rPr>
          <w:rFonts w:ascii="Georgia" w:hAnsi="Georgia" w:eastAsia="Microsoft YaHei"/>
          <w:color w:val="263238"/>
          <w:sz w:val="22"/>
        </w:rPr>
        <w:t xml:space="preserve">21.4 Scope</w:t>
      </w:r>
    </w:p>
    <w:p>
      <w:pPr>
        <w:pStyle w:val="Normal"/>
      </w:pPr>
      <w:r>
        <w:rPr>
          <w:rFonts w:ascii="Georgia" w:hAnsi="Georgia" w:eastAsia="Microsoft YaHei"/>
          <w:color w:val="263238"/>
          <w:sz w:val="22"/>
        </w:rPr>
        <w:t xml:space="preserve">The Zero-Toll Rule covers every vessel of every class, every flag, every cargo, and every destination, including vessels of states that participate in nothing else in the Accord. It covers transit in both directions, anchorage at the designated points, and use of the buffer corridor in emergency.</w:t>
      </w:r>
    </w:p>
    <w:p>
      <w:pPr>
        <w:pStyle w:val="Heading3"/>
      </w:pPr>
      <w:r>
        <w:rPr>
          <w:rFonts w:ascii="Georgia" w:hAnsi="Georgia" w:eastAsia="Microsoft YaHei"/>
          <w:color w:val="263238"/>
          <w:sz w:val="22"/>
        </w:rPr>
        <w:t xml:space="preserve">21.5 What the Fund pays for instead</w:t>
      </w:r>
    </w:p>
    <w:p>
      <w:pPr>
        <w:pStyle w:val="Normal"/>
      </w:pPr>
      <w:r>
        <w:rPr>
          <w:rFonts w:ascii="Georgia" w:hAnsi="Georgia" w:eastAsia="Microsoft YaHei"/>
          <w:color w:val="263238"/>
          <w:sz w:val="22"/>
        </w:rPr>
        <w:t xml:space="preserve">The Transit Services Fund of Article 22 carries the public costs of the system: environmental monitoring, search-and-rescue readiness, the survey program, the watch floors, audits, and the Route Assurance Data Service. Service charges replenish the Fund; Regional Participant contributions and voluntary user contributions supplement it. Passage stays free because the services stand funded.</w:t>
      </w:r>
    </w:p>
    <w:p>
      <w:pPr>
        <w:pStyle w:val="Heading3"/>
      </w:pPr>
      <w:r>
        <w:rPr>
          <w:rFonts w:ascii="Georgia" w:hAnsi="Georgia" w:eastAsia="Microsoft YaHei"/>
          <w:color w:val="263238"/>
          <w:sz w:val="22"/>
        </w:rPr>
        <w:t xml:space="preserve">21.6 Domestic law reconciliation</w:t>
      </w:r>
    </w:p>
    <w:p>
      <w:pPr>
        <w:pStyle w:val="Normal"/>
      </w:pPr>
      <w:r>
        <w:rPr>
          <w:rFonts w:ascii="Georgia" w:hAnsi="Georgia" w:eastAsia="Microsoft YaHei"/>
          <w:color w:val="263238"/>
          <w:sz w:val="22"/>
        </w:rPr>
        <w:t xml:space="preserve">Each Coastal State Party aligns its domestic instruments with the Zero-Toll Rule within one hundred eighty days of entry into force, and files the alignment record with the Depositary. A domestic provision in conflict with the rule yields to the rule inside the Governance Area for the duration of the Accord.</w:t>
      </w:r>
    </w:p>
    <w:p>
      <w:pPr>
        <w:pStyle w:val="Heading2"/>
      </w:pPr>
      <w:bookmarkStart w:id="130" w:name="_Toc263100030"/>
      <w:r>
        <w:rPr>
          <w:rFonts w:ascii="Georgia" w:hAnsi="Georgia" w:eastAsia="Microsoft YaHei"/>
          <w:color w:val="263238"/>
          <w:sz w:val="22"/>
        </w:rPr>
        <w:t xml:space="preserve">Article 22: The Transit Services Fund</w:t>
      </w:r>
      <w:bookmarkEnd w:id="130"/>
    </w:p>
    <w:p>
      <w:pPr>
        <w:pStyle w:val="Heading3"/>
      </w:pPr>
      <w:r>
        <w:rPr>
          <w:rFonts w:ascii="Georgia" w:hAnsi="Georgia" w:eastAsia="Microsoft YaHei"/>
          <w:color w:val="263238"/>
          <w:sz w:val="22"/>
        </w:rPr>
        <w:t xml:space="preserve">22.1 Establishment and legal form</w:t>
      </w:r>
    </w:p>
    <w:p>
      <w:pPr>
        <w:pStyle w:val="Normal"/>
      </w:pPr>
      <w:r>
        <w:rPr>
          <w:rFonts w:ascii="Georgia" w:hAnsi="Georgia" w:eastAsia="Microsoft YaHei"/>
          <w:color w:val="263238"/>
          <w:sz w:val="22"/>
        </w:rPr>
        <w:t xml:space="preserve">The Parties establish the Hormuz Transit Services Fund as a segregated account structure administered by the Sultanate of Oman as Escrow Administrator, under facilitation by the Swiss Confederation. The Fund holds no legal personality beyond the Accord, owns no assets beyond its accounts, and enters no contracts beyond its mandate. Its entire existence is custodial.</w:t>
      </w:r>
    </w:p>
    <w:p>
      <w:pPr>
        <w:pStyle w:val="Heading3"/>
      </w:pPr>
      <w:r>
        <w:rPr>
          <w:rFonts w:ascii="Georgia" w:hAnsi="Georgia" w:eastAsia="Microsoft YaHei"/>
          <w:color w:val="263238"/>
          <w:sz w:val="22"/>
        </w:rPr>
        <w:t xml:space="preserve">22.2 Purpose and the humanitarian lock</w:t>
      </w:r>
    </w:p>
    <w:p>
      <w:pPr>
        <w:pStyle w:val="Normal"/>
      </w:pPr>
      <w:r>
        <w:rPr>
          <w:rFonts w:ascii="Georgia" w:hAnsi="Georgia" w:eastAsia="Microsoft YaHei"/>
          <w:color w:val="263238"/>
          <w:sz w:val="22"/>
        </w:rPr>
        <w:t xml:space="preserve">The Fund finances the corridor services of the Accord. A humanitarian lock protects a standing reserve: two months of full system operating cost, measured on the trailing annual average, dedicated first to search-and-rescue readiness, environmental response, and continuity of the watch floors. No compliance event, no dispute, and no political crisis touches the humanitarian lock. The lock sits outside the step-back engine of Article 33 entirely.</w:t>
      </w:r>
    </w:p>
    <w:p>
      <w:pPr>
        <w:pStyle w:val="Heading3"/>
      </w:pPr>
      <w:r>
        <w:rPr>
          <w:rFonts w:ascii="Georgia" w:hAnsi="Georgia" w:eastAsia="Microsoft YaHei"/>
          <w:color w:val="263238"/>
          <w:sz w:val="22"/>
        </w:rPr>
        <w:t xml:space="preserve">22.3 Resources</w:t>
      </w:r>
    </w:p>
    <w:p>
      <w:pPr>
        <w:pStyle w:val="Normal"/>
      </w:pPr>
      <w:r>
        <w:rPr>
          <w:rFonts w:ascii="Georgia" w:hAnsi="Georgia" w:eastAsia="Microsoft YaHei"/>
          <w:color w:val="263238"/>
          <w:sz w:val="22"/>
        </w:rPr>
        <w:t xml:space="preserve">The Fund receives: service charge remittances under Annex D; Regional Participant contributions on the published schedule; voluntary user contributions on the Malacca model, invited annually and published per contributor; and investment income on balances under the conservative mandate of Annex D. The Fund refuses any contribution conditioned on influence, and the audit of Article 25 verifies the refusal annually.</w:t>
      </w:r>
    </w:p>
    <w:p>
      <w:pPr>
        <w:pStyle w:val="Heading3"/>
      </w:pPr>
      <w:r>
        <w:rPr>
          <w:rFonts w:ascii="Georgia" w:hAnsi="Georgia" w:eastAsia="Microsoft YaHei"/>
          <w:color w:val="263238"/>
          <w:sz w:val="22"/>
        </w:rPr>
        <w:t xml:space="preserve">22.4 Administration</w:t>
      </w:r>
    </w:p>
    <w:p>
      <w:pPr>
        <w:pStyle w:val="Normal"/>
      </w:pPr>
      <w:r>
        <w:rPr>
          <w:rFonts w:ascii="Georgia" w:hAnsi="Georgia" w:eastAsia="Microsoft YaHei"/>
          <w:color w:val="263238"/>
          <w:sz w:val="22"/>
        </w:rPr>
        <w:t xml:space="preserve">The Escrow Administrator operates the Fund under four constraints: segregation of every account by purpose; disbursement only against the annual budget or a certified delivery state; dual signature on every disbursement above the published threshold, one from each Coastal State desk; and real-time posting of every movement to the Shared Registry. The Administrator charges a published administration fee, capped at one percent of throughput.</w:t>
      </w:r>
    </w:p>
    <w:p>
      <w:pPr>
        <w:pStyle w:val="Heading3"/>
      </w:pPr>
      <w:r>
        <w:rPr>
          <w:rFonts w:ascii="Georgia" w:hAnsi="Georgia" w:eastAsia="Microsoft YaHei"/>
          <w:color w:val="263238"/>
          <w:sz w:val="22"/>
        </w:rPr>
        <w:t xml:space="preserve">22.5 Governance</w:t>
      </w:r>
    </w:p>
    <w:p>
      <w:pPr>
        <w:pStyle w:val="Normal"/>
      </w:pPr>
      <w:r>
        <w:rPr>
          <w:rFonts w:ascii="Georgia" w:hAnsi="Georgia" w:eastAsia="Microsoft YaHei"/>
          <w:color w:val="263238"/>
          <w:sz w:val="22"/>
        </w:rPr>
        <w:t xml:space="preserve">The Council adopts the Fund's annual budget. The Escrow Administrator executes it. The Swiss Facilitator appoints the external auditor. The Stakeholder Panel reviews the published statements. Each layer checks the next; no layer accumulates two functions.</w:t>
      </w:r>
    </w:p>
    <w:p>
      <w:pPr>
        <w:pStyle w:val="Heading3"/>
      </w:pPr>
      <w:r>
        <w:rPr>
          <w:rFonts w:ascii="Georgia" w:hAnsi="Georgia" w:eastAsia="Microsoft YaHei"/>
          <w:color w:val="263238"/>
          <w:sz w:val="22"/>
        </w:rPr>
        <w:t xml:space="preserve">22.6 No double recovery</w:t>
      </w:r>
    </w:p>
    <w:p>
      <w:pPr>
        <w:pStyle w:val="Normal"/>
      </w:pPr>
      <w:r>
        <w:rPr>
          <w:rFonts w:ascii="Georgia" w:hAnsi="Georgia" w:eastAsia="Microsoft YaHei"/>
          <w:color w:val="263238"/>
          <w:sz w:val="22"/>
        </w:rPr>
        <w:t xml:space="preserve">A service funded by the Fund never charges separately to a user, and a service charged to a user never draws from the Fund. Annex D maps every service to exactly one funding source, and the audit tests the mapping every cycle.</w:t>
      </w:r>
    </w:p>
    <w:p>
      <w:pPr>
        <w:pStyle w:val="Heading3"/>
      </w:pPr>
      <w:r>
        <w:rPr>
          <w:rFonts w:ascii="Georgia" w:hAnsi="Georgia" w:eastAsia="Microsoft YaHei"/>
          <w:color w:val="263238"/>
          <w:sz w:val="22"/>
        </w:rPr>
        <w:t xml:space="preserve">22.7 The compensation window</w:t>
      </w:r>
    </w:p>
    <w:p>
      <w:pPr>
        <w:pStyle w:val="Normal"/>
      </w:pPr>
      <w:r>
        <w:rPr>
          <w:rFonts w:ascii="Georgia" w:hAnsi="Georgia" w:eastAsia="Microsoft YaHei"/>
          <w:color w:val="263238"/>
          <w:sz w:val="22"/>
        </w:rPr>
        <w:t xml:space="preserve">A vessel that suffers loss caused by a failure of a corridor service, as determined under the claim standard of Article 35, draws compensation from the Fund up to the published cap per incident. The window exists to keep disputes commercial rather than political: the Fund pays promptly, the Registry records transparently, and the compliance engine stays out of private losses.</w:t>
      </w:r>
    </w:p>
    <w:p>
      <w:pPr>
        <w:pStyle w:val="Heading3"/>
      </w:pPr>
      <w:r>
        <w:rPr>
          <w:rFonts w:ascii="Georgia" w:hAnsi="Georgia" w:eastAsia="Microsoft YaHei"/>
          <w:color w:val="263238"/>
          <w:sz w:val="22"/>
        </w:rPr>
        <w:t xml:space="preserve">22.8 The security-reimbursement link</w:t>
      </w:r>
    </w:p>
    <w:p>
      <w:pPr>
        <w:pStyle w:val="Normal"/>
      </w:pPr>
      <w:r>
        <w:rPr>
          <w:rFonts w:ascii="Georgia" w:hAnsi="Georgia" w:eastAsia="Microsoft YaHei"/>
          <w:color w:val="263238"/>
          <w:sz w:val="22"/>
        </w:rPr>
        <w:t xml:space="preserve">Escort pooling and patrol operations draw reimbursement from the Fund at published cost-recovery rates. The link keeps security services solvent without converting them into charges on passage: the Fund pays the escort; the service charges replenish the Fund; the vessel pays only its published bundle.</w:t>
      </w:r>
    </w:p>
    <w:p>
      <w:pPr>
        <w:pStyle w:val="Heading3"/>
      </w:pPr>
      <w:r>
        <w:rPr>
          <w:rFonts w:ascii="Georgia" w:hAnsi="Georgia" w:eastAsia="Microsoft YaHei"/>
          <w:color w:val="263238"/>
          <w:sz w:val="22"/>
        </w:rPr>
        <w:t xml:space="preserve">22.9 The emergency draw protocol</w:t>
      </w:r>
    </w:p>
    <w:p>
      <w:pPr>
        <w:pStyle w:val="Normal"/>
      </w:pPr>
      <w:r>
        <w:rPr>
          <w:rFonts w:ascii="Georgia" w:hAnsi="Georgia" w:eastAsia="Microsoft YaHei"/>
          <w:color w:val="263238"/>
          <w:sz w:val="22"/>
        </w:rPr>
        <w:t xml:space="preserve">A natural disaster, mass rescue operation, or catastrophic spill activates the emergency draw. Both Coastal State desks certify jointly that the emergency meets the published criteria, and the Neutral Watch Office concurs that the draw is proportionate. Where the Council cannot convene within forty-eight hours, the Escrow Administrator and the Swiss Facilitator jointly authorize a draw of up to ten percent of the humanitarian lock, posting to the Registry immediately and facing Council ratification within fourteen days. The protocol deploys money at the speed of the emergency, with the paperwork chasing the rescue, never the reverse.</w:t>
      </w:r>
    </w:p>
    <w:p>
      <w:pPr>
        <w:pStyle w:val="Heading3"/>
      </w:pPr>
      <w:r>
        <w:rPr>
          <w:rFonts w:ascii="Georgia" w:hAnsi="Georgia" w:eastAsia="Microsoft YaHei"/>
          <w:color w:val="263238"/>
          <w:sz w:val="22"/>
        </w:rPr>
        <w:t xml:space="preserve">22.10 The Volume Stabilizer</w:t>
      </w:r>
    </w:p>
    <w:p>
      <w:pPr>
        <w:pStyle w:val="Normal"/>
      </w:pPr>
      <w:r>
        <w:rPr>
          <w:rFonts w:ascii="Georgia" w:hAnsi="Georgia" w:eastAsia="Microsoft YaHei"/>
          <w:color w:val="263238"/>
          <w:sz w:val="22"/>
        </w:rPr>
        <w:t xml:space="preserve">Monthly transits falling below seventy-five percent of the twelve-month trailing average for two consecutive months activate the Volume Stabilizer automatically. The Stabilizer trims non-essential expenditure, draws the operating reserve at no more than ten percent per month, protects the humanitarian lock absolutely, and convenes a mandatory Council review of fiscal sustainability with a published report within thirty days. Transits returning to eighty-five percent of the trailing average for two consecutive months deactivate the Stabilizer. A volume shock buys time, not bankruptcy.</w:t>
      </w:r>
    </w:p>
    <w:p>
      <w:pPr>
        <w:pStyle w:val="Heading2"/>
      </w:pPr>
      <w:bookmarkStart w:id="131" w:name="_Toc263100031"/>
      <w:r>
        <w:rPr>
          <w:rFonts w:ascii="Georgia" w:hAnsi="Georgia" w:eastAsia="Microsoft YaHei"/>
          <w:color w:val="263238"/>
          <w:sz w:val="22"/>
        </w:rPr>
        <w:t xml:space="preserve">Article 23: Service Charges and the Verified Services Catalog</w:t>
      </w:r>
      <w:bookmarkEnd w:id="131"/>
    </w:p>
    <w:p>
      <w:pPr>
        <w:pStyle w:val="Heading3"/>
      </w:pPr>
      <w:r>
        <w:rPr>
          <w:rFonts w:ascii="Georgia" w:hAnsi="Georgia" w:eastAsia="Microsoft YaHei"/>
          <w:color w:val="263238"/>
          <w:sz w:val="22"/>
        </w:rPr>
        <w:t xml:space="preserve">23.1 The Catalog</w:t>
      </w:r>
    </w:p>
    <w:p>
      <w:pPr>
        <w:pStyle w:val="Normal"/>
      </w:pPr>
      <w:r>
        <w:rPr>
          <w:rFonts w:ascii="Georgia" w:hAnsi="Georgia" w:eastAsia="Microsoft YaHei"/>
          <w:color w:val="263238"/>
          <w:sz w:val="22"/>
        </w:rPr>
        <w:t xml:space="preserve">The Verified Services Catalog in Annex D enumerates every chargeable service: the inbound service bundle, the outbound service bundle, optional pilotage, optional tug assistance, and enhanced route assurance. Each entry states the service content, the delivery standard, the rate, the delivery state protocol, and the funding source. A service outside the Catalog carries no charge.</w:t>
      </w:r>
    </w:p>
    <w:p>
      <w:pPr>
        <w:pStyle w:val="Heading3"/>
      </w:pPr>
      <w:r>
        <w:rPr>
          <w:rFonts w:ascii="Georgia" w:hAnsi="Georgia" w:eastAsia="Microsoft YaHei"/>
          <w:color w:val="263238"/>
          <w:sz w:val="22"/>
        </w:rPr>
        <w:t xml:space="preserve">23.2 Rate structure</w:t>
      </w:r>
    </w:p>
    <w:p>
      <w:pPr>
        <w:pStyle w:val="Normal"/>
      </w:pPr>
      <w:r>
        <w:rPr>
          <w:rFonts w:ascii="Georgia" w:hAnsi="Georgia" w:eastAsia="Microsoft YaHei"/>
          <w:color w:val="263238"/>
          <w:sz w:val="22"/>
        </w:rPr>
        <w:t xml:space="preserve">Rates track vessel class under Article 12 and service actually delivered. The standard inbound and outbound bundles price as follows, in United States dollars per transit: Class A, 19,500; Class B, 13,800; Class C, 6,900; Class D, 7 per twenty-foot equivalent unit with a cap of 16,800; Class E, 17,200; Class F, 8,100; Class G, 9,900; Class H, the applicable class rate plus a published verification surcharge of 2,400. Humanitarian vessels and government non-commercial vessels pay zero. Annex D carries the complete schedule with every sub-class.</w:t>
      </w:r>
    </w:p>
    <w:p>
      <w:pPr>
        <w:pStyle w:val="Heading3"/>
      </w:pPr>
      <w:r>
        <w:rPr>
          <w:rFonts w:ascii="Georgia" w:hAnsi="Georgia" w:eastAsia="Microsoft YaHei"/>
          <w:color w:val="263238"/>
          <w:sz w:val="22"/>
        </w:rPr>
        <w:t xml:space="preserve">23.3 Rate discipline</w:t>
      </w:r>
    </w:p>
    <w:p>
      <w:pPr>
        <w:pStyle w:val="Normal"/>
      </w:pPr>
      <w:r>
        <w:rPr>
          <w:rFonts w:ascii="Georgia" w:hAnsi="Georgia" w:eastAsia="Microsoft YaHei"/>
          <w:color w:val="263238"/>
          <w:sz w:val="22"/>
        </w:rPr>
        <w:t xml:space="preserve">Rates change once per year at most, on the Consensus Track, with ninety days' published notice, within a band of plus or minus five percent of the prior rate unless the Stability Audit demonstrates cost variance beyond the band. Pilot phase rates run at sixty percent of standard rates. Sudden spikes are structurally impossible; the insurer demand for predictability is a design constraint, not a preference.</w:t>
      </w:r>
    </w:p>
    <w:p>
      <w:pPr>
        <w:pStyle w:val="Heading3"/>
      </w:pPr>
      <w:r>
        <w:rPr>
          <w:rFonts w:ascii="Georgia" w:hAnsi="Georgia" w:eastAsia="Microsoft YaHei"/>
          <w:color w:val="263238"/>
          <w:sz w:val="22"/>
        </w:rPr>
        <w:t xml:space="preserve">23.4 Delivery-linked charging</w:t>
      </w:r>
    </w:p>
    <w:p>
      <w:pPr>
        <w:pStyle w:val="Normal"/>
      </w:pPr>
      <w:r>
        <w:rPr>
          <w:rFonts w:ascii="Georgia" w:hAnsi="Georgia" w:eastAsia="Microsoft YaHei"/>
          <w:color w:val="263238"/>
          <w:sz w:val="22"/>
        </w:rPr>
        <w:t xml:space="preserve">A charge attaches to delivery. The Shared Registry records the delivered services per transit automatically from watch-floor logs. A service in Degraded state charges fifty percent; a service in Suspended state charges zero. The escrow computes the adjustment without application, appeal, or paperwork.</w:t>
      </w:r>
    </w:p>
    <w:p>
      <w:pPr>
        <w:pStyle w:val="Heading3"/>
      </w:pPr>
      <w:r>
        <w:rPr>
          <w:rFonts w:ascii="Georgia" w:hAnsi="Georgia" w:eastAsia="Microsoft YaHei"/>
          <w:color w:val="263238"/>
          <w:sz w:val="22"/>
        </w:rPr>
        <w:t xml:space="preserve">23.5 Apportionment</w:t>
      </w:r>
    </w:p>
    <w:p>
      <w:pPr>
        <w:pStyle w:val="Normal"/>
      </w:pPr>
      <w:r>
        <w:rPr>
          <w:rFonts w:ascii="Georgia" w:hAnsi="Georgia" w:eastAsia="Microsoft YaHei"/>
          <w:color w:val="263238"/>
          <w:sz w:val="22"/>
        </w:rPr>
        <w:t xml:space="preserve">Service charge revenue apportions on collection: the inbound bundle credits the Iran service account at ninety-two percent and the Fund common account at eight percent; the outbound bundle credits the Oman service account at ninety-two percent and the Fund common account at eight percent; optional services credit the delivering desk at ninety percent and the Fund at ten percent. The service accounts fund each desk's corridor operations under its own published budget, audited on the same cycle as the Fund.</w:t>
      </w:r>
    </w:p>
    <w:p>
      <w:pPr>
        <w:pStyle w:val="Heading2"/>
      </w:pPr>
      <w:bookmarkStart w:id="132" w:name="_Toc263100032"/>
      <w:r>
        <w:rPr>
          <w:rFonts w:ascii="Georgia" w:hAnsi="Georgia" w:eastAsia="Microsoft YaHei"/>
          <w:color w:val="263238"/>
          <w:sz w:val="22"/>
        </w:rPr>
        <w:t xml:space="preserve">Article 24: Escrow, Payment Routing, and the Sanctions-Compliance Firewall</w:t>
      </w:r>
      <w:bookmarkEnd w:id="132"/>
    </w:p>
    <w:p>
      <w:pPr>
        <w:pStyle w:val="Heading3"/>
      </w:pPr>
      <w:r>
        <w:rPr>
          <w:rFonts w:ascii="Georgia" w:hAnsi="Georgia" w:eastAsia="Microsoft YaHei"/>
          <w:color w:val="263238"/>
          <w:sz w:val="22"/>
        </w:rPr>
        <w:t xml:space="preserve">24.1 The escrow channel</w:t>
      </w:r>
    </w:p>
    <w:p>
      <w:pPr>
        <w:pStyle w:val="Normal"/>
      </w:pPr>
      <w:r>
        <w:rPr>
          <w:rFonts w:ascii="Georgia" w:hAnsi="Georgia" w:eastAsia="Microsoft YaHei"/>
          <w:color w:val="263238"/>
          <w:sz w:val="22"/>
        </w:rPr>
        <w:t xml:space="preserve">All service charges flow through the escrow administered by Oman. A paying party remits to the escrow account in Swiss francs or UAE dirhams; the escrow converts at the published reference rate; apportionment executes automatically; and the Registry timestamps every step. The payment path never touches a sanctioned channel: the escrow structure, the currency menu, and the facilitator layer exist precisely so that lawful payment stays lawful for every payer.</w:t>
      </w:r>
    </w:p>
    <w:p>
      <w:pPr>
        <w:pStyle w:val="Heading3"/>
      </w:pPr>
      <w:r>
        <w:rPr>
          <w:rFonts w:ascii="Georgia" w:hAnsi="Georgia" w:eastAsia="Microsoft YaHei"/>
          <w:color w:val="263238"/>
          <w:sz w:val="22"/>
        </w:rPr>
        <w:t xml:space="preserve">24.2 The Sanctions-Compliance Firewall</w:t>
      </w:r>
    </w:p>
    <w:p>
      <w:pPr>
        <w:pStyle w:val="Normal"/>
      </w:pPr>
      <w:r>
        <w:rPr>
          <w:rFonts w:ascii="Georgia" w:hAnsi="Georgia" w:eastAsia="Microsoft YaHei"/>
          <w:color w:val="263238"/>
          <w:sz w:val="22"/>
        </w:rPr>
        <w:t xml:space="preserve">The Accord structures its finances so that compliance with any participant's sanctions regime never interrupts corridor operations. The firewall has four layers. Layer one: characterization, the Zero-Toll Rule and the service-fee distinction keep every payment a payment for services, documented per transit. Layer two: routing, the escrow runs through Omani administration with Swiss facilitation, outside the primary jurisdiction of any sanctions regime. Layer three: currencies, settlement runs in Swiss francs and UAE dirhams, with the reference rate published daily. Layer four: attestation, the escrow issues a per-payment compliance attestation pack, the document set a payer's counsel uses to demonstrate the service character of the payment under its own law.</w:t>
      </w:r>
    </w:p>
    <w:p>
      <w:pPr>
        <w:pStyle w:val="Heading3"/>
      </w:pPr>
      <w:r>
        <w:rPr>
          <w:rFonts w:ascii="Georgia" w:hAnsi="Georgia" w:eastAsia="Microsoft YaHei"/>
          <w:color w:val="263238"/>
          <w:sz w:val="22"/>
        </w:rPr>
        <w:t xml:space="preserve">24.3 Payer compliance support</w:t>
      </w:r>
    </w:p>
    <w:p>
      <w:pPr>
        <w:pStyle w:val="Normal"/>
      </w:pPr>
      <w:r>
        <w:rPr>
          <w:rFonts w:ascii="Georgia" w:hAnsi="Georgia" w:eastAsia="Microsoft YaHei"/>
          <w:color w:val="263238"/>
          <w:sz w:val="22"/>
        </w:rPr>
        <w:t xml:space="preserve">The escrow maintains a compliance desk for payers: model contract clauses, attestation templates, and a standing briefing on the payment architecture for regulators who request it. The desk engages regulators as a technical service, through the Swiss Facilitator, on the record.</w:t>
      </w:r>
    </w:p>
    <w:p>
      <w:pPr>
        <w:pStyle w:val="Heading3"/>
      </w:pPr>
      <w:r>
        <w:rPr>
          <w:rFonts w:ascii="Georgia" w:hAnsi="Georgia" w:eastAsia="Microsoft YaHei"/>
          <w:color w:val="263238"/>
          <w:sz w:val="22"/>
        </w:rPr>
        <w:t xml:space="preserve">24.4 Continuity under political stress</w:t>
      </w:r>
    </w:p>
    <w:p>
      <w:pPr>
        <w:pStyle w:val="Normal"/>
      </w:pPr>
      <w:r>
        <w:rPr>
          <w:rFonts w:ascii="Georgia" w:hAnsi="Georgia" w:eastAsia="Microsoft YaHei"/>
          <w:color w:val="263238"/>
          <w:sz w:val="22"/>
        </w:rPr>
        <w:t xml:space="preserve">The escrow operates continuously through political crises. Article 33 lists the escrow among the components no step-back ever touches. The contingency protocol of Annex D pre-positions six months of operating cost in the humanitarian lock and the operating reserve, so that even a payments interruption at the boundary leaves the corridor system funded.</w:t>
      </w:r>
    </w:p>
    <w:p>
      <w:pPr>
        <w:pStyle w:val="Heading3"/>
      </w:pPr>
      <w:r>
        <w:rPr>
          <w:rFonts w:ascii="Georgia" w:hAnsi="Georgia" w:eastAsia="Microsoft YaHei"/>
          <w:color w:val="263238"/>
          <w:sz w:val="22"/>
        </w:rPr>
        <w:t xml:space="preserve">24.5 Anti-circumvention</w:t>
      </w:r>
    </w:p>
    <w:p>
      <w:pPr>
        <w:pStyle w:val="Normal"/>
      </w:pPr>
      <w:r>
        <w:rPr>
          <w:rFonts w:ascii="Georgia" w:hAnsi="Georgia" w:eastAsia="Microsoft YaHei"/>
          <w:color w:val="263238"/>
          <w:sz w:val="22"/>
        </w:rPr>
        <w:t xml:space="preserve">The framework architecture excludes every informal payment channel. A payment outside the escrow for a corridor service reads as a toll, triggers a compliance event under Article 33, and exposes the receiving account to exclusion from the system. The audit tests for circumvention every cycle through reconciliation of transits against receipts.</w:t>
      </w:r>
    </w:p>
    <w:p>
      <w:pPr>
        <w:pStyle w:val="Heading3"/>
      </w:pPr>
      <w:r>
        <w:rPr>
          <w:rFonts w:ascii="Georgia" w:hAnsi="Georgia" w:eastAsia="Microsoft YaHei"/>
          <w:color w:val="263238"/>
          <w:sz w:val="22"/>
        </w:rPr>
        <w:t xml:space="preserve">24.6 The Payment Surety Bond</w:t>
      </w:r>
    </w:p>
    <w:p>
      <w:pPr>
        <w:pStyle w:val="Normal"/>
      </w:pPr>
      <w:r>
        <w:rPr>
          <w:rFonts w:ascii="Georgia" w:hAnsi="Georgia" w:eastAsia="Microsoft YaHei"/>
          <w:color w:val="263238"/>
          <w:sz w:val="22"/>
        </w:rPr>
        <w:t xml:space="preserve">A vessel with two or more late settlements in a rolling twelve-month period posts a Payment Surety Bond of five thousand dollars, held in the escrow as a guarantee of future settlement. Twelve consecutive on-time settlements refund the bond in full. The bond is a cash-flow tool, not a fine: it protects the system from chronic late payers while leaving prompt payers untouched.</w:t>
      </w:r>
    </w:p>
    <w:p>
      <w:pPr>
        <w:pStyle w:val="Heading2"/>
      </w:pPr>
      <w:bookmarkStart w:id="133" w:name="_Toc263100033"/>
      <w:r>
        <w:rPr>
          <w:rFonts w:ascii="Georgia" w:hAnsi="Georgia" w:eastAsia="Microsoft YaHei"/>
          <w:color w:val="263238"/>
          <w:sz w:val="22"/>
        </w:rPr>
        <w:t xml:space="preserve">Article 25: Budget, Audit, and Cost Control</w:t>
      </w:r>
      <w:bookmarkEnd w:id="133"/>
    </w:p>
    <w:p>
      <w:pPr>
        <w:pStyle w:val="Heading3"/>
      </w:pPr>
      <w:r>
        <w:rPr>
          <w:rFonts w:ascii="Georgia" w:hAnsi="Georgia" w:eastAsia="Microsoft YaHei"/>
          <w:color w:val="263238"/>
          <w:sz w:val="22"/>
        </w:rPr>
        <w:t xml:space="preserve">25.1 The annual budget</w:t>
      </w:r>
    </w:p>
    <w:p>
      <w:pPr>
        <w:pStyle w:val="Normal"/>
      </w:pPr>
      <w:r>
        <w:rPr>
          <w:rFonts w:ascii="Georgia" w:hAnsi="Georgia" w:eastAsia="Microsoft YaHei"/>
          <w:color w:val="263238"/>
          <w:sz w:val="22"/>
        </w:rPr>
        <w:t xml:space="preserve">The Council adopts an annual budget for the Fund and both service accounts on the Consensus Track, ninety days before the financial year. The budget states operating cost, the survey program, escort pooling, audits, the Route Assurance Data Service, administration, and the reserve targets. Absent adoption, the prior budget continues at ninety percent under default continuity.</w:t>
      </w:r>
    </w:p>
    <w:p>
      <w:pPr>
        <w:pStyle w:val="Heading3"/>
      </w:pPr>
      <w:r>
        <w:rPr>
          <w:rFonts w:ascii="Georgia" w:hAnsi="Georgia" w:eastAsia="Microsoft YaHei"/>
          <w:color w:val="263238"/>
          <w:sz w:val="22"/>
        </w:rPr>
        <w:t xml:space="preserve">25.2 Audit</w:t>
      </w:r>
    </w:p>
    <w:p>
      <w:pPr>
        <w:pStyle w:val="Normal"/>
      </w:pPr>
      <w:r>
        <w:rPr>
          <w:rFonts w:ascii="Georgia" w:hAnsi="Georgia" w:eastAsia="Microsoft YaHei"/>
          <w:color w:val="263238"/>
          <w:sz w:val="22"/>
        </w:rPr>
        <w:t xml:space="preserve">An internationally recognized audit firm, appointed by the Swiss Facilitator on a three-year rotation, audits every account of the Accord annually. The audit publishes in full: statements, findings, management responses, and the reconciliation of transits to receipts. A qualified opinion triggers automatic referral to the Council and a corrective plan within sixty days.</w:t>
      </w:r>
    </w:p>
    <w:p>
      <w:pPr>
        <w:pStyle w:val="Heading3"/>
      </w:pPr>
      <w:r>
        <w:rPr>
          <w:rFonts w:ascii="Georgia" w:hAnsi="Georgia" w:eastAsia="Microsoft YaHei"/>
          <w:color w:val="263238"/>
          <w:sz w:val="22"/>
        </w:rPr>
        <w:t xml:space="preserve">25.3 Anti-diversion</w:t>
      </w:r>
    </w:p>
    <w:p>
      <w:pPr>
        <w:pStyle w:val="Normal"/>
      </w:pPr>
      <w:r>
        <w:rPr>
          <w:rFonts w:ascii="Georgia" w:hAnsi="Georgia" w:eastAsia="Microsoft YaHei"/>
          <w:color w:val="263238"/>
          <w:sz w:val="22"/>
        </w:rPr>
        <w:t xml:space="preserve">Fund resources serve the corridor system and nothing else. Diversion of Fund resources to any other purpose, by any participant, reads as a Tier 2 event under Article 33 with automatic referral to the Guarantor and Facilitation Panel, and the diverted amount restores before any earn-back begins.</w:t>
      </w:r>
    </w:p>
    <w:p>
      <w:pPr>
        <w:pStyle w:val="Heading3"/>
      </w:pPr>
      <w:r>
        <w:rPr>
          <w:rFonts w:ascii="Georgia" w:hAnsi="Georgia" w:eastAsia="Microsoft YaHei"/>
          <w:color w:val="263238"/>
          <w:sz w:val="22"/>
        </w:rPr>
        <w:t xml:space="preserve">25.4 The overhead cap</w:t>
      </w:r>
    </w:p>
    <w:p>
      <w:pPr>
        <w:pStyle w:val="Normal"/>
      </w:pPr>
      <w:r>
        <w:rPr>
          <w:rFonts w:ascii="Georgia" w:hAnsi="Georgia" w:eastAsia="Microsoft YaHei"/>
          <w:color w:val="263238"/>
          <w:sz w:val="22"/>
        </w:rPr>
        <w:t xml:space="preserve">Administrative overhead of the entire system, Fund administration, Secretariat, and audit costs combined, stays at or below twelve percent of annual service revenue. The audit measures the ratio and publishes it. A breach of the cap triggers a mandatory redesign review under the complexity audit of Article 4.</w:t>
      </w:r>
    </w:p>
    <w:p>
      <w:pPr>
        <w:pStyle w:val="Heading2"/>
      </w:pPr>
      <w:bookmarkStart w:id="134" w:name="_Toc263100034"/>
      <w:r>
        <w:rPr>
          <w:rFonts w:ascii="Georgia" w:hAnsi="Georgia" w:eastAsia="Microsoft YaHei"/>
          <w:color w:val="263238"/>
          <w:sz w:val="22"/>
        </w:rPr>
        <w:t xml:space="preserve">Article 26: The Assurance Registry and Insurance Normalization</w:t>
      </w:r>
      <w:bookmarkEnd w:id="134"/>
    </w:p>
    <w:p>
      <w:pPr>
        <w:pStyle w:val="Heading3"/>
      </w:pPr>
      <w:r>
        <w:rPr>
          <w:rFonts w:ascii="Georgia" w:hAnsi="Georgia" w:eastAsia="Microsoft YaHei"/>
          <w:color w:val="263238"/>
          <w:sz w:val="22"/>
        </w:rPr>
        <w:t xml:space="preserve">26.1 The Assurance Registry</w:t>
      </w:r>
    </w:p>
    <w:p>
      <w:pPr>
        <w:pStyle w:val="Normal"/>
      </w:pPr>
      <w:r>
        <w:rPr>
          <w:rFonts w:ascii="Georgia" w:hAnsi="Georgia" w:eastAsia="Microsoft YaHei"/>
          <w:color w:val="263238"/>
          <w:sz w:val="22"/>
        </w:rPr>
        <w:t xml:space="preserve">The Operations Center maintains the Assurance Registry: the live public record of corridor certifications, survey evidence, incident statistics, delivery states, and audit outcomes. The Registry exists for one audience above all: the insurance market. It answers the underwriter's questions with data, on a continuous feed, so that risk pricing tracks the measured reality of the strait rather than the memory of its worst month.</w:t>
      </w:r>
    </w:p>
    <w:p>
      <w:pPr>
        <w:pStyle w:val="Heading3"/>
      </w:pPr>
      <w:r>
        <w:rPr>
          <w:rFonts w:ascii="Georgia" w:hAnsi="Georgia" w:eastAsia="Microsoft YaHei"/>
          <w:color w:val="263238"/>
          <w:sz w:val="22"/>
        </w:rPr>
        <w:t xml:space="preserve">26.2 The Route Assurance Data Service</w:t>
      </w:r>
    </w:p>
    <w:p>
      <w:pPr>
        <w:pStyle w:val="Normal"/>
      </w:pPr>
      <w:r>
        <w:rPr>
          <w:rFonts w:ascii="Georgia" w:hAnsi="Georgia" w:eastAsia="Microsoft YaHei"/>
          <w:color w:val="263238"/>
          <w:sz w:val="22"/>
        </w:rPr>
        <w:t xml:space="preserve">The Route Assurance Data Service distributes the Registry's data: a machine-readable feed of corridor status, hazard notices, Flow State, delivery states, and incident statistics, plus the one-page routing cards and the Open Water Bulletin. Subscription costs nothing. The service publishes uptime as a metric, and its data carries the same chain-of-custody protection as the Shared Registry.</w:t>
      </w:r>
    </w:p>
    <w:p>
      <w:pPr>
        <w:pStyle w:val="Heading3"/>
      </w:pPr>
      <w:r>
        <w:rPr>
          <w:rFonts w:ascii="Georgia" w:hAnsi="Georgia" w:eastAsia="Microsoft YaHei"/>
          <w:color w:val="263238"/>
          <w:sz w:val="22"/>
        </w:rPr>
        <w:t xml:space="preserve">26.3 Premium normalization</w:t>
      </w:r>
    </w:p>
    <w:p>
      <w:pPr>
        <w:pStyle w:val="Normal"/>
      </w:pPr>
      <w:r>
        <w:rPr>
          <w:rFonts w:ascii="Georgia" w:hAnsi="Georgia" w:eastAsia="Microsoft YaHei"/>
          <w:color w:val="263238"/>
          <w:sz w:val="22"/>
        </w:rPr>
        <w:t xml:space="preserve">The Accord tracks war-risk and transit premiums as a stability metric. Annex H defines the premium normalization index: the ratio of prevailing quoted premiums for a standard laden transit to the pre-conflict baseline. The Stability Audit reads the index quarterly. The target path: below three times baseline at full activation, below two times baseline within twelve months, and sustained approach to baseline thereafter. The index is a measurement, not a lever; the levers are the certifications, the survey record, and the incident rate.</w:t>
      </w:r>
    </w:p>
    <w:p>
      <w:pPr>
        <w:pStyle w:val="Heading3"/>
      </w:pPr>
      <w:r>
        <w:rPr>
          <w:rFonts w:ascii="Georgia" w:hAnsi="Georgia" w:eastAsia="Microsoft YaHei"/>
          <w:color w:val="263238"/>
          <w:sz w:val="22"/>
        </w:rPr>
        <w:t xml:space="preserve">26.4 The Seal of Transit Assurance</w:t>
      </w:r>
    </w:p>
    <w:p>
      <w:pPr>
        <w:pStyle w:val="Normal"/>
      </w:pPr>
      <w:r>
        <w:rPr>
          <w:rFonts w:ascii="Georgia" w:hAnsi="Georgia" w:eastAsia="Microsoft YaHei"/>
          <w:color w:val="263238"/>
          <w:sz w:val="22"/>
        </w:rPr>
        <w:t xml:space="preserve">A vessel that completes a conforming transit receives a Seal of Transit Assurance: a timestamped, registry-anchored certificate of the transit, its corridor, its delivered services, and the system's state during passage. Owners present the Seal to underwriters, charterers, and port states as evidence of governed transit. The Seal costs nothing beyond the service bundle and issues automatically.</w:t>
      </w:r>
    </w:p>
    <w:p>
      <w:pPr>
        <w:pStyle w:val="Heading3"/>
      </w:pPr>
      <w:r>
        <w:rPr>
          <w:rFonts w:ascii="Georgia" w:hAnsi="Georgia" w:eastAsia="Microsoft YaHei"/>
          <w:color w:val="263238"/>
          <w:sz w:val="22"/>
        </w:rPr>
        <w:t xml:space="preserve">26.5 The Port State Benefit-Sharing Arrangement</w:t>
      </w:r>
    </w:p>
    <w:p>
      <w:pPr>
        <w:pStyle w:val="Normal"/>
      </w:pPr>
      <w:r>
        <w:rPr>
          <w:rFonts w:ascii="Georgia" w:hAnsi="Georgia" w:eastAsia="Microsoft YaHei"/>
          <w:color w:val="263238"/>
          <w:sz w:val="22"/>
        </w:rPr>
        <w:t xml:space="preserve">Regional port states, including the United Arab Emirates, Saudi Arabia, Qatar, Kuwait, Bahrain, and Iraq, enter the Benefit-Sharing Arrangement voluntarily. A participating port state contributes an annual amount to the Fund scaled to the strait transit volume of traffic from its ports, and in exchange receives Tier Three data access, priority consideration in environmental and SAR investment planning, and a seat on the Port State Advisory Committee to the Council. The Arrangement harmonizes with the GCC contribution schedule of Annex D and remains entirely voluntary: passage stays free for all, and those who benefit most deepen the constituency that keeps the system funded.</w:t>
      </w:r>
    </w:p>
    <w:p>
      <w:r>
        <w:br w:type="page"/>
      </w:r>
    </w:p>
    <w:p>
      <w:pPr>
        <w:pStyle w:val="Heading1"/>
      </w:pPr>
      <w:bookmarkStart w:id="135" w:name="_Toc263100035"/>
      <w:r>
        <w:rPr>
          <w:rFonts w:ascii="Georgia" w:hAnsi="Georgia" w:eastAsia="Microsoft YaHei"/>
          <w:color w:val="263238"/>
          <w:sz w:val="22"/>
        </w:rPr>
        <w:t xml:space="preserve">Part V: Verification, Deconfliction, and Incident Management</w:t>
      </w:r>
      <w:bookmarkEnd w:id="135"/>
    </w:p>
    <w:p>
      <w:pPr>
        <w:pStyle w:val="Heading2"/>
      </w:pPr>
      <w:bookmarkStart w:id="136" w:name="_Toc263100036"/>
      <w:r>
        <w:rPr>
          <w:rFonts w:ascii="Georgia" w:hAnsi="Georgia" w:eastAsia="Microsoft YaHei"/>
          <w:color w:val="263238"/>
          <w:sz w:val="22"/>
        </w:rPr>
        <w:t xml:space="preserve">Article 27: Verification Architecture: The Human Anchor Method</w:t>
      </w:r>
      <w:bookmarkEnd w:id="136"/>
    </w:p>
    <w:p>
      <w:pPr>
        <w:pStyle w:val="Heading3"/>
      </w:pPr>
      <w:r>
        <w:rPr>
          <w:rFonts w:ascii="Georgia" w:hAnsi="Georgia" w:eastAsia="Microsoft YaHei"/>
          <w:color w:val="263238"/>
          <w:sz w:val="22"/>
        </w:rPr>
        <w:t xml:space="preserve">27.1 People over telemetry</w:t>
      </w:r>
    </w:p>
    <w:p>
      <w:pPr>
        <w:pStyle w:val="Normal"/>
      </w:pPr>
      <w:r>
        <w:rPr>
          <w:rFonts w:ascii="Georgia" w:hAnsi="Georgia" w:eastAsia="Microsoft YaHei"/>
          <w:color w:val="263238"/>
          <w:sz w:val="22"/>
        </w:rPr>
        <w:t xml:space="preserve">The verification architecture trusts instruments widely and confirms with people decisively. Sensors feed the picture continuously; accredited humans certify the facts that carry consequences. Every compliance-relevant determination under the Accord traces to a named, accredited human certifier acting on documented evidence. Automation flags; people decide.</w:t>
      </w:r>
    </w:p>
    <w:p>
      <w:pPr>
        <w:pStyle w:val="Heading3"/>
      </w:pPr>
      <w:r>
        <w:rPr>
          <w:rFonts w:ascii="Georgia" w:hAnsi="Georgia" w:eastAsia="Microsoft YaHei"/>
          <w:color w:val="263238"/>
          <w:sz w:val="22"/>
        </w:rPr>
        <w:t xml:space="preserve">27.2 The Convergence Standard</w:t>
      </w:r>
    </w:p>
    <w:p>
      <w:pPr>
        <w:pStyle w:val="Normal"/>
      </w:pPr>
      <w:r>
        <w:rPr>
          <w:rFonts w:ascii="Georgia" w:hAnsi="Georgia" w:eastAsia="Microsoft YaHei"/>
          <w:color w:val="263238"/>
          <w:sz w:val="22"/>
        </w:rPr>
        <w:t xml:space="preserve">A fact meets the Convergence Standard when three independent layers agree: the fused radar and AIS picture, the watch-floor human log, and the Neutral Watch Office observation. Facts meeting the standard certify for use in audits, determinations, and the Stability Audit. Facts failing the standard carry a divergence flag, and the Technical Truth Escalation Chain of Annex B resolves them within five days.</w:t>
      </w:r>
    </w:p>
    <w:p>
      <w:pPr>
        <w:pStyle w:val="Heading3"/>
      </w:pPr>
      <w:r>
        <w:rPr>
          <w:rFonts w:ascii="Georgia" w:hAnsi="Georgia" w:eastAsia="Microsoft YaHei"/>
          <w:color w:val="263238"/>
          <w:sz w:val="22"/>
        </w:rPr>
        <w:t xml:space="preserve">27.3 The fused picture</w:t>
      </w:r>
    </w:p>
    <w:p>
      <w:pPr>
        <w:pStyle w:val="Normal"/>
      </w:pPr>
      <w:r>
        <w:rPr>
          <w:rFonts w:ascii="Georgia" w:hAnsi="Georgia" w:eastAsia="Microsoft YaHei"/>
          <w:color w:val="263238"/>
          <w:sz w:val="22"/>
        </w:rPr>
        <w:t xml:space="preserve">Both Coastal State Parties contribute radar and AIS feeds to the fused picture continuously. Fusion executes at the Operations Center with replication to the Mirror Facility in real time. Data transmission to all entitled recipients runs with identical latency: no Party, observer, or Stakeholder receives the picture earlier than another. The latency differential metric of Annex B audits the symmetry monthly against a thirty-second ceiling.</w:t>
      </w:r>
    </w:p>
    <w:p>
      <w:pPr>
        <w:pStyle w:val="Heading3"/>
      </w:pPr>
      <w:r>
        <w:rPr>
          <w:rFonts w:ascii="Georgia" w:hAnsi="Georgia" w:eastAsia="Microsoft YaHei"/>
          <w:color w:val="263238"/>
          <w:sz w:val="22"/>
        </w:rPr>
        <w:t xml:space="preserve">27.4 Embarked observers</w:t>
      </w:r>
    </w:p>
    <w:p>
      <w:pPr>
        <w:pStyle w:val="Normal"/>
      </w:pPr>
      <w:r>
        <w:rPr>
          <w:rFonts w:ascii="Georgia" w:hAnsi="Georgia" w:eastAsia="Microsoft YaHei"/>
          <w:color w:val="263238"/>
          <w:sz w:val="22"/>
        </w:rPr>
        <w:t xml:space="preserve">Neutral Watch Office observers embark on joint patrol vessels on a published rotation, witnessing corridor conditions at first hand. Embarkation reports feed the Shared Registry and the Assurance Registry. Embarked observation is witnessing, not inspection: observers record what they see, and the record speaks for itself.</w:t>
      </w:r>
    </w:p>
    <w:p>
      <w:pPr>
        <w:pStyle w:val="Heading3"/>
      </w:pPr>
      <w:r>
        <w:rPr>
          <w:rFonts w:ascii="Georgia" w:hAnsi="Georgia" w:eastAsia="Microsoft YaHei"/>
          <w:color w:val="263238"/>
          <w:sz w:val="22"/>
        </w:rPr>
        <w:t xml:space="preserve">27.5 Data sovereignty and the two-key access rule</w:t>
      </w:r>
    </w:p>
    <w:p>
      <w:pPr>
        <w:pStyle w:val="Normal"/>
      </w:pPr>
      <w:r>
        <w:rPr>
          <w:rFonts w:ascii="Georgia" w:hAnsi="Georgia" w:eastAsia="Microsoft YaHei"/>
          <w:color w:val="263238"/>
          <w:sz w:val="22"/>
        </w:rPr>
        <w:t xml:space="preserve">Each Coastal State retains custody of the raw feeds it contributes. The fused record opens only on both keys together, plus the Neutral Watch Office as witness. Observer and Stakeholder access runs through the published tiers of Annex B, which deliver the fused picture and every derived product while leaving national raw custody intact. Data serves verification exclusively; no political meaning attaches to its collection or sharing, and no participation in data exchange constitutes recognition of any legal position.</w:t>
      </w:r>
    </w:p>
    <w:p>
      <w:pPr>
        <w:pStyle w:val="Heading3"/>
      </w:pPr>
      <w:r>
        <w:rPr>
          <w:rFonts w:ascii="Georgia" w:hAnsi="Georgia" w:eastAsia="Microsoft YaHei"/>
          <w:color w:val="263238"/>
          <w:sz w:val="22"/>
        </w:rPr>
        <w:t xml:space="preserve">27.6 Degraded-mode operation</w:t>
      </w:r>
    </w:p>
    <w:p>
      <w:pPr>
        <w:pStyle w:val="Normal"/>
      </w:pPr>
      <w:r>
        <w:rPr>
          <w:rFonts w:ascii="Georgia" w:hAnsi="Georgia" w:eastAsia="Microsoft YaHei"/>
          <w:color w:val="263238"/>
          <w:sz w:val="22"/>
        </w:rPr>
        <w:t xml:space="preserve">The system designs for failure. A lost feed switches to the surviving feeds with automatic divergence flagging. A lost site shifts full capability to the surviving site within one hour. A lost fusion capability reverts to parallel national pictures with the Neutral Watch Office reconciling manually. Degraded mode never suspends corridor operations; it narrows confidence gracefully and publishes its own state on the Bulletin.</w:t>
      </w:r>
    </w:p>
    <w:p>
      <w:pPr>
        <w:pStyle w:val="Heading3"/>
      </w:pPr>
      <w:r>
        <w:rPr>
          <w:rFonts w:ascii="Georgia" w:hAnsi="Georgia" w:eastAsia="Microsoft YaHei"/>
          <w:color w:val="263238"/>
          <w:sz w:val="22"/>
        </w:rPr>
        <w:t xml:space="preserve">27.7 The 48-hour telemetry rule</w:t>
      </w:r>
    </w:p>
    <w:p>
      <w:pPr>
        <w:pStyle w:val="Normal"/>
      </w:pPr>
      <w:r>
        <w:rPr>
          <w:rFonts w:ascii="Georgia" w:hAnsi="Georgia" w:eastAsia="Microsoft YaHei"/>
          <w:color w:val="263238"/>
          <w:sz w:val="22"/>
        </w:rPr>
        <w:t xml:space="preserve">One trigger in the Accord runs automatically without executive consultation: if corridor-relevant telemetry from a Coastal State desk stays unavailable for forty-eight consecutive hours, and the Technical and Standards Committee certifies that equipment failure or maintenance does not explain the gap, then that desk's service account distributions pause automatically. No human veto overrides the pause. Certification of restored, authentic telemetry lifts the pause immediately. The rule protects the whole system against silent degradation, and it stands as the sole automatic penalty in the architecture.</w:t>
      </w:r>
    </w:p>
    <w:p>
      <w:pPr>
        <w:pStyle w:val="Heading3"/>
      </w:pPr>
      <w:r>
        <w:rPr>
          <w:rFonts w:ascii="Georgia" w:hAnsi="Georgia" w:eastAsia="Microsoft YaHei"/>
          <w:color w:val="263238"/>
          <w:sz w:val="22"/>
        </w:rPr>
        <w:t xml:space="preserve">27.8 Corridor Compliance Certificates</w:t>
      </w:r>
    </w:p>
    <w:p>
      <w:pPr>
        <w:pStyle w:val="Normal"/>
      </w:pPr>
      <w:r>
        <w:rPr>
          <w:rFonts w:ascii="Georgia" w:hAnsi="Georgia" w:eastAsia="Microsoft YaHei"/>
          <w:color w:val="263238"/>
          <w:sz w:val="22"/>
        </w:rPr>
        <w:t xml:space="preserve">Each week, the Neutral Watch Office issues a Corridor Compliance Certificate per corridor: the certified statement of availability, adherence, incidents, and delivery states for the preceding seven days. The certificates accumulate into the Stability Audit and publish in the Assurance Registry. They give the market, the Council, and every participant a continuous certified pulse of the system.</w:t>
      </w:r>
    </w:p>
    <w:p>
      <w:pPr>
        <w:pStyle w:val="Heading2"/>
      </w:pPr>
      <w:bookmarkStart w:id="137" w:name="_Toc263100037"/>
      <w:r>
        <w:rPr>
          <w:rFonts w:ascii="Georgia" w:hAnsi="Georgia" w:eastAsia="Microsoft YaHei"/>
          <w:color w:val="263238"/>
          <w:sz w:val="22"/>
        </w:rPr>
        <w:t xml:space="preserve">Article 28: Naval Deconfliction and the Standoff Geometry</w:t>
      </w:r>
      <w:bookmarkEnd w:id="137"/>
    </w:p>
    <w:p>
      <w:pPr>
        <w:pStyle w:val="Heading3"/>
      </w:pPr>
      <w:r>
        <w:rPr>
          <w:rFonts w:ascii="Georgia" w:hAnsi="Georgia" w:eastAsia="Microsoft YaHei"/>
          <w:color w:val="263238"/>
          <w:sz w:val="22"/>
        </w:rPr>
        <w:t xml:space="preserve">28.1 Purpose</w:t>
      </w:r>
    </w:p>
    <w:p>
      <w:pPr>
        <w:pStyle w:val="Normal"/>
      </w:pPr>
      <w:r>
        <w:rPr>
          <w:rFonts w:ascii="Georgia" w:hAnsi="Georgia" w:eastAsia="Microsoft YaHei"/>
          <w:color w:val="263238"/>
          <w:sz w:val="22"/>
        </w:rPr>
        <w:t xml:space="preserve">The Accord separates commercial governance from military presence with a single instrument: predictable geometry plus a standing channel. Naval forces of any state remain free under international law; the Accord supplies the procedures that keep that freedom from colliding with itself or with commerce.</w:t>
      </w:r>
    </w:p>
    <w:p>
      <w:pPr>
        <w:pStyle w:val="Heading3"/>
      </w:pPr>
      <w:r>
        <w:rPr>
          <w:rFonts w:ascii="Georgia" w:hAnsi="Georgia" w:eastAsia="Microsoft YaHei"/>
          <w:color w:val="263238"/>
          <w:sz w:val="22"/>
        </w:rPr>
        <w:t xml:space="preserve">28.2 Standoff distances</w:t>
      </w:r>
    </w:p>
    <w:p>
      <w:pPr>
        <w:pStyle w:val="Normal"/>
      </w:pPr>
      <w:r>
        <w:rPr>
          <w:rFonts w:ascii="Georgia" w:hAnsi="Georgia" w:eastAsia="Microsoft YaHei"/>
          <w:color w:val="263238"/>
          <w:sz w:val="22"/>
        </w:rPr>
        <w:t xml:space="preserve">Naval units of states in an active bilateral dispute maintain a standoff of five nautical miles from one another inside the Governance Area, measured continuously on the deconfliction picture. Naval units maintain one nautical mile from commercial vessels in the corridors except during escort pooling under published rules. The buffer corridor serves as the routing preference for naval transits wherever the sea room allows. The standoff geometry is procedural, reciprocal, and identical for all; it constrains no party's rights and protects every party's forces.</w:t>
      </w:r>
    </w:p>
    <w:p>
      <w:pPr>
        <w:pStyle w:val="Heading3"/>
      </w:pPr>
      <w:r>
        <w:rPr>
          <w:rFonts w:ascii="Georgia" w:hAnsi="Georgia" w:eastAsia="Microsoft YaHei"/>
          <w:color w:val="263238"/>
          <w:sz w:val="22"/>
        </w:rPr>
        <w:t xml:space="preserve">28.3 Exercise notification and Quiet Water Windows</w:t>
      </w:r>
    </w:p>
    <w:p>
      <w:pPr>
        <w:pStyle w:val="Normal"/>
      </w:pPr>
      <w:r>
        <w:rPr>
          <w:rFonts w:ascii="Georgia" w:hAnsi="Georgia" w:eastAsia="Microsoft YaHei"/>
          <w:color w:val="263238"/>
          <w:sz w:val="22"/>
        </w:rPr>
        <w:t xml:space="preserve">A naval exercise inside the Governance Area files notification through the deconfliction channel seventy-two hours in advance: area, period, and serial type. The corridor system publishes Quiet Water Windows: recurring periods in which the Governance Area carries no live-fire activity at all, published ninety days ahead, so that commerce and calendar both know the rhythm of the water.</w:t>
      </w:r>
    </w:p>
    <w:p>
      <w:pPr>
        <w:pStyle w:val="Heading3"/>
      </w:pPr>
      <w:r>
        <w:rPr>
          <w:rFonts w:ascii="Georgia" w:hAnsi="Georgia" w:eastAsia="Microsoft YaHei"/>
          <w:color w:val="263238"/>
          <w:sz w:val="22"/>
        </w:rPr>
        <w:t xml:space="preserve">28.4 The military deconfliction channel</w:t>
      </w:r>
    </w:p>
    <w:p>
      <w:pPr>
        <w:pStyle w:val="Normal"/>
      </w:pPr>
      <w:r>
        <w:rPr>
          <w:rFonts w:ascii="Georgia" w:hAnsi="Georgia" w:eastAsia="Microsoft YaHei"/>
          <w:color w:val="263238"/>
          <w:sz w:val="22"/>
        </w:rPr>
        <w:t xml:space="preserve">A standing military deconfliction channel links the designated naval authorities of the Coastal State Parties, the United States, and any Endorsing Stakeholder operating forces in the area, with the Neutral Watch Office listening as witness. The channel runs continuously, tests daily at 06:00 UTC, and operates on plain-language protocols published in Annex L. A failed daily test reads as a Tier 1 technical event. The channel handles: standoff geometry management, exercise notifications, incident prevention, and the immediate communications of any Mishap Protocol activation.</w:t>
      </w:r>
    </w:p>
    <w:p>
      <w:pPr>
        <w:pStyle w:val="Heading3"/>
      </w:pPr>
      <w:r>
        <w:rPr>
          <w:rFonts w:ascii="Georgia" w:hAnsi="Georgia" w:eastAsia="Microsoft YaHei"/>
          <w:color w:val="263238"/>
          <w:sz w:val="22"/>
        </w:rPr>
        <w:t xml:space="preserve">28.5 The hotline hierarchy</w:t>
      </w:r>
    </w:p>
    <w:p>
      <w:pPr>
        <w:pStyle w:val="Normal"/>
      </w:pPr>
      <w:r>
        <w:rPr>
          <w:rFonts w:ascii="Georgia" w:hAnsi="Georgia" w:eastAsia="Microsoft YaHei"/>
          <w:color w:val="263238"/>
          <w:sz w:val="22"/>
        </w:rPr>
        <w:t xml:space="preserve">Three lines carry escalating traffic: the watch-floor operational line for traffic events; the deconfliction channel for naval events; and the executive line between capitals for events that outgrow both. The executive line activates within thirty minutes of a request, and the Facilitators hold standing dial-in rights as witnesses at the request of either side.</w:t>
      </w:r>
    </w:p>
    <w:p>
      <w:pPr>
        <w:pStyle w:val="Heading3"/>
      </w:pPr>
      <w:r>
        <w:rPr>
          <w:rFonts w:ascii="Georgia" w:hAnsi="Georgia" w:eastAsia="Microsoft YaHei"/>
          <w:color w:val="263238"/>
          <w:sz w:val="22"/>
        </w:rPr>
        <w:t xml:space="preserve">28.6 The Crisis Decompression Chamber</w:t>
      </w:r>
    </w:p>
    <w:p>
      <w:pPr>
        <w:pStyle w:val="Normal"/>
      </w:pPr>
      <w:r>
        <w:rPr>
          <w:rFonts w:ascii="Georgia" w:hAnsi="Georgia" w:eastAsia="Microsoft YaHei"/>
          <w:color w:val="263238"/>
          <w:sz w:val="22"/>
        </w:rPr>
        <w:t xml:space="preserve">A standing Crisis Decompression Chamber operates under Swiss facilitation in Muscat. A serious incident or a dispute under Article 36 convenes the ambassadors of the affected Coastal States, the United States, and any other affected Endorsing Stakeholder within twenty-four hours. The Chamber runs on non-attribution: it shares information, calibrates intentions, de-escalates public rhetoric, and prepares the ground for formal facilitation. No minutes record its conversations; a one-page atmosphere note goes to the Council. The Chamber fills the space between the hotline and the executive line, where most crises are actually won or lost.</w:t>
      </w:r>
    </w:p>
    <w:p>
      <w:pPr>
        <w:pStyle w:val="Heading2"/>
      </w:pPr>
      <w:bookmarkStart w:id="138" w:name="_Toc263100038"/>
      <w:r>
        <w:rPr>
          <w:rFonts w:ascii="Georgia" w:hAnsi="Georgia" w:eastAsia="Microsoft YaHei"/>
          <w:color w:val="263238"/>
          <w:sz w:val="22"/>
        </w:rPr>
        <w:t xml:space="preserve">Article 29: Military Transit Protocol</w:t>
      </w:r>
      <w:bookmarkEnd w:id="138"/>
    </w:p>
    <w:p>
      <w:pPr>
        <w:pStyle w:val="Heading3"/>
      </w:pPr>
      <w:r>
        <w:rPr>
          <w:rFonts w:ascii="Georgia" w:hAnsi="Georgia" w:eastAsia="Microsoft YaHei"/>
          <w:color w:val="263238"/>
          <w:sz w:val="22"/>
        </w:rPr>
        <w:t xml:space="preserve">29.1 Transit preserved</w:t>
      </w:r>
    </w:p>
    <w:p>
      <w:pPr>
        <w:pStyle w:val="Normal"/>
      </w:pPr>
      <w:r>
        <w:rPr>
          <w:rFonts w:ascii="Georgia" w:hAnsi="Georgia" w:eastAsia="Microsoft YaHei"/>
          <w:color w:val="263238"/>
          <w:sz w:val="22"/>
        </w:rPr>
        <w:t xml:space="preserve">Military vessels and aircraft transit the Strait of Hormuz under international law without hindrance, charge, or permission. The Accord adds procedure, not permission: a notification-lite regime that keeps military transit and commercial governance from surprising each other.</w:t>
      </w:r>
    </w:p>
    <w:p>
      <w:pPr>
        <w:pStyle w:val="Heading3"/>
      </w:pPr>
      <w:r>
        <w:rPr>
          <w:rFonts w:ascii="Georgia" w:hAnsi="Georgia" w:eastAsia="Microsoft YaHei"/>
          <w:color w:val="263238"/>
          <w:sz w:val="22"/>
        </w:rPr>
        <w:t xml:space="preserve">29.2 Notification-lite</w:t>
      </w:r>
    </w:p>
    <w:p>
      <w:pPr>
        <w:pStyle w:val="Normal"/>
      </w:pPr>
      <w:r>
        <w:rPr>
          <w:rFonts w:ascii="Georgia" w:hAnsi="Georgia" w:eastAsia="Microsoft YaHei"/>
          <w:color w:val="263238"/>
          <w:sz w:val="22"/>
        </w:rPr>
        <w:t xml:space="preserve">A transiting naval formation files a movement notice to the deconfliction channel on entry to the Governance Area: number of units, direction, and intended corridor or routing. The notice takes one minute, travels one channel, and generates no approval loop. The watch floor acknowledges automatically. No notice ever delays a transit; the system runs on awareness, not consent.</w:t>
      </w:r>
    </w:p>
    <w:p>
      <w:pPr>
        <w:pStyle w:val="Heading3"/>
      </w:pPr>
      <w:r>
        <w:rPr>
          <w:rFonts w:ascii="Georgia" w:hAnsi="Georgia" w:eastAsia="Microsoft YaHei"/>
          <w:color w:val="263238"/>
          <w:sz w:val="22"/>
        </w:rPr>
        <w:t xml:space="preserve">29.3 Routing preference</w:t>
      </w:r>
    </w:p>
    <w:p>
      <w:pPr>
        <w:pStyle w:val="Normal"/>
      </w:pPr>
      <w:r>
        <w:rPr>
          <w:rFonts w:ascii="Georgia" w:hAnsi="Georgia" w:eastAsia="Microsoft YaHei"/>
          <w:color w:val="263238"/>
          <w:sz w:val="22"/>
        </w:rPr>
        <w:t xml:space="preserve">Naval transits route preferentially through the buffer corridor margins or the published naval routing of Annex A, keeping the commercial corridors clear for commerce. Escort pooling operations follow the published escort geometry of Annex C.</w:t>
      </w:r>
    </w:p>
    <w:p>
      <w:pPr>
        <w:pStyle w:val="Heading3"/>
      </w:pPr>
      <w:r>
        <w:rPr>
          <w:rFonts w:ascii="Georgia" w:hAnsi="Georgia" w:eastAsia="Microsoft YaHei"/>
          <w:color w:val="263238"/>
          <w:sz w:val="22"/>
        </w:rPr>
        <w:t xml:space="preserve">29.4 Exclusion of force in governance</w:t>
      </w:r>
    </w:p>
    <w:p>
      <w:pPr>
        <w:pStyle w:val="Normal"/>
      </w:pPr>
      <w:r>
        <w:rPr>
          <w:rFonts w:ascii="Georgia" w:hAnsi="Georgia" w:eastAsia="Microsoft YaHei"/>
          <w:color w:val="263238"/>
          <w:sz w:val="22"/>
        </w:rPr>
        <w:t xml:space="preserve">The framework architecture excludes the use of force from every governance function of the Accord. No organ of the Accord directs, requests, or executes kinetic action of any kind. Military judgment remains with national command authorities under their own law, and Article 37 seals the separation absolutely.</w:t>
      </w:r>
    </w:p>
    <w:p>
      <w:pPr>
        <w:pStyle w:val="Heading2"/>
      </w:pPr>
      <w:bookmarkStart w:id="139" w:name="_Toc263100039"/>
      <w:r>
        <w:rPr>
          <w:rFonts w:ascii="Georgia" w:hAnsi="Georgia" w:eastAsia="Microsoft YaHei"/>
          <w:color w:val="263238"/>
          <w:sz w:val="22"/>
        </w:rPr>
        <w:t xml:space="preserve">Article 30: Incidents, Proxy Attacks, and Recovery</w:t>
      </w:r>
      <w:bookmarkEnd w:id="139"/>
    </w:p>
    <w:p>
      <w:pPr>
        <w:pStyle w:val="Heading3"/>
      </w:pPr>
      <w:r>
        <w:rPr>
          <w:rFonts w:ascii="Georgia" w:hAnsi="Georgia" w:eastAsia="Microsoft YaHei"/>
          <w:color w:val="263238"/>
          <w:sz w:val="22"/>
        </w:rPr>
        <w:t xml:space="preserve">30.1 The Mishap Protocol</w:t>
      </w:r>
    </w:p>
    <w:p>
      <w:pPr>
        <w:pStyle w:val="Normal"/>
      </w:pPr>
      <w:r>
        <w:rPr>
          <w:rFonts w:ascii="Georgia" w:hAnsi="Georgia" w:eastAsia="Microsoft YaHei"/>
          <w:color w:val="263238"/>
          <w:sz w:val="22"/>
        </w:rPr>
        <w:t xml:space="preserve">Any collision, contact, near-miss with injury risk, or weapons release inside the Governance Area activates the Mishap Protocol automatically. Step one: the watch floor broadcasts a safety notice and opens the buffer corridor for diversion. Step two: both desks and the deconfliction channel exchange the fused picture of the event within fifteen minutes. Step three: search and rescue takes priority over every other activity under Annex G. Step four: the Neutral Watch Office convenes the joint factual record within twenty-four hours. Step five: the incident log publishes within forty-eight hours. The protocol is pre-agreed, pre-signed, and binding from signature; neither desk deviates from it without written mutual agreement.</w:t>
      </w:r>
    </w:p>
    <w:p>
      <w:pPr>
        <w:pStyle w:val="Heading3"/>
      </w:pPr>
      <w:r>
        <w:rPr>
          <w:rFonts w:ascii="Georgia" w:hAnsi="Georgia" w:eastAsia="Microsoft YaHei"/>
          <w:color w:val="263238"/>
          <w:sz w:val="22"/>
        </w:rPr>
        <w:t xml:space="preserve">30.2 The rogue-actor and proxy-attack pathway</w:t>
      </w:r>
    </w:p>
    <w:p>
      <w:pPr>
        <w:pStyle w:val="Normal"/>
      </w:pPr>
      <w:r>
        <w:rPr>
          <w:rFonts w:ascii="Georgia" w:hAnsi="Georgia" w:eastAsia="Microsoft YaHei"/>
          <w:color w:val="263238"/>
          <w:sz w:val="22"/>
        </w:rPr>
        <w:t xml:space="preserve">An attack by an unknown or non-state actor inside the Governance Area enters a protected pathway, not a blame loop, and the response runs on two tracks. Track One, Protective: within one hour, both desks and the Neutral Watch Office issue a joint security advisory stating the verified facts, the protective measures in force, and an initial threat assessment; this track concerns safety, never blame. Track Two, Forensic: the forty-eight-hour attribution deferral window opens before any compliance classification, and the joint factual record precedes any finding. During the window, the public silence rule binds every Party and Stakeholder acting in its Accord capacity: no public statement attributes the attack to another Party, and the Swiss Facilitator issues a Good Faith Bulletin at the twenty-four and forty-eight hour marks restating the presumption of good faith and the status of the investigation. A breach of the silence rule enters the compliance classification process of Article 33. Where attribution resolves to a Party, the compliance engine applies on the evidence; where it resolves to a third hand or remains unresolved, the architecture holds every Party harmless, the joint advisory updates with the finding, and rogue actors and false-flag operations stay explicitly outside the bilateral penalty structure. The pathway protects the relationship from the act of a third hand, and it protects the truth from the speed of the news cycle.</w:t>
      </w:r>
    </w:p>
    <w:p>
      <w:pPr>
        <w:pStyle w:val="Heading3"/>
      </w:pPr>
      <w:r>
        <w:rPr>
          <w:rFonts w:ascii="Georgia" w:hAnsi="Georgia" w:eastAsia="Microsoft YaHei"/>
          <w:color w:val="263238"/>
          <w:sz w:val="22"/>
        </w:rPr>
        <w:t xml:space="preserve">30.3 Interference events</w:t>
      </w:r>
    </w:p>
    <w:p>
      <w:pPr>
        <w:pStyle w:val="Normal"/>
      </w:pPr>
      <w:r>
        <w:rPr>
          <w:rFonts w:ascii="Georgia" w:hAnsi="Georgia" w:eastAsia="Microsoft YaHei"/>
          <w:color w:val="263238"/>
          <w:sz w:val="22"/>
        </w:rPr>
        <w:t xml:space="preserve">Harassment, unsafe approach, jamming, or spoofing of navigation systems inside the Governance Area logs as an interference event. The fused picture, the patrol logs, and the embarked observers together build the event record. Repeated interference events against the same corridor segment trigger automatic elevation to the Council with a Neutral Watch Office assessment, regardless of attribution.</w:t>
      </w:r>
    </w:p>
    <w:p>
      <w:pPr>
        <w:pStyle w:val="Heading3"/>
      </w:pPr>
      <w:r>
        <w:rPr>
          <w:rFonts w:ascii="Georgia" w:hAnsi="Georgia" w:eastAsia="Microsoft YaHei"/>
          <w:color w:val="263238"/>
          <w:sz w:val="22"/>
        </w:rPr>
        <w:t xml:space="preserve">30.4 Distress priority</w:t>
      </w:r>
    </w:p>
    <w:p>
      <w:pPr>
        <w:pStyle w:val="Normal"/>
      </w:pPr>
      <w:r>
        <w:rPr>
          <w:rFonts w:ascii="Georgia" w:hAnsi="Georgia" w:eastAsia="Microsoft YaHei"/>
          <w:color w:val="263238"/>
          <w:sz w:val="22"/>
        </w:rPr>
        <w:t xml:space="preserve">Distress outranks everything. A vessel in distress anywhere in the Governance Area receives immediate assistance under Annex G, at zero charge, without regard to class, flag, cargo, or the political weather. The distress priority binds every desk, patrol, escort, and naval unit in the channel, and it stands in every Flow State.</w:t>
      </w:r>
    </w:p>
    <w:p>
      <w:pPr>
        <w:pStyle w:val="Heading3"/>
      </w:pPr>
      <w:r>
        <w:rPr>
          <w:rFonts w:ascii="Georgia" w:hAnsi="Georgia" w:eastAsia="Microsoft YaHei"/>
          <w:color w:val="263238"/>
          <w:sz w:val="22"/>
        </w:rPr>
        <w:t xml:space="preserve">30.5 Crew protections</w:t>
      </w:r>
    </w:p>
    <w:p>
      <w:pPr>
        <w:pStyle w:val="Normal"/>
      </w:pPr>
      <w:r>
        <w:rPr>
          <w:rFonts w:ascii="Georgia" w:hAnsi="Georgia" w:eastAsia="Microsoft YaHei"/>
          <w:color w:val="263238"/>
          <w:sz w:val="22"/>
        </w:rPr>
        <w:t xml:space="preserve">Crews of vessels involved in any incident receive humane treatment, prompt communication with their consular or flag authorities, and medical care as needed. Detention of a crew member by any authority inside the Governance Area triggers automatic notification to the flag state and the Neutral Watch Office within twelve hours, with welfare verification within twenty-four.</w:t>
      </w:r>
    </w:p>
    <w:p>
      <w:pPr>
        <w:pStyle w:val="Heading2"/>
      </w:pPr>
      <w:bookmarkStart w:id="140" w:name="_Toc263100040"/>
      <w:r>
        <w:rPr>
          <w:rFonts w:ascii="Georgia" w:hAnsi="Georgia" w:eastAsia="Microsoft YaHei"/>
          <w:color w:val="263238"/>
          <w:sz w:val="22"/>
        </w:rPr>
        <w:t xml:space="preserve">Article 31: Search and Rescue Framework</w:t>
      </w:r>
      <w:bookmarkEnd w:id="140"/>
    </w:p>
    <w:p>
      <w:pPr>
        <w:pStyle w:val="Heading3"/>
      </w:pPr>
      <w:r>
        <w:rPr>
          <w:rFonts w:ascii="Georgia" w:hAnsi="Georgia" w:eastAsia="Microsoft YaHei"/>
          <w:color w:val="263238"/>
          <w:sz w:val="22"/>
        </w:rPr>
        <w:t xml:space="preserve">31.1 The joint SAR region</w:t>
      </w:r>
    </w:p>
    <w:p>
      <w:pPr>
        <w:pStyle w:val="Normal"/>
      </w:pPr>
      <w:r>
        <w:rPr>
          <w:rFonts w:ascii="Georgia" w:hAnsi="Georgia" w:eastAsia="Microsoft YaHei"/>
          <w:color w:val="263238"/>
          <w:sz w:val="22"/>
        </w:rPr>
        <w:t xml:space="preserve">The Parties operate the Governance Area as a joint search-and-rescue region under Annex G: shared rescue coordination, published asset postures, and co-lead authority between the two Coastal State desks with GCC participation. Rescue coordination executes from the watch floor, with the nearest capable asset responding first regardless of flag.</w:t>
      </w:r>
    </w:p>
    <w:p>
      <w:pPr>
        <w:pStyle w:val="Heading3"/>
      </w:pPr>
      <w:r>
        <w:rPr>
          <w:rFonts w:ascii="Georgia" w:hAnsi="Georgia" w:eastAsia="Microsoft YaHei"/>
          <w:color w:val="263238"/>
          <w:sz w:val="22"/>
        </w:rPr>
        <w:t xml:space="preserve">31.2 Readiness standard</w:t>
      </w:r>
    </w:p>
    <w:p>
      <w:pPr>
        <w:pStyle w:val="Normal"/>
      </w:pPr>
      <w:r>
        <w:rPr>
          <w:rFonts w:ascii="Georgia" w:hAnsi="Georgia" w:eastAsia="Microsoft YaHei"/>
          <w:color w:val="263238"/>
          <w:sz w:val="22"/>
        </w:rPr>
        <w:t xml:space="preserve">The SAR posture holds a published readiness standard: response launch within thirty minutes of distress confirmation, on-scene capability within ninety minutes inside the corridor system, and medical evacuation coordination with both coastal States' facilities. The Stability Audit measures the standard against drills and live events.</w:t>
      </w:r>
    </w:p>
    <w:p>
      <w:pPr>
        <w:pStyle w:val="Heading3"/>
      </w:pPr>
      <w:r>
        <w:rPr>
          <w:rFonts w:ascii="Georgia" w:hAnsi="Georgia" w:eastAsia="Microsoft YaHei"/>
          <w:color w:val="263238"/>
          <w:sz w:val="22"/>
        </w:rPr>
        <w:t xml:space="preserve">31.3 SAR funding</w:t>
      </w:r>
    </w:p>
    <w:p>
      <w:pPr>
        <w:pStyle w:val="Normal"/>
      </w:pPr>
      <w:r>
        <w:rPr>
          <w:rFonts w:ascii="Georgia" w:hAnsi="Georgia" w:eastAsia="Microsoft YaHei"/>
          <w:color w:val="263238"/>
          <w:sz w:val="22"/>
        </w:rPr>
        <w:t xml:space="preserve">SAR readiness draws from the humanitarian lock and the Fund's published SAR line, never from per-incident charges. Rescue is a duty of the architecture, not a billable event.</w:t>
      </w:r>
    </w:p>
    <w:p>
      <w:pPr>
        <w:pStyle w:val="Heading2"/>
      </w:pPr>
      <w:bookmarkStart w:id="141" w:name="_Toc263100041"/>
      <w:r>
        <w:rPr>
          <w:rFonts w:ascii="Georgia" w:hAnsi="Georgia" w:eastAsia="Microsoft YaHei"/>
          <w:color w:val="263238"/>
          <w:sz w:val="22"/>
        </w:rPr>
        <w:t xml:space="preserve">Article 32: Environmental Protection</w:t>
      </w:r>
      <w:bookmarkEnd w:id="141"/>
    </w:p>
    <w:p>
      <w:pPr>
        <w:pStyle w:val="Heading3"/>
      </w:pPr>
      <w:r>
        <w:rPr>
          <w:rFonts w:ascii="Georgia" w:hAnsi="Georgia" w:eastAsia="Microsoft YaHei"/>
          <w:color w:val="263238"/>
          <w:sz w:val="22"/>
        </w:rPr>
        <w:t xml:space="preserve">32.1 The environmental baseline</w:t>
      </w:r>
    </w:p>
    <w:p>
      <w:pPr>
        <w:pStyle w:val="Normal"/>
      </w:pPr>
      <w:r>
        <w:rPr>
          <w:rFonts w:ascii="Georgia" w:hAnsi="Georgia" w:eastAsia="Microsoft YaHei"/>
          <w:color w:val="263238"/>
          <w:sz w:val="22"/>
        </w:rPr>
        <w:t xml:space="preserve">The Accord opens with a joint environmental baseline survey of the Governance Area: water quality, sediment, key habitats, and background contamination, executed jointly and published in full. Every later measurement reads against the baseline, so that change has a yardstick and claims have a referee.</w:t>
      </w:r>
    </w:p>
    <w:p>
      <w:pPr>
        <w:pStyle w:val="Heading3"/>
      </w:pPr>
      <w:r>
        <w:rPr>
          <w:rFonts w:ascii="Georgia" w:hAnsi="Georgia" w:eastAsia="Microsoft YaHei"/>
          <w:color w:val="263238"/>
          <w:sz w:val="22"/>
        </w:rPr>
        <w:t xml:space="preserve">32.2 Continuous monitoring</w:t>
      </w:r>
    </w:p>
    <w:p>
      <w:pPr>
        <w:pStyle w:val="Normal"/>
      </w:pPr>
      <w:r>
        <w:rPr>
          <w:rFonts w:ascii="Georgia" w:hAnsi="Georgia" w:eastAsia="Microsoft YaHei"/>
          <w:color w:val="263238"/>
          <w:sz w:val="22"/>
        </w:rPr>
        <w:t xml:space="preserve">The environmental program runs continuous monitoring at the published station grid of Annex F: water quality sensors, acoustic monitoring, and satellite surveillance of discharges. Iran performs monitoring functions along the inbound corridor; Oman performs them along the outbound corridor; the buffer corridor monitors jointly; and the Neutral Watch Office certifies the data. The monitoring feed publishes through the Route Assurance Data Service.</w:t>
      </w:r>
    </w:p>
    <w:p>
      <w:pPr>
        <w:pStyle w:val="Heading3"/>
      </w:pPr>
      <w:r>
        <w:rPr>
          <w:rFonts w:ascii="Georgia" w:hAnsi="Georgia" w:eastAsia="Microsoft YaHei"/>
          <w:color w:val="263238"/>
          <w:sz w:val="22"/>
        </w:rPr>
        <w:t xml:space="preserve">32.3 Spill response</w:t>
      </w:r>
    </w:p>
    <w:p>
      <w:pPr>
        <w:pStyle w:val="Normal"/>
      </w:pPr>
      <w:r>
        <w:rPr>
          <w:rFonts w:ascii="Georgia" w:hAnsi="Georgia" w:eastAsia="Microsoft YaHei"/>
          <w:color w:val="263238"/>
          <w:sz w:val="22"/>
        </w:rPr>
        <w:t xml:space="preserve">The joint spill response plan of Annex F pre-positions equipment at both shores, drills quarterly, and responds on the nearest-capable-asset rule. Spill response draws from the Fund's environmental line at cost, never from charges on the casualty beyond the published recovery schedule of Annex D.</w:t>
      </w:r>
    </w:p>
    <w:p>
      <w:pPr>
        <w:pStyle w:val="Heading3"/>
      </w:pPr>
      <w:r>
        <w:rPr>
          <w:rFonts w:ascii="Georgia" w:hAnsi="Georgia" w:eastAsia="Microsoft YaHei"/>
          <w:color w:val="263238"/>
          <w:sz w:val="22"/>
        </w:rPr>
        <w:t xml:space="preserve">32.4 Environmental audits</w:t>
      </w:r>
    </w:p>
    <w:p>
      <w:pPr>
        <w:pStyle w:val="Normal"/>
      </w:pPr>
      <w:r>
        <w:rPr>
          <w:rFonts w:ascii="Georgia" w:hAnsi="Georgia" w:eastAsia="Microsoft YaHei"/>
          <w:color w:val="263238"/>
          <w:sz w:val="22"/>
        </w:rPr>
        <w:t xml:space="preserve">Third-party environmental audits run annually under the appointment of the Swiss Facilitator, with European maritime safety observers invited as technical witnesses. The audit publishes in full. Environmental performance feeds the Stability Audit and the openness declaration of Article 13.</w:t>
      </w:r>
    </w:p>
    <w:p>
      <w:pPr>
        <w:pStyle w:val="Heading3"/>
      </w:pPr>
      <w:r>
        <w:rPr>
          <w:rFonts w:ascii="Georgia" w:hAnsi="Georgia" w:eastAsia="Microsoft YaHei"/>
          <w:color w:val="263238"/>
          <w:sz w:val="22"/>
        </w:rPr>
        <w:t xml:space="preserve">32.5 The discharge protocol</w:t>
      </w:r>
    </w:p>
    <w:p>
      <w:pPr>
        <w:pStyle w:val="Normal"/>
      </w:pPr>
      <w:r>
        <w:rPr>
          <w:rFonts w:ascii="Georgia" w:hAnsi="Georgia" w:eastAsia="Microsoft YaHei"/>
          <w:color w:val="263238"/>
          <w:sz w:val="22"/>
        </w:rPr>
        <w:t xml:space="preserve">Vessel discharges inside the Governance Area follow the strictest applicable international standard. The corridor system verifies compliance through the monitoring grid and boarding records, and violations route to flag-state and port-state channels with the full evidence pack attached. The Accord adds teeth to existing law; it invents no new liability regime.</w:t>
      </w:r>
    </w:p>
    <w:p>
      <w:pPr>
        <w:pStyle w:val="Heading3"/>
      </w:pPr>
      <w:r>
        <w:rPr>
          <w:rFonts w:ascii="Georgia" w:hAnsi="Georgia" w:eastAsia="Microsoft YaHei"/>
          <w:color w:val="263238"/>
          <w:sz w:val="22"/>
        </w:rPr>
        <w:t xml:space="preserve">32.6 The Climate Adaptation Fund</w:t>
      </w:r>
    </w:p>
    <w:p>
      <w:pPr>
        <w:pStyle w:val="Normal"/>
      </w:pPr>
      <w:r>
        <w:rPr>
          <w:rFonts w:ascii="Georgia" w:hAnsi="Georgia" w:eastAsia="Microsoft YaHei"/>
          <w:color w:val="263238"/>
          <w:sz w:val="22"/>
        </w:rPr>
        <w:t xml:space="preserve">A Climate Adaptation Fund operates as a dedicated line inside the Transit Services Fund, capitalized by an annual allocation from any audited surplus. It finances research into climate impacts on the strait, adaptation of navigation channels and shore infrastructure, and early warning for climate-driven weather. The Swiss Facilitator administers it with advice from the European maritime safety observer and the IMO. The line invests across decades; it is the Accord's answer to the slow emergency.</w:t>
      </w:r>
    </w:p>
    <w:p>
      <w:pPr>
        <w:pStyle w:val="Heading3"/>
      </w:pPr>
      <w:r>
        <w:rPr>
          <w:rFonts w:ascii="Georgia" w:hAnsi="Georgia" w:eastAsia="Microsoft YaHei"/>
          <w:color w:val="263238"/>
          <w:sz w:val="22"/>
        </w:rPr>
        <w:t xml:space="preserve">32.7 Blue Carbon Credits</w:t>
      </w:r>
    </w:p>
    <w:p>
      <w:pPr>
        <w:pStyle w:val="Normal"/>
      </w:pPr>
      <w:r>
        <w:rPr>
          <w:rFonts w:ascii="Georgia" w:hAnsi="Georgia" w:eastAsia="Microsoft YaHei"/>
          <w:color w:val="263238"/>
          <w:sz w:val="22"/>
        </w:rPr>
        <w:t xml:space="preserve">Vessels adopting low-emission measures within the corridor system, including optimized speed profiles, verified fuel-saving technologies, and shore-side power where available, earn Blue Carbon Credits issued by the Technical and Standards Committee and registered in the Assurance Registry. Credits offset up to ten percent of a vessel's standard service bundle. The program runs voluntary, published, and audit-verified: it aligns commercial interest with the strait's ecology at no compliance cost to anyone.</w:t>
      </w:r>
    </w:p>
    <w:p>
      <w:pPr>
        <w:pStyle w:val="Heading3"/>
      </w:pPr>
      <w:r>
        <w:rPr>
          <w:rFonts w:ascii="Georgia" w:hAnsi="Georgia" w:eastAsia="Microsoft YaHei"/>
          <w:color w:val="263238"/>
          <w:sz w:val="22"/>
        </w:rPr>
        <w:t xml:space="preserve">32.8 The Environmental Ombudsman</w:t>
      </w:r>
    </w:p>
    <w:p>
      <w:pPr>
        <w:pStyle w:val="Normal"/>
      </w:pPr>
      <w:r>
        <w:rPr>
          <w:rFonts w:ascii="Georgia" w:hAnsi="Georgia" w:eastAsia="Microsoft YaHei"/>
          <w:color w:val="263238"/>
          <w:sz w:val="22"/>
        </w:rPr>
        <w:t xml:space="preserve">The Swiss Facilitator appoints an Environmental Ombudsman for a three-year term. The Ombudsman receives confidential reports of environmental violations or unsafe practices in the Governance Area from any person, investigates with access to the monitoring grid and inspection records, and issues public findings. A whistleblower whose report substantiates receives full retaliation protection and eligibility for a reward from the Climate Adaptation Fund. The Ombudsman gives the environmental regime a channel that answers to evidence alone.</w:t>
      </w:r>
    </w:p>
    <w:p>
      <w:pPr>
        <w:pStyle w:val="Heading3"/>
      </w:pPr>
      <w:r>
        <w:rPr>
          <w:rFonts w:ascii="Georgia" w:hAnsi="Georgia" w:eastAsia="Microsoft YaHei"/>
          <w:color w:val="263238"/>
          <w:sz w:val="22"/>
        </w:rPr>
        <w:t xml:space="preserve">32.9 The Annual Maritime Ecology Symposium</w:t>
      </w:r>
    </w:p>
    <w:p>
      <w:pPr>
        <w:pStyle w:val="Normal"/>
      </w:pPr>
      <w:r>
        <w:rPr>
          <w:rFonts w:ascii="Georgia" w:hAnsi="Georgia" w:eastAsia="Microsoft YaHei"/>
          <w:color w:val="263238"/>
          <w:sz w:val="22"/>
        </w:rPr>
        <w:t xml:space="preserve">The Council convenes an Annual Maritime Ecology Symposium, hosted alternately in Iran and Oman, gathering regional and global scientists, industry, environmental organizations, and policymakers to review the year's data and propose the coming year's priorities. The proceedings publish into the Institutional Memory Vault. The Symposium positions the strait as a leader in maritime ecology rather than a cautionary tale.</w:t>
      </w:r>
    </w:p>
    <w:p>
      <w:r>
        <w:br w:type="page"/>
      </w:r>
    </w:p>
    <w:p>
      <w:pPr>
        <w:pStyle w:val="Heading1"/>
      </w:pPr>
      <w:bookmarkStart w:id="142" w:name="_Toc263100042"/>
      <w:r>
        <w:rPr>
          <w:rFonts w:ascii="Georgia" w:hAnsi="Georgia" w:eastAsia="Microsoft YaHei"/>
          <w:color w:val="263238"/>
          <w:sz w:val="22"/>
        </w:rPr>
        <w:t xml:space="preserve">Part VI: Compliance, Accountability, and Dispute Resolution</w:t>
      </w:r>
      <w:bookmarkEnd w:id="142"/>
    </w:p>
    <w:p>
      <w:pPr>
        <w:pStyle w:val="Heading2"/>
      </w:pPr>
      <w:bookmarkStart w:id="143" w:name="_Toc263100043"/>
      <w:r>
        <w:rPr>
          <w:rFonts w:ascii="Georgia" w:hAnsi="Georgia" w:eastAsia="Microsoft YaHei"/>
          <w:color w:val="263238"/>
          <w:sz w:val="22"/>
        </w:rPr>
        <w:t xml:space="preserve">Article 33: The Compliance Engine: Step-Back and Earn-Back for the Maritime Domain</w:t>
      </w:r>
      <w:bookmarkEnd w:id="143"/>
    </w:p>
    <w:p>
      <w:pPr>
        <w:pStyle w:val="Heading3"/>
      </w:pPr>
      <w:r>
        <w:rPr>
          <w:rFonts w:ascii="Georgia" w:hAnsi="Georgia" w:eastAsia="Microsoft YaHei"/>
          <w:color w:val="263238"/>
          <w:sz w:val="22"/>
        </w:rPr>
        <w:t xml:space="preserve">33.1 Why this engine exists</w:t>
      </w:r>
    </w:p>
    <w:p>
      <w:pPr>
        <w:pStyle w:val="Normal"/>
      </w:pPr>
      <w:r>
        <w:rPr>
          <w:rFonts w:ascii="Georgia" w:hAnsi="Georgia" w:eastAsia="Microsoft YaHei"/>
          <w:color w:val="263238"/>
          <w:sz w:val="22"/>
        </w:rPr>
        <w:t xml:space="preserve">Snapback kills agreements. A governance system that collapses on its first serious incident converts every incident into an existential crisis and rewards escalation over repair. The Accord replaces collapse with breath: graduated, reversible, proportionate response, with guaranteed restoration. The engine adapts the proven step-back and earn-back architecture to the maritime domain. Core operating principle: the framework architecture does not collapse upon breach. It breathes. Discretionary benefits pause first. Core corridor operations survive longest. Humanitarian and safety functions remain absolute. Sustained compliance restores full standing automatically. No violation creates permanent exclusion.</w:t>
      </w:r>
    </w:p>
    <w:p>
      <w:pPr>
        <w:pStyle w:val="Heading3"/>
      </w:pPr>
      <w:r>
        <w:rPr>
          <w:rFonts w:ascii="Georgia" w:hAnsi="Georgia" w:eastAsia="Microsoft YaHei"/>
          <w:color w:val="263238"/>
          <w:sz w:val="22"/>
        </w:rPr>
        <w:t xml:space="preserve">33.2 Three tiers of compliance events</w:t>
      </w:r>
    </w:p>
    <w:p>
      <w:pPr>
        <w:pStyle w:val="Normal"/>
      </w:pPr>
      <w:r>
        <w:rPr>
          <w:rFonts w:ascii="Georgia" w:hAnsi="Georgia" w:eastAsia="Microsoft YaHei"/>
          <w:color w:val="263238"/>
          <w:sz w:val="22"/>
        </w:rPr>
        <w:t xml:space="preserve">Every compliance event sorts into one of three tiers on severity, intent, and material impact, and the classification determines the entire response.</w:t>
      </w:r>
    </w:p>
    <w:p>
      <w:pPr>
        <w:pStyle w:val="Normal"/>
      </w:pPr>
      <w:r>
        <w:rPr>
          <w:rFonts w:ascii="Georgia" w:hAnsi="Georgia" w:eastAsia="Microsoft YaHei"/>
          <w:color w:val="263238"/>
          <w:sz w:val="22"/>
        </w:rPr>
        <w:t xml:space="preserve">Tier 1, Technical Event: an AIS or reporting gap attributable to documented technical cause; a reporting delay of forty-eight hours or less; a staffing deviation within the parity tolerance; a failed daily channel test; a single formatting failure in a data feed. Base response: no benefit effect, technical assistance within seventy-two hours, a fourteen-day quiet correction window, confidential handling, and no public disclosure. Tier 1 events never accumulate toward Tier 2.</w:t>
      </w:r>
    </w:p>
    <w:p>
      <w:pPr>
        <w:pStyle w:val="Normal"/>
      </w:pPr>
      <w:r>
        <w:rPr>
          <w:rFonts w:ascii="Georgia" w:hAnsi="Georgia" w:eastAsia="Microsoft YaHei"/>
          <w:color w:val="263238"/>
          <w:sz w:val="22"/>
        </w:rPr>
        <w:t xml:space="preserve">Tier 2, Material Disruption: a Twin Key action executed without concurrence; an unauthorized stop, board, or diversion of a conforming vessel; a charge outside the Verified Services Catalog; obstruction of monitoring or audit access beyond seventy-two hours; falsified operational logs; diversion of Fund resources; or a pattern of Tier 1 events demonstrating systemic neglect. Base response graduates by duration: days one through seven, ten percent reduction of the responsible account's discretionary distributions; days seven through fourteen, fifteen percent; days fifteen through thirty, twenty-five percent; beyond thirty days, twenty-five percent plus mandatory referral to the Guarantor and Facilitation Panel.</w:t>
      </w:r>
    </w:p>
    <w:p>
      <w:pPr>
        <w:pStyle w:val="Normal"/>
      </w:pPr>
      <w:r>
        <w:rPr>
          <w:rFonts w:ascii="Georgia" w:hAnsi="Georgia" w:eastAsia="Microsoft YaHei"/>
          <w:color w:val="263238"/>
          <w:sz w:val="22"/>
        </w:rPr>
        <w:t xml:space="preserve">Tier 3, Deliberate Hostile Violation: a deliberate attack by a Party's organs on vessels, observers, or Accord facilities inside the Governance Area; placement of mines in the Governance Area; deliberate destruction or compromise of the shared monitoring architecture; or submission of falsified evidence that, if believed, triggers a military response. Base response graduates by remediation speed: remediation begun within seventy-two hours, twenty-five percent reduction of non-core distributions; after seventy-two hours without remediation, thirty-five percent; after thirty days without remediation, fifty percent, with all Tier 3-affected modules in hold status and the Guarantor and Facilitation Panel convened within forty-eight hours.</w:t>
      </w:r>
    </w:p>
    <w:p>
      <w:pPr>
        <w:pStyle w:val="Heading3"/>
      </w:pPr>
      <w:r>
        <w:rPr>
          <w:rFonts w:ascii="Georgia" w:hAnsi="Georgia" w:eastAsia="Microsoft YaHei"/>
          <w:color w:val="263238"/>
          <w:sz w:val="22"/>
        </w:rPr>
        <w:t xml:space="preserve">33.3 Sequenced impact: what pauses first</w:t>
      </w:r>
    </w:p>
    <w:p>
      <w:pPr>
        <w:pStyle w:val="Normal"/>
      </w:pPr>
      <w:r>
        <w:rPr>
          <w:rFonts w:ascii="Georgia" w:hAnsi="Georgia" w:eastAsia="Microsoft YaHei"/>
          <w:color w:val="263238"/>
          <w:sz w:val="22"/>
        </w:rPr>
        <w:t xml:space="preserve">When step-back activates, benefits pause in this exact sequence. First: discretionary measures, performance bonuses, voluntary contribution recognitions, and premium-support programs. Second: commercial conveniences, expedited routing, priority berthing coordination, and enhanced data products. Third: service account distributions above the operating floor. Last and never: corridor operations themselves, the Zero-Toll Rule, search and rescue, the humanitarian lock, escrowed funds already earned, the hotline and deconfliction channels, and the watch floors. The core of the system survives its worst day intact, by design.</w:t>
      </w:r>
    </w:p>
    <w:p>
      <w:pPr>
        <w:pStyle w:val="Heading3"/>
      </w:pPr>
      <w:r>
        <w:rPr>
          <w:rFonts w:ascii="Georgia" w:hAnsi="Georgia" w:eastAsia="Microsoft YaHei"/>
          <w:color w:val="263238"/>
          <w:sz w:val="22"/>
        </w:rPr>
        <w:t xml:space="preserve">33.4 Proportionality formula</w:t>
      </w:r>
    </w:p>
    <w:p>
      <w:pPr>
        <w:pStyle w:val="Normal"/>
      </w:pPr>
      <w:r>
        <w:rPr>
          <w:rFonts w:ascii="Georgia" w:hAnsi="Georgia" w:eastAsia="Microsoft YaHei"/>
          <w:color w:val="263238"/>
          <w:sz w:val="22"/>
        </w:rPr>
        <w:t xml:space="preserve">Penalty equals base tier penalty multiplied by duration multiplier multiplied by remediation factor. The duration multiplier scales from 0.4 for correction within twenty-four hours to 1.0 for expiry of the remediation window uncured. The remediation factor reads 0.5 for full remediation, 0.75 for partial, 1.0 for none. The Council applies the formula through Consensus Minus One, on the certified facts of the Neutral Watch Office.</w:t>
      </w:r>
    </w:p>
    <w:p>
      <w:pPr>
        <w:pStyle w:val="Heading3"/>
      </w:pPr>
      <w:r>
        <w:rPr>
          <w:rFonts w:ascii="Georgia" w:hAnsi="Georgia" w:eastAsia="Microsoft YaHei"/>
          <w:color w:val="263238"/>
          <w:sz w:val="22"/>
        </w:rPr>
        <w:t xml:space="preserve">33.5 The human-in-the-loop requirement</w:t>
      </w:r>
    </w:p>
    <w:p>
      <w:pPr>
        <w:pStyle w:val="Normal"/>
      </w:pPr>
      <w:r>
        <w:rPr>
          <w:rFonts w:ascii="Georgia" w:hAnsi="Georgia" w:eastAsia="Microsoft YaHei"/>
          <w:color w:val="263238"/>
          <w:sz w:val="22"/>
        </w:rPr>
        <w:t xml:space="preserve">Before any step-back activates: automated systems flag the anomaly and assemble the evidence pack within six hours; the duty officers review within twelve hours; senior officials of both desks confer within forty-eight hours in a mandatory cooling-off window; and executive consultation confirms the tier before any consequence executes. The sole exception stands at Article 27, the 48-hour telemetry rule, a purely technical trigger with automatic restoration. An annual human-in-the-loop audit verifies that no automated system decides a penalty, and that human review lands within twenty-four hours of every automated flag.</w:t>
      </w:r>
    </w:p>
    <w:p>
      <w:pPr>
        <w:pStyle w:val="Heading3"/>
      </w:pPr>
      <w:r>
        <w:rPr>
          <w:rFonts w:ascii="Georgia" w:hAnsi="Georgia" w:eastAsia="Microsoft YaHei"/>
          <w:color w:val="263238"/>
          <w:sz w:val="22"/>
        </w:rPr>
        <w:t xml:space="preserve">33.6 The earn-back pathway</w:t>
      </w:r>
    </w:p>
    <w:p>
      <w:pPr>
        <w:pStyle w:val="Normal"/>
      </w:pPr>
      <w:r>
        <w:rPr>
          <w:rFonts w:ascii="Georgia" w:hAnsi="Georgia" w:eastAsia="Microsoft YaHei"/>
          <w:color w:val="263238"/>
          <w:sz w:val="22"/>
        </w:rPr>
        <w:t xml:space="preserve">Earn-back is a structural feature, not a privilege. Tier 1: correction within fourteen days restores full standing automatically. Tier 2: after remediation, fourteen days of clean compliance with enhanced verification, then automatic restoration on clean certification; over-compliance credit accelerates the window by up to twenty-five percent, to a floor of eleven days. Tier 3: ninety days of sustained clean compliance, moving from intensive to standard to reduced verification, then automatic restoration on clean certification plus Council confirmation by Consensus Minus One; over-compliance credit accelerates to a floor of sixty-eight days. Earn-back never demands admission of guilt, payment of damages, or political concession. It demands verified compliance, sustained for the defined window, and nothing else. After full earn-back, standing returns to pre-event status in full, and the record shows the recovery alongside the event.</w:t>
      </w:r>
    </w:p>
    <w:p>
      <w:pPr>
        <w:pStyle w:val="Heading3"/>
      </w:pPr>
      <w:r>
        <w:rPr>
          <w:rFonts w:ascii="Georgia" w:hAnsi="Georgia" w:eastAsia="Microsoft YaHei"/>
          <w:color w:val="263238"/>
          <w:sz w:val="22"/>
        </w:rPr>
        <w:t xml:space="preserve">33.7 Cross-module spillover protection</w:t>
      </w:r>
    </w:p>
    <w:p>
      <w:pPr>
        <w:pStyle w:val="Normal"/>
      </w:pPr>
      <w:r>
        <w:rPr>
          <w:rFonts w:ascii="Georgia" w:hAnsi="Georgia" w:eastAsia="Microsoft YaHei"/>
          <w:color w:val="263238"/>
          <w:sz w:val="22"/>
        </w:rPr>
        <w:t xml:space="preserve">The Accord runs as modules: corridors, finance, monitoring, environment, institutions. Step-back applies only inside the module where the event occurred. A financial event touches no corridor function; a corridor event touches no escrow. Spillover across modules takes a two-thirds certification of the Council under Consensus Minus One that the event directly and materially undermines another module. The partial success doctrine binds: no single unresolved module invalidates the rest of the Accord.</w:t>
      </w:r>
    </w:p>
    <w:p>
      <w:pPr>
        <w:pStyle w:val="Heading3"/>
      </w:pPr>
      <w:r>
        <w:rPr>
          <w:rFonts w:ascii="Georgia" w:hAnsi="Georgia" w:eastAsia="Microsoft YaHei"/>
          <w:color w:val="263238"/>
          <w:sz w:val="22"/>
        </w:rPr>
        <w:t xml:space="preserve">33.8 Temporary Operational Suspension</w:t>
      </w:r>
    </w:p>
    <w:p>
      <w:pPr>
        <w:pStyle w:val="Normal"/>
      </w:pPr>
      <w:r>
        <w:rPr>
          <w:rFonts w:ascii="Georgia" w:hAnsi="Georgia" w:eastAsia="Microsoft YaHei"/>
          <w:color w:val="263238"/>
          <w:sz w:val="22"/>
        </w:rPr>
        <w:t xml:space="preserve">Either Coastal State Party invokes Temporary Operational Suspension for up to fourteen days per invocation, at most three invocations per calendar year, to absorb a domestic political crisis, a leadership transition, or a regional spillover event. Suspension freezes new obligations and pauses both penalty and earn-back clocks, while corridor operations, the escrow, the hotline, SAR, and monitoring continue untouched. Suspension is a safety valve, not a breach.</w:t>
      </w:r>
    </w:p>
    <w:p>
      <w:pPr>
        <w:pStyle w:val="Heading3"/>
      </w:pPr>
      <w:r>
        <w:rPr>
          <w:rFonts w:ascii="Georgia" w:hAnsi="Georgia" w:eastAsia="Microsoft YaHei"/>
          <w:color w:val="263238"/>
          <w:sz w:val="22"/>
        </w:rPr>
        <w:t xml:space="preserve">33.9 The Good Faith Reset</w:t>
      </w:r>
    </w:p>
    <w:p>
      <w:pPr>
        <w:pStyle w:val="Normal"/>
      </w:pPr>
      <w:r>
        <w:rPr>
          <w:rFonts w:ascii="Georgia" w:hAnsi="Georgia" w:eastAsia="Microsoft YaHei"/>
          <w:color w:val="263238"/>
          <w:sz w:val="22"/>
        </w:rPr>
        <w:t xml:space="preserve">A participant whose standing falls into sustained deficit invokes the Good Faith Reset once per year: a written acknowledgment of the record, a seven-day enhanced cooperation commitment, and an immediate reset of discretionary standing to neutral. The reset prevents irreversible negative spirals. A participant that invokes the reset in consecutive years answers to the Council before a third.</w:t>
      </w:r>
    </w:p>
    <w:p>
      <w:pPr>
        <w:pStyle w:val="Heading2"/>
      </w:pPr>
      <w:bookmarkStart w:id="144" w:name="_Toc263100044"/>
      <w:r>
        <w:rPr>
          <w:rFonts w:ascii="Georgia" w:hAnsi="Georgia" w:eastAsia="Microsoft YaHei"/>
          <w:color w:val="263238"/>
          <w:sz w:val="22"/>
        </w:rPr>
        <w:t xml:space="preserve">Article 34: The Hormuz Watch: Degraded Governance Mode</w:t>
      </w:r>
      <w:bookmarkEnd w:id="144"/>
    </w:p>
    <w:p>
      <w:pPr>
        <w:pStyle w:val="Heading3"/>
      </w:pPr>
      <w:r>
        <w:rPr>
          <w:rFonts w:ascii="Georgia" w:hAnsi="Georgia" w:eastAsia="Microsoft YaHei"/>
          <w:color w:val="263238"/>
          <w:sz w:val="22"/>
        </w:rPr>
        <w:t xml:space="preserve">34.1 The mechanism</w:t>
      </w:r>
    </w:p>
    <w:p>
      <w:pPr>
        <w:pStyle w:val="Normal"/>
      </w:pPr>
      <w:r>
        <w:rPr>
          <w:rFonts w:ascii="Georgia" w:hAnsi="Georgia" w:eastAsia="Microsoft YaHei"/>
          <w:color w:val="263238"/>
          <w:sz w:val="22"/>
        </w:rPr>
        <w:t xml:space="preserve">If the Council fails to convene, if a Party suspends participation, or if Flow State RED persists beyond thirty days, the Accord narrows to the Hormuz Watch: the protective core continues on autopilot while the political layer catches up. The Watch activates automatically on the third of these triggers and deactivates on Council certification.</w:t>
      </w:r>
    </w:p>
    <w:p>
      <w:pPr>
        <w:pStyle w:val="Heading3"/>
      </w:pPr>
      <w:r>
        <w:rPr>
          <w:rFonts w:ascii="Georgia" w:hAnsi="Georgia" w:eastAsia="Microsoft YaHei"/>
          <w:color w:val="263238"/>
          <w:sz w:val="22"/>
        </w:rPr>
        <w:t xml:space="preserve">34.2 What continues</w:t>
      </w:r>
    </w:p>
    <w:p>
      <w:pPr>
        <w:pStyle w:val="Normal"/>
      </w:pPr>
      <w:r>
        <w:rPr>
          <w:rFonts w:ascii="Georgia" w:hAnsi="Georgia" w:eastAsia="Microsoft YaHei"/>
          <w:color w:val="263238"/>
          <w:sz w:val="22"/>
        </w:rPr>
        <w:t xml:space="preserve">During the Hormuz Watch: corridor operations under the last published configuration; the Zero-Toll Rule; the escrow and delivery-linked charging; SAR and distress priority; the deconfliction channel and hotline; the Open Water Bulletin; monitoring, logging, and the weekly Corridor Compliance Certificates; and default continuity for every administrative arrangement.</w:t>
      </w:r>
    </w:p>
    <w:p>
      <w:pPr>
        <w:pStyle w:val="Heading3"/>
      </w:pPr>
      <w:r>
        <w:rPr>
          <w:rFonts w:ascii="Georgia" w:hAnsi="Georgia" w:eastAsia="Microsoft YaHei"/>
          <w:color w:val="263238"/>
          <w:sz w:val="22"/>
        </w:rPr>
        <w:t xml:space="preserve">34.3 What pauses</w:t>
      </w:r>
    </w:p>
    <w:p>
      <w:pPr>
        <w:pStyle w:val="Normal"/>
      </w:pPr>
      <w:r>
        <w:rPr>
          <w:rFonts w:ascii="Georgia" w:hAnsi="Georgia" w:eastAsia="Microsoft YaHei"/>
          <w:color w:val="263238"/>
          <w:sz w:val="22"/>
        </w:rPr>
        <w:t xml:space="preserve">During the Watch, and only during the Watch: new rates, new rules, chart amendments, activation certifications, and any measure requiring the Consensus Track. The system holds its breath without holding its heartbeat.</w:t>
      </w:r>
    </w:p>
    <w:p>
      <w:pPr>
        <w:pStyle w:val="Heading3"/>
      </w:pPr>
      <w:r>
        <w:rPr>
          <w:rFonts w:ascii="Georgia" w:hAnsi="Georgia" w:eastAsia="Microsoft YaHei"/>
          <w:color w:val="263238"/>
          <w:sz w:val="22"/>
        </w:rPr>
        <w:t xml:space="preserve">34.4 Exit from the Watch</w:t>
      </w:r>
    </w:p>
    <w:p>
      <w:pPr>
        <w:pStyle w:val="Normal"/>
      </w:pPr>
      <w:r>
        <w:rPr>
          <w:rFonts w:ascii="Georgia" w:hAnsi="Georgia" w:eastAsia="Microsoft YaHei"/>
          <w:color w:val="263238"/>
          <w:sz w:val="22"/>
        </w:rPr>
        <w:t xml:space="preserve">The Council exits the Watch by certifying a resumed quorum and a current confirmation page. The Facilitators offer good offices automatically on the Watch's thirtieth day and every thirtieth day thereafter. Nothing about the Watch reads as failure; it reads as the architecture doing its job under weather.</w:t>
      </w:r>
    </w:p>
    <w:p>
      <w:pPr>
        <w:pStyle w:val="Heading2"/>
      </w:pPr>
      <w:bookmarkStart w:id="145" w:name="_Toc263100045"/>
      <w:r>
        <w:rPr>
          <w:rFonts w:ascii="Georgia" w:hAnsi="Georgia" w:eastAsia="Microsoft YaHei"/>
          <w:color w:val="263238"/>
          <w:sz w:val="22"/>
        </w:rPr>
        <w:t xml:space="preserve">Article 35: Substantiated Claims, the Performance Bond, and the Reciprocity Ledger</w:t>
      </w:r>
      <w:bookmarkEnd w:id="145"/>
    </w:p>
    <w:p>
      <w:pPr>
        <w:pStyle w:val="Heading3"/>
      </w:pPr>
      <w:r>
        <w:rPr>
          <w:rFonts w:ascii="Georgia" w:hAnsi="Georgia" w:eastAsia="Microsoft YaHei"/>
          <w:color w:val="263238"/>
          <w:sz w:val="22"/>
        </w:rPr>
        <w:t xml:space="preserve">35.1 The claim standard</w:t>
      </w:r>
    </w:p>
    <w:p>
      <w:pPr>
        <w:pStyle w:val="Normal"/>
      </w:pPr>
      <w:r>
        <w:rPr>
          <w:rFonts w:ascii="Georgia" w:hAnsi="Georgia" w:eastAsia="Microsoft YaHei"/>
          <w:color w:val="263238"/>
          <w:sz w:val="22"/>
        </w:rPr>
        <w:t xml:space="preserve">Any participant files a claim of non-performance through the Shared Registry. A claim carries: the cited obligation, the evidence pack, and certification by the claimant's accredited liaison. The Neutral Watch Office assesses the claim against the golden record, the unalterable data stream of the Shared Registry, and assigns a confirmation level: full, partial, or none. Determinations publish with their evidence basis.</w:t>
      </w:r>
    </w:p>
    <w:p>
      <w:pPr>
        <w:pStyle w:val="Heading3"/>
      </w:pPr>
      <w:r>
        <w:rPr>
          <w:rFonts w:ascii="Georgia" w:hAnsi="Georgia" w:eastAsia="Microsoft YaHei"/>
          <w:color w:val="263238"/>
          <w:sz w:val="22"/>
        </w:rPr>
        <w:t xml:space="preserve">35.2 The Performance Bond</w:t>
      </w:r>
    </w:p>
    <w:p>
      <w:pPr>
        <w:pStyle w:val="Normal"/>
      </w:pPr>
      <w:r>
        <w:rPr>
          <w:rFonts w:ascii="Georgia" w:hAnsi="Georgia" w:eastAsia="Microsoft YaHei"/>
          <w:color w:val="263238"/>
          <w:sz w:val="22"/>
        </w:rPr>
        <w:t xml:space="preserve">Each Coastal State Party deposits a Performance Bond of twenty-five million dollars with the Swiss Facilitator at entry into force. The bond is a stake, not a fee. It releases in tranches against certified Stability Audit milestones, and it answers substantiated claims of bad-faith operation up to the published caps. The bond never substitutes for the compliance engine; it backstops it.</w:t>
      </w:r>
    </w:p>
    <w:p>
      <w:pPr>
        <w:pStyle w:val="Heading3"/>
      </w:pPr>
      <w:r>
        <w:rPr>
          <w:rFonts w:ascii="Georgia" w:hAnsi="Georgia" w:eastAsia="Microsoft YaHei"/>
          <w:color w:val="263238"/>
          <w:sz w:val="22"/>
        </w:rPr>
        <w:t xml:space="preserve">35.3 Determination and challenge</w:t>
      </w:r>
    </w:p>
    <w:p>
      <w:pPr>
        <w:pStyle w:val="Normal"/>
      </w:pPr>
      <w:r>
        <w:rPr>
          <w:rFonts w:ascii="Georgia" w:hAnsi="Georgia" w:eastAsia="Microsoft YaHei"/>
          <w:color w:val="263238"/>
          <w:sz w:val="22"/>
        </w:rPr>
        <w:t xml:space="preserve">The claimant's counterparty holds a forty-eight-hour challenge window on any confirmation, at a published challenge cost from its own standing. Frivolous challenge ladders escalate per Annex E: repeated failed challenges multiply cost and eventually trigger a bad-faith designation with automatic claim acceptance for seven days. Challenge submissions run anonymously through the Registry; verification stays data-driven, never personal.</w:t>
      </w:r>
    </w:p>
    <w:p>
      <w:pPr>
        <w:pStyle w:val="Heading3"/>
      </w:pPr>
      <w:r>
        <w:rPr>
          <w:rFonts w:ascii="Georgia" w:hAnsi="Georgia" w:eastAsia="Microsoft YaHei"/>
          <w:color w:val="263238"/>
          <w:sz w:val="22"/>
        </w:rPr>
        <w:t xml:space="preserve">35.4 The Reciprocity Ledger and standing levels</w:t>
      </w:r>
    </w:p>
    <w:p>
      <w:pPr>
        <w:pStyle w:val="Normal"/>
      </w:pPr>
      <w:r>
        <w:rPr>
          <w:rFonts w:ascii="Georgia" w:hAnsi="Georgia" w:eastAsia="Microsoft YaHei"/>
          <w:color w:val="263238"/>
          <w:sz w:val="22"/>
        </w:rPr>
        <w:t xml:space="preserve">The Reciprocity Ledger records every certified contribution and every substantiated shortfall, per participant, on a continuous public balance. Standing levels follow the balance: Full Standing, Watch Standing, and Restricted Standing, with the privileges of each published in Annex E. The Ledger makes reciprocity visible: investment shows, and so does recovery.</w:t>
      </w:r>
    </w:p>
    <w:p>
      <w:pPr>
        <w:pStyle w:val="Heading2"/>
      </w:pPr>
      <w:bookmarkStart w:id="146" w:name="_Toc263100046"/>
      <w:r>
        <w:rPr>
          <w:rFonts w:ascii="Georgia" w:hAnsi="Georgia" w:eastAsia="Microsoft YaHei"/>
          <w:color w:val="263238"/>
          <w:sz w:val="22"/>
        </w:rPr>
        <w:t xml:space="preserve">Article 36: Dispute Resolution</w:t>
      </w:r>
      <w:bookmarkEnd w:id="146"/>
    </w:p>
    <w:p>
      <w:pPr>
        <w:pStyle w:val="Heading3"/>
      </w:pPr>
      <w:r>
        <w:rPr>
          <w:rFonts w:ascii="Georgia" w:hAnsi="Georgia" w:eastAsia="Microsoft YaHei"/>
          <w:color w:val="263238"/>
          <w:sz w:val="22"/>
        </w:rPr>
        <w:t xml:space="preserve">36.1 The tiered structure</w:t>
      </w:r>
    </w:p>
    <w:p>
      <w:pPr>
        <w:pStyle w:val="Normal"/>
      </w:pPr>
      <w:r>
        <w:rPr>
          <w:rFonts w:ascii="Georgia" w:hAnsi="Georgia" w:eastAsia="Microsoft YaHei"/>
          <w:color w:val="263238"/>
          <w:sz w:val="22"/>
        </w:rPr>
        <w:t xml:space="preserve">Disputes resolve in four tiers, each faster and cheaper than litigation, each preserving the relationship. Tier one: technical referral to the Neutral Watch Office, binding on facts, five days. Tier two: facilitation by the Guarantor and Facilitation Panel, fourteen days. Tier three: the independent technical referee of section 36.3, binding on the parties to the dispute, thirty days. Tier four: arbitration under the rules of Annex E, seated in Muscat, with a three-member panel and a published award. A dispute enters at the lowest tier that fits it and climbs only on failure.</w:t>
      </w:r>
    </w:p>
    <w:p>
      <w:pPr>
        <w:pStyle w:val="Heading3"/>
      </w:pPr>
      <w:r>
        <w:rPr>
          <w:rFonts w:ascii="Georgia" w:hAnsi="Georgia" w:eastAsia="Microsoft YaHei"/>
          <w:color w:val="263238"/>
          <w:sz w:val="22"/>
        </w:rPr>
        <w:t xml:space="preserve">36.2 The facilitation tier in detail</w:t>
      </w:r>
    </w:p>
    <w:p>
      <w:pPr>
        <w:pStyle w:val="Normal"/>
      </w:pPr>
      <w:r>
        <w:rPr>
          <w:rFonts w:ascii="Georgia" w:hAnsi="Georgia" w:eastAsia="Microsoft YaHei"/>
          <w:color w:val="263238"/>
          <w:sz w:val="22"/>
        </w:rPr>
        <w:t xml:space="preserve">The Facilitators run tier two as structured shuttle work: separate briefings, a joint session, and a written proposal the parties accept or decline without prejudice. Tier two settles the majority of disputes because it costs little, moves fast, and keeps every text private unless both sides agree to publish.</w:t>
      </w:r>
    </w:p>
    <w:p>
      <w:pPr>
        <w:pStyle w:val="Heading3"/>
      </w:pPr>
      <w:r>
        <w:rPr>
          <w:rFonts w:ascii="Georgia" w:hAnsi="Georgia" w:eastAsia="Microsoft YaHei"/>
          <w:color w:val="263238"/>
          <w:sz w:val="22"/>
        </w:rPr>
        <w:t xml:space="preserve">36.3 The independent technical referee</w:t>
      </w:r>
    </w:p>
    <w:p>
      <w:pPr>
        <w:pStyle w:val="Normal"/>
      </w:pPr>
      <w:r>
        <w:rPr>
          <w:rFonts w:ascii="Georgia" w:hAnsi="Georgia" w:eastAsia="Microsoft YaHei"/>
          <w:color w:val="263238"/>
          <w:sz w:val="22"/>
        </w:rPr>
        <w:t xml:space="preserve">The Swiss Facilitator maintains a standing pool of five technical referees, none a national of any participant, covering hydrography, marine traffic systems, escrow accounting, environmental science, and naval deconfliction practice. A technical dispute draws the referee of the matching discipline, and the referee's determination binds on the technical question referred.</w:t>
      </w:r>
    </w:p>
    <w:p>
      <w:pPr>
        <w:pStyle w:val="Heading3"/>
      </w:pPr>
      <w:r>
        <w:rPr>
          <w:rFonts w:ascii="Georgia" w:hAnsi="Georgia" w:eastAsia="Microsoft YaHei"/>
          <w:color w:val="263238"/>
          <w:sz w:val="22"/>
        </w:rPr>
        <w:t xml:space="preserve">36.4 The Escalation Cap and the silence clause</w:t>
      </w:r>
    </w:p>
    <w:p>
      <w:pPr>
        <w:pStyle w:val="Normal"/>
      </w:pPr>
      <w:r>
        <w:rPr>
          <w:rFonts w:ascii="Georgia" w:hAnsi="Georgia" w:eastAsia="Microsoft YaHei"/>
          <w:color w:val="263238"/>
          <w:sz w:val="22"/>
        </w:rPr>
        <w:t xml:space="preserve">No dispute suspends corridor operations, payments, SAR, monitoring, or the Bulletin. The Escalation Cap holds: disputes argue in the tiers while the system runs. Parties in dispute observe the silence clause: no public attribution of bad faith while a live tier runs, with the Facilitators holding the parties' public statements to the technical facts.</w:t>
      </w:r>
    </w:p>
    <w:p>
      <w:pPr>
        <w:pStyle w:val="Heading3"/>
      </w:pPr>
      <w:r>
        <w:rPr>
          <w:rFonts w:ascii="Georgia" w:hAnsi="Georgia" w:eastAsia="Microsoft YaHei"/>
          <w:color w:val="263238"/>
          <w:sz w:val="22"/>
        </w:rPr>
        <w:t xml:space="preserve">36.5 Interim measures</w:t>
      </w:r>
    </w:p>
    <w:p>
      <w:pPr>
        <w:pStyle w:val="Normal"/>
      </w:pPr>
      <w:r>
        <w:rPr>
          <w:rFonts w:ascii="Georgia" w:hAnsi="Georgia" w:eastAsia="Microsoft YaHei"/>
          <w:color w:val="263238"/>
          <w:sz w:val="22"/>
        </w:rPr>
        <w:t xml:space="preserve">Where a live dispute risks irreversible harm to a service or a vessel, the Neutral Watch Office certifies interim measures: a delivery-state change, an escrow hold, or a routing advisory, each time-limited and logged. Interim measures protect the system; they prejudge nothing.</w:t>
      </w:r>
    </w:p>
    <w:p>
      <w:pPr>
        <w:pStyle w:val="Heading2"/>
      </w:pPr>
      <w:bookmarkStart w:id="147" w:name="_Toc263100047"/>
      <w:r>
        <w:rPr>
          <w:rFonts w:ascii="Georgia" w:hAnsi="Georgia" w:eastAsia="Microsoft YaHei"/>
          <w:color w:val="263238"/>
          <w:sz w:val="22"/>
        </w:rPr>
        <w:t xml:space="preserve">Article 37: The Protection Covenant</w:t>
      </w:r>
      <w:bookmarkEnd w:id="147"/>
    </w:p>
    <w:p>
      <w:pPr>
        <w:pStyle w:val="Heading3"/>
      </w:pPr>
      <w:r>
        <w:rPr>
          <w:rFonts w:ascii="Georgia" w:hAnsi="Georgia" w:eastAsia="Microsoft YaHei"/>
          <w:color w:val="263238"/>
          <w:sz w:val="22"/>
        </w:rPr>
        <w:t xml:space="preserve">37.1 No automatic military escalation</w:t>
      </w:r>
    </w:p>
    <w:p>
      <w:pPr>
        <w:pStyle w:val="Normal"/>
      </w:pPr>
      <w:r>
        <w:rPr>
          <w:rFonts w:ascii="Georgia" w:hAnsi="Georgia" w:eastAsia="Microsoft YaHei"/>
          <w:color w:val="263238"/>
          <w:sz w:val="22"/>
        </w:rPr>
        <w:t xml:space="preserve">Under no circumstances does a compliance event, a step-back penalty, a dispute, or a suspension under the Accord automatically authorize, trigger, or justify the use of force by any Party, Participant, or Stakeholder. The compliance engine is economic and administrative in its entirety. Military decision remains with national authorities under their own constitutional processes. This separation is absolute and non-waivable, and it registers as a Red Line of every participant in Annex I.</w:t>
      </w:r>
    </w:p>
    <w:p>
      <w:pPr>
        <w:pStyle w:val="Heading3"/>
      </w:pPr>
      <w:r>
        <w:rPr>
          <w:rFonts w:ascii="Georgia" w:hAnsi="Georgia" w:eastAsia="Microsoft YaHei"/>
          <w:color w:val="263238"/>
          <w:sz w:val="22"/>
        </w:rPr>
        <w:t xml:space="preserve">37.2 False-flag protection</w:t>
      </w:r>
    </w:p>
    <w:p>
      <w:pPr>
        <w:pStyle w:val="Normal"/>
      </w:pPr>
      <w:r>
        <w:rPr>
          <w:rFonts w:ascii="Georgia" w:hAnsi="Georgia" w:eastAsia="Microsoft YaHei"/>
          <w:color w:val="263238"/>
          <w:sz w:val="22"/>
        </w:rPr>
        <w:t xml:space="preserve">Attribution requires evidence. The rogue-actor pathway of Article 30 applies to every disputed event, and the presumption of good faith governs every gap in the record. No penalty attaches to any Party for the act of a third hand.</w:t>
      </w:r>
    </w:p>
    <w:p>
      <w:pPr>
        <w:pStyle w:val="Heading3"/>
      </w:pPr>
      <w:r>
        <w:rPr>
          <w:rFonts w:ascii="Georgia" w:hAnsi="Georgia" w:eastAsia="Microsoft YaHei"/>
          <w:color w:val="263238"/>
          <w:sz w:val="22"/>
        </w:rPr>
        <w:t xml:space="preserve">37.3 Protection of persons</w:t>
      </w:r>
    </w:p>
    <w:p>
      <w:pPr>
        <w:pStyle w:val="Normal"/>
      </w:pPr>
      <w:r>
        <w:rPr>
          <w:rFonts w:ascii="Georgia" w:hAnsi="Georgia" w:eastAsia="Microsoft YaHei"/>
          <w:color w:val="263238"/>
          <w:sz w:val="22"/>
        </w:rPr>
        <w:t xml:space="preserve">Observers, auditors, watch-floor staff, escrow officers, and referees under the Accord carry functional immunity for acts within their mandates, and their protection binds every participant. An attack on Accord personnel reads as a Tier 3 event for the responsible Party, and as an attack on the architecture itself.</w:t>
      </w:r>
    </w:p>
    <w:p>
      <w:pPr>
        <w:pStyle w:val="Heading3"/>
      </w:pPr>
      <w:r>
        <w:rPr>
          <w:rFonts w:ascii="Georgia" w:hAnsi="Georgia" w:eastAsia="Microsoft YaHei"/>
          <w:color w:val="263238"/>
          <w:sz w:val="22"/>
        </w:rPr>
        <w:t xml:space="preserve">37.4 The decoupling clause</w:t>
      </w:r>
    </w:p>
    <w:p>
      <w:pPr>
        <w:pStyle w:val="Normal"/>
      </w:pPr>
      <w:r>
        <w:rPr>
          <w:rFonts w:ascii="Georgia" w:hAnsi="Georgia" w:eastAsia="Microsoft YaHei"/>
          <w:color w:val="263238"/>
          <w:sz w:val="22"/>
        </w:rPr>
        <w:t xml:space="preserve">The Accord decouples from every bilateral file: the nuclear question, the blockade, sanctions regimes, and regional conflicts outside the Governance Area. Movement in any of those files, in any direction, leaves the corridor system standing. The corridor system holds the status of a Protected Zone for global commerce: a Party or Stakeholder that invokes a bilateral file as grounds to disrupt, suspend, or abandon the corridor system forfeits the Good Faith Reset privilege for twenty-four months, and the Bridge Operation activates automatically, with the remaining Parties and the Facilitators running the system under the Hormuz Watch for up to one year while the absent Party's seat and functions hold open for return. The Stay-in-the-Room Covenant binds every participant: designated posts remain staffed through every crisis on other files, and the sole legitimate ground for ceasing corridor functions is a direct, ongoing, and material attack on a Party's own territory by another Party. A dispute on the nuclear file, standing alone, never meets that threshold. The strait ceases to be a lever because the architecture refuses to be one, and abandoning the architecture carries a price that publishes in advance.</w:t>
      </w:r>
    </w:p>
    <w:p>
      <w:r>
        <w:br w:type="page"/>
      </w:r>
    </w:p>
    <w:p>
      <w:pPr>
        <w:pStyle w:val="Heading1"/>
      </w:pPr>
      <w:bookmarkStart w:id="148" w:name="_Toc263100048"/>
      <w:r>
        <w:rPr>
          <w:rFonts w:ascii="Georgia" w:hAnsi="Georgia" w:eastAsia="Microsoft YaHei"/>
          <w:color w:val="263238"/>
          <w:sz w:val="22"/>
        </w:rPr>
        <w:t xml:space="preserve">Part VII: Activation, Transition, and Final Provisions</w:t>
      </w:r>
      <w:bookmarkEnd w:id="148"/>
    </w:p>
    <w:p>
      <w:pPr>
        <w:pStyle w:val="Heading2"/>
      </w:pPr>
      <w:bookmarkStart w:id="149" w:name="_Toc263100049"/>
      <w:r>
        <w:rPr>
          <w:rFonts w:ascii="Georgia" w:hAnsi="Georgia" w:eastAsia="Microsoft YaHei"/>
          <w:color w:val="263238"/>
          <w:sz w:val="22"/>
        </w:rPr>
        <w:t xml:space="preserve">Article 38: Entry into Force and Minimal Viable Activation</w:t>
      </w:r>
      <w:bookmarkEnd w:id="149"/>
    </w:p>
    <w:p>
      <w:pPr>
        <w:pStyle w:val="Heading3"/>
      </w:pPr>
      <w:r>
        <w:rPr>
          <w:rFonts w:ascii="Georgia" w:hAnsi="Georgia" w:eastAsia="Microsoft YaHei"/>
          <w:color w:val="263238"/>
          <w:sz w:val="22"/>
        </w:rPr>
        <w:t xml:space="preserve">38.1 Signature and entry into force</w:t>
      </w:r>
    </w:p>
    <w:p>
      <w:pPr>
        <w:pStyle w:val="Normal"/>
      </w:pPr>
      <w:r>
        <w:rPr>
          <w:rFonts w:ascii="Georgia" w:hAnsi="Georgia" w:eastAsia="Microsoft YaHei"/>
          <w:color w:val="263238"/>
          <w:sz w:val="22"/>
        </w:rPr>
        <w:t xml:space="preserve">The Accord opens for signature at Muscat. It enters into force on the day both Coastal State Parties deposit instruments of acceptance with the Depositary, provided the United States executes the Endorsement Protocol and the GCC Observer College executes the Observer Protocol within the same window. Where an endorsement or observer protocol lags, the Accord enters into force among the depositing Parties on the thirtieth day after both Coastal State instruments land, and the lagging protocols join on execution. The architecture starts; it does not wait for perfection.</w:t>
      </w:r>
    </w:p>
    <w:p>
      <w:pPr>
        <w:pStyle w:val="Heading3"/>
      </w:pPr>
      <w:r>
        <w:rPr>
          <w:rFonts w:ascii="Georgia" w:hAnsi="Georgia" w:eastAsia="Microsoft YaHei"/>
          <w:color w:val="263238"/>
          <w:sz w:val="22"/>
        </w:rPr>
        <w:t xml:space="preserve">38.2 Minimal Viable Activation</w:t>
      </w:r>
    </w:p>
    <w:p>
      <w:pPr>
        <w:pStyle w:val="Normal"/>
      </w:pPr>
      <w:r>
        <w:rPr>
          <w:rFonts w:ascii="Georgia" w:hAnsi="Georgia" w:eastAsia="Microsoft YaHei"/>
          <w:color w:val="263238"/>
          <w:sz w:val="22"/>
        </w:rPr>
        <w:t xml:space="preserve">Entry into force opens the Pre-Activation Period of Annex Z: ninety days of shadow implementation, trust drills, and readiness certification on simulated traffic. Minimal Viable Activation completes within ten days of the final National Readiness Certificate: the Day One hazard declaration issues; the watch floors open at full staffing; the Shared Registry begins logging; the escrow opens its accounts; the deconfliction channel and hotline go live; and the provisional corridor guidance publishes. Minimal Viable Activation carries the minimum package needed for safe pilot operation, no more and no less.</w:t>
      </w:r>
    </w:p>
    <w:p>
      <w:pPr>
        <w:pStyle w:val="Heading3"/>
      </w:pPr>
      <w:r>
        <w:rPr>
          <w:rFonts w:ascii="Georgia" w:hAnsi="Georgia" w:eastAsia="Microsoft YaHei"/>
          <w:color w:val="263238"/>
          <w:sz w:val="22"/>
        </w:rPr>
        <w:t xml:space="preserve">38.3 Provisional application</w:t>
      </w:r>
    </w:p>
    <w:p>
      <w:pPr>
        <w:pStyle w:val="Normal"/>
      </w:pPr>
      <w:r>
        <w:rPr>
          <w:rFonts w:ascii="Georgia" w:hAnsi="Georgia" w:eastAsia="Microsoft YaHei"/>
          <w:color w:val="263238"/>
          <w:sz w:val="22"/>
        </w:rPr>
        <w:t xml:space="preserve">Pending deposit, signatories apply the Accord provisionally from signature to the extent their law allows. Provisional application carries the same Zero-Toll Rule, the same non-interdiction protocol, and the same monitoring duties as full application.</w:t>
      </w:r>
    </w:p>
    <w:p>
      <w:pPr>
        <w:pStyle w:val="Heading2"/>
      </w:pPr>
      <w:bookmarkStart w:id="150" w:name="_Toc263100050"/>
      <w:r>
        <w:rPr>
          <w:rFonts w:ascii="Georgia" w:hAnsi="Georgia" w:eastAsia="Microsoft YaHei"/>
          <w:color w:val="263238"/>
          <w:sz w:val="22"/>
        </w:rPr>
        <w:t xml:space="preserve">Article 39: The Pilot Phase and the Activation Sequence</w:t>
      </w:r>
      <w:bookmarkEnd w:id="150"/>
    </w:p>
    <w:p>
      <w:pPr>
        <w:pStyle w:val="Heading3"/>
      </w:pPr>
      <w:r>
        <w:rPr>
          <w:rFonts w:ascii="Georgia" w:hAnsi="Georgia" w:eastAsia="Microsoft YaHei"/>
          <w:color w:val="263238"/>
          <w:sz w:val="22"/>
        </w:rPr>
        <w:t xml:space="preserve">39.1 Design of the pilot</w:t>
      </w:r>
    </w:p>
    <w:p>
      <w:pPr>
        <w:pStyle w:val="Normal"/>
      </w:pPr>
      <w:r>
        <w:rPr>
          <w:rFonts w:ascii="Georgia" w:hAnsi="Georgia" w:eastAsia="Microsoft YaHei"/>
          <w:color w:val="263238"/>
          <w:sz w:val="22"/>
        </w:rPr>
        <w:t xml:space="preserve">The corridor system activates through a controlled pilot of ninety to one hundred twenty days, not a single reopening moment. The pilot tests procedures under reduced fees, limited enforcement, full monitoring, and live traffic, and it graduates to full activation on evidence. The pilot absorbs friction so the treaty does not have to.</w:t>
      </w:r>
    </w:p>
    <w:p>
      <w:pPr>
        <w:pStyle w:val="Heading3"/>
      </w:pPr>
      <w:r>
        <w:rPr>
          <w:rFonts w:ascii="Georgia" w:hAnsi="Georgia" w:eastAsia="Microsoft YaHei"/>
          <w:color w:val="263238"/>
          <w:sz w:val="22"/>
        </w:rPr>
        <w:t xml:space="preserve">39.2 The six phases</w:t>
      </w:r>
    </w:p>
    <w:p>
      <w:pPr>
        <w:pStyle w:val="Normal"/>
      </w:pPr>
      <w:r>
        <w:rPr>
          <w:rFonts w:ascii="Georgia" w:hAnsi="Georgia" w:eastAsia="Microsoft YaHei"/>
          <w:color w:val="263238"/>
          <w:sz w:val="22"/>
        </w:rPr>
        <w:t xml:space="preserve">Phase One, Minimal Viable Agreement, days zero to ten: corridor geometry locks, functional security roles confirm, the pilot fee schedule publishes at sixty percent of standard rates, joint monitoring rules activate, and the Coastal State Parties issue the joint readiness announcement. Phase Two, Pilot Announcement, days ten to twenty: the Council declares the pilot window, provisional corridor guidance publishes to all registries and insurers, AIS pre-routing instructions issue, and the Route Assurance Data Service opens public subscription. Phase Three, Sequential Corridor Activation, days twenty to forty: the buffer corridor certifies and opens first, days twenty to twenty-five; the outbound corridor certifies and opens second, days twenty-five to thirty-five; the inbound corridor certifies and opens third, days thirty-five to forty. Sequential activation prevents shock; the order itself is a de-escalation instrument. Phase Four, Payment Channel, days forty to fifty-five: the escrow opens payer onboarding, sanctions-compatible routing runs its first live settlements, and delivery-linked charging proves itself against real transits. Phase Five, Stability Audit, days fifty-five to ninety: the full audit of Article 40 runs on live operations. Phase Six, Full Activation, days ninety to one hundred twenty: on a passing audit, the Council publishes the final corridor coordinates, standard rates succeed pilot rates, the wartime lanes sunset, and the Parties declare the strait fully governed under the Accord.</w:t>
      </w:r>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Phase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Window</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Core actions</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Exit test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 Minimal Viable Agreement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Days 0 to 10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Geometry lock, roles confirm, pilot rates publish, monitoring live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Joint readiness announcement issued</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 Pilot Announcement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Days 10 to 20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Pilot window declared, guidance and AIS instructions published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Registry and insurer notification complete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ree: Sequential Activation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Days 20 to 40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Buffer, then outbound, then inbound corridors certify and open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Three corridor certificates signed</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ur: Payment Channel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Days 40 to 55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Escrow onboarding, live settlement, delivery-linked charging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First clean settlement cycle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ve: Stability Audit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Days 55 to 90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Full five-domain audit on live operations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Pass or conditional pass determination</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x: Full Activation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Days 90 to 120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Final coordinates publish, standard rates, wartime lanes sunset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Full activation declaration</w:t>
            </w:r>
          </w:p>
        </w:tc>
      </w:tr>
    </w:tbl>
    <w:p>
      <w:pPr>
        <w:pStyle w:val="Caption"/>
      </w:pPr>
      <w:r>
        <w:rPr>
          <w:rFonts w:ascii="Georgia" w:hAnsi="Georgia" w:eastAsia="Microsoft YaHei"/>
          <w:color w:val="263238"/>
          <w:sz w:val="22"/>
        </w:rPr>
        <w:t xml:space="preserve">Table 39-1: The activation sequence. Each phase exits on evidence, not on calendar.</w:t>
      </w:r>
    </w:p>
    <w:p>
      <w:pPr>
        <w:pStyle w:val="Heading3"/>
      </w:pPr>
      <w:r>
        <w:rPr>
          <w:rFonts w:ascii="Georgia" w:hAnsi="Georgia" w:eastAsia="Microsoft YaHei"/>
          <w:color w:val="263238"/>
          <w:sz w:val="22"/>
        </w:rPr>
        <w:t xml:space="preserve">39.3 Corridor activation certificates</w:t>
      </w:r>
    </w:p>
    <w:p>
      <w:pPr>
        <w:pStyle w:val="Normal"/>
      </w:pPr>
      <w:r>
        <w:rPr>
          <w:rFonts w:ascii="Georgia" w:hAnsi="Georgia" w:eastAsia="Microsoft YaHei"/>
          <w:color w:val="263238"/>
          <w:sz w:val="22"/>
        </w:rPr>
        <w:t xml:space="preserve">Each corridor opens on a signed certificate: both Coastal State desks and the Neutral Watch Office sign on the evidence of the survey record, the watch-floor readiness check, and the drill results of Annex J. A certificate names its corridor, its evidence, and its date, and publishes the same day.</w:t>
      </w:r>
    </w:p>
    <w:p>
      <w:pPr>
        <w:pStyle w:val="Heading3"/>
      </w:pPr>
      <w:r>
        <w:rPr>
          <w:rFonts w:ascii="Georgia" w:hAnsi="Georgia" w:eastAsia="Microsoft YaHei"/>
          <w:color w:val="263238"/>
          <w:sz w:val="22"/>
        </w:rPr>
        <w:t xml:space="preserve">39.4 Pilot rules</w:t>
      </w:r>
    </w:p>
    <w:p>
      <w:pPr>
        <w:pStyle w:val="Normal"/>
      </w:pPr>
      <w:r>
        <w:rPr>
          <w:rFonts w:ascii="Georgia" w:hAnsi="Georgia" w:eastAsia="Microsoft YaHei"/>
          <w:color w:val="263238"/>
          <w:sz w:val="22"/>
        </w:rPr>
        <w:t xml:space="preserve">During the pilot: rates run at sixty percent; the Anchor-and-Verify Protocol runs at enhanced tempo; observers enjoy full access; enforcement actions run under Twin Key with mandatory after-action review; and either Coastal State desk adjusts its corridor procedures within its own desk's lane on forty-eight hours' published notice, logged and audited.</w:t>
      </w:r>
    </w:p>
    <w:p>
      <w:pPr>
        <w:pStyle w:val="Heading3"/>
      </w:pPr>
      <w:r>
        <w:rPr>
          <w:rFonts w:ascii="Georgia" w:hAnsi="Georgia" w:eastAsia="Microsoft YaHei"/>
          <w:color w:val="263238"/>
          <w:sz w:val="22"/>
        </w:rPr>
        <w:t xml:space="preserve">39.5 Pilot exit paths</w:t>
      </w:r>
    </w:p>
    <w:p>
      <w:pPr>
        <w:pStyle w:val="Normal"/>
      </w:pPr>
      <w:r>
        <w:rPr>
          <w:rFonts w:ascii="Georgia" w:hAnsi="Georgia" w:eastAsia="Microsoft YaHei"/>
          <w:color w:val="263238"/>
          <w:sz w:val="22"/>
        </w:rPr>
        <w:t xml:space="preserve">The pilot ends in one of three states: graduation to full activation on a passing audit; extension of up to sixty days on a conditional pass, with the corrective plan of Annex H executing; or reversion of the affected corridor to the prior routing under default continuity, with the audit stating the reversion cause in public. Failure is information; the architecture metabolizes it and continues.</w:t>
      </w:r>
    </w:p>
    <w:p>
      <w:pPr>
        <w:pStyle w:val="Heading2"/>
      </w:pPr>
      <w:bookmarkStart w:id="151" w:name="_Toc263100051"/>
      <w:r>
        <w:rPr>
          <w:rFonts w:ascii="Georgia" w:hAnsi="Georgia" w:eastAsia="Microsoft YaHei"/>
          <w:color w:val="263238"/>
          <w:sz w:val="22"/>
        </w:rPr>
        <w:t xml:space="preserve">Article 40: The Stability Audit</w:t>
      </w:r>
      <w:bookmarkEnd w:id="151"/>
    </w:p>
    <w:p>
      <w:pPr>
        <w:pStyle w:val="Heading3"/>
      </w:pPr>
      <w:r>
        <w:rPr>
          <w:rFonts w:ascii="Georgia" w:hAnsi="Georgia" w:eastAsia="Microsoft YaHei"/>
          <w:color w:val="263238"/>
          <w:sz w:val="22"/>
        </w:rPr>
        <w:t xml:space="preserve">40.1 The five domains</w:t>
      </w:r>
    </w:p>
    <w:p>
      <w:pPr>
        <w:pStyle w:val="Normal"/>
      </w:pPr>
      <w:r>
        <w:rPr>
          <w:rFonts w:ascii="Georgia" w:hAnsi="Georgia" w:eastAsia="Microsoft YaHei"/>
          <w:color w:val="263238"/>
          <w:sz w:val="22"/>
        </w:rPr>
        <w:t xml:space="preserve">The Stability Audit measures the corridor system in five domains: navigation and AIS compliance; security and deconfliction; monitoring and transparency; environment and safety; and fees, payment, and sanctions-compatibility. Annex H defines every metric, its data source, its threshold, and its scoring. The audit runs on Registry data, watch-floor logs, survey records, and escrow records, with the Neutral Watch Office certifying the dataset before scoring begins.</w:t>
      </w:r>
    </w:p>
    <w:p>
      <w:pPr>
        <w:pStyle w:val="Heading3"/>
      </w:pPr>
      <w:r>
        <w:rPr>
          <w:rFonts w:ascii="Georgia" w:hAnsi="Georgia" w:eastAsia="Microsoft YaHei"/>
          <w:color w:val="263238"/>
          <w:sz w:val="22"/>
        </w:rPr>
        <w:t xml:space="preserve">40.2 Outcomes</w:t>
      </w:r>
    </w:p>
    <w:p>
      <w:pPr>
        <w:pStyle w:val="Normal"/>
      </w:pPr>
      <w:r>
        <w:rPr>
          <w:rFonts w:ascii="Georgia" w:hAnsi="Georgia" w:eastAsia="Microsoft YaHei"/>
          <w:color w:val="263238"/>
          <w:sz w:val="22"/>
        </w:rPr>
        <w:t xml:space="preserve">The audit concludes Pass, Conditional Pass, or Fail. Pass: the Council proceeds to the next activation stage or, in steady state, confirms the openness declaration. Conditional Pass: a corrective plan executes against named metrics within a defined window, and the re-audit reads only those metrics. Fail: the affected process extends, reverts, or redesigns per the exit paths of Article 39, with full publication of cause.</w:t>
      </w:r>
    </w:p>
    <w:p>
      <w:pPr>
        <w:pStyle w:val="Heading3"/>
      </w:pPr>
      <w:r>
        <w:rPr>
          <w:rFonts w:ascii="Georgia" w:hAnsi="Georgia" w:eastAsia="Microsoft YaHei"/>
          <w:color w:val="263238"/>
          <w:sz w:val="22"/>
        </w:rPr>
        <w:t xml:space="preserve">40.3 Steady-state cadence</w:t>
      </w:r>
    </w:p>
    <w:p>
      <w:pPr>
        <w:pStyle w:val="Normal"/>
      </w:pPr>
      <w:r>
        <w:rPr>
          <w:rFonts w:ascii="Georgia" w:hAnsi="Georgia" w:eastAsia="Microsoft YaHei"/>
          <w:color w:val="263238"/>
          <w:sz w:val="22"/>
        </w:rPr>
        <w:t xml:space="preserve">After full activation, the Stability Audit runs annually, with a quarterly audit-lite on the headline metrics: corridor adherence, incident rate, telemetry availability, settlement success, and the premium normalization index. The audit publishes in full. The market, the capitals, and the public read the same numbers at the same time.</w:t>
      </w:r>
    </w:p>
    <w:p>
      <w:pPr>
        <w:pStyle w:val="Heading2"/>
      </w:pPr>
      <w:bookmarkStart w:id="152" w:name="_Toc263100052"/>
      <w:r>
        <w:rPr>
          <w:rFonts w:ascii="Georgia" w:hAnsi="Georgia" w:eastAsia="Microsoft YaHei"/>
          <w:color w:val="263238"/>
          <w:sz w:val="22"/>
        </w:rPr>
        <w:t xml:space="preserve">Article 41: Sunset of Wartime Measures</w:t>
      </w:r>
      <w:bookmarkEnd w:id="152"/>
    </w:p>
    <w:p>
      <w:pPr>
        <w:pStyle w:val="Heading3"/>
      </w:pPr>
      <w:r>
        <w:rPr>
          <w:rFonts w:ascii="Georgia" w:hAnsi="Georgia" w:eastAsia="Microsoft YaHei"/>
          <w:color w:val="263238"/>
          <w:sz w:val="22"/>
        </w:rPr>
        <w:t xml:space="preserve">41.1 Wartime lane sunset</w:t>
      </w:r>
    </w:p>
    <w:p>
      <w:pPr>
        <w:pStyle w:val="Normal"/>
      </w:pPr>
      <w:r>
        <w:rPr>
          <w:rFonts w:ascii="Georgia" w:hAnsi="Georgia" w:eastAsia="Microsoft YaHei"/>
          <w:color w:val="263238"/>
          <w:sz w:val="22"/>
        </w:rPr>
        <w:t xml:space="preserve">Each temporary wartime lane sunsets when its successor corridor certifies. The mapping publishes in Annex A: every 2026 routing instruction points to its permanent successor, and the Joint Maritime Information Center notices of the wartime period retire on a published schedule coordinated with corridor activation.</w:t>
      </w:r>
    </w:p>
    <w:p>
      <w:pPr>
        <w:pStyle w:val="Heading3"/>
      </w:pPr>
      <w:r>
        <w:rPr>
          <w:rFonts w:ascii="Georgia" w:hAnsi="Georgia" w:eastAsia="Microsoft YaHei"/>
          <w:color w:val="263238"/>
          <w:sz w:val="22"/>
        </w:rPr>
        <w:t xml:space="preserve">41.2 Standing-down of emergency arrangements</w:t>
      </w:r>
    </w:p>
    <w:p>
      <w:pPr>
        <w:pStyle w:val="Normal"/>
      </w:pPr>
      <w:r>
        <w:rPr>
          <w:rFonts w:ascii="Georgia" w:hAnsi="Georgia" w:eastAsia="Microsoft YaHei"/>
          <w:color w:val="263238"/>
          <w:sz w:val="22"/>
        </w:rPr>
        <w:t xml:space="preserve">Emergency convoy arrangements, enhanced security areas, and ad hoc routing of the wartime period stand down as the Stability Audit confirms sustained GREEN operation. Stand-down runs corridor by corridor on certification, so that no gap opens between the old arrangement and the new.</w:t>
      </w:r>
    </w:p>
    <w:p>
      <w:pPr>
        <w:pStyle w:val="Heading3"/>
      </w:pPr>
      <w:r>
        <w:rPr>
          <w:rFonts w:ascii="Georgia" w:hAnsi="Georgia" w:eastAsia="Microsoft YaHei"/>
          <w:color w:val="263238"/>
          <w:sz w:val="22"/>
        </w:rPr>
        <w:t xml:space="preserve">41.3 The closure ledger</w:t>
      </w:r>
    </w:p>
    <w:p>
      <w:pPr>
        <w:pStyle w:val="Normal"/>
      </w:pPr>
      <w:r>
        <w:rPr>
          <w:rFonts w:ascii="Georgia" w:hAnsi="Georgia" w:eastAsia="Microsoft YaHei"/>
          <w:color w:val="263238"/>
          <w:sz w:val="22"/>
        </w:rPr>
        <w:t xml:space="preserve">Every wartime measure the Accord replaces enters a closure ledger: the measure, its sunset date, its successor, and its certifying certificate. The ledger publishes, so that the transition reads as a completed bridge rather than a leap.</w:t>
      </w:r>
    </w:p>
    <w:p>
      <w:pPr>
        <w:pStyle w:val="Heading2"/>
      </w:pPr>
      <w:bookmarkStart w:id="153" w:name="_Toc263100053"/>
      <w:r>
        <w:rPr>
          <w:rFonts w:ascii="Georgia" w:hAnsi="Georgia" w:eastAsia="Microsoft YaHei"/>
          <w:color w:val="263238"/>
          <w:sz w:val="22"/>
        </w:rPr>
        <w:t xml:space="preserve">Article 42: Accession, Amendment, and Withdrawal</w:t>
      </w:r>
      <w:bookmarkEnd w:id="153"/>
    </w:p>
    <w:p>
      <w:pPr>
        <w:pStyle w:val="Heading3"/>
      </w:pPr>
      <w:r>
        <w:rPr>
          <w:rFonts w:ascii="Georgia" w:hAnsi="Georgia" w:eastAsia="Microsoft YaHei"/>
          <w:color w:val="263238"/>
          <w:sz w:val="22"/>
        </w:rPr>
        <w:t xml:space="preserve">42.1 Accession</w:t>
      </w:r>
    </w:p>
    <w:p>
      <w:pPr>
        <w:pStyle w:val="Normal"/>
      </w:pPr>
      <w:r>
        <w:rPr>
          <w:rFonts w:ascii="Georgia" w:hAnsi="Georgia" w:eastAsia="Microsoft YaHei"/>
          <w:color w:val="263238"/>
          <w:sz w:val="22"/>
        </w:rPr>
        <w:t xml:space="preserve">GCC member states accede as Regional Participants by executing the Accession Protocol of Annex N. Accession brings observer seats, monitoring access, SAR participation, and the contribution schedule of Annex D. Other states and institutions join as observers on Council invitation under the Consensus Track.</w:t>
      </w:r>
    </w:p>
    <w:p>
      <w:pPr>
        <w:pStyle w:val="Heading3"/>
      </w:pPr>
      <w:r>
        <w:rPr>
          <w:rFonts w:ascii="Georgia" w:hAnsi="Georgia" w:eastAsia="Microsoft YaHei"/>
          <w:color w:val="263238"/>
          <w:sz w:val="22"/>
        </w:rPr>
        <w:t xml:space="preserve">42.2 Amendment</w:t>
      </w:r>
    </w:p>
    <w:p>
      <w:pPr>
        <w:pStyle w:val="Normal"/>
      </w:pPr>
      <w:r>
        <w:rPr>
          <w:rFonts w:ascii="Georgia" w:hAnsi="Georgia" w:eastAsia="Microsoft YaHei"/>
          <w:color w:val="263238"/>
          <w:sz w:val="22"/>
        </w:rPr>
        <w:t xml:space="preserve">Amendment travels the Consensus Track with a sixty-day consideration window and the Perimeter Test applied to the full text. Amendments affecting the Zero-Toll Rule, corridor widths, entry or exit points, or Article 37 take effect only with the additional concurrence of the Endorsing Stakeholders and the GCC Observer College, each voting as a body. Technical annexes amend under the silence procedure of Article 17 within their stated scope.</w:t>
      </w:r>
    </w:p>
    <w:p>
      <w:pPr>
        <w:pStyle w:val="Heading3"/>
      </w:pPr>
      <w:r>
        <w:rPr>
          <w:rFonts w:ascii="Georgia" w:hAnsi="Georgia" w:eastAsia="Microsoft YaHei"/>
          <w:color w:val="263238"/>
          <w:sz w:val="22"/>
        </w:rPr>
        <w:t xml:space="preserve">42.3 Withdrawal</w:t>
      </w:r>
    </w:p>
    <w:p>
      <w:pPr>
        <w:pStyle w:val="Normal"/>
      </w:pPr>
      <w:r>
        <w:rPr>
          <w:rFonts w:ascii="Georgia" w:hAnsi="Georgia" w:eastAsia="Microsoft YaHei"/>
          <w:color w:val="263238"/>
          <w:sz w:val="22"/>
        </w:rPr>
        <w:t xml:space="preserve">A Party withdraws by written instrument to the Depositary, effective twelve months after deposit. During the notice year: the Hormuz Watch governs automatically; the withdrawing Party's escrow balances settle under the audit; its Performance Bond stands against pending claims; and the Facilitators offer good offices continuously. Withdrawal is an act with a price and a procedure, never a fade. The corridor system continues among the remaining participants under default continuity, with the accession architecture absorbing replacement functions.</w:t>
      </w:r>
    </w:p>
    <w:p>
      <w:pPr>
        <w:pStyle w:val="Heading2"/>
      </w:pPr>
      <w:bookmarkStart w:id="154" w:name="_Toc263100054"/>
      <w:r>
        <w:rPr>
          <w:rFonts w:ascii="Georgia" w:hAnsi="Georgia" w:eastAsia="Microsoft YaHei"/>
          <w:color w:val="263238"/>
          <w:sz w:val="22"/>
        </w:rPr>
        <w:t xml:space="preserve">Article 43: Final Provisions</w:t>
      </w:r>
      <w:bookmarkEnd w:id="154"/>
    </w:p>
    <w:p>
      <w:pPr>
        <w:pStyle w:val="Heading3"/>
      </w:pPr>
      <w:r>
        <w:rPr>
          <w:rFonts w:ascii="Georgia" w:hAnsi="Georgia" w:eastAsia="Microsoft YaHei"/>
          <w:color w:val="263238"/>
          <w:sz w:val="22"/>
        </w:rPr>
        <w:t xml:space="preserve">43.1 Depositary and registration</w:t>
      </w:r>
    </w:p>
    <w:p>
      <w:pPr>
        <w:pStyle w:val="Normal"/>
      </w:pPr>
      <w:r>
        <w:rPr>
          <w:rFonts w:ascii="Georgia" w:hAnsi="Georgia" w:eastAsia="Microsoft YaHei"/>
          <w:color w:val="263238"/>
          <w:sz w:val="22"/>
        </w:rPr>
        <w:t xml:space="preserve">The Swiss Confederation serves as Depositary: custody of instruments, certification of texts, and the sealed duplicate of the Shared Registry's annual archive. The Depositary lodges the Accord and its corridor charts with the International Maritime Organization and circulates certified copies to all participants.</w:t>
      </w:r>
    </w:p>
    <w:p>
      <w:pPr>
        <w:pStyle w:val="Heading3"/>
      </w:pPr>
      <w:r>
        <w:rPr>
          <w:rFonts w:ascii="Georgia" w:hAnsi="Georgia" w:eastAsia="Microsoft YaHei"/>
          <w:color w:val="263238"/>
          <w:sz w:val="22"/>
        </w:rPr>
        <w:t xml:space="preserve">43.2 Languages</w:t>
      </w:r>
    </w:p>
    <w:p>
      <w:pPr>
        <w:pStyle w:val="Normal"/>
      </w:pPr>
      <w:r>
        <w:rPr>
          <w:rFonts w:ascii="Georgia" w:hAnsi="Georgia" w:eastAsia="Microsoft YaHei"/>
          <w:color w:val="263238"/>
          <w:sz w:val="22"/>
        </w:rPr>
        <w:t xml:space="preserve">The Accord executes in English, Arabic, and Persian, each text equally authoritative. Divergence among texts resolves through the interpretation notes of Annex M, and persistent divergence resolves in favor of the reading that best preserves the corridor system, the Zero-Toll Rule, and the Red Lines Register.</w:t>
      </w:r>
    </w:p>
    <w:p>
      <w:pPr>
        <w:pStyle w:val="Heading3"/>
      </w:pPr>
      <w:r>
        <w:rPr>
          <w:rFonts w:ascii="Georgia" w:hAnsi="Georgia" w:eastAsia="Microsoft YaHei"/>
          <w:color w:val="263238"/>
          <w:sz w:val="22"/>
        </w:rPr>
        <w:t xml:space="preserve">43.3 Relationship to domestic law</w:t>
      </w:r>
    </w:p>
    <w:p>
      <w:pPr>
        <w:pStyle w:val="Normal"/>
      </w:pPr>
      <w:r>
        <w:rPr>
          <w:rFonts w:ascii="Georgia" w:hAnsi="Georgia" w:eastAsia="Microsoft YaHei"/>
          <w:color w:val="263238"/>
          <w:sz w:val="22"/>
        </w:rPr>
        <w:t xml:space="preserve">Each participant implements the Accord through its own law and files its implementation record with the Depositary. Implementation questions route to the dispute tiers as technical questions wherever the record allows.</w:t>
      </w:r>
    </w:p>
    <w:p>
      <w:pPr>
        <w:pStyle w:val="Heading3"/>
      </w:pPr>
      <w:r>
        <w:rPr>
          <w:rFonts w:ascii="Georgia" w:hAnsi="Georgia" w:eastAsia="Microsoft YaHei"/>
          <w:color w:val="263238"/>
          <w:sz w:val="22"/>
        </w:rPr>
        <w:t xml:space="preserve">43.4 Review conference</w:t>
      </w:r>
    </w:p>
    <w:p>
      <w:pPr>
        <w:pStyle w:val="Normal"/>
      </w:pPr>
      <w:r>
        <w:rPr>
          <w:rFonts w:ascii="Georgia" w:hAnsi="Georgia" w:eastAsia="Microsoft YaHei"/>
          <w:color w:val="263238"/>
          <w:sz w:val="22"/>
        </w:rPr>
        <w:t xml:space="preserve">The Council convenes a review conference every five years, open to all participants and observers, reading the accumulated Stability Audits, the complexity audits, and the Reciprocity Ledger. The conference recommends; it does not amend. The Accord matures by evidence.</w:t>
      </w:r>
    </w:p>
    <w:p>
      <w:pPr>
        <w:pStyle w:val="Heading3"/>
      </w:pPr>
      <w:r>
        <w:rPr>
          <w:rFonts w:ascii="Georgia" w:hAnsi="Georgia" w:eastAsia="Microsoft YaHei"/>
          <w:color w:val="263238"/>
          <w:sz w:val="22"/>
        </w:rPr>
        <w:t xml:space="preserve">43.5 The Annual Citizen's Report</w:t>
      </w:r>
    </w:p>
    <w:p>
      <w:pPr>
        <w:pStyle w:val="Normal"/>
      </w:pPr>
      <w:r>
        <w:rPr>
          <w:rFonts w:ascii="Georgia" w:hAnsi="Georgia" w:eastAsia="Microsoft YaHei"/>
          <w:color w:val="263238"/>
          <w:sz w:val="22"/>
        </w:rPr>
        <w:t xml:space="preserve">Within ninety days of the Stability Audit's publication, the Secretariat issues the Annual Citizen's Report in plain language: how many vessels transited safely, what incidents occurred and how they resolved, where insurance premiums stand and why, the environmental condition of the strait, and the challenges the system met. The Report publishes in English, Arabic, Persian, and the official languages of the United Nations, and distributes to every littoral state, every major registry, and maritime universities. Legitimacy compounds when the public reads the scoreboard.</w:t>
      </w:r>
    </w:p>
    <w:p>
      <w:pPr>
        <w:pStyle w:val="Heading3"/>
      </w:pPr>
      <w:r>
        <w:rPr>
          <w:rFonts w:ascii="Georgia" w:hAnsi="Georgia" w:eastAsia="Microsoft YaHei"/>
          <w:color w:val="263238"/>
          <w:sz w:val="22"/>
        </w:rPr>
        <w:t xml:space="preserve">43.6 The Golden Helmet Award</w:t>
      </w:r>
    </w:p>
    <w:p>
      <w:pPr>
        <w:pStyle w:val="Normal"/>
      </w:pPr>
      <w:r>
        <w:rPr>
          <w:rFonts w:ascii="Georgia" w:hAnsi="Georgia" w:eastAsia="Microsoft YaHei"/>
          <w:color w:val="263238"/>
          <w:sz w:val="22"/>
        </w:rPr>
        <w:t xml:space="preserve">The Council presents the Golden Helmet Award annually: to one individual for extraordinary professionalism in the service of the corridor system, and to one institution for significant contribution to its success. The citation publishes, and the recipients enter the Institutional Memory Vault. The Award converts quiet competence into public honor, and it teaches the system what to celebrate.</w:t>
      </w:r>
    </w:p>
    <w:p>
      <w:pPr>
        <w:pStyle w:val="Heading2"/>
      </w:pPr>
      <w:bookmarkStart w:id="155" w:name="_Toc263100055"/>
      <w:r>
        <w:rPr>
          <w:rFonts w:ascii="Georgia" w:hAnsi="Georgia" w:eastAsia="Microsoft YaHei"/>
          <w:color w:val="263238"/>
          <w:sz w:val="22"/>
        </w:rPr>
        <w:t xml:space="preserve">Signature Pages</w:t>
      </w:r>
      <w:bookmarkEnd w:id="155"/>
    </w:p>
    <w:p>
      <w:pPr>
        <w:pStyle w:val="Normal"/>
      </w:pPr>
      <w:r>
        <w:rPr>
          <w:rFonts w:ascii="Georgia" w:hAnsi="Georgia" w:eastAsia="Microsoft YaHei"/>
          <w:color w:val="263238"/>
          <w:sz w:val="22"/>
        </w:rPr>
        <w:t xml:space="preserve">Executed at Muscat, Sultanate of Oman, in three originals in the English, Arabic, and Persian languages.</w:t>
      </w:r>
    </w:p>
    <w:p>
      <w:pPr>
        <w:pStyle w:val="Normal"/>
      </w:pPr>
      <w:r>
        <w:rPr>
          <w:rFonts w:ascii="Georgia" w:hAnsi="Georgia" w:eastAsia="Microsoft YaHei"/>
          <w:color w:val="263238"/>
          <w:sz w:val="22"/>
        </w:rPr>
        <w:t xml:space="preserve">For the Islamic Republic of Iran: signature line, name, title, date.</w:t>
      </w:r>
    </w:p>
    <w:p>
      <w:pPr>
        <w:pStyle w:val="Normal"/>
      </w:pPr>
      <w:r>
        <w:rPr>
          <w:rFonts w:ascii="Georgia" w:hAnsi="Georgia" w:eastAsia="Microsoft YaHei"/>
          <w:color w:val="263238"/>
          <w:sz w:val="22"/>
        </w:rPr>
        <w:t xml:space="preserve">For the Sultanate of Oman: signature line, name, title, date.</w:t>
      </w:r>
    </w:p>
    <w:p>
      <w:pPr>
        <w:pStyle w:val="Normal"/>
      </w:pPr>
      <w:r>
        <w:rPr>
          <w:rFonts w:ascii="Georgia" w:hAnsi="Georgia" w:eastAsia="Microsoft YaHei"/>
          <w:color w:val="263238"/>
          <w:sz w:val="22"/>
        </w:rPr>
        <w:t xml:space="preserve">Endorsement Protocol, for the United States of America: signature line, name, title, date.</w:t>
      </w:r>
    </w:p>
    <w:p>
      <w:pPr>
        <w:pStyle w:val="Normal"/>
      </w:pPr>
      <w:r>
        <w:rPr>
          <w:rFonts w:ascii="Georgia" w:hAnsi="Georgia" w:eastAsia="Microsoft YaHei"/>
          <w:color w:val="263238"/>
          <w:sz w:val="22"/>
        </w:rPr>
        <w:t xml:space="preserve">Observer Protocol, for the Gulf Cooperation Council Observer College: signature lines for each member state, name, title, date.</w:t>
      </w:r>
    </w:p>
    <w:p>
      <w:pPr>
        <w:pStyle w:val="Normal"/>
      </w:pPr>
      <w:r>
        <w:rPr>
          <w:rFonts w:ascii="Georgia" w:hAnsi="Georgia" w:eastAsia="Microsoft YaHei"/>
          <w:color w:val="263238"/>
          <w:sz w:val="22"/>
        </w:rPr>
        <w:t xml:space="preserve">Witnessed and deposited: for the Swiss Confederation as Depositary and Neutral Facilitator; for the State of Qatar as Facilitator; for the Islamic Republic of Pakistan as Facilitator.</w:t>
      </w:r>
    </w:p>
    <w:p>
      <w:r>
        <w:br w:type="page"/>
      </w:r>
    </w:p>
    <w:p>
      <w:pPr>
        <w:pStyle w:val="Heading1"/>
      </w:pPr>
      <w:bookmarkStart w:id="156" w:name="_Toc263100056"/>
      <w:r>
        <w:rPr>
          <w:rFonts w:ascii="Georgia" w:hAnsi="Georgia" w:eastAsia="Microsoft YaHei"/>
          <w:color w:val="263238"/>
          <w:sz w:val="22"/>
        </w:rPr>
        <w:t xml:space="preserve">Annex A: Corridor Coordinates and Chart Protocol</w:t>
      </w:r>
      <w:bookmarkEnd w:id="156"/>
    </w:p>
    <w:p>
      <w:pPr>
        <w:pStyle w:val="Heading2"/>
      </w:pPr>
      <w:bookmarkStart w:id="157" w:name="_Toc263100057"/>
      <w:r>
        <w:rPr>
          <w:rFonts w:ascii="Georgia" w:hAnsi="Georgia" w:eastAsia="Microsoft YaHei"/>
          <w:color w:val="263238"/>
          <w:sz w:val="22"/>
        </w:rPr>
        <w:t xml:space="preserve">A.1 Purpose and status</w:t>
      </w:r>
      <w:bookmarkEnd w:id="157"/>
    </w:p>
    <w:p>
      <w:pPr>
        <w:pStyle w:val="Normal"/>
      </w:pPr>
      <w:r>
        <w:rPr>
          <w:rFonts w:ascii="Georgia" w:hAnsi="Georgia" w:eastAsia="Microsoft YaHei"/>
          <w:color w:val="263238"/>
          <w:sz w:val="22"/>
        </w:rPr>
        <w:t xml:space="preserve">This Annex publishes the geographic definition of the Hormuz Governance Area and the three corridors, together with the chart custody and amendment protocol of Article 8. Coordinates state in degrees, minutes, and decimal minutes on the WGS 84 datum. The Reference Chart THGCA-RC-01 carries graphical force equal to the tabulated coordinates; where chart and table diverge, the table governs and the Technical and Standards Committee corrects the chart within fourteen days.</w:t>
      </w:r>
    </w:p>
    <w:p>
      <w:pPr>
        <w:pStyle w:val="Heading2"/>
      </w:pPr>
      <w:bookmarkStart w:id="158" w:name="_Toc263100058"/>
      <w:r>
        <w:rPr>
          <w:rFonts w:ascii="Georgia" w:hAnsi="Georgia" w:eastAsia="Microsoft YaHei"/>
          <w:color w:val="263238"/>
          <w:sz w:val="22"/>
        </w:rPr>
        <w:t xml:space="preserve">A.2 Governance Area outer boundary</w:t>
      </w:r>
      <w:bookmarkEnd w:id="158"/>
    </w:p>
    <w:p>
      <w:pPr>
        <w:pStyle w:val="Normal"/>
      </w:pPr>
      <w:r>
        <w:rPr>
          <w:rFonts w:ascii="Georgia" w:hAnsi="Georgia" w:eastAsia="Microsoft YaHei"/>
          <w:color w:val="263238"/>
          <w:sz w:val="22"/>
        </w:rPr>
        <w:t xml:space="preserve">The outer boundary polygon runs through the following turning points in sequence, closing from the final point to the first:</w:t>
      </w:r>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Point</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Latitude (N)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Longitude (E)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Description</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48.0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055 deg 58.0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Western limit, north segment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30.0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12.0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Western approaches, mid strait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-3</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42.0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40.0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Northern limit, Larak sector</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-4</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18.0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057 deg 05.0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Eastern limit, north segment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25 deg 56.0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057 deg 38.0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Eastern limit, Gulf of Oman approach</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-6</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25 deg 40.0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057 deg 22.0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Eastern limit, south segment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-7</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25 deg 44.0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50.0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Southern limit, Musandam sector</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-8</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25 deg 58.0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18.0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Southern approaches, mid strait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12.0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02.0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Western limit, south segment</w:t>
            </w:r>
          </w:p>
        </w:tc>
      </w:tr>
    </w:tbl>
    <w:p>
      <w:pPr>
        <w:pStyle w:val="Caption"/>
      </w:pPr>
      <w:r>
        <w:rPr>
          <w:rFonts w:ascii="Georgia" w:hAnsi="Georgia" w:eastAsia="Microsoft YaHei"/>
          <w:color w:val="263238"/>
          <w:sz w:val="22"/>
        </w:rPr>
        <w:t xml:space="preserve">Table A-1: Outer boundary of the Governance Area. The polygon encloses the strait and its operational approaches.</w:t>
      </w:r>
    </w:p>
    <w:p>
      <w:pPr>
        <w:pStyle w:val="Heading2"/>
      </w:pPr>
      <w:bookmarkStart w:id="159" w:name="_Toc263100059"/>
      <w:r>
        <w:rPr>
          <w:rFonts w:ascii="Georgia" w:hAnsi="Georgia" w:eastAsia="Microsoft YaHei"/>
          <w:color w:val="263238"/>
          <w:sz w:val="22"/>
        </w:rPr>
        <w:t xml:space="preserve">A.3 The Northern Coordination Corridor</w:t>
      </w:r>
      <w:bookmarkEnd w:id="159"/>
    </w:p>
    <w:p>
      <w:pPr>
        <w:pStyle w:val="Normal"/>
      </w:pPr>
      <w:r>
        <w:rPr>
          <w:rFonts w:ascii="Georgia" w:hAnsi="Georgia" w:eastAsia="Microsoft YaHei"/>
          <w:color w:val="263238"/>
          <w:sz w:val="22"/>
        </w:rPr>
        <w:t xml:space="preserve">The Northern Coordination Corridor runs along the Northern Reference Line through Iranian waters. Axis waypoints:</w:t>
      </w:r>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Waypoint</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Latitude (N)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Longitude (E)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Function</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06.0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057 deg 18.0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Eastern entry point, inbound reporting point 1</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C-2</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14.0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58.0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Axis turn, inbound reporting point 2</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C-3</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22.0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38.0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Axis, mid strait, pilot exchange point north</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C-W</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24.0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14.0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Western exit point, inbound reporting point 3</w:t>
            </w:r>
          </w:p>
        </w:tc>
      </w:tr>
    </w:tbl>
    <w:p>
      <w:pPr>
        <w:pStyle w:val="Caption"/>
      </w:pPr>
      <w:r>
        <w:rPr>
          <w:rFonts w:ascii="Georgia" w:hAnsi="Georgia" w:eastAsia="Microsoft YaHei"/>
          <w:color w:val="263238"/>
          <w:sz w:val="22"/>
        </w:rPr>
        <w:t xml:space="preserve">Table A-2: Northern Coordination Corridor axis. Corridor width 2.0 nautical miles, one nautical mile each side of axis, with charted margins of 0.5 nautical miles.</w:t>
      </w:r>
    </w:p>
    <w:p>
      <w:pPr>
        <w:pStyle w:val="Heading2"/>
      </w:pPr>
      <w:bookmarkStart w:id="160" w:name="_Toc263100060"/>
      <w:r>
        <w:rPr>
          <w:rFonts w:ascii="Georgia" w:hAnsi="Georgia" w:eastAsia="Microsoft YaHei"/>
          <w:color w:val="263238"/>
          <w:sz w:val="22"/>
        </w:rPr>
        <w:t xml:space="preserve">A.4 The Southern Assurance Corridor</w:t>
      </w:r>
      <w:bookmarkEnd w:id="160"/>
    </w:p>
    <w:p>
      <w:pPr>
        <w:pStyle w:val="Normal"/>
      </w:pPr>
      <w:r>
        <w:rPr>
          <w:rFonts w:ascii="Georgia" w:hAnsi="Georgia" w:eastAsia="Microsoft YaHei"/>
          <w:color w:val="263238"/>
          <w:sz w:val="22"/>
        </w:rPr>
        <w:t xml:space="preserve">The Southern Assurance Corridor runs along the Southern Reference Line through Omani waters. Axis waypoints:</w:t>
      </w:r>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Waypoint</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Latitude (N)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Longitude (E)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Function</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25 deg 52.0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057 deg 10.0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Eastern entry point, outbound reporting point 1</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C-2</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25 deg 58.0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52.0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Axis turn, outbound reporting point 2</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C-3</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04.0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34.0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Axis, mid strait, pilot exchange point south</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C-W</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08.0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12.0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Western exit point, outbound reporting point 3</w:t>
            </w:r>
          </w:p>
        </w:tc>
      </w:tr>
    </w:tbl>
    <w:p>
      <w:pPr>
        <w:pStyle w:val="Caption"/>
      </w:pPr>
      <w:r>
        <w:rPr>
          <w:rFonts w:ascii="Georgia" w:hAnsi="Georgia" w:eastAsia="Microsoft YaHei"/>
          <w:color w:val="263238"/>
          <w:sz w:val="22"/>
        </w:rPr>
        <w:t xml:space="preserve">Table A-3: Southern Assurance Corridor axis. Corridor width 2.0 nautical miles with charted margins of 0.5 nautical miles.</w:t>
      </w:r>
    </w:p>
    <w:p>
      <w:pPr>
        <w:pStyle w:val="Heading2"/>
      </w:pPr>
      <w:bookmarkStart w:id="161" w:name="_Toc263100061"/>
      <w:r>
        <w:rPr>
          <w:rFonts w:ascii="Georgia" w:hAnsi="Georgia" w:eastAsia="Microsoft YaHei"/>
          <w:color w:val="263238"/>
          <w:sz w:val="22"/>
        </w:rPr>
        <w:t xml:space="preserve">A.5 The Central Buffer Corridor</w:t>
      </w:r>
      <w:bookmarkEnd w:id="161"/>
    </w:p>
    <w:p>
      <w:pPr>
        <w:pStyle w:val="Normal"/>
      </w:pPr>
      <w:r>
        <w:rPr>
          <w:rFonts w:ascii="Georgia" w:hAnsi="Georgia" w:eastAsia="Microsoft YaHei"/>
          <w:color w:val="263238"/>
          <w:sz w:val="22"/>
        </w:rPr>
        <w:t xml:space="preserve">The Central Buffer Corridor occupies the separation between the inbound and outbound corridors along the Central Reference Line:</w:t>
      </w:r>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Waypoint</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Latitude (N)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Longitude (E)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Function</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25 deg 59.0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057 deg 14.0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Eastern buffer entry, emergency diversion point alpha</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C-2</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06.0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55.0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Buffer axis, emergency diversion point bravo</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C-3</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13.0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36.0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Buffer axis, mid strait, naval routing preference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C-W</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26 deg 16.0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056 deg 13.0 min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Western buffer exit, emergency diversion point charlie</w:t>
            </w:r>
          </w:p>
        </w:tc>
      </w:tr>
    </w:tbl>
    <w:p>
      <w:pPr>
        <w:pStyle w:val="Caption"/>
      </w:pPr>
      <w:r>
        <w:rPr>
          <w:rFonts w:ascii="Georgia" w:hAnsi="Georgia" w:eastAsia="Microsoft YaHei"/>
          <w:color w:val="263238"/>
          <w:sz w:val="22"/>
        </w:rPr>
        <w:t xml:space="preserve">Table A-4: Central Buffer Corridor axis. Width 2.0 nautical miles. No routine commercial traffic.</w:t>
      </w:r>
    </w:p>
    <w:p>
      <w:pPr>
        <w:pStyle w:val="Heading2"/>
      </w:pPr>
      <w:bookmarkStart w:id="162" w:name="_Toc263100062"/>
      <w:r>
        <w:rPr>
          <w:rFonts w:ascii="Georgia" w:hAnsi="Georgia" w:eastAsia="Microsoft YaHei"/>
          <w:color w:val="263238"/>
          <w:sz w:val="22"/>
        </w:rPr>
        <w:t xml:space="preserve">A.6 Anchorages and special points</w:t>
      </w:r>
      <w:bookmarkEnd w:id="162"/>
    </w:p>
    <w:p>
      <w:pPr>
        <w:pStyle w:val="Normal"/>
      </w:pPr>
      <w:r>
        <w:rPr>
          <w:rFonts w:ascii="Georgia" w:hAnsi="Georgia" w:eastAsia="Microsoft YaHei"/>
          <w:color w:val="263238"/>
          <w:sz w:val="22"/>
        </w:rPr>
        <w:t xml:space="preserve">The verification anchorage for the Anchor-and-Verify Protocol sits at 25 deg 50.0 min N, 057 deg 24.0 min E, clear of all corridor axes. The SAR holding points, the escort pooling muster points, and the pilot boarding grounds chart on THGCA-RC-01 sheets 2 through 4.</w:t>
      </w:r>
    </w:p>
    <w:p>
      <w:pPr>
        <w:pStyle w:val="Heading2"/>
      </w:pPr>
      <w:bookmarkStart w:id="163" w:name="_Toc263100063"/>
      <w:r>
        <w:rPr>
          <w:rFonts w:ascii="Georgia" w:hAnsi="Georgia" w:eastAsia="Microsoft YaHei"/>
          <w:color w:val="263238"/>
          <w:sz w:val="22"/>
        </w:rPr>
        <w:t xml:space="preserve">A.7 Wartime lane succession map</w:t>
      </w:r>
      <w:bookmarkEnd w:id="163"/>
    </w:p>
    <w:p>
      <w:pPr>
        <w:pStyle w:val="Normal"/>
      </w:pPr>
      <w:r>
        <w:rPr>
          <w:rFonts w:ascii="Georgia" w:hAnsi="Georgia" w:eastAsia="Microsoft YaHei"/>
          <w:color w:val="263238"/>
          <w:sz w:val="22"/>
        </w:rPr>
        <w:t xml:space="preserve">Each temporary wartime lane maps to its permanent successor as follows: the 2026 southern security route succeeds to the Southern Assurance Corridor; the 2026 northern declared corridor succeeds to the Northern Coordination Corridor; and the 2026 central deconfliction routing succeeds to the Central Buffer Corridor. Sunsetting executes per Article 41 on corridor certification.</w:t>
      </w:r>
    </w:p>
    <w:p>
      <w:pPr>
        <w:pStyle w:val="Heading2"/>
      </w:pPr>
      <w:bookmarkStart w:id="164" w:name="_Toc263100064"/>
      <w:r>
        <w:rPr>
          <w:rFonts w:ascii="Georgia" w:hAnsi="Georgia" w:eastAsia="Microsoft YaHei"/>
          <w:color w:val="263238"/>
          <w:sz w:val="22"/>
        </w:rPr>
        <w:t xml:space="preserve">A.8 Chart amendment protocol</w:t>
      </w:r>
      <w:bookmarkEnd w:id="164"/>
    </w:p>
    <w:p>
      <w:pPr>
        <w:pStyle w:val="Normal"/>
      </w:pPr>
      <w:r>
        <w:rPr>
          <w:rFonts w:ascii="Georgia" w:hAnsi="Georgia" w:eastAsia="Microsoft YaHei"/>
          <w:color w:val="263238"/>
          <w:sz w:val="22"/>
        </w:rPr>
        <w:t xml:space="preserve">Chart amendment follows six steps. Step one: the proposing desk files the amendment with the Technical and Standards Committee. Step two: the Committee verifies datum, closure, and consistency with the Red Lines Register. Step three: the silence procedure runs twenty-one days. Step four: the Council notes adoption on the Consensus Track where corridor width, entry points, or exit points change. Step five: the Operations Center issues the corrected chart and the Bulletin notice. Step six: the Depositary lodges the corrected chart with the International Maritime Organization. Every amendment versions in the Shared Registry with a rollback copy.</w:t>
      </w:r>
    </w:p>
    <w:p>
      <w:pPr>
        <w:pStyle w:val="Heading2"/>
      </w:pPr>
      <w:bookmarkStart w:id="165" w:name="_Toc263100065"/>
      <w:r>
        <w:rPr>
          <w:rFonts w:ascii="Georgia" w:hAnsi="Georgia" w:eastAsia="Microsoft YaHei"/>
          <w:color w:val="263238"/>
          <w:sz w:val="22"/>
        </w:rPr>
        <w:t xml:space="preserve">A.9 Publication rule</w:t>
      </w:r>
      <w:bookmarkEnd w:id="165"/>
    </w:p>
    <w:p>
      <w:pPr>
        <w:pStyle w:val="Normal"/>
      </w:pPr>
      <w:r>
        <w:rPr>
          <w:rFonts w:ascii="Georgia" w:hAnsi="Georgia" w:eastAsia="Microsoft YaHei"/>
          <w:color w:val="263238"/>
          <w:sz w:val="22"/>
        </w:rPr>
        <w:t xml:space="preserve">Corridor coordinates publish in full at full activation under Article 39. During the pilot, provisional guidance publishes at one-minute resolution and the final coordinates lodge with the Depositary under seal, releasing automatically on the full activation declaration.</w:t>
      </w:r>
    </w:p>
    <w:p>
      <w:pPr>
        <w:pStyle w:val="Heading1"/>
      </w:pPr>
      <w:bookmarkStart w:id="166" w:name="_Toc263100066"/>
      <w:r>
        <w:rPr>
          <w:rFonts w:ascii="Georgia" w:hAnsi="Georgia" w:eastAsia="Microsoft YaHei"/>
          <w:color w:val="263238"/>
          <w:sz w:val="22"/>
        </w:rPr>
        <w:t xml:space="preserve">Annex B: Monitoring, Transparency, and Incident Reporting Protocol</w:t>
      </w:r>
      <w:bookmarkEnd w:id="166"/>
    </w:p>
    <w:p>
      <w:pPr>
        <w:pStyle w:val="Heading2"/>
      </w:pPr>
      <w:bookmarkStart w:id="167" w:name="_Toc263100067"/>
      <w:r>
        <w:rPr>
          <w:rFonts w:ascii="Georgia" w:hAnsi="Georgia" w:eastAsia="Microsoft YaHei"/>
          <w:color w:val="263238"/>
          <w:sz w:val="22"/>
        </w:rPr>
        <w:t xml:space="preserve">B.1 The monitoring stack</w:t>
      </w:r>
      <w:bookmarkEnd w:id="167"/>
    </w:p>
    <w:p>
      <w:pPr>
        <w:pStyle w:val="Normal"/>
      </w:pPr>
      <w:r>
        <w:rPr>
          <w:rFonts w:ascii="Georgia" w:hAnsi="Georgia" w:eastAsia="Microsoft YaHei"/>
          <w:color w:val="263238"/>
          <w:sz w:val="22"/>
        </w:rPr>
        <w:t xml:space="preserve">The monitoring stack runs four layers: the fused radar picture contributed by both Coastal States; the AIS layer covering every vessel in the Governance Area; the environmental sensor grid of Annex F; and the human layer of watch-floor logs, patrol reports, and embarked observer records. The four layers fuse into the golden record of the Shared Registry: simultaneous, unalterable, transparent to entitled recipients, and non-attributable for political purposes.</w:t>
      </w:r>
    </w:p>
    <w:p>
      <w:pPr>
        <w:pStyle w:val="Heading2"/>
      </w:pPr>
      <w:bookmarkStart w:id="168" w:name="_Toc263100068"/>
      <w:r>
        <w:rPr>
          <w:rFonts w:ascii="Georgia" w:hAnsi="Georgia" w:eastAsia="Microsoft YaHei"/>
          <w:color w:val="263238"/>
          <w:sz w:val="22"/>
        </w:rPr>
        <w:t xml:space="preserve">B.2 Data standards</w:t>
      </w:r>
      <w:bookmarkEnd w:id="168"/>
    </w:p>
    <w:p>
      <w:pPr>
        <w:pStyle w:val="Normal"/>
      </w:pPr>
      <w:r>
        <w:rPr>
          <w:rFonts w:ascii="Georgia" w:hAnsi="Georgia" w:eastAsia="Microsoft YaHei"/>
          <w:color w:val="263238"/>
          <w:sz w:val="22"/>
        </w:rPr>
        <w:t xml:space="preserve">All contributed data meets the standards of the Standards Register: signal-to-noise ratio above the published floor per feed class; message formats per the Committee's interface control documents; and continuous availability at or above ninety-five percent monthly per feed. Three or more consecutive formatting alerts or signal violations within seventy-two hours read as a persistent data quality failure, handled as a Tier 1 event with technical assistance, and escalating to Tier 2 only on the pattern evidence of Article 33.</w:t>
      </w:r>
    </w:p>
    <w:p>
      <w:pPr>
        <w:pStyle w:val="Heading2"/>
      </w:pPr>
      <w:bookmarkStart w:id="169" w:name="_Toc263100069"/>
      <w:r>
        <w:rPr>
          <w:rFonts w:ascii="Georgia" w:hAnsi="Georgia" w:eastAsia="Microsoft YaHei"/>
          <w:color w:val="263238"/>
          <w:sz w:val="22"/>
        </w:rPr>
        <w:t xml:space="preserve">B.3 Access tiers</w:t>
      </w:r>
      <w:bookmarkEnd w:id="169"/>
    </w:p>
    <w:p>
      <w:pPr>
        <w:pStyle w:val="Normal"/>
      </w:pPr>
      <w:r>
        <w:rPr>
          <w:rFonts w:ascii="Georgia" w:hAnsi="Georgia" w:eastAsia="Microsoft YaHei"/>
          <w:color w:val="263238"/>
          <w:sz w:val="22"/>
        </w:rPr>
        <w:t xml:space="preserve">Access runs in four published tiers. Tier One, public: the Bulletin, corridor status, delivery states, incident statistics, and audit publications, through the Route Assurance Data Service. Tier Two, market and registry: the machine-readable assurance feed, Seal verification, and the quarterly audit-lite, for registries, insurers, and the Stakeholder Panel. Tier Three, participants: the full fused picture, incident logs, and audit working papers, for the Council, GCC observers, European observers, and Endorsing Stakeholders. Tier Four, desks: national raw feeds and watch-floor working records, under the two-key rule of Article 27.</w:t>
      </w:r>
    </w:p>
    <w:p>
      <w:pPr>
        <w:pStyle w:val="Heading2"/>
      </w:pPr>
      <w:bookmarkStart w:id="170" w:name="_Toc263100070"/>
      <w:r>
        <w:rPr>
          <w:rFonts w:ascii="Georgia" w:hAnsi="Georgia" w:eastAsia="Microsoft YaHei"/>
          <w:color w:val="263238"/>
          <w:sz w:val="22"/>
        </w:rPr>
        <w:t xml:space="preserve">B.4 Anomaly severity classification</w:t>
      </w:r>
      <w:bookmarkEnd w:id="170"/>
    </w:p>
    <w:p>
      <w:pPr>
        <w:pStyle w:val="Normal"/>
      </w:pPr>
      <w:r>
        <w:rPr>
          <w:rFonts w:ascii="Georgia" w:hAnsi="Georgia" w:eastAsia="Microsoft YaHei"/>
          <w:color w:val="263238"/>
          <w:sz w:val="22"/>
        </w:rPr>
        <w:t xml:space="preserve">Anomalies classify on four levels. Level 1, Informational: scheduled maintenance, minor transmission interruption; no notification. Level 2, Technical Review: unscheduled downtime under four hours, single anomalous reading; technical review within seven days; no penalty. Level 3, Compliance Review: unscheduled downtime over four hours or a pattern of anomalous readings; enhanced review within seventy-two hours; Tier 1 classification applies if unresolved in fourteen days. Level 4, Breach Indicator: evidence of tampering, deliberate disablement, or material falsification; the Council convenes within twenty-four hours; executive consultation precedes any Tier 2 step. Only Level 4 touches the compliance engine.</w:t>
      </w:r>
    </w:p>
    <w:p>
      <w:pPr>
        <w:pStyle w:val="Heading2"/>
      </w:pPr>
      <w:bookmarkStart w:id="171" w:name="_Toc263100071"/>
      <w:r>
        <w:rPr>
          <w:rFonts w:ascii="Georgia" w:hAnsi="Georgia" w:eastAsia="Microsoft YaHei"/>
          <w:color w:val="263238"/>
          <w:sz w:val="22"/>
        </w:rPr>
        <w:t xml:space="preserve">B.5 Anomaly response playbook</w:t>
      </w:r>
      <w:bookmarkEnd w:id="171"/>
    </w:p>
    <w:p>
      <w:pPr>
        <w:pStyle w:val="Normal"/>
      </w:pPr>
      <w:r>
        <w:rPr>
          <w:rFonts w:ascii="Georgia" w:hAnsi="Georgia" w:eastAsia="Microsoft YaHei"/>
          <w:color w:val="263238"/>
          <w:sz w:val="22"/>
        </w:rPr>
        <w:t xml:space="preserve">A Level 3 or Level 4 alert executes three steps automatically. Step one: the duty officer transmits the alert to both desks and the Neutral Watch Office within five minutes, with classification and deviation type. Step two: affected operations in the alert vicinity adopt the pre-vetted stand-down posture until resolution or upgrade. Step three: an emergency technical conference convenes within thirty minutes, logged to the Registry. The playbook binds from signature; deviation takes written mutual agreement.</w:t>
      </w:r>
    </w:p>
    <w:p>
      <w:pPr>
        <w:pStyle w:val="Heading2"/>
      </w:pPr>
      <w:bookmarkStart w:id="172" w:name="_Toc263100072"/>
      <w:r>
        <w:rPr>
          <w:rFonts w:ascii="Georgia" w:hAnsi="Georgia" w:eastAsia="Microsoft YaHei"/>
          <w:color w:val="263238"/>
          <w:sz w:val="22"/>
        </w:rPr>
        <w:t xml:space="preserve">B.6 Technical Truth Escalation Chain</w:t>
      </w:r>
      <w:bookmarkEnd w:id="172"/>
    </w:p>
    <w:p>
      <w:pPr>
        <w:pStyle w:val="Normal"/>
      </w:pPr>
      <w:r>
        <w:rPr>
          <w:rFonts w:ascii="Georgia" w:hAnsi="Georgia" w:eastAsia="Microsoft YaHei"/>
          <w:color w:val="263238"/>
          <w:sz w:val="22"/>
        </w:rPr>
        <w:t xml:space="preserve">Data fidelity disputes resolve on a binding five-day chain. Day one: the chief technical officer reviews raw feeds and chain of custody and issues a preliminary finding within twenty-four hours. Day three: either desk escalates to the Technical and Standards Committee, which convenes within forty-eight hours and issues a corroboration report. Day five: either desk escalates to a three-member neutral expert panel from the Swiss Facilitator's standing pool; the panel's determination on data fidelity is final. A registered dispute freezes operational responses to the disputed event for twenty-four hours; the freeze lifts automatically on resolution.</w:t>
      </w:r>
    </w:p>
    <w:p>
      <w:pPr>
        <w:pStyle w:val="Heading2"/>
      </w:pPr>
      <w:bookmarkStart w:id="173" w:name="_Toc263100073"/>
      <w:r>
        <w:rPr>
          <w:rFonts w:ascii="Georgia" w:hAnsi="Georgia" w:eastAsia="Microsoft YaHei"/>
          <w:color w:val="263238"/>
          <w:sz w:val="22"/>
        </w:rPr>
        <w:t xml:space="preserve">B.7 Incident reporting standard</w:t>
      </w:r>
      <w:bookmarkEnd w:id="173"/>
    </w:p>
    <w:p>
      <w:pPr>
        <w:pStyle w:val="Normal"/>
      </w:pPr>
      <w:r>
        <w:rPr>
          <w:rFonts w:ascii="Georgia" w:hAnsi="Georgia" w:eastAsia="Microsoft YaHei"/>
          <w:color w:val="263238"/>
          <w:sz w:val="22"/>
        </w:rPr>
        <w:t xml:space="preserve">Every incident in the Governance Area logs on the public incident log within forty-eight hours: timestamp, location, vessel class, event type, response timeline, and outcome. Serious incidents publish a joint factual record within fourteen days under the Mishap Protocol. The log carries no blame column; it carries facts. Insurers, registries, and the public read the same log.</w:t>
      </w:r>
    </w:p>
    <w:p>
      <w:pPr>
        <w:pStyle w:val="Heading2"/>
      </w:pPr>
      <w:bookmarkStart w:id="174" w:name="_Toc263100074"/>
      <w:r>
        <w:rPr>
          <w:rFonts w:ascii="Georgia" w:hAnsi="Georgia" w:eastAsia="Microsoft YaHei"/>
          <w:color w:val="263238"/>
          <w:sz w:val="22"/>
        </w:rPr>
        <w:t xml:space="preserve">B.8 The Red Team</w:t>
      </w:r>
      <w:bookmarkEnd w:id="174"/>
    </w:p>
    <w:p>
      <w:pPr>
        <w:pStyle w:val="Normal"/>
      </w:pPr>
      <w:r>
        <w:rPr>
          <w:rFonts w:ascii="Georgia" w:hAnsi="Georgia" w:eastAsia="Microsoft YaHei"/>
          <w:color w:val="263238"/>
          <w:sz w:val="22"/>
        </w:rPr>
        <w:t xml:space="preserve">A standing Red Team probes the monitoring architecture continuously: data integrity tests, spoofing resilience, chain-of-custody verification, and physical security review. The Red Team reports weekly to both desks and the Neutral Watch Office, tracks corrective actions to closure, and publishes an annual integrity statement. Red Team membership rotates annually, and no member holds nationality of any participant.</w:t>
      </w:r>
    </w:p>
    <w:p>
      <w:pPr>
        <w:pStyle w:val="Heading2"/>
      </w:pPr>
      <w:bookmarkStart w:id="175" w:name="_Toc263100075"/>
      <w:r>
        <w:rPr>
          <w:rFonts w:ascii="Georgia" w:hAnsi="Georgia" w:eastAsia="Microsoft YaHei"/>
          <w:color w:val="263238"/>
          <w:sz w:val="22"/>
        </w:rPr>
        <w:t xml:space="preserve">B.9 Performance benchmarks</w:t>
      </w:r>
      <w:bookmarkEnd w:id="175"/>
    </w:p>
    <w:p>
      <w:pPr>
        <w:pStyle w:val="Normal"/>
      </w:pPr>
      <w:r>
        <w:rPr>
          <w:rFonts w:ascii="Georgia" w:hAnsi="Georgia" w:eastAsia="Microsoft YaHei"/>
          <w:color w:val="263238"/>
          <w:sz w:val="22"/>
        </w:rPr>
        <w:t xml:space="preserve">The monitoring stack holds itself to five published benchmarks: system availability above ninety-five percent across feeds; latency symmetry under thirty seconds across recipients; anomaly false-positive rate below the published threshold; watch-floor staffing at one hundred percent of the parity formula; and Registry logging without gaps exceeding fifteen minutes. The annual Stability Audit scores every benchmark, and any miss triggers a corrective plan with a named owner and date.</w:t>
      </w:r>
    </w:p>
    <w:p>
      <w:pPr>
        <w:pStyle w:val="Heading2"/>
      </w:pPr>
      <w:bookmarkStart w:id="176" w:name="_Toc263100076"/>
      <w:r>
        <w:rPr>
          <w:rFonts w:ascii="Georgia" w:hAnsi="Georgia" w:eastAsia="Microsoft YaHei"/>
          <w:color w:val="263238"/>
          <w:sz w:val="22"/>
        </w:rPr>
        <w:t xml:space="preserve">B.10 Declassification schedule</w:t>
      </w:r>
      <w:bookmarkEnd w:id="176"/>
    </w:p>
    <w:p>
      <w:pPr>
        <w:pStyle w:val="Normal"/>
      </w:pPr>
      <w:r>
        <w:rPr>
          <w:rFonts w:ascii="Georgia" w:hAnsi="Georgia" w:eastAsia="Microsoft YaHei"/>
          <w:color w:val="263238"/>
          <w:sz w:val="22"/>
        </w:rPr>
        <w:t xml:space="preserve">Operational data declassifies on a rolling three-year schedule, with personal data redacted by the Swiss Facilitator before release. Live naval locations in the deconfliction channel declassify after ninety days. The declassification program gives researchers, insurers, and historians the full record of the architecture at work, and it gives every participant the confidence that the record outlives the moment.</w:t>
      </w:r>
    </w:p>
    <w:p>
      <w:pPr>
        <w:pStyle w:val="Heading2"/>
      </w:pPr>
      <w:bookmarkStart w:id="177" w:name="_Toc263100077"/>
      <w:r>
        <w:rPr>
          <w:rFonts w:ascii="Georgia" w:hAnsi="Georgia" w:eastAsia="Microsoft YaHei"/>
          <w:color w:val="263238"/>
          <w:sz w:val="22"/>
        </w:rPr>
        <w:t xml:space="preserve">B.11 The Dark Start Protocol</w:t>
      </w:r>
      <w:bookmarkEnd w:id="177"/>
    </w:p>
    <w:p>
      <w:pPr>
        <w:pStyle w:val="Normal"/>
      </w:pPr>
      <w:r>
        <w:rPr>
          <w:rFonts w:ascii="Georgia" w:hAnsi="Georgia" w:eastAsia="Microsoft YaHei"/>
          <w:color w:val="263238"/>
          <w:sz w:val="22"/>
        </w:rPr>
        <w:t xml:space="preserve">A catastrophic loss of electronic monitoring, communications, or data systems activates Dark Start mode: the Accord operates on paper, voice, and line of sight. Pre-printed water-resistant routing cards stand distributed to registered vessels; voice reporting runs on the designated VHF channels; both watch floors keep manual paper logs; visual signals carry emergency traffic; and physically separated non-electronic copies of all critical contact lists, coordinates, and procedures sit in sealed custody at both sites. The Dark Start Protocol drills twice each year, and its materials refresh annually. Even in a total silicon collapse, the strait does not descend into chaos.</w:t>
      </w:r>
    </w:p>
    <w:p>
      <w:r>
        <w:br w:type="page"/>
      </w:r>
    </w:p>
    <w:p>
      <w:pPr>
        <w:pStyle w:val="Heading1"/>
      </w:pPr>
      <w:bookmarkStart w:id="178" w:name="_Toc263100078"/>
      <w:r>
        <w:rPr>
          <w:rFonts w:ascii="Georgia" w:hAnsi="Georgia" w:eastAsia="Microsoft YaHei"/>
          <w:color w:val="263238"/>
          <w:sz w:val="22"/>
        </w:rPr>
        <w:t xml:space="preserve">Annex C: Security Functions and the Twin Key Deconfliction Rules</w:t>
      </w:r>
      <w:bookmarkEnd w:id="178"/>
    </w:p>
    <w:p>
      <w:pPr>
        <w:pStyle w:val="Heading2"/>
      </w:pPr>
      <w:bookmarkStart w:id="179" w:name="_Toc263100079"/>
      <w:r>
        <w:rPr>
          <w:rFonts w:ascii="Georgia" w:hAnsi="Georgia" w:eastAsia="Microsoft YaHei"/>
          <w:color w:val="263238"/>
          <w:sz w:val="22"/>
        </w:rPr>
        <w:t xml:space="preserve">C.1 The functional allocation table</w:t>
      </w:r>
      <w:bookmarkEnd w:id="179"/>
    </w:p>
    <w:p>
      <w:pPr>
        <w:pStyle w:val="Normal"/>
      </w:pPr>
      <w:r>
        <w:rPr>
          <w:rFonts w:ascii="Georgia" w:hAnsi="Georgia" w:eastAsia="Microsoft YaHei"/>
          <w:color w:val="263238"/>
          <w:sz w:val="22"/>
        </w:rPr>
        <w:t xml:space="preserve">Every security-relevant function in the corridor system maps to an initiating desk, a concurring key, a witness, and a fallback. The table below carries operative force.</w:t>
      </w:r>
    </w:p>
    <w:tbl>
      <w:tblPr>
        <w:tblW w:w="5000" w:type="pct"/>
        <w:tblBorders>
          <w:top w:val="single" w:color="1C3F4E" w:sz="12"/>
          <w:left w:val="nil"/>
          <w:bottom w:val="single" w:color="1C3F4E" w:sz="12"/>
          <w:right w:val="nil"/>
          <w:insideH w:val="single" w:color="C4D2D8" w:sz="2"/>
          <w:insideV w:val="nil"/>
        </w:tblBorders>
      </w:tblPr>
      <w:tblGrid>
        <w:gridCol w:w="1805"/>
        <w:gridCol w:w="1805"/>
        <w:gridCol w:w="1805"/>
        <w:gridCol w:w="1805"/>
        <w:gridCol w:w="1805"/>
      </w:tblGrid>
      <w:tr>
        <w:trPr>
          <w:tblHeader/>
        </w:trPr>
        <w:tc>
          <w:tcPr>
            <w:tcW w:w="1805"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Function</w:t>
            </w:r>
          </w:p>
        </w:tc>
        <w:tc>
          <w:tcPr>
            <w:tcW w:w="1805"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Initiating desk</w:t>
            </w:r>
          </w:p>
        </w:tc>
        <w:tc>
          <w:tcPr>
            <w:tcW w:w="1805"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Concurring key</w:t>
            </w:r>
          </w:p>
        </w:tc>
        <w:tc>
          <w:tcPr>
            <w:tcW w:w="1805"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Witness</w:t>
            </w:r>
          </w:p>
        </w:tc>
        <w:tc>
          <w:tcPr>
            <w:tcW w:w="1805"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Fallback</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bound traffic sequencing</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Iran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Oman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Last published sequence plan</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tbound traffic sequencing</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Oman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GCC observer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Last published sequence plan</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ffer corridor emergency opening</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Either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Other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Automatic opening on distress</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ne-risk alert issuance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Either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Other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Automatic publication on sensor trigger</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 Key Safety Intercept</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Either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Other desk plus 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Registry live log</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Immediate release after 6 hours</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cort pooling activation</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Oman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Iran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GCC observer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Published escort standing orders</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ow State escalation</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Either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Automatic concurrence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Not applicable</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ow State normalization</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Either desk</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Other desk, active confirmation</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 session</w:t>
            </w:r>
          </w:p>
        </w:tc>
      </w:tr>
      <w:tr>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litary deconfliction alert</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Any channel party</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Not required, informational</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1805"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Hotline escalation</w:t>
            </w:r>
          </w:p>
        </w:tc>
      </w:tr>
    </w:tbl>
    <w:p>
      <w:pPr>
        <w:pStyle w:val="Caption"/>
      </w:pPr>
      <w:r>
        <w:rPr>
          <w:rFonts w:ascii="Georgia" w:hAnsi="Georgia" w:eastAsia="Microsoft YaHei"/>
          <w:color w:val="263238"/>
          <w:sz w:val="22"/>
        </w:rPr>
        <w:t xml:space="preserve">Table C-1: Functional allocation of security functions. Initiation and concurrence travel separately; no single hand acts alone.</w:t>
      </w:r>
    </w:p>
    <w:p>
      <w:pPr>
        <w:pStyle w:val="Heading2"/>
      </w:pPr>
      <w:bookmarkStart w:id="180" w:name="_Toc263100080"/>
      <w:r>
        <w:rPr>
          <w:rFonts w:ascii="Georgia" w:hAnsi="Georgia" w:eastAsia="Microsoft YaHei"/>
          <w:color w:val="263238"/>
          <w:sz w:val="22"/>
        </w:rPr>
        <w:t xml:space="preserve">C.2 The Twin Key Safety Intercept</w:t>
      </w:r>
      <w:bookmarkEnd w:id="180"/>
    </w:p>
    <w:p>
      <w:pPr>
        <w:pStyle w:val="Normal"/>
      </w:pPr>
      <w:r>
        <w:rPr>
          <w:rFonts w:ascii="Georgia" w:hAnsi="Georgia" w:eastAsia="Microsoft YaHei"/>
          <w:color w:val="263238"/>
          <w:sz w:val="22"/>
        </w:rPr>
        <w:t xml:space="preserve">The sole interruption authority in the corridor system executes as follows. Step one: the initiating desk declares an imminent danger to life or to the corridor system, with the factual basis stated. Step two: the concurring key and the Neutral Watch Office witness record concurrence; concurrence for immediate danger to life runs on a ten-minute clock and defaults to consent. Step three: the intercept executes with minimum force of procedure: direction, not detention. Step four: the Shared Registry logs the entire event in real time. Step five: the vessel releases or routes onward within six hours unless the Council extends on the Consensus Track. Step six: the dispute tier reviews the intercept within twenty-four hours on the affected party's filing, with compensation from the Fund for a wrongful intercept. An intercept outside this procedure reads as a Tier 2 event, and a pattern of such intercepts reads as Tier 3 evidence.</w:t>
      </w:r>
    </w:p>
    <w:p>
      <w:pPr>
        <w:pStyle w:val="Heading2"/>
      </w:pPr>
      <w:bookmarkStart w:id="181" w:name="_Toc263100081"/>
      <w:r>
        <w:rPr>
          <w:rFonts w:ascii="Georgia" w:hAnsi="Georgia" w:eastAsia="Microsoft YaHei"/>
          <w:color w:val="263238"/>
          <w:sz w:val="22"/>
        </w:rPr>
        <w:t xml:space="preserve">C.3 Escort pooling rules</w:t>
      </w:r>
      <w:bookmarkEnd w:id="181"/>
    </w:p>
    <w:p>
      <w:pPr>
        <w:pStyle w:val="Normal"/>
      </w:pPr>
      <w:r>
        <w:rPr>
          <w:rFonts w:ascii="Georgia" w:hAnsi="Georgia" w:eastAsia="Microsoft YaHei"/>
          <w:color w:val="263238"/>
          <w:sz w:val="22"/>
        </w:rPr>
        <w:t xml:space="preserve">Escort pooling operates in Flow States AMBER and RED, and in GREEN on Stakeholder Panel request through the Council. Pool geometry publishes: escort stations at the corridor entries, convoy spacing of four nautical miles, and commercial speed bands per class. Escort vessels fly their national flags and operate under their national commands; the pool coordinates scheduling and geometry only. No escort charges any vessel; the Fund reimburses at published cost-recovery rates under Article 22.</w:t>
      </w:r>
    </w:p>
    <w:p>
      <w:pPr>
        <w:pStyle w:val="Heading2"/>
      </w:pPr>
      <w:bookmarkStart w:id="182" w:name="_Toc263100082"/>
      <w:r>
        <w:rPr>
          <w:rFonts w:ascii="Georgia" w:hAnsi="Georgia" w:eastAsia="Microsoft YaHei"/>
          <w:color w:val="263238"/>
          <w:sz w:val="22"/>
        </w:rPr>
        <w:t xml:space="preserve">C.4 Degraded security modes</w:t>
      </w:r>
      <w:bookmarkEnd w:id="182"/>
    </w:p>
    <w:p>
      <w:pPr>
        <w:pStyle w:val="Normal"/>
      </w:pPr>
      <w:r>
        <w:rPr>
          <w:rFonts w:ascii="Georgia" w:hAnsi="Georgia" w:eastAsia="Microsoft YaHei"/>
          <w:color w:val="263238"/>
          <w:sz w:val="22"/>
        </w:rPr>
        <w:t xml:space="preserve">A desk that loses operational capability hands its functions to the surviving desk under the continuity plan, with the Neutral Watch Office witnessing every action until parity restores. The handover document signs in advance, at entry into force, so that crisis never improvises authority.</w:t>
      </w:r>
    </w:p>
    <w:p>
      <w:pPr>
        <w:pStyle w:val="Heading2"/>
      </w:pPr>
      <w:bookmarkStart w:id="183" w:name="_Toc263100083"/>
      <w:r>
        <w:rPr>
          <w:rFonts w:ascii="Georgia" w:hAnsi="Georgia" w:eastAsia="Microsoft YaHei"/>
          <w:color w:val="263238"/>
          <w:sz w:val="22"/>
        </w:rPr>
        <w:t xml:space="preserve">C.5 Joint patrol rules of conduct</w:t>
      </w:r>
      <w:bookmarkEnd w:id="183"/>
    </w:p>
    <w:p>
      <w:pPr>
        <w:pStyle w:val="Normal"/>
      </w:pPr>
      <w:r>
        <w:rPr>
          <w:rFonts w:ascii="Georgia" w:hAnsi="Georgia" w:eastAsia="Microsoft YaHei"/>
          <w:color w:val="263238"/>
          <w:sz w:val="22"/>
        </w:rPr>
        <w:t xml:space="preserve">Joint ground-truth patrols observe, assist, and report. Patrol conduct rules: identification on approach, professional distance from commercial traffic, no boarding except under the Anchor-and-Verify Protocol or the Twin Key Safety Intercept, and full logging of every interaction. Patrol vessels carry Neutral Watch Office observers on the published rotation, and their tracks publish to the assurance feed with a one-hour delay.</w:t>
      </w:r>
    </w:p>
    <w:p>
      <w:pPr>
        <w:pStyle w:val="Heading2"/>
      </w:pPr>
      <w:bookmarkStart w:id="184" w:name="_Toc263100084"/>
      <w:r>
        <w:rPr>
          <w:rFonts w:ascii="Georgia" w:hAnsi="Georgia" w:eastAsia="Microsoft YaHei"/>
          <w:color w:val="263238"/>
          <w:sz w:val="22"/>
        </w:rPr>
        <w:t xml:space="preserve">C.6 Mine-risk response protocol</w:t>
      </w:r>
      <w:bookmarkEnd w:id="184"/>
    </w:p>
    <w:p>
      <w:pPr>
        <w:pStyle w:val="Normal"/>
      </w:pPr>
      <w:r>
        <w:rPr>
          <w:rFonts w:ascii="Georgia" w:hAnsi="Georgia" w:eastAsia="Microsoft YaHei"/>
          <w:color w:val="263238"/>
          <w:sz w:val="22"/>
        </w:rPr>
        <w:t xml:space="preserve">A suspected mine contact executes six steps. Step one: the detecting asset reports to the watch floor immediately. Step two: the watch floor issues a hazard notice and opens buffer corridor routing around the contact. Step three: the joint survey unit deploys to classify the contact under Twin Key supervision. Step four: classification results log to the Registry and publish to mariners. Step five: clearance, where the contact confirms as ordnance, executes under the clearance rules of Article 11 with Neutral Watch Office observation. Step six: the incident closes with a published factual record, including provenance assessment where the evidence supports one. Provenance assessment informs; it never assigns penalty outside the compliance engine.</w:t>
      </w:r>
    </w:p>
    <w:p>
      <w:pPr>
        <w:pStyle w:val="Heading2"/>
      </w:pPr>
      <w:bookmarkStart w:id="185" w:name="_Toc263100085"/>
      <w:r>
        <w:rPr>
          <w:rFonts w:ascii="Georgia" w:hAnsi="Georgia" w:eastAsia="Microsoft YaHei"/>
          <w:color w:val="263238"/>
          <w:sz w:val="22"/>
        </w:rPr>
        <w:t xml:space="preserve">C.7 Weapons-release prevention</w:t>
      </w:r>
      <w:bookmarkEnd w:id="185"/>
    </w:p>
    <w:p>
      <w:pPr>
        <w:pStyle w:val="Normal"/>
      </w:pPr>
      <w:r>
        <w:rPr>
          <w:rFonts w:ascii="Georgia" w:hAnsi="Georgia" w:eastAsia="Microsoft YaHei"/>
          <w:color w:val="263238"/>
          <w:sz w:val="22"/>
        </w:rPr>
        <w:t xml:space="preserve">The deconfliction channel carries a standing no-surprise protocol: any weapons release inside the Governance Area, including warning shots, transmits to the channel within five minutes with position, nature, and direction. A failure to transmit reads as a Level 4 anomaly and convenes the Council within twenty-four hours.</w:t>
      </w:r>
    </w:p>
    <w:p>
      <w:pPr>
        <w:pStyle w:val="Heading1"/>
      </w:pPr>
      <w:bookmarkStart w:id="186" w:name="_Toc263100086"/>
      <w:r>
        <w:rPr>
          <w:rFonts w:ascii="Georgia" w:hAnsi="Georgia" w:eastAsia="Microsoft YaHei"/>
          <w:color w:val="263238"/>
          <w:sz w:val="22"/>
        </w:rPr>
        <w:t xml:space="preserve">Annex D: Fee Schedule, Escrow, and Sanctions-Compatible Payment Routing</w:t>
      </w:r>
      <w:bookmarkEnd w:id="186"/>
    </w:p>
    <w:p>
      <w:pPr>
        <w:pStyle w:val="Heading2"/>
      </w:pPr>
      <w:bookmarkStart w:id="187" w:name="_Toc263100087"/>
      <w:r>
        <w:rPr>
          <w:rFonts w:ascii="Georgia" w:hAnsi="Georgia" w:eastAsia="Microsoft YaHei"/>
          <w:color w:val="263238"/>
          <w:sz w:val="22"/>
        </w:rPr>
        <w:t xml:space="preserve">D.1 The Verified Services Catalog</w:t>
      </w:r>
      <w:bookmarkEnd w:id="187"/>
    </w:p>
    <w:p>
      <w:pPr>
        <w:pStyle w:val="Normal"/>
      </w:pPr>
      <w:r>
        <w:rPr>
          <w:rFonts w:ascii="Georgia" w:hAnsi="Georgia" w:eastAsia="Microsoft YaHei"/>
          <w:color w:val="263238"/>
          <w:sz w:val="22"/>
        </w:rPr>
        <w:t xml:space="preserve">The Catalog below carries every chargeable service in the corridor system. Rates state in United States dollars per transit or per unit as shown. The catalog publishes in full; a service absent from it carries no charge.</w:t>
      </w:r>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Code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Service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Delivery standard</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Rate (USD)</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-IN-A</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service bundle, Class A</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Traffic management, route assurance, environmental monitoring, SAR readiness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19,500 per transit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service bundle, Class B</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As above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13,800 per transit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-IN-C</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service bundle, Class C</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As above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6,900 per transit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service bundle, Class 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As above, priced per TEU</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7 per TEU, cap 16,800</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service bundle, Class 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As above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17,200 per transit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-IN-F</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service bundle, Class F</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As above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8,100 per transit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service bundle, Class 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As above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9,900 per transit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-OUT series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Outbound service bundles, Classes A to 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Mirror of inbound content at identical rates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Identical rates</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-H</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Anchor-and-Verify surcharge, Class H</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Joint verification visit and escort-pooling priority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2,400 per verification</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-PILOT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Optional pilotage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Licensed pilot, published boarding windows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3,600 per transit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-TUG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Optional tug assistance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Escort tug, published capability class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5,200 per assist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-ERA</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Enhanced route assurance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Dedicated routing desk, enhanced data pack</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1,900 per transit</w:t>
            </w:r>
          </w:p>
        </w:tc>
      </w:tr>
    </w:tbl>
    <w:p>
      <w:pPr>
        <w:pStyle w:val="Caption"/>
      </w:pPr>
      <w:r>
        <w:rPr>
          <w:rFonts w:ascii="Georgia" w:hAnsi="Georgia" w:eastAsia="Microsoft YaHei"/>
          <w:color w:val="263238"/>
          <w:sz w:val="22"/>
        </w:rPr>
        <w:t xml:space="preserve">Table D-1: The Verified Services Catalog. Pilot phase rates run at sixty percent of the rates shown.</w:t>
      </w:r>
    </w:p>
    <w:p>
      <w:pPr>
        <w:pStyle w:val="Heading2"/>
      </w:pPr>
      <w:bookmarkStart w:id="188" w:name="_Toc263100088"/>
      <w:r>
        <w:rPr>
          <w:rFonts w:ascii="Georgia" w:hAnsi="Georgia" w:eastAsia="Microsoft YaHei"/>
          <w:color w:val="263238"/>
          <w:sz w:val="22"/>
        </w:rPr>
        <w:t xml:space="preserve">D.2 Delivery-linked adjustment</w:t>
      </w:r>
      <w:bookmarkEnd w:id="188"/>
    </w:p>
    <w:p>
      <w:pPr>
        <w:pStyle w:val="Normal"/>
      </w:pPr>
      <w:r>
        <w:rPr>
          <w:rFonts w:ascii="Georgia" w:hAnsi="Georgia" w:eastAsia="Microsoft YaHei"/>
          <w:color w:val="263238"/>
          <w:sz w:val="22"/>
        </w:rPr>
        <w:t xml:space="preserve">The Registry records delivered services per transit automatically. A bundle component in Degraded state charges fifty percent of its line value; in Suspended state, zero. The escrow computes adjustments at settlement without application. A master disputes a delivery state through the user feedback channel, and the Neutral Watch Office certifies the fact within five days.</w:t>
      </w:r>
    </w:p>
    <w:p>
      <w:pPr>
        <w:pStyle w:val="Heading2"/>
      </w:pPr>
      <w:bookmarkStart w:id="189" w:name="_Toc263100089"/>
      <w:r>
        <w:rPr>
          <w:rFonts w:ascii="Georgia" w:hAnsi="Georgia" w:eastAsia="Microsoft YaHei"/>
          <w:color w:val="263238"/>
          <w:sz w:val="22"/>
        </w:rPr>
        <w:t xml:space="preserve">D.3 Escrow account structure</w:t>
      </w:r>
      <w:bookmarkEnd w:id="189"/>
    </w:p>
    <w:p>
      <w:pPr>
        <w:pStyle w:val="Normal"/>
      </w:pPr>
      <w:r>
        <w:rPr>
          <w:rFonts w:ascii="Georgia" w:hAnsi="Georgia" w:eastAsia="Microsoft YaHei"/>
          <w:color w:val="263238"/>
          <w:sz w:val="22"/>
        </w:rPr>
        <w:t xml:space="preserve">The escrow operates four account families: the inbound service account; the outbound service account; the Fund common account; and the reserves, comprising the humanitarian lock and the operating reserve. Every account segregates by purpose, reports daily to the Registry, and audits annually. The operating reserve targets three months of system operating cost; the humanitarian lock holds two months, protected absolutely under Article 22.</w:t>
      </w:r>
    </w:p>
    <w:p>
      <w:pPr>
        <w:pStyle w:val="Heading2"/>
      </w:pPr>
      <w:bookmarkStart w:id="190" w:name="_Toc263100090"/>
      <w:r>
        <w:rPr>
          <w:rFonts w:ascii="Georgia" w:hAnsi="Georgia" w:eastAsia="Microsoft YaHei"/>
          <w:color w:val="263238"/>
          <w:sz w:val="22"/>
        </w:rPr>
        <w:t xml:space="preserve">D.4 Payment workflow</w:t>
      </w:r>
      <w:bookmarkEnd w:id="190"/>
    </w:p>
    <w:p>
      <w:pPr>
        <w:pStyle w:val="Normal"/>
      </w:pPr>
      <w:r>
        <w:rPr>
          <w:rFonts w:ascii="Georgia" w:hAnsi="Georgia" w:eastAsia="Microsoft YaHei"/>
          <w:color w:val="263238"/>
          <w:sz w:val="22"/>
        </w:rPr>
        <w:t xml:space="preserve">Payment executes in six steps. Step one: the vessel's agent registers the transit in the Route Assurance Data Service with class and services. Step two: the system issues a settlement statement on transit completion, computed from Registry delivery records. Step three: the payer remits in Swiss francs or UAE dirhams to the escrow account named on the statement. Step four: the escrow converts at the published reference rate and apportions per Article 23. Step five: the escrow issues the compliance attestation pack and the Seal of Transit Assurance. Step six: the Registry closes the transit record. Settlement terms run fourteen days from statement; late settlement accrues a published carrying charge that credits the Fund common account.</w:t>
      </w:r>
    </w:p>
    <w:p>
      <w:pPr>
        <w:pStyle w:val="Heading2"/>
      </w:pPr>
      <w:bookmarkStart w:id="191" w:name="_Toc263100091"/>
      <w:r>
        <w:rPr>
          <w:rFonts w:ascii="Georgia" w:hAnsi="Georgia" w:eastAsia="Microsoft YaHei"/>
          <w:color w:val="263238"/>
          <w:sz w:val="22"/>
        </w:rPr>
        <w:t xml:space="preserve">D.5 The compliance attestation pack</w:t>
      </w:r>
      <w:bookmarkEnd w:id="191"/>
    </w:p>
    <w:p>
      <w:pPr>
        <w:pStyle w:val="Normal"/>
      </w:pPr>
      <w:r>
        <w:rPr>
          <w:rFonts w:ascii="Georgia" w:hAnsi="Georgia" w:eastAsia="Microsoft YaHei"/>
          <w:color w:val="263238"/>
          <w:sz w:val="22"/>
        </w:rPr>
        <w:t xml:space="preserve">Every settlement generates a pack containing: the settlement statement; the service delivery record; the Zero-Toll certification, a standing instrument of the Council confirming that no element of the payment prices passage; the escrow routing record; and the Swiss Facilitator's architecture memorandum describing the firewall layers of Article 24. The pack gives every payer's compliance function the documentary basis for the service character of the payment.</w:t>
      </w:r>
    </w:p>
    <w:p>
      <w:pPr>
        <w:pStyle w:val="Heading2"/>
      </w:pPr>
      <w:bookmarkStart w:id="192" w:name="_Toc263100092"/>
      <w:r>
        <w:rPr>
          <w:rFonts w:ascii="Georgia" w:hAnsi="Georgia" w:eastAsia="Microsoft YaHei"/>
          <w:color w:val="263238"/>
          <w:sz w:val="22"/>
        </w:rPr>
        <w:t xml:space="preserve">D.6 Currency and reference rates</w:t>
      </w:r>
      <w:bookmarkEnd w:id="192"/>
    </w:p>
    <w:p>
      <w:pPr>
        <w:pStyle w:val="Normal"/>
      </w:pPr>
      <w:r>
        <w:rPr>
          <w:rFonts w:ascii="Georgia" w:hAnsi="Georgia" w:eastAsia="Microsoft YaHei"/>
          <w:color w:val="263238"/>
          <w:sz w:val="22"/>
        </w:rPr>
        <w:t xml:space="preserve">The escrow publishes a daily reference rate for the Swiss franc and the UAE dirham against the dollar, sourced from a published market reference. Rates fix at settlement statement issuance, so a payer knows its number before it pays it.</w:t>
      </w:r>
    </w:p>
    <w:p>
      <w:pPr>
        <w:pStyle w:val="Heading2"/>
      </w:pPr>
      <w:bookmarkStart w:id="193" w:name="_Toc263100093"/>
      <w:r>
        <w:rPr>
          <w:rFonts w:ascii="Georgia" w:hAnsi="Georgia" w:eastAsia="Microsoft YaHei"/>
          <w:color w:val="263238"/>
          <w:sz w:val="22"/>
        </w:rPr>
        <w:t xml:space="preserve">D.7 Regional Participant contribution schedule</w:t>
      </w:r>
      <w:bookmarkEnd w:id="193"/>
    </w:p>
    <w:p>
      <w:pPr>
        <w:pStyle w:val="Normal"/>
      </w:pPr>
      <w:r>
        <w:rPr>
          <w:rFonts w:ascii="Georgia" w:hAnsi="Georgia" w:eastAsia="Microsoft YaHei"/>
          <w:color w:val="263238"/>
          <w:sz w:val="22"/>
        </w:rPr>
        <w:t xml:space="preserve">Regional Participants contribute to the Fund on a published schedule scaled to transits and capacity: each GCC member state contributes an annual base of two million dollars plus a per-transit solidarity amount of one dollar per deadweight ton band unit as defined in the schedule table of this Annex. Contributions buy services, resilience, and the regional stability dividend; they buy no governance weight beyond the seats of Article 15.</w:t>
      </w:r>
    </w:p>
    <w:p>
      <w:pPr>
        <w:pStyle w:val="Heading2"/>
      </w:pPr>
      <w:bookmarkStart w:id="194" w:name="_Toc263100094"/>
      <w:r>
        <w:rPr>
          <w:rFonts w:ascii="Georgia" w:hAnsi="Georgia" w:eastAsia="Microsoft YaHei"/>
          <w:color w:val="263238"/>
          <w:sz w:val="22"/>
        </w:rPr>
        <w:t xml:space="preserve">D.8 Voluntary user contributions</w:t>
      </w:r>
      <w:bookmarkEnd w:id="194"/>
    </w:p>
    <w:p>
      <w:pPr>
        <w:pStyle w:val="Normal"/>
      </w:pPr>
      <w:r>
        <w:rPr>
          <w:rFonts w:ascii="Georgia" w:hAnsi="Georgia" w:eastAsia="Microsoft YaHei"/>
          <w:color w:val="263238"/>
          <w:sz w:val="22"/>
        </w:rPr>
        <w:t xml:space="preserve">On the Malacca cooperative model, the Council invites voluntary user contributions annually: shipowners, cargo interests, and energy importers contribute to named Fund lines, with every contribution published and every refusal invisible. Voluntary contributions never substitute for the service charge base; they deepen the reserve and fund environmental and SAR enhancements.</w:t>
      </w:r>
    </w:p>
    <w:p>
      <w:pPr>
        <w:pStyle w:val="Heading2"/>
      </w:pPr>
      <w:bookmarkStart w:id="195" w:name="_Toc263100095"/>
      <w:r>
        <w:rPr>
          <w:rFonts w:ascii="Georgia" w:hAnsi="Georgia" w:eastAsia="Microsoft YaHei"/>
          <w:color w:val="263238"/>
          <w:sz w:val="22"/>
        </w:rPr>
        <w:t xml:space="preserve">D.9 Investment mandate</w:t>
      </w:r>
      <w:bookmarkEnd w:id="195"/>
    </w:p>
    <w:p>
      <w:pPr>
        <w:pStyle w:val="Normal"/>
      </w:pPr>
      <w:r>
        <w:rPr>
          <w:rFonts w:ascii="Georgia" w:hAnsi="Georgia" w:eastAsia="Microsoft YaHei"/>
          <w:color w:val="263238"/>
          <w:sz w:val="22"/>
        </w:rPr>
        <w:t xml:space="preserve">Escrow balances invest conservatively: short-duration, high-grade instruments in the settlement currencies, under a mandate set by the Swiss Facilitator and audited annually. Investment income credits the Fund common account. The mandate forbids leverage, derivatives, and any instrument connected to a participant's sanctioned sector.</w:t>
      </w:r>
    </w:p>
    <w:p>
      <w:pPr>
        <w:pStyle w:val="Heading2"/>
      </w:pPr>
      <w:bookmarkStart w:id="196" w:name="_Toc263100096"/>
      <w:r>
        <w:rPr>
          <w:rFonts w:ascii="Georgia" w:hAnsi="Georgia" w:eastAsia="Microsoft YaHei"/>
          <w:color w:val="263238"/>
          <w:sz w:val="22"/>
        </w:rPr>
        <w:t xml:space="preserve">D.10 Compensation window schedule</w:t>
      </w:r>
      <w:bookmarkEnd w:id="196"/>
    </w:p>
    <w:p>
      <w:pPr>
        <w:pStyle w:val="Normal"/>
      </w:pPr>
      <w:r>
        <w:rPr>
          <w:rFonts w:ascii="Georgia" w:hAnsi="Georgia" w:eastAsia="Microsoft YaHei"/>
          <w:color w:val="263238"/>
          <w:sz w:val="22"/>
        </w:rPr>
        <w:t xml:space="preserve">The compensation window of Article 22 pays against certified service-failure losses on a published schedule: documented delay beyond twelve hours attributable to a service failure, capped at fifty thousand dollars per incident; documented additional insurance cost attributable to a delivery-state error, capped at one hundred thousand dollars per incident; and wrongful intercept losses under Annex C, uncapped within the Fund's compensation line. Claims decide within thirty days on Neutral Watch Office certification.</w:t>
      </w:r>
    </w:p>
    <w:p>
      <w:pPr>
        <w:pStyle w:val="Heading2"/>
      </w:pPr>
      <w:bookmarkStart w:id="197" w:name="_Toc263100097"/>
      <w:r>
        <w:rPr>
          <w:rFonts w:ascii="Georgia" w:hAnsi="Georgia" w:eastAsia="Microsoft YaHei"/>
          <w:color w:val="263238"/>
          <w:sz w:val="22"/>
        </w:rPr>
        <w:t xml:space="preserve">D.11 The Forward-Looking Rate Stability Mechanism</w:t>
      </w:r>
      <w:bookmarkEnd w:id="197"/>
    </w:p>
    <w:p>
      <w:pPr>
        <w:pStyle w:val="Normal"/>
      </w:pPr>
      <w:r>
        <w:rPr>
          <w:rFonts w:ascii="Georgia" w:hAnsi="Georgia" w:eastAsia="Microsoft YaHei"/>
          <w:color w:val="263238"/>
          <w:sz w:val="22"/>
        </w:rPr>
        <w:t xml:space="preserve">Two triggers open a rate adjustment outside the annual window: a settlement currency moving more than ten percent against the published reference rate for sixty consecutive days, or Gulf-region inflation exceeding five percent for two consecutive quarters. An adjustment under this section caps at the change in the triggering index plus two percent, takes effect only on the Consensus Track, and faces Technical and Standards Committee review within thirty days. The mechanism preserves the real purchasing power of the Fund; it never generates surplus, and the annual discipline of Article 23 remains the default.</w:t>
      </w:r>
    </w:p>
    <w:p>
      <w:pPr>
        <w:pStyle w:val="Heading1"/>
      </w:pPr>
      <w:bookmarkStart w:id="198" w:name="_Toc263100098"/>
      <w:r>
        <w:rPr>
          <w:rFonts w:ascii="Georgia" w:hAnsi="Georgia" w:eastAsia="Microsoft YaHei"/>
          <w:color w:val="263238"/>
          <w:sz w:val="22"/>
        </w:rPr>
        <w:t xml:space="preserve">Annex E: Governance Rules of Procedure and Dispute Resolution</w:t>
      </w:r>
      <w:bookmarkEnd w:id="198"/>
    </w:p>
    <w:p>
      <w:pPr>
        <w:pStyle w:val="Heading2"/>
      </w:pPr>
      <w:bookmarkStart w:id="199" w:name="_Toc263100099"/>
      <w:r>
        <w:rPr>
          <w:rFonts w:ascii="Georgia" w:hAnsi="Georgia" w:eastAsia="Microsoft YaHei"/>
          <w:color w:val="263238"/>
          <w:sz w:val="22"/>
        </w:rPr>
        <w:t xml:space="preserve">E.1 Council rules of procedure</w:t>
      </w:r>
      <w:bookmarkEnd w:id="199"/>
    </w:p>
    <w:p>
      <w:pPr>
        <w:pStyle w:val="Normal"/>
      </w:pPr>
      <w:r>
        <w:rPr>
          <w:rFonts w:ascii="Georgia" w:hAnsi="Georgia" w:eastAsia="Microsoft YaHei"/>
          <w:color w:val="263238"/>
          <w:sz w:val="22"/>
        </w:rPr>
        <w:t xml:space="preserve">The Council adopts its agenda by consensus at session opening. Documents circulate ten days before ordinary sessions. Sessions record minutes in the Registry within forty-eight hours, with consultative members receiving the full record. A session quorum note publishes with the minutes. Between sessions, the Corridor Management Board acts within Article 15, and the Secretariat runs the Perimeter Test on every circulated measure.</w:t>
      </w:r>
    </w:p>
    <w:p>
      <w:pPr>
        <w:pStyle w:val="Heading2"/>
      </w:pPr>
      <w:bookmarkStart w:id="200" w:name="_Toc263100100"/>
      <w:r>
        <w:rPr>
          <w:rFonts w:ascii="Georgia" w:hAnsi="Georgia" w:eastAsia="Microsoft YaHei"/>
          <w:color w:val="263238"/>
          <w:sz w:val="22"/>
        </w:rPr>
        <w:t xml:space="preserve">E.2 Observer rights schedule</w:t>
      </w:r>
      <w:bookmarkEnd w:id="200"/>
    </w:p>
    <w:p>
      <w:pPr>
        <w:pStyle w:val="Normal"/>
      </w:pPr>
      <w:r>
        <w:rPr>
          <w:rFonts w:ascii="Georgia" w:hAnsi="Georgia" w:eastAsia="Microsoft YaHei"/>
          <w:color w:val="263238"/>
          <w:sz w:val="22"/>
        </w:rPr>
        <w:t xml:space="preserve">Observers receive: agenda and documents at the same time as voting members; speaking rights on every agenda item; access tiers per Annex B; and the right to place a formal observer statement on the record of any decision. Observer statements publish with the decision. The schedule converts observation into standing: outside voices work inside the record.</w:t>
      </w:r>
    </w:p>
    <w:p>
      <w:pPr>
        <w:pStyle w:val="Heading2"/>
      </w:pPr>
      <w:bookmarkStart w:id="201" w:name="_Toc263100101"/>
      <w:r>
        <w:rPr>
          <w:rFonts w:ascii="Georgia" w:hAnsi="Georgia" w:eastAsia="Microsoft YaHei"/>
          <w:color w:val="263238"/>
          <w:sz w:val="22"/>
        </w:rPr>
        <w:t xml:space="preserve">E.3 Standing levels and privileges</w:t>
      </w:r>
      <w:bookmarkEnd w:id="201"/>
    </w:p>
    <w:p>
      <w:pPr>
        <w:pStyle w:val="Normal"/>
      </w:pPr>
      <w:r>
        <w:rPr>
          <w:rFonts w:ascii="Georgia" w:hAnsi="Georgia" w:eastAsia="Microsoft YaHei"/>
          <w:color w:val="263238"/>
          <w:sz w:val="22"/>
        </w:rPr>
        <w:t xml:space="preserve">Standing under the Reciprocity Ledger runs three levels. Full Standing: all privileges, including pilot-phase procedure adjustments and Fund program eligibility. Watch Standing: privileges continue, with enhanced reporting and a named improvement plan. Restricted Standing: discretionary privileges pause per the step-back sequence; core corridor rights never restrict. Level changes follow the Ledger automatically and publish on change.</w:t>
      </w:r>
    </w:p>
    <w:p>
      <w:pPr>
        <w:pStyle w:val="Heading2"/>
      </w:pPr>
      <w:bookmarkStart w:id="202" w:name="_Toc263100102"/>
      <w:r>
        <w:rPr>
          <w:rFonts w:ascii="Georgia" w:hAnsi="Georgia" w:eastAsia="Microsoft YaHei"/>
          <w:color w:val="263238"/>
          <w:sz w:val="22"/>
        </w:rPr>
        <w:t xml:space="preserve">E.4 Arbitration rules</w:t>
      </w:r>
      <w:bookmarkEnd w:id="202"/>
    </w:p>
    <w:p>
      <w:pPr>
        <w:pStyle w:val="Normal"/>
      </w:pPr>
      <w:r>
        <w:rPr>
          <w:rFonts w:ascii="Georgia" w:hAnsi="Georgia" w:eastAsia="Microsoft YaHei"/>
          <w:color w:val="263238"/>
          <w:sz w:val="22"/>
        </w:rPr>
        <w:t xml:space="preserve">Tier four arbitration seats in Muscat under this schedule: three arbitrators, one chosen by each side and the chair by the Swiss Facilitator from the standing pool; proceedings in English with interpretation; documents-only unless the panel orders a hearing; award within ninety days of constitution; and costs following the outcome unless the panel directs otherwise. Awards publish unless both sides agree to confidentiality, and every award indexes in the Registry regardless.</w:t>
      </w:r>
    </w:p>
    <w:p>
      <w:pPr>
        <w:pStyle w:val="Heading2"/>
      </w:pPr>
      <w:bookmarkStart w:id="203" w:name="_Toc263100103"/>
      <w:r>
        <w:rPr>
          <w:rFonts w:ascii="Georgia" w:hAnsi="Georgia" w:eastAsia="Microsoft YaHei"/>
          <w:color w:val="263238"/>
          <w:sz w:val="22"/>
        </w:rPr>
        <w:t xml:space="preserve">E.5 The challenge cost ladder</w:t>
      </w:r>
      <w:bookmarkEnd w:id="203"/>
    </w:p>
    <w:p>
      <w:pPr>
        <w:pStyle w:val="Normal"/>
      </w:pPr>
      <w:r>
        <w:rPr>
          <w:rFonts w:ascii="Georgia" w:hAnsi="Georgia" w:eastAsia="Microsoft YaHei"/>
          <w:color w:val="263238"/>
          <w:sz w:val="22"/>
        </w:rPr>
        <w:t xml:space="preserve">Challenges under Article 35 price as follows: a technical review request costs five standing credits; a full objection costs twenty. Failed challenges escalate: second failure doubles, third quadruples with a seventy-two-hour challenge moratorium, fourth triggers the bad-faith designation with automatic claim acceptance for seven days. The ladder resets at each Stability Audit. Credits track in the Reciprocity Ledger; the system prices obstruction and rewards precision.</w:t>
      </w:r>
    </w:p>
    <w:p>
      <w:pPr>
        <w:pStyle w:val="Heading2"/>
      </w:pPr>
      <w:bookmarkStart w:id="204" w:name="_Toc263100104"/>
      <w:r>
        <w:rPr>
          <w:rFonts w:ascii="Georgia" w:hAnsi="Georgia" w:eastAsia="Microsoft YaHei"/>
          <w:color w:val="263238"/>
          <w:sz w:val="22"/>
        </w:rPr>
        <w:t xml:space="preserve">E.6 Emergency sessions</w:t>
      </w:r>
      <w:bookmarkEnd w:id="204"/>
    </w:p>
    <w:p>
      <w:pPr>
        <w:pStyle w:val="Normal"/>
      </w:pPr>
      <w:r>
        <w:rPr>
          <w:rFonts w:ascii="Georgia" w:hAnsi="Georgia" w:eastAsia="Microsoft YaHei"/>
          <w:color w:val="263238"/>
          <w:sz w:val="22"/>
        </w:rPr>
        <w:t xml:space="preserve">An emergency Council session convenes within seventy-two hours on the call of either Coastal State Party, on a Level 4 anomaly, on a Tier 3 classification, or on Guarantor Panel referral. Emergency sessions run on a single-item agenda, and their decisions log and publish within twenty-four hours.</w:t>
      </w:r>
    </w:p>
    <w:p>
      <w:r>
        <w:br w:type="page"/>
      </w:r>
    </w:p>
    <w:p>
      <w:pPr>
        <w:pStyle w:val="Heading1"/>
      </w:pPr>
      <w:bookmarkStart w:id="205" w:name="_Toc263100105"/>
      <w:r>
        <w:rPr>
          <w:rFonts w:ascii="Georgia" w:hAnsi="Georgia" w:eastAsia="Microsoft YaHei"/>
          <w:color w:val="263238"/>
          <w:sz w:val="22"/>
        </w:rPr>
        <w:t xml:space="preserve">Annex F: Environmental Protection and Safety Protocol</w:t>
      </w:r>
      <w:bookmarkEnd w:id="205"/>
    </w:p>
    <w:p>
      <w:pPr>
        <w:pStyle w:val="Heading2"/>
      </w:pPr>
      <w:bookmarkStart w:id="206" w:name="_Toc263100106"/>
      <w:r>
        <w:rPr>
          <w:rFonts w:ascii="Georgia" w:hAnsi="Georgia" w:eastAsia="Microsoft YaHei"/>
          <w:color w:val="263238"/>
          <w:sz w:val="22"/>
        </w:rPr>
        <w:t xml:space="preserve">F.1 The baseline survey</w:t>
      </w:r>
      <w:bookmarkEnd w:id="206"/>
    </w:p>
    <w:p>
      <w:pPr>
        <w:pStyle w:val="Normal"/>
      </w:pPr>
      <w:r>
        <w:rPr>
          <w:rFonts w:ascii="Georgia" w:hAnsi="Georgia" w:eastAsia="Microsoft YaHei"/>
          <w:color w:val="263238"/>
          <w:sz w:val="22"/>
        </w:rPr>
        <w:t xml:space="preserve">The joint environmental baseline survey executes within ninety days of entry into force: a full grid of water quality stations, sediment cores at the published points, habitat mapping of the coral and seagrass areas of the strait, and background contamination profiles for hydrocarbons, heavy metals, and acoustics. Both desks' scientific teams work the grid together, the Neutral Watch Office witnesses sampling, and the complete dataset publishes. Every future environmental claim reads against this baseline.</w:t>
      </w:r>
    </w:p>
    <w:p>
      <w:pPr>
        <w:pStyle w:val="Heading2"/>
      </w:pPr>
      <w:bookmarkStart w:id="207" w:name="_Toc263100107"/>
      <w:r>
        <w:rPr>
          <w:rFonts w:ascii="Georgia" w:hAnsi="Georgia" w:eastAsia="Microsoft YaHei"/>
          <w:color w:val="263238"/>
          <w:sz w:val="22"/>
        </w:rPr>
        <w:t xml:space="preserve">F.2 The monitoring grid</w:t>
      </w:r>
      <w:bookmarkEnd w:id="207"/>
    </w:p>
    <w:p>
      <w:pPr>
        <w:pStyle w:val="Normal"/>
      </w:pPr>
      <w:r>
        <w:rPr>
          <w:rFonts w:ascii="Georgia" w:hAnsi="Georgia" w:eastAsia="Microsoft YaHei"/>
          <w:color w:val="263238"/>
          <w:sz w:val="22"/>
        </w:rPr>
        <w:t xml:space="preserve">The continuous monitoring grid comprises twelve fixed water quality stations, six acoustic monitoring stations, and daily satellite surveillance of the Governance Area for discharge detection. Iran operates the northern stations; Oman operates the southern stations; the buffer stations operate jointly. Station data feeds the Route Assurance Data Service hourly, with the same chain-of-custody protection as all Registry data.</w:t>
      </w:r>
    </w:p>
    <w:p>
      <w:pPr>
        <w:pStyle w:val="Heading2"/>
      </w:pPr>
      <w:bookmarkStart w:id="208" w:name="_Toc263100108"/>
      <w:r>
        <w:rPr>
          <w:rFonts w:ascii="Georgia" w:hAnsi="Georgia" w:eastAsia="Microsoft YaHei"/>
          <w:color w:val="263238"/>
          <w:sz w:val="22"/>
        </w:rPr>
        <w:t xml:space="preserve">F.3 Spill response plan</w:t>
      </w:r>
      <w:bookmarkEnd w:id="208"/>
    </w:p>
    <w:p>
      <w:pPr>
        <w:pStyle w:val="Normal"/>
      </w:pPr>
      <w:r>
        <w:rPr>
          <w:rFonts w:ascii="Georgia" w:hAnsi="Georgia" w:eastAsia="Microsoft YaHei"/>
          <w:color w:val="263238"/>
          <w:sz w:val="22"/>
        </w:rPr>
        <w:t xml:space="preserve">The joint spill response plan pre-positions: two dedicated response vessels, one per shore; containment and recovery equipment stocks at Bandar Abbas and at the Omani staging point; dispersant stocks under environmental approval rules; and a mutual personnel roster trained to a common standard. Response executes on the nearest-capable-asset rule: the closest capable unit moves first, command transfers to the joint incident commander on arrival, and costs allocate per the recovery schedule of this Annex. Drills run quarterly, alternating scenario types, and drill results publish.</w:t>
      </w:r>
    </w:p>
    <w:p>
      <w:pPr>
        <w:pStyle w:val="Heading2"/>
      </w:pPr>
      <w:bookmarkStart w:id="209" w:name="_Toc263100109"/>
      <w:r>
        <w:rPr>
          <w:rFonts w:ascii="Georgia" w:hAnsi="Georgia" w:eastAsia="Microsoft YaHei"/>
          <w:color w:val="263238"/>
          <w:sz w:val="22"/>
        </w:rPr>
        <w:t xml:space="preserve">F.4 Environmental thresholds and alerts</w:t>
      </w:r>
      <w:bookmarkEnd w:id="209"/>
    </w:p>
    <w:p>
      <w:pPr>
        <w:pStyle w:val="Normal"/>
      </w:pPr>
      <w:r>
        <w:rPr>
          <w:rFonts w:ascii="Georgia" w:hAnsi="Georgia" w:eastAsia="Microsoft YaHei"/>
          <w:color w:val="263238"/>
          <w:sz w:val="22"/>
        </w:rPr>
        <w:t xml:space="preserve">The grid watches four trigger thresholds: hydrocarbon concentration, turbidity anomaly, acoustic anomaly, and dissolved oxygen depression. A threshold crossing issues an environmental alert to both desks and publishes within one hour. Repeated crossings at the same station trigger a joint investigation with a published finding within fourteen days.</w:t>
      </w:r>
    </w:p>
    <w:p>
      <w:pPr>
        <w:pStyle w:val="Heading2"/>
      </w:pPr>
      <w:bookmarkStart w:id="210" w:name="_Toc263100110"/>
      <w:r>
        <w:rPr>
          <w:rFonts w:ascii="Georgia" w:hAnsi="Georgia" w:eastAsia="Microsoft YaHei"/>
          <w:color w:val="263238"/>
          <w:sz w:val="22"/>
        </w:rPr>
        <w:t xml:space="preserve">F.5 Ballast and discharge management</w:t>
      </w:r>
      <w:bookmarkEnd w:id="210"/>
    </w:p>
    <w:p>
      <w:pPr>
        <w:pStyle w:val="Normal"/>
      </w:pPr>
      <w:r>
        <w:rPr>
          <w:rFonts w:ascii="Georgia" w:hAnsi="Georgia" w:eastAsia="Microsoft YaHei"/>
          <w:color w:val="263238"/>
          <w:sz w:val="22"/>
        </w:rPr>
        <w:t xml:space="preserve">Vessels in the Governance Area comply with the strictest applicable international discharge standards. Ballast exchange guidance publishes with the routing cards. The monitoring grid and boarding records verify compliance, and violations route to flag and port state channels with the evidence pack. The corridor system's role is detection and evidence; enforcement stays with the existing legal channels, so the Accord strengthens the law without duplicating it.</w:t>
      </w:r>
    </w:p>
    <w:p>
      <w:pPr>
        <w:pStyle w:val="Heading2"/>
      </w:pPr>
      <w:bookmarkStart w:id="211" w:name="_Toc263100111"/>
      <w:r>
        <w:rPr>
          <w:rFonts w:ascii="Georgia" w:hAnsi="Georgia" w:eastAsia="Microsoft YaHei"/>
          <w:color w:val="263238"/>
          <w:sz w:val="22"/>
        </w:rPr>
        <w:t xml:space="preserve">F.6 Environmental cost recovery</w:t>
      </w:r>
      <w:bookmarkEnd w:id="211"/>
    </w:p>
    <w:p>
      <w:pPr>
        <w:pStyle w:val="Normal"/>
      </w:pPr>
      <w:r>
        <w:rPr>
          <w:rFonts w:ascii="Georgia" w:hAnsi="Georgia" w:eastAsia="Microsoft YaHei"/>
          <w:color w:val="263238"/>
          <w:sz w:val="22"/>
        </w:rPr>
        <w:t xml:space="preserve">Response costs for a casualty-attributable spill recover from the responsible vessel's interests on the published recovery schedule, at documented cost, capped at the vessel class multiplier in the schedule table. Recovery runs through the Fund as billing agent, with disputes in the dispute tiers. The polluter pays; the architecture collects without drama.</w:t>
      </w:r>
    </w:p>
    <w:p>
      <w:pPr>
        <w:pStyle w:val="Heading2"/>
      </w:pPr>
      <w:bookmarkStart w:id="212" w:name="_Toc263100112"/>
      <w:r>
        <w:rPr>
          <w:rFonts w:ascii="Georgia" w:hAnsi="Georgia" w:eastAsia="Microsoft YaHei"/>
          <w:color w:val="263238"/>
          <w:sz w:val="22"/>
        </w:rPr>
        <w:t xml:space="preserve">F.7 Annual environmental audit</w:t>
      </w:r>
      <w:bookmarkEnd w:id="212"/>
    </w:p>
    <w:p>
      <w:pPr>
        <w:pStyle w:val="Normal"/>
      </w:pPr>
      <w:r>
        <w:rPr>
          <w:rFonts w:ascii="Georgia" w:hAnsi="Georgia" w:eastAsia="Microsoft YaHei"/>
          <w:color w:val="263238"/>
          <w:sz w:val="22"/>
        </w:rPr>
        <w:t xml:space="preserve">The third-party environmental audit appointed under Article 32 examines: grid performance, alert handling, drill results, response readiness, and the year's discharge record. The audit publishes with the Stability Audit, and its findings carry named owners and dates in the corrective plan register.</w:t>
      </w:r>
    </w:p>
    <w:p>
      <w:pPr>
        <w:pStyle w:val="Heading1"/>
      </w:pPr>
      <w:bookmarkStart w:id="213" w:name="_Toc263100113"/>
      <w:r>
        <w:rPr>
          <w:rFonts w:ascii="Georgia" w:hAnsi="Georgia" w:eastAsia="Microsoft YaHei"/>
          <w:color w:val="263238"/>
          <w:sz w:val="22"/>
        </w:rPr>
        <w:t xml:space="preserve">Annex G: Search and Rescue Framework</w:t>
      </w:r>
      <w:bookmarkEnd w:id="213"/>
    </w:p>
    <w:p>
      <w:pPr>
        <w:pStyle w:val="Heading2"/>
      </w:pPr>
      <w:bookmarkStart w:id="214" w:name="_Toc263100114"/>
      <w:r>
        <w:rPr>
          <w:rFonts w:ascii="Georgia" w:hAnsi="Georgia" w:eastAsia="Microsoft YaHei"/>
          <w:color w:val="263238"/>
          <w:sz w:val="22"/>
        </w:rPr>
        <w:t xml:space="preserve">G.1 Joint rescue coordination</w:t>
      </w:r>
      <w:bookmarkEnd w:id="214"/>
    </w:p>
    <w:p>
      <w:pPr>
        <w:pStyle w:val="Normal"/>
      </w:pPr>
      <w:r>
        <w:rPr>
          <w:rFonts w:ascii="Georgia" w:hAnsi="Georgia" w:eastAsia="Microsoft YaHei"/>
          <w:color w:val="263238"/>
          <w:sz w:val="22"/>
        </w:rPr>
        <w:t xml:space="preserve">The watch floor operates the Joint Rescue Coordination function for the Governance Area around the clock: one rescue coordinator per watch from each desk, with authority to direct Accord assets and to request assistance from any vessel or authority under the International Convention on Maritime Search and Rescue. The nearest capable asset responds first; flag never enters the calculation.</w:t>
      </w:r>
    </w:p>
    <w:p>
      <w:pPr>
        <w:pStyle w:val="Heading2"/>
      </w:pPr>
      <w:bookmarkStart w:id="215" w:name="_Toc263100115"/>
      <w:r>
        <w:rPr>
          <w:rFonts w:ascii="Georgia" w:hAnsi="Georgia" w:eastAsia="Microsoft YaHei"/>
          <w:color w:val="263238"/>
          <w:sz w:val="22"/>
        </w:rPr>
        <w:t xml:space="preserve">G.2 Asset posture</w:t>
      </w:r>
      <w:bookmarkEnd w:id="215"/>
    </w:p>
    <w:p>
      <w:pPr>
        <w:pStyle w:val="Normal"/>
      </w:pPr>
      <w:r>
        <w:rPr>
          <w:rFonts w:ascii="Georgia" w:hAnsi="Georgia" w:eastAsia="Microsoft YaHei"/>
          <w:color w:val="263238"/>
          <w:sz w:val="22"/>
        </w:rPr>
        <w:t xml:space="preserve">The published SAR posture holds: dedicated rescue craft on thirty-minute readiness at both shores; helicopter coordination arrangements with both coastal States' services; medical evacuation pathways to designated hospitals in Iran and Oman; and the joint patrol vessels as secondary response assets. GCC participants contribute assets under their accession schedules, integrated into the same posture table.</w:t>
      </w:r>
    </w:p>
    <w:p>
      <w:pPr>
        <w:pStyle w:val="Heading2"/>
      </w:pPr>
      <w:bookmarkStart w:id="216" w:name="_Toc263100116"/>
      <w:r>
        <w:rPr>
          <w:rFonts w:ascii="Georgia" w:hAnsi="Georgia" w:eastAsia="Microsoft YaHei"/>
          <w:color w:val="263238"/>
          <w:sz w:val="22"/>
        </w:rPr>
        <w:t xml:space="preserve">G.3 The distress protocol</w:t>
      </w:r>
      <w:bookmarkEnd w:id="216"/>
    </w:p>
    <w:p>
      <w:pPr>
        <w:pStyle w:val="Normal"/>
      </w:pPr>
      <w:r>
        <w:rPr>
          <w:rFonts w:ascii="Georgia" w:hAnsi="Georgia" w:eastAsia="Microsoft YaHei"/>
          <w:color w:val="263238"/>
          <w:sz w:val="22"/>
        </w:rPr>
        <w:t xml:space="preserve">A distress case executes in six steps. Step one: any station receiving a distress signal alerts the watch floor immediately. Step two: the rescue coordinator confirms and classifies the case within ten minutes. Step three: the nearest capable asset launches, target thirty minutes from confirmation. Step four: the buffer corridor and traffic management clear the response path. Step five: on-scene coordination transfers to the first arriving dedicated asset. Step six: the case closes with a factual record to the Registry and, for serious cases, a public note. Every step logs with timestamps; the Stability Audit reads the timeline.</w:t>
      </w:r>
    </w:p>
    <w:p>
      <w:pPr>
        <w:pStyle w:val="Heading2"/>
      </w:pPr>
      <w:bookmarkStart w:id="217" w:name="_Toc263100117"/>
      <w:r>
        <w:rPr>
          <w:rFonts w:ascii="Georgia" w:hAnsi="Georgia" w:eastAsia="Microsoft YaHei"/>
          <w:color w:val="263238"/>
          <w:sz w:val="22"/>
        </w:rPr>
        <w:t xml:space="preserve">G.4 Mass rescue operations</w:t>
      </w:r>
      <w:bookmarkEnd w:id="217"/>
    </w:p>
    <w:p>
      <w:pPr>
        <w:pStyle w:val="Normal"/>
      </w:pPr>
      <w:r>
        <w:rPr>
          <w:rFonts w:ascii="Georgia" w:hAnsi="Georgia" w:eastAsia="Microsoft YaHei"/>
          <w:color w:val="263238"/>
          <w:sz w:val="22"/>
        </w:rPr>
        <w:t xml:space="preserve">A casualty involving more than one hundred persons activates the mass rescue plan: pre-designated assembly points, additional asset call-out lists, medical triage ashore in both coastal States, and a joint public information desk. The mass rescue plan drills annually at full scale, with GCC participants and invited observers.</w:t>
      </w:r>
    </w:p>
    <w:p>
      <w:pPr>
        <w:pStyle w:val="Heading2"/>
      </w:pPr>
      <w:bookmarkStart w:id="218" w:name="_Toc263100118"/>
      <w:r>
        <w:rPr>
          <w:rFonts w:ascii="Georgia" w:hAnsi="Georgia" w:eastAsia="Microsoft YaHei"/>
          <w:color w:val="263238"/>
          <w:sz w:val="22"/>
        </w:rPr>
        <w:t xml:space="preserve">G.5 SAR data and learning</w:t>
      </w:r>
      <w:bookmarkEnd w:id="218"/>
    </w:p>
    <w:p>
      <w:pPr>
        <w:pStyle w:val="Normal"/>
      </w:pPr>
      <w:r>
        <w:rPr>
          <w:rFonts w:ascii="Georgia" w:hAnsi="Georgia" w:eastAsia="Microsoft YaHei"/>
          <w:color w:val="263238"/>
          <w:sz w:val="22"/>
        </w:rPr>
        <w:t xml:space="preserve">Every SAR case feeds a lessons register: timeline, decisions, outcomes, and improvements. The register reviews quarterly at the Technical and Standards Committee, and improvements fold into the posture table and the training program. Lives saved is the metric that matters; the framework counts it and publishes it.</w:t>
      </w:r>
    </w:p>
    <w:p>
      <w:pPr>
        <w:pStyle w:val="Heading1"/>
      </w:pPr>
      <w:bookmarkStart w:id="219" w:name="_Toc263100119"/>
      <w:r>
        <w:rPr>
          <w:rFonts w:ascii="Georgia" w:hAnsi="Georgia" w:eastAsia="Microsoft YaHei"/>
          <w:color w:val="263238"/>
          <w:sz w:val="22"/>
        </w:rPr>
        <w:t xml:space="preserve">Annex H: Stability Audit Metrics and Thresholds</w:t>
      </w:r>
      <w:bookmarkEnd w:id="219"/>
    </w:p>
    <w:p>
      <w:pPr>
        <w:pStyle w:val="Heading2"/>
      </w:pPr>
      <w:bookmarkStart w:id="220" w:name="_Toc263100120"/>
      <w:r>
        <w:rPr>
          <w:rFonts w:ascii="Georgia" w:hAnsi="Georgia" w:eastAsia="Microsoft YaHei"/>
          <w:color w:val="263238"/>
          <w:sz w:val="22"/>
        </w:rPr>
        <w:t xml:space="preserve">H.1 Audit architecture</w:t>
      </w:r>
      <w:bookmarkEnd w:id="220"/>
    </w:p>
    <w:p>
      <w:pPr>
        <w:pStyle w:val="Normal"/>
      </w:pPr>
      <w:r>
        <w:rPr>
          <w:rFonts w:ascii="Georgia" w:hAnsi="Georgia" w:eastAsia="Microsoft YaHei"/>
          <w:color w:val="263238"/>
          <w:sz w:val="22"/>
        </w:rPr>
        <w:t xml:space="preserve">The Stability Audit scores five domains against published thresholds, on certified data, with the Neutral Watch Office certifying the dataset before scoring. Each metric states its definition, data source, threshold for Pass, and threshold for Conditional. Scores publish in full.</w:t>
      </w:r>
    </w:p>
    <w:p>
      <w:pPr>
        <w:pStyle w:val="Heading2"/>
      </w:pPr>
      <w:bookmarkStart w:id="221" w:name="_Toc263100121"/>
      <w:r>
        <w:rPr>
          <w:rFonts w:ascii="Georgia" w:hAnsi="Georgia" w:eastAsia="Microsoft YaHei"/>
          <w:color w:val="263238"/>
          <w:sz w:val="22"/>
        </w:rPr>
        <w:t xml:space="preserve">H.2 Domain One: navigation and AIS compliance</w:t>
      </w:r>
      <w:bookmarkEnd w:id="221"/>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Metric</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Definition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Pass</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Conditional</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 continuity rate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Share of transits with uninterrupted AIS broadcast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At or above 98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95 to 98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rridor adherence rate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Share of transits within corridor tolerance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At or above 97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93 to 97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uting deviation count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Unauthorized deviations per week</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 or fewer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3 to 5</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vigation incident rate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Collisions or near misses per 1,000 transits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Below 0.5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0.5 to 1.0</w:t>
            </w:r>
          </w:p>
        </w:tc>
      </w:tr>
    </w:tbl>
    <w:p>
      <w:pPr>
        <w:pStyle w:val="Caption"/>
      </w:pPr>
      <w:r>
        <w:rPr>
          <w:rFonts w:ascii="Georgia" w:hAnsi="Georgia" w:eastAsia="Microsoft YaHei"/>
          <w:color w:val="263238"/>
          <w:sz w:val="22"/>
        </w:rPr>
        <w:t xml:space="preserve">Table H-1: Navigation metrics. Data source: golden record and watch-floor logs.</w:t>
      </w:r>
    </w:p>
    <w:p>
      <w:pPr>
        <w:pStyle w:val="Heading2"/>
      </w:pPr>
      <w:bookmarkStart w:id="222" w:name="_Toc263100122"/>
      <w:r>
        <w:rPr>
          <w:rFonts w:ascii="Georgia" w:hAnsi="Georgia" w:eastAsia="Microsoft YaHei"/>
          <w:color w:val="263238"/>
          <w:sz w:val="22"/>
        </w:rPr>
        <w:t xml:space="preserve">H.3 Domain Two: security and deconfliction</w:t>
      </w:r>
      <w:bookmarkEnd w:id="222"/>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Metric</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Definition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Pass</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Conditional</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 Key integrity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Share of sensitive actions with correct concurrence record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100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99 to 100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ilateral interdiction attempts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Stops or boards outside Annex C authority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Zero</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One, resolved in 72 hours</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confliction channel uptime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Daily test success rate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At or above 99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95 to 99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confliction response time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Minutes from alert to coordinated answer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Under 15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15 to 30</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ne-risk handling time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Hours from contact report to hazard notice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Under 1</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 to 3</w:t>
            </w:r>
          </w:p>
        </w:tc>
      </w:tr>
    </w:tbl>
    <w:p>
      <w:pPr>
        <w:pStyle w:val="Caption"/>
      </w:pPr>
      <w:r>
        <w:rPr>
          <w:rFonts w:ascii="Georgia" w:hAnsi="Georgia" w:eastAsia="Microsoft YaHei"/>
          <w:color w:val="263238"/>
          <w:sz w:val="22"/>
        </w:rPr>
        <w:t xml:space="preserve">Table H-2: Security metrics. Zero-tolerance metrics anchor the domain.</w:t>
      </w:r>
    </w:p>
    <w:p>
      <w:pPr>
        <w:pStyle w:val="Heading2"/>
      </w:pPr>
      <w:bookmarkStart w:id="223" w:name="_Toc263100123"/>
      <w:r>
        <w:rPr>
          <w:rFonts w:ascii="Georgia" w:hAnsi="Georgia" w:eastAsia="Microsoft YaHei"/>
          <w:color w:val="263238"/>
          <w:sz w:val="22"/>
        </w:rPr>
        <w:t xml:space="preserve">H.4 Domain Three: monitoring and transparency</w:t>
      </w:r>
      <w:bookmarkEnd w:id="223"/>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Metric</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Definition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Pass</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Conditional</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ed availability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Monthly availability across monitoring feeds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At or above 95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90 to 95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tency symmetry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Maximum recipient latency differential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Under 30 seconds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30 to 60 seconds</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cident reporting timeliness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Hours from incident to public log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Under 48</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48 to 96</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server access uptime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Availability of Tier Three feeds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At or above 99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97 to 99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gistry integrity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Logging gaps over 15 minutes per month</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Zero</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One</w:t>
            </w:r>
          </w:p>
        </w:tc>
      </w:tr>
    </w:tbl>
    <w:p>
      <w:pPr>
        <w:pStyle w:val="Caption"/>
      </w:pPr>
      <w:r>
        <w:rPr>
          <w:rFonts w:ascii="Georgia" w:hAnsi="Georgia" w:eastAsia="Microsoft YaHei"/>
          <w:color w:val="263238"/>
          <w:sz w:val="22"/>
        </w:rPr>
        <w:t xml:space="preserve">Table H-3: Transparency metrics. The architecture audits its own honesty.</w:t>
      </w:r>
    </w:p>
    <w:p>
      <w:pPr>
        <w:pStyle w:val="Heading2"/>
      </w:pPr>
      <w:bookmarkStart w:id="224" w:name="_Toc263100124"/>
      <w:r>
        <w:rPr>
          <w:rFonts w:ascii="Georgia" w:hAnsi="Georgia" w:eastAsia="Microsoft YaHei"/>
          <w:color w:val="263238"/>
          <w:sz w:val="22"/>
        </w:rPr>
        <w:t xml:space="preserve">H.5 Domain Four: environment and safety</w:t>
      </w:r>
      <w:bookmarkEnd w:id="224"/>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Metric</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Definition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Pass</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Conditional</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vironmental baseline deviation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Change against Annex F baseline indicators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Within band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Band to 1.5 times band</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 launch time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Minutes from confirmation to launch</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Under 30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30 to 45</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 success rate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Cases meeting Annex G timeline standard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At or above 95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90 to 95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ill response time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Hours from alert to first asset on scene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Under 2</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2 to 4</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ill completion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Scheduled drills executed on time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100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80 to 100 percent</w:t>
            </w:r>
          </w:p>
        </w:tc>
      </w:tr>
    </w:tbl>
    <w:p>
      <w:pPr>
        <w:pStyle w:val="Caption"/>
      </w:pPr>
      <w:r>
        <w:rPr>
          <w:rFonts w:ascii="Georgia" w:hAnsi="Georgia" w:eastAsia="Microsoft YaHei"/>
          <w:color w:val="263238"/>
          <w:sz w:val="22"/>
        </w:rPr>
        <w:t xml:space="preserve">Table H-4: Safety and environment metrics.</w:t>
      </w:r>
    </w:p>
    <w:p>
      <w:pPr>
        <w:pStyle w:val="Heading2"/>
      </w:pPr>
      <w:bookmarkStart w:id="225" w:name="_Toc263100125"/>
      <w:r>
        <w:rPr>
          <w:rFonts w:ascii="Georgia" w:hAnsi="Georgia" w:eastAsia="Microsoft YaHei"/>
          <w:color w:val="263238"/>
          <w:sz w:val="22"/>
        </w:rPr>
        <w:t xml:space="preserve">H.6 Domain Five: fees, payment, and sanctions-compatibility</w:t>
      </w:r>
      <w:bookmarkEnd w:id="225"/>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Metric</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Definition</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Pass</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Conditional</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ttlement success rate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Share of settlements completing without manual intervention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At or above 98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95 to 98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te stability index</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Rate changes outside the annual window</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Zero</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Not applicable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dit compliance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Share of sampled settlements reconciling to delivery records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100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98 to 100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testation delivery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Compliance packs delivered at settlement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100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99 to 100 percent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emium normalization index</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Quoted transit premium against pre-conflict baseline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Per Article 26 path</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Within 50 percent of path</w:t>
            </w:r>
          </w:p>
        </w:tc>
      </w:tr>
    </w:tbl>
    <w:p>
      <w:pPr>
        <w:pStyle w:val="Caption"/>
      </w:pPr>
      <w:r>
        <w:rPr>
          <w:rFonts w:ascii="Georgia" w:hAnsi="Georgia" w:eastAsia="Microsoft YaHei"/>
          <w:color w:val="263238"/>
          <w:sz w:val="22"/>
        </w:rPr>
        <w:t xml:space="preserve">Table H-5: Financial metrics. Predictability is the deliverable.</w:t>
      </w:r>
    </w:p>
    <w:p>
      <w:pPr>
        <w:pStyle w:val="Heading2"/>
      </w:pPr>
      <w:bookmarkStart w:id="226" w:name="_Toc263100126"/>
      <w:r>
        <w:rPr>
          <w:rFonts w:ascii="Georgia" w:hAnsi="Georgia" w:eastAsia="Microsoft YaHei"/>
          <w:color w:val="263238"/>
          <w:sz w:val="22"/>
        </w:rPr>
        <w:t xml:space="preserve">H.7 Scoring and outcomes</w:t>
      </w:r>
      <w:bookmarkEnd w:id="226"/>
    </w:p>
    <w:p>
      <w:pPr>
        <w:pStyle w:val="Normal"/>
      </w:pPr>
      <w:r>
        <w:rPr>
          <w:rFonts w:ascii="Georgia" w:hAnsi="Georgia" w:eastAsia="Microsoft YaHei"/>
          <w:color w:val="263238"/>
          <w:sz w:val="22"/>
        </w:rPr>
        <w:t xml:space="preserve">A domain scores Pass when every metric meets its Pass threshold, Conditional when any metric falls in its Conditional band, and Fail when any metric falls below its Conditional floor. The audit outcome reads the weakest domain. Conditional Pass attaches a corrective plan per metric: owner, action, and date, with re-audit of only the affected metrics within sixty days. The audit report publishes in full within seven days of adoption.</w:t>
      </w:r>
    </w:p>
    <w:p>
      <w:pPr>
        <w:pStyle w:val="Heading2"/>
      </w:pPr>
      <w:bookmarkStart w:id="227" w:name="_Toc263100127"/>
      <w:r>
        <w:rPr>
          <w:rFonts w:ascii="Georgia" w:hAnsi="Georgia" w:eastAsia="Microsoft YaHei"/>
          <w:color w:val="263238"/>
          <w:sz w:val="22"/>
        </w:rPr>
        <w:t xml:space="preserve">H.8 Audit governance</w:t>
      </w:r>
      <w:bookmarkEnd w:id="227"/>
    </w:p>
    <w:p>
      <w:pPr>
        <w:pStyle w:val="Normal"/>
      </w:pPr>
      <w:r>
        <w:rPr>
          <w:rFonts w:ascii="Georgia" w:hAnsi="Georgia" w:eastAsia="Microsoft YaHei"/>
          <w:color w:val="263238"/>
          <w:sz w:val="22"/>
        </w:rPr>
        <w:t xml:space="preserve">The Neutral Watch Office manages audit execution; an external technical reviewer appointed by the Swiss Facilitator validates methodology every third year; and any participant inspects the certified dataset on request. The audit exists so that every reader believes it: its methods publish, its data opens, and its conclusions follow the numbers.</w:t>
      </w:r>
    </w:p>
    <w:p>
      <w:pPr>
        <w:pStyle w:val="Heading2"/>
      </w:pPr>
      <w:bookmarkStart w:id="228" w:name="_Toc263100128"/>
      <w:r>
        <w:rPr>
          <w:rFonts w:ascii="Georgia" w:hAnsi="Georgia" w:eastAsia="Microsoft YaHei"/>
          <w:color w:val="263238"/>
          <w:sz w:val="22"/>
        </w:rPr>
        <w:t xml:space="preserve">H.9 The System Health Index</w:t>
      </w:r>
      <w:bookmarkEnd w:id="228"/>
    </w:p>
    <w:p>
      <w:pPr>
        <w:pStyle w:val="Normal"/>
      </w:pPr>
      <w:r>
        <w:rPr>
          <w:rFonts w:ascii="Georgia" w:hAnsi="Georgia" w:eastAsia="Microsoft YaHei"/>
          <w:color w:val="263238"/>
          <w:sz w:val="22"/>
        </w:rPr>
        <w:t xml:space="preserve">The System Health Index aggregates the five audit domains into a single continuously computed score on a 0 to 100 scale, updated hourly and published on the public dashboard. A reading of 90 to 100 indicates full health; 75 to 89 indicates watch status; 60 to 74 triggers technical review; below 60 triggers automatic Council notification, and three consecutive hours below 60 compels a Council review within twenty-four hours. The Index gives the market, the public, and the participants a real-time pulse of the system between annual audits, and it catches slow degradation before the audit cycle does.</w:t>
      </w:r>
    </w:p>
    <w:p>
      <w:pPr>
        <w:pStyle w:val="Heading2"/>
      </w:pPr>
      <w:bookmarkStart w:id="229" w:name="_Toc263100129"/>
      <w:r>
        <w:rPr>
          <w:rFonts w:ascii="Georgia" w:hAnsi="Georgia" w:eastAsia="Microsoft YaHei"/>
          <w:color w:val="263238"/>
          <w:sz w:val="22"/>
        </w:rPr>
        <w:t xml:space="preserve">H.10 The Annual Political Confidence Survey</w:t>
      </w:r>
      <w:bookmarkEnd w:id="229"/>
    </w:p>
    <w:p>
      <w:pPr>
        <w:pStyle w:val="Normal"/>
      </w:pPr>
      <w:r>
        <w:rPr>
          <w:rFonts w:ascii="Georgia" w:hAnsi="Georgia" w:eastAsia="Microsoft YaHei"/>
          <w:color w:val="263238"/>
          <w:sz w:val="22"/>
        </w:rPr>
        <w:t xml:space="preserve">The Swiss Facilitator commissions an independent, anonymous annual survey of all participants, observers, and Stakeholder Panel members, measuring confidence in the system's integrity, in counterparties' commitment, and in the system's crisis resilience, and asking respondents to name the single greatest risk. Aggregated results publish as the Confidence Annex to the Stability Audit, with individual responses never identified. A sustained decline across two consecutive surveys triggers a mandatory Council review of the identified risks. Technical audits measure the machine; this survey measures the confidence that keeps the machine funded.</w:t>
      </w:r>
    </w:p>
    <w:p>
      <w:r>
        <w:br w:type="page"/>
      </w:r>
    </w:p>
    <w:p>
      <w:pPr>
        <w:pStyle w:val="Heading1"/>
      </w:pPr>
      <w:bookmarkStart w:id="230" w:name="_Toc263100130"/>
      <w:r>
        <w:rPr>
          <w:rFonts w:ascii="Georgia" w:hAnsi="Georgia" w:eastAsia="Microsoft YaHei"/>
          <w:color w:val="263238"/>
          <w:sz w:val="22"/>
        </w:rPr>
        <w:t xml:space="preserve">Annex I: The Red Lines Register</w:t>
      </w:r>
      <w:bookmarkEnd w:id="230"/>
    </w:p>
    <w:p>
      <w:pPr>
        <w:pStyle w:val="Heading2"/>
      </w:pPr>
      <w:bookmarkStart w:id="231" w:name="_Toc263100131"/>
      <w:r>
        <w:rPr>
          <w:rFonts w:ascii="Georgia" w:hAnsi="Georgia" w:eastAsia="Microsoft YaHei"/>
          <w:color w:val="263238"/>
          <w:sz w:val="22"/>
        </w:rPr>
        <w:t xml:space="preserve">I.1 Status and use</w:t>
      </w:r>
      <w:bookmarkEnd w:id="231"/>
    </w:p>
    <w:p>
      <w:pPr>
        <w:pStyle w:val="Normal"/>
      </w:pPr>
      <w:r>
        <w:rPr>
          <w:rFonts w:ascii="Georgia" w:hAnsi="Georgia" w:eastAsia="Microsoft YaHei"/>
          <w:color w:val="263238"/>
          <w:sz w:val="22"/>
        </w:rPr>
        <w:t xml:space="preserve">This Register carries the Red Lines of the Parties, Regional Participants, and Endorsing Stakeholders as registered at signature. The Perimeter Test of Article 6 screens every measure against this Register. Entries state positions; they create no obligations on other participants beyond the Accord's own text, and the Accord's text already honors every entry by design.</w:t>
      </w:r>
    </w:p>
    <w:p>
      <w:pPr>
        <w:pStyle w:val="Heading2"/>
      </w:pPr>
      <w:bookmarkStart w:id="232" w:name="_Toc263100132"/>
      <w:r>
        <w:rPr>
          <w:rFonts w:ascii="Georgia" w:hAnsi="Georgia" w:eastAsia="Microsoft YaHei"/>
          <w:color w:val="263238"/>
          <w:sz w:val="22"/>
        </w:rPr>
        <w:t xml:space="preserve">I.2 Registered Red Lines of the Islamic Republic of Iran</w:t>
      </w:r>
      <w:bookmarkEnd w:id="232"/>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 No foreign power exercises governance authority over the corridor system or Iranian waters.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R2: Iran performs the inbound navigation safety functions of the Northern Coordination Corridor as a registered functional role.</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R3: Service charge payments route through channels that no unilateral sanctions regime interrupts.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R4: Iranian commercial shipping receives explicit protection equal to every other user's.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R5: Iran holds equal representation and procedural weight in every governing organ.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R6: No organ of the Accord serves any military command of any state.</w:t>
      </w:r>
    </w:p>
    <w:p>
      <w:pPr>
        <w:pStyle w:val="Heading2"/>
      </w:pPr>
      <w:bookmarkStart w:id="233" w:name="_Toc263100133"/>
      <w:r>
        <w:rPr>
          <w:rFonts w:ascii="Georgia" w:hAnsi="Georgia" w:eastAsia="Microsoft YaHei"/>
          <w:color w:val="263238"/>
          <w:sz w:val="22"/>
        </w:rPr>
        <w:t xml:space="preserve">I.3 Registered Red Lines of the Sultanate of Oman</w:t>
      </w:r>
      <w:bookmarkEnd w:id="233"/>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R7: Oman administers the outbound corridor functions and the escrow as its registered functional roles.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R8: Oman's neutrality and mediating character receive institutional protection; the Accord never conscripts Oman into any bloc position.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R9: Corridor coordinates register internationally through the International Maritime Organization.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R10: Fees exist only as service charges; no instrument of the Accord creates a sovereign toll for any state.</w:t>
      </w:r>
    </w:p>
    <w:p>
      <w:pPr>
        <w:pStyle w:val="Heading2"/>
      </w:pPr>
      <w:bookmarkStart w:id="234" w:name="_Toc263100134"/>
      <w:r>
        <w:rPr>
          <w:rFonts w:ascii="Georgia" w:hAnsi="Georgia" w:eastAsia="Microsoft YaHei"/>
          <w:color w:val="263238"/>
          <w:sz w:val="22"/>
        </w:rPr>
        <w:t xml:space="preserve">I.4 Registered Red Lines of the United States as Endorsing Stakeholder</w:t>
      </w:r>
      <w:bookmarkEnd w:id="234"/>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R11: No participant holds unilateral control over any corridor or any corridor function.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R12: Freedom of navigation, including military transit under international law, stands absolute and unpriced.</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R13: Corridor coordinates, rates, and rules publish in full and register internationally.</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R14: The payment architecture stays compatible with United States sanctions law through the firewall of Article 24.</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R15: Security functions operate as shared, functional roles; no function vests as a sovereign claim.</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R16: No recognition attaches, direct or indirect, to any sovereign toll, in any corridor, under any name.</w:t>
      </w:r>
    </w:p>
    <w:p>
      <w:pPr>
        <w:pStyle w:val="Heading2"/>
      </w:pPr>
      <w:bookmarkStart w:id="235" w:name="_Toc263100135"/>
      <w:r>
        <w:rPr>
          <w:rFonts w:ascii="Georgia" w:hAnsi="Georgia" w:eastAsia="Microsoft YaHei"/>
          <w:color w:val="263238"/>
          <w:sz w:val="22"/>
        </w:rPr>
        <w:t xml:space="preserve">I.5 Registered Red Lines of the GCC Observer College</w:t>
      </w:r>
      <w:bookmarkEnd w:id="235"/>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R17: No unilateral interdiction of any commercial vessel occurs anywhere in the system.</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R18: GCC merchant shipping receives guaranteed protection equal to every other user's.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R19: GCC observers hold standing access to the fused monitoring picture and the deconfliction record.</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R20: Emergency response and search and rescue operate on shared authority with GCC participation.</w:t>
      </w:r>
    </w:p>
    <w:p>
      <w:pPr>
        <w:pStyle w:val="Heading2"/>
      </w:pPr>
      <w:bookmarkStart w:id="236" w:name="_Toc263100136"/>
      <w:r>
        <w:rPr>
          <w:rFonts w:ascii="Georgia" w:hAnsi="Georgia" w:eastAsia="Microsoft YaHei"/>
          <w:color w:val="263238"/>
          <w:sz w:val="22"/>
        </w:rPr>
        <w:t xml:space="preserve">I.6 Registered Red Lines of the European Maritime Safety Observer</w:t>
      </w:r>
      <w:bookmarkEnd w:id="236"/>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R21: Corridor coordinates and the Accord text lodge with the International Maritime Organization.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R22: Environmental compliance operates under third-party audit with published results.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R23: Every maritime incident logs and publishes on the public incident log.</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R24: Fees publish, stay stable, and price services only.</w:t>
      </w:r>
    </w:p>
    <w:p>
      <w:pPr>
        <w:pStyle w:val="Heading2"/>
      </w:pPr>
      <w:bookmarkStart w:id="237" w:name="_Toc263100137"/>
      <w:r>
        <w:rPr>
          <w:rFonts w:ascii="Georgia" w:hAnsi="Georgia" w:eastAsia="Microsoft YaHei"/>
          <w:color w:val="263238"/>
          <w:sz w:val="22"/>
        </w:rPr>
        <w:t xml:space="preserve">I.7 The universal entries</w:t>
      </w:r>
      <w:bookmarkEnd w:id="237"/>
    </w:p>
    <w:p>
      <w:pPr>
        <w:pStyle w:val="Normal"/>
      </w:pPr>
      <w:r>
        <w:rPr>
          <w:rFonts w:ascii="Georgia" w:hAnsi="Georgia" w:eastAsia="Microsoft YaHei"/>
          <w:color w:val="263238"/>
          <w:sz w:val="22"/>
        </w:rPr>
        <w:t xml:space="preserve">Three entries bind every participant equally, registered for all: the Zero-Toll Rule of Article 21; the mine exclusion of Article 11; and the no automatic military escalation covenant of Article 37. The universal entries amend only with the affirmative vote of every voting participant and the concurrence of every Endorsing Stakeholder.</w:t>
      </w:r>
    </w:p>
    <w:p>
      <w:pPr>
        <w:pStyle w:val="Heading2"/>
      </w:pPr>
      <w:bookmarkStart w:id="238" w:name="_Toc263100138"/>
      <w:r>
        <w:rPr>
          <w:rFonts w:ascii="Georgia" w:hAnsi="Georgia" w:eastAsia="Microsoft YaHei"/>
          <w:color w:val="263238"/>
          <w:sz w:val="22"/>
        </w:rPr>
        <w:t xml:space="preserve">I.8 Register maintenance</w:t>
      </w:r>
      <w:bookmarkEnd w:id="238"/>
    </w:p>
    <w:p>
      <w:pPr>
        <w:pStyle w:val="Normal"/>
      </w:pPr>
      <w:r>
        <w:rPr>
          <w:rFonts w:ascii="Georgia" w:hAnsi="Georgia" w:eastAsia="Microsoft YaHei"/>
          <w:color w:val="263238"/>
          <w:sz w:val="22"/>
        </w:rPr>
        <w:t xml:space="preserve">A participant registers an additional Red Line by written notice at any time; registration takes effect for measures proposed after registration. Removal of a Red Line takes written notice and publishes. The Register never trades, never interprets away, and never expires.</w:t>
      </w:r>
    </w:p>
    <w:p>
      <w:pPr>
        <w:pStyle w:val="Heading1"/>
      </w:pPr>
      <w:bookmarkStart w:id="239" w:name="_Toc263100139"/>
      <w:r>
        <w:rPr>
          <w:rFonts w:ascii="Georgia" w:hAnsi="Georgia" w:eastAsia="Microsoft YaHei"/>
          <w:color w:val="263238"/>
          <w:sz w:val="22"/>
        </w:rPr>
        <w:t xml:space="preserve">Annex J: Implementation and Testing Protocol</w:t>
      </w:r>
      <w:bookmarkEnd w:id="239"/>
    </w:p>
    <w:p>
      <w:pPr>
        <w:pStyle w:val="Heading2"/>
      </w:pPr>
      <w:bookmarkStart w:id="240" w:name="_Toc263100140"/>
      <w:r>
        <w:rPr>
          <w:rFonts w:ascii="Georgia" w:hAnsi="Georgia" w:eastAsia="Microsoft YaHei"/>
          <w:color w:val="263238"/>
          <w:sz w:val="22"/>
        </w:rPr>
        <w:t xml:space="preserve">J.1 Purpose</w:t>
      </w:r>
      <w:bookmarkEnd w:id="240"/>
    </w:p>
    <w:p>
      <w:pPr>
        <w:pStyle w:val="Normal"/>
      </w:pPr>
      <w:r>
        <w:rPr>
          <w:rFonts w:ascii="Georgia" w:hAnsi="Georgia" w:eastAsia="Microsoft YaHei"/>
          <w:color w:val="263238"/>
          <w:sz w:val="22"/>
        </w:rPr>
        <w:t xml:space="preserve">This Annex operationalizes the pilot phase of Article 39: the drills, tests, and certifications that prove each corridor and each system before live traffic depends on them. Testing precedes trust.</w:t>
      </w:r>
    </w:p>
    <w:p>
      <w:pPr>
        <w:pStyle w:val="Heading2"/>
      </w:pPr>
      <w:bookmarkStart w:id="241" w:name="_Toc263100141"/>
      <w:r>
        <w:rPr>
          <w:rFonts w:ascii="Georgia" w:hAnsi="Georgia" w:eastAsia="Microsoft YaHei"/>
          <w:color w:val="263238"/>
          <w:sz w:val="22"/>
        </w:rPr>
        <w:t xml:space="preserve">J.2 The drill program</w:t>
      </w:r>
      <w:bookmarkEnd w:id="241"/>
    </w:p>
    <w:p>
      <w:pPr>
        <w:pStyle w:val="Normal"/>
      </w:pPr>
      <w:r>
        <w:rPr>
          <w:rFonts w:ascii="Georgia" w:hAnsi="Georgia" w:eastAsia="Microsoft YaHei"/>
          <w:color w:val="263238"/>
          <w:sz w:val="22"/>
        </w:rPr>
        <w:t xml:space="preserve">The pilot executes a published drill program: one simulated Twin Key Safety Intercept per corridor; two emergency diversion exercises through the buffer corridor; one mass rescue drill; one spill response drill; one mine-contact classification drill; one escrow settlement end-to-end test; one degraded-mode site handover test; and daily deconfliction channel tests. Each drill scores against the metrics of Annex H, and scores publish.</w:t>
      </w:r>
    </w:p>
    <w:p>
      <w:pPr>
        <w:pStyle w:val="Heading2"/>
      </w:pPr>
      <w:bookmarkStart w:id="242" w:name="_Toc263100142"/>
      <w:r>
        <w:rPr>
          <w:rFonts w:ascii="Georgia" w:hAnsi="Georgia" w:eastAsia="Microsoft YaHei"/>
          <w:color w:val="263238"/>
          <w:sz w:val="22"/>
        </w:rPr>
        <w:t xml:space="preserve">J.3 Corridor certification checklists</w:t>
      </w:r>
      <w:bookmarkEnd w:id="242"/>
    </w:p>
    <w:p>
      <w:pPr>
        <w:pStyle w:val="Normal"/>
      </w:pPr>
      <w:r>
        <w:rPr>
          <w:rFonts w:ascii="Georgia" w:hAnsi="Georgia" w:eastAsia="Microsoft YaHei"/>
          <w:color w:val="263238"/>
          <w:sz w:val="22"/>
        </w:rPr>
        <w:t xml:space="preserve">Each corridor certifies on a six-item checklist. Item one: survey record complete and current for the corridor axis and margins. Item two: watch-floor procedures tested with live traffic at pilot volume. Item three: Twin Key records demonstrating correct concurrence across the pilot to date. Item four: delivery states accurate against Registry records for ninety-eight percent of sampled transits. Item five: the one-page routing card issued and acknowledged by transiting masters. Item six: the Neutral Watch Office readiness memorandum. All six items sign, or the corridor does not open.</w:t>
      </w:r>
    </w:p>
    <w:p>
      <w:pPr>
        <w:pStyle w:val="Heading2"/>
      </w:pPr>
      <w:bookmarkStart w:id="243" w:name="_Toc263100143"/>
      <w:r>
        <w:rPr>
          <w:rFonts w:ascii="Georgia" w:hAnsi="Georgia" w:eastAsia="Microsoft YaHei"/>
          <w:color w:val="263238"/>
          <w:sz w:val="22"/>
        </w:rPr>
        <w:t xml:space="preserve">J.4 Testing the payment architecture</w:t>
      </w:r>
      <w:bookmarkEnd w:id="243"/>
    </w:p>
    <w:p>
      <w:pPr>
        <w:pStyle w:val="Normal"/>
      </w:pPr>
      <w:r>
        <w:rPr>
          <w:rFonts w:ascii="Georgia" w:hAnsi="Georgia" w:eastAsia="Microsoft YaHei"/>
          <w:color w:val="263238"/>
          <w:sz w:val="22"/>
        </w:rPr>
        <w:t xml:space="preserve">Phase Four of the pilot runs a settlement test series: ten simulated settlements per currency, five live settlements with volunteer users at pilot rates, one delivery-linked adjustment test, one compliance attestation pack review by an external sanctions counsel retained by the Swiss Facilitator, and one stress test of the contingency protocol. The series completes before Phase Five begins.</w:t>
      </w:r>
    </w:p>
    <w:p>
      <w:pPr>
        <w:pStyle w:val="Heading2"/>
      </w:pPr>
      <w:bookmarkStart w:id="244" w:name="_Toc263100144"/>
      <w:r>
        <w:rPr>
          <w:rFonts w:ascii="Georgia" w:hAnsi="Georgia" w:eastAsia="Microsoft YaHei"/>
          <w:color w:val="263238"/>
          <w:sz w:val="22"/>
        </w:rPr>
        <w:t xml:space="preserve">J.5 Adversarial verification of claims</w:t>
      </w:r>
      <w:bookmarkEnd w:id="244"/>
    </w:p>
    <w:p>
      <w:pPr>
        <w:pStyle w:val="Normal"/>
      </w:pPr>
      <w:r>
        <w:rPr>
          <w:rFonts w:ascii="Georgia" w:hAnsi="Georgia" w:eastAsia="Microsoft YaHei"/>
          <w:color w:val="263238"/>
          <w:sz w:val="22"/>
        </w:rPr>
        <w:t xml:space="preserve">Service claims during the pilot verify through the adversarial method: the delivering desk submits the claim with telemetry and logs within twenty-four hours; the other desk holds a forty-eight-hour challenge window at the published costs of Annex E; the Technical and Standards Committee assigns confirmation levels against the golden record; and partial credit awards per the accuracy bands of this Annex. Full confirmation at ninety percent accuracy or above; seventy-five percent credit at seventy to eighty-nine percent; fifty percent at fifty to sixty-nine percent; rejection below fifty percent, with the frivolous submission ladder mirroring the challenge ladder of Annex E. Verification pays for precision and prices inflation.</w:t>
      </w:r>
    </w:p>
    <w:p>
      <w:pPr>
        <w:pStyle w:val="Heading2"/>
      </w:pPr>
      <w:bookmarkStart w:id="245" w:name="_Toc263100145"/>
      <w:r>
        <w:rPr>
          <w:rFonts w:ascii="Georgia" w:hAnsi="Georgia" w:eastAsia="Microsoft YaHei"/>
          <w:color w:val="263238"/>
          <w:sz w:val="22"/>
        </w:rPr>
        <w:t xml:space="preserve">J.6 The pacing buffer</w:t>
      </w:r>
      <w:bookmarkEnd w:id="245"/>
    </w:p>
    <w:p>
      <w:pPr>
        <w:pStyle w:val="Normal"/>
      </w:pPr>
      <w:r>
        <w:rPr>
          <w:rFonts w:ascii="Georgia" w:hAnsi="Georgia" w:eastAsia="Microsoft YaHei"/>
          <w:color w:val="263238"/>
          <w:sz w:val="22"/>
        </w:rPr>
        <w:t xml:space="preserve">Claim and challenge pacing prevents flooding: at most five claims per desk per day and three challenges per desk per day during the pilot, queueing automatically beyond the limit. Pacing publishes on the Registry dashboard in real time.</w:t>
      </w:r>
    </w:p>
    <w:p>
      <w:pPr>
        <w:pStyle w:val="Heading2"/>
      </w:pPr>
      <w:bookmarkStart w:id="246" w:name="_Toc263100146"/>
      <w:r>
        <w:rPr>
          <w:rFonts w:ascii="Georgia" w:hAnsi="Georgia" w:eastAsia="Microsoft YaHei"/>
          <w:color w:val="263238"/>
          <w:sz w:val="22"/>
        </w:rPr>
        <w:t xml:space="preserve">J.7 Expedited verification track</w:t>
      </w:r>
      <w:bookmarkEnd w:id="246"/>
    </w:p>
    <w:p>
      <w:pPr>
        <w:pStyle w:val="Normal"/>
      </w:pPr>
      <w:r>
        <w:rPr>
          <w:rFonts w:ascii="Georgia" w:hAnsi="Georgia" w:eastAsia="Microsoft YaHei"/>
          <w:color w:val="263238"/>
          <w:sz w:val="22"/>
        </w:rPr>
        <w:t xml:space="preserve">Urgent incidents compress timelines automatically on duty officer classification: claim submission within four hours, challenge window six hours, determination twelve hours, and double standing credit for verified expedited claims. Classification denials log with written rationale.</w:t>
      </w:r>
    </w:p>
    <w:p>
      <w:pPr>
        <w:pStyle w:val="Heading2"/>
      </w:pPr>
      <w:bookmarkStart w:id="247" w:name="_Toc263100147"/>
      <w:r>
        <w:rPr>
          <w:rFonts w:ascii="Georgia" w:hAnsi="Georgia" w:eastAsia="Microsoft YaHei"/>
          <w:color w:val="263238"/>
          <w:sz w:val="22"/>
        </w:rPr>
        <w:t xml:space="preserve">J.8 The implementation checklist</w:t>
      </w:r>
      <w:bookmarkEnd w:id="247"/>
    </w:p>
    <w:p>
      <w:pPr>
        <w:pStyle w:val="Normal"/>
      </w:pPr>
      <w:r>
        <w:rPr>
          <w:rFonts w:ascii="Georgia" w:hAnsi="Georgia" w:eastAsia="Microsoft YaHei"/>
          <w:color w:val="263238"/>
          <w:sz w:val="22"/>
        </w:rPr>
        <w:t xml:space="preserve">Pre-activation: monitoring feeds calibrated and tested; watch-floor rosters confirmed with named persons; crisis contacts designated as real persons and tested monthly; baseline environmental and telemetry records established; earn-back credit accounts initialized; escrow accounts opened and attestation templates issued; the Red Team's first integrity sweep complete. Day one: the compliance engine briefed to all senior officials; dispute procedures distributed; alert baselines confirmed; the first joint readiness announcement issued. Ongoing: daily channel tests at 06:00 UTC; weekly review of Level 2 and 3 alerts; monthly audit of automation flags and human review timeliness; quarterly review of the Reciprocity Ledger; annual human-in-the-loop audit.</w:t>
      </w:r>
    </w:p>
    <w:p>
      <w:pPr>
        <w:pStyle w:val="Heading1"/>
      </w:pPr>
      <w:bookmarkStart w:id="248" w:name="_Toc263100148"/>
      <w:r>
        <w:rPr>
          <w:rFonts w:ascii="Georgia" w:hAnsi="Georgia" w:eastAsia="Microsoft YaHei"/>
          <w:color w:val="263238"/>
          <w:sz w:val="22"/>
        </w:rPr>
        <w:t xml:space="preserve">Annex K: Vessel Routing Instructions and the One-Page Cards</w:t>
      </w:r>
      <w:bookmarkEnd w:id="248"/>
    </w:p>
    <w:p>
      <w:pPr>
        <w:pStyle w:val="Heading2"/>
      </w:pPr>
      <w:bookmarkStart w:id="249" w:name="_Toc263100149"/>
      <w:r>
        <w:rPr>
          <w:rFonts w:ascii="Georgia" w:hAnsi="Georgia" w:eastAsia="Microsoft YaHei"/>
          <w:color w:val="263238"/>
          <w:sz w:val="22"/>
        </w:rPr>
        <w:t xml:space="preserve">K.1 The standard transit card</w:t>
      </w:r>
      <w:bookmarkEnd w:id="249"/>
    </w:p>
    <w:p>
      <w:pPr>
        <w:pStyle w:val="Normal"/>
      </w:pPr>
      <w:r>
        <w:rPr>
          <w:rFonts w:ascii="Georgia" w:hAnsi="Georgia" w:eastAsia="Microsoft YaHei"/>
          <w:color w:val="263238"/>
          <w:sz w:val="22"/>
        </w:rPr>
        <w:t xml:space="preserve">Every transit follows six steps. Step one: file the transit notice in the Route Assurance Data Service with class, cargo category, and services, at least twenty-four hours before entry. Step two: receive the routing confirmation and settlement statement estimate. Step three: report at reporting point one on entry to the assigned corridor, AIS continuous. Step four: follow the corridor axis, maintain the published speed band, and report at each subsequent reporting point. Step five: on completion, receive the Seal of Transit Assurance and the final settlement statement. Step six: settle through the escrow within fourteen days. The card prints on one page, in four languages, with the emergency channels in a single box.</w:t>
      </w:r>
    </w:p>
    <w:p>
      <w:pPr>
        <w:pStyle w:val="Heading2"/>
      </w:pPr>
      <w:bookmarkStart w:id="250" w:name="_Toc263100150"/>
      <w:r>
        <w:rPr>
          <w:rFonts w:ascii="Georgia" w:hAnsi="Georgia" w:eastAsia="Microsoft YaHei"/>
          <w:color w:val="263238"/>
          <w:sz w:val="22"/>
        </w:rPr>
        <w:t xml:space="preserve">K.2 Emergency diversion card</w:t>
      </w:r>
      <w:bookmarkEnd w:id="250"/>
    </w:p>
    <w:p>
      <w:pPr>
        <w:pStyle w:val="Normal"/>
      </w:pPr>
      <w:r>
        <w:rPr>
          <w:rFonts w:ascii="Georgia" w:hAnsi="Georgia" w:eastAsia="Microsoft YaHei"/>
          <w:color w:val="263238"/>
          <w:sz w:val="22"/>
        </w:rPr>
        <w:t xml:space="preserve">In any emergency: alter into the buffer corridor at the nearest diversion point; broadcast on the distress and safety channel; follow watch-floor direction; anchor at the designated holding point if directed; receive assistance at zero charge; resume transit on watch-floor clearance. Six steps, one page.</w:t>
      </w:r>
    </w:p>
    <w:p>
      <w:pPr>
        <w:pStyle w:val="Heading2"/>
      </w:pPr>
      <w:bookmarkStart w:id="251" w:name="_Toc263100151"/>
      <w:r>
        <w:rPr>
          <w:rFonts w:ascii="Georgia" w:hAnsi="Georgia" w:eastAsia="Microsoft YaHei"/>
          <w:color w:val="263238"/>
          <w:sz w:val="22"/>
        </w:rPr>
        <w:t xml:space="preserve">K.3 Class H card</w:t>
      </w:r>
      <w:bookmarkEnd w:id="251"/>
    </w:p>
    <w:p>
      <w:pPr>
        <w:pStyle w:val="Normal"/>
      </w:pPr>
      <w:r>
        <w:rPr>
          <w:rFonts w:ascii="Georgia" w:hAnsi="Georgia" w:eastAsia="Microsoft YaHei"/>
          <w:color w:val="263238"/>
          <w:sz w:val="22"/>
        </w:rPr>
        <w:t xml:space="preserve">Class H vessels: anchor at the verification anchorage; notify the Operations Center; receive the joint verification visit within twelve hours; transit under escort-pooling priority with continuous attention; settle the class rate plus the verification surcharge; clear Class H status automatically on twelve consecutive clean transits. Six steps, one page.</w:t>
      </w:r>
    </w:p>
    <w:p>
      <w:pPr>
        <w:pStyle w:val="Heading2"/>
      </w:pPr>
      <w:bookmarkStart w:id="252" w:name="_Toc263100152"/>
      <w:r>
        <w:rPr>
          <w:rFonts w:ascii="Georgia" w:hAnsi="Georgia" w:eastAsia="Microsoft YaHei"/>
          <w:color w:val="263238"/>
          <w:sz w:val="22"/>
        </w:rPr>
        <w:t xml:space="preserve">K.4 Flow State rules</w:t>
      </w:r>
      <w:bookmarkEnd w:id="252"/>
    </w:p>
    <w:p>
      <w:pPr>
        <w:pStyle w:val="Normal"/>
      </w:pPr>
      <w:r>
        <w:rPr>
          <w:rFonts w:ascii="Georgia" w:hAnsi="Georgia" w:eastAsia="Microsoft YaHei"/>
          <w:color w:val="263238"/>
          <w:sz w:val="22"/>
        </w:rPr>
        <w:t xml:space="preserve">GREEN: standard card applies. AMBER: add escort pooling instructions and enhanced reporting at every waypoint. RED: add continuous watch-floor contact, convoy spacing where directed, and buffer corridor awareness. The Bulletin states the current Flow State at all times; masters confirm state on every reporting point call.</w:t>
      </w:r>
    </w:p>
    <w:p>
      <w:pPr>
        <w:pStyle w:val="Heading2"/>
      </w:pPr>
      <w:bookmarkStart w:id="253" w:name="_Toc263100153"/>
      <w:r>
        <w:rPr>
          <w:rFonts w:ascii="Georgia" w:hAnsi="Georgia" w:eastAsia="Microsoft YaHei"/>
          <w:color w:val="263238"/>
          <w:sz w:val="22"/>
        </w:rPr>
        <w:t xml:space="preserve">K.5 Speed bands and spacing</w:t>
      </w:r>
      <w:bookmarkEnd w:id="253"/>
    </w:p>
    <w:p>
      <w:pPr>
        <w:pStyle w:val="Normal"/>
      </w:pPr>
      <w:r>
        <w:rPr>
          <w:rFonts w:ascii="Georgia" w:hAnsi="Georgia" w:eastAsia="Microsoft YaHei"/>
          <w:color w:val="263238"/>
          <w:sz w:val="22"/>
        </w:rPr>
        <w:t xml:space="preserve">Speed bands publish per class: laden tankers ten to twelve knots inside corridors; container vessels twelve to fourteen; gas carriers ten to twelve; other classes as charted. Minimum spacing: two nautical miles in corridor, four in convoy under escort pooling. Overtaking stays prohibited inside corridor margins except on watch-floor direction.</w:t>
      </w:r>
    </w:p>
    <w:p>
      <w:pPr>
        <w:pStyle w:val="Heading2"/>
      </w:pPr>
      <w:bookmarkStart w:id="254" w:name="_Toc263100154"/>
      <w:r>
        <w:rPr>
          <w:rFonts w:ascii="Georgia" w:hAnsi="Georgia" w:eastAsia="Microsoft YaHei"/>
          <w:color w:val="263238"/>
          <w:sz w:val="22"/>
        </w:rPr>
        <w:t xml:space="preserve">K.6 Communications directory</w:t>
      </w:r>
      <w:bookmarkEnd w:id="254"/>
    </w:p>
    <w:p>
      <w:pPr>
        <w:pStyle w:val="Normal"/>
      </w:pPr>
      <w:r>
        <w:rPr>
          <w:rFonts w:ascii="Georgia" w:hAnsi="Georgia" w:eastAsia="Microsoft YaHei"/>
          <w:color w:val="263238"/>
          <w:sz w:val="22"/>
        </w:rPr>
        <w:t xml:space="preserve">The directory box on every card lists: the watch-floor operational channel; the distress and safety channel; the escrow settlement desk; the user feedback channel; and the Route Assurance Data Service address. Every contact answers around the clock, in the three working languages.</w:t>
      </w:r>
    </w:p>
    <w:p>
      <w:r>
        <w:br w:type="page"/>
      </w:r>
    </w:p>
    <w:p>
      <w:pPr>
        <w:pStyle w:val="Heading1"/>
      </w:pPr>
      <w:bookmarkStart w:id="255" w:name="_Toc263100155"/>
      <w:r>
        <w:rPr>
          <w:rFonts w:ascii="Georgia" w:hAnsi="Georgia" w:eastAsia="Microsoft YaHei"/>
          <w:color w:val="263238"/>
          <w:sz w:val="22"/>
        </w:rPr>
        <w:t xml:space="preserve">Annex L: Military Deconfliction Channel Procedures</w:t>
      </w:r>
      <w:bookmarkEnd w:id="255"/>
    </w:p>
    <w:p>
      <w:pPr>
        <w:pStyle w:val="Heading2"/>
      </w:pPr>
      <w:bookmarkStart w:id="256" w:name="_Toc263100156"/>
      <w:r>
        <w:rPr>
          <w:rFonts w:ascii="Georgia" w:hAnsi="Georgia" w:eastAsia="Microsoft YaHei"/>
          <w:color w:val="263238"/>
          <w:sz w:val="22"/>
        </w:rPr>
        <w:t xml:space="preserve">L.1 Channel parties and access</w:t>
      </w:r>
      <w:bookmarkEnd w:id="256"/>
    </w:p>
    <w:p>
      <w:pPr>
        <w:pStyle w:val="Normal"/>
      </w:pPr>
      <w:r>
        <w:rPr>
          <w:rFonts w:ascii="Georgia" w:hAnsi="Georgia" w:eastAsia="Microsoft YaHei"/>
          <w:color w:val="263238"/>
          <w:sz w:val="22"/>
        </w:rPr>
        <w:t xml:space="preserve">The deconfliction channel links the designated naval authorities of the Islamic Republic of Iran, the Sultanate of Oman, the United States of America, and any additional Endorsing Stakeholder that files designated authority credentials, with GCC liaison access through the Observer College and the Neutral Watch Office attending as witness. Each party names a standing authority post, staffed continuously, with named alternates.</w:t>
      </w:r>
    </w:p>
    <w:p>
      <w:pPr>
        <w:pStyle w:val="Heading2"/>
      </w:pPr>
      <w:bookmarkStart w:id="257" w:name="_Toc263100157"/>
      <w:r>
        <w:rPr>
          <w:rFonts w:ascii="Georgia" w:hAnsi="Georgia" w:eastAsia="Microsoft YaHei"/>
          <w:color w:val="263238"/>
          <w:sz w:val="22"/>
        </w:rPr>
        <w:t xml:space="preserve">L.2 Message discipline</w:t>
      </w:r>
      <w:bookmarkEnd w:id="257"/>
    </w:p>
    <w:p>
      <w:pPr>
        <w:pStyle w:val="Normal"/>
      </w:pPr>
      <w:r>
        <w:rPr>
          <w:rFonts w:ascii="Georgia" w:hAnsi="Georgia" w:eastAsia="Microsoft YaHei"/>
          <w:color w:val="263238"/>
          <w:sz w:val="22"/>
        </w:rPr>
        <w:t xml:space="preserve">Channel traffic uses plain language and the standard message formats of this Annex: movement notice, standoff alert, exercise notification, weapons-release report, mishap flash, and welfare inquiry. Every message logs to the restricted deconfliction record, which declassifies on the Annex B schedule. The channel exists for prevention, not negotiation; political traffic stays off it.</w:t>
      </w:r>
    </w:p>
    <w:p>
      <w:pPr>
        <w:pStyle w:val="Heading2"/>
      </w:pPr>
      <w:bookmarkStart w:id="258" w:name="_Toc263100158"/>
      <w:r>
        <w:rPr>
          <w:rFonts w:ascii="Georgia" w:hAnsi="Georgia" w:eastAsia="Microsoft YaHei"/>
          <w:color w:val="263238"/>
          <w:sz w:val="22"/>
        </w:rPr>
        <w:t xml:space="preserve">L.3 The daily test</w:t>
      </w:r>
      <w:bookmarkEnd w:id="258"/>
    </w:p>
    <w:p>
      <w:pPr>
        <w:pStyle w:val="Normal"/>
      </w:pPr>
      <w:r>
        <w:rPr>
          <w:rFonts w:ascii="Georgia" w:hAnsi="Georgia" w:eastAsia="Microsoft YaHei"/>
          <w:color w:val="263238"/>
          <w:sz w:val="22"/>
        </w:rPr>
        <w:t xml:space="preserve">The channel tests daily at 06:00 UTC: each authority post answers in sequence, the witness records completion, and a missed answer triggers welfare verification within sixty minutes through the executive line. Three consecutive missed answers read as a Tier 1 event; a missed answer during a live incident escalates immediately.</w:t>
      </w:r>
    </w:p>
    <w:p>
      <w:pPr>
        <w:pStyle w:val="Heading2"/>
      </w:pPr>
      <w:bookmarkStart w:id="259" w:name="_Toc263100159"/>
      <w:r>
        <w:rPr>
          <w:rFonts w:ascii="Georgia" w:hAnsi="Georgia" w:eastAsia="Microsoft YaHei"/>
          <w:color w:val="263238"/>
          <w:sz w:val="22"/>
        </w:rPr>
        <w:t xml:space="preserve">L.4 Standoff management</w:t>
      </w:r>
      <w:bookmarkEnd w:id="259"/>
    </w:p>
    <w:p>
      <w:pPr>
        <w:pStyle w:val="Normal"/>
      </w:pPr>
      <w:r>
        <w:rPr>
          <w:rFonts w:ascii="Georgia" w:hAnsi="Georgia" w:eastAsia="Microsoft YaHei"/>
          <w:color w:val="263238"/>
          <w:sz w:val="22"/>
        </w:rPr>
        <w:t xml:space="preserve">The witness monitors the standoff geometry of Article 28 on the deconfliction picture. A projected breach issues a standoff alert to both affected posts with positions and closest point of approach. Posts acknowledge and maneuver; the alert closes when geometry restores. Standoff alerts carry no fault column; they manage physics, not blame.</w:t>
      </w:r>
    </w:p>
    <w:p>
      <w:pPr>
        <w:pStyle w:val="Heading2"/>
      </w:pPr>
      <w:bookmarkStart w:id="260" w:name="_Toc263100160"/>
      <w:r>
        <w:rPr>
          <w:rFonts w:ascii="Georgia" w:hAnsi="Georgia" w:eastAsia="Microsoft YaHei"/>
          <w:color w:val="263238"/>
          <w:sz w:val="22"/>
        </w:rPr>
        <w:t xml:space="preserve">L.5 Incident flash procedure</w:t>
      </w:r>
      <w:bookmarkEnd w:id="260"/>
    </w:p>
    <w:p>
      <w:pPr>
        <w:pStyle w:val="Normal"/>
      </w:pPr>
      <w:r>
        <w:rPr>
          <w:rFonts w:ascii="Georgia" w:hAnsi="Georgia" w:eastAsia="Microsoft YaHei"/>
          <w:color w:val="263238"/>
          <w:sz w:val="22"/>
        </w:rPr>
        <w:t xml:space="preserve">Any contact, collision, or weapons release between channel parties flashes immediately: position, units, nature, injuries, and assistance needed. The Mishap Protocol of Article 30 activates in parallel for the commercial layer. The flash procedure exists because the first honest minute decides the next forty-eight hours.</w:t>
      </w:r>
    </w:p>
    <w:p>
      <w:pPr>
        <w:pStyle w:val="Heading2"/>
      </w:pPr>
      <w:bookmarkStart w:id="261" w:name="_Toc263100161"/>
      <w:r>
        <w:rPr>
          <w:rFonts w:ascii="Georgia" w:hAnsi="Georgia" w:eastAsia="Microsoft YaHei"/>
          <w:color w:val="263238"/>
          <w:sz w:val="22"/>
        </w:rPr>
        <w:t xml:space="preserve">L.6 Quiet Water Windows</w:t>
      </w:r>
      <w:bookmarkEnd w:id="261"/>
    </w:p>
    <w:p>
      <w:pPr>
        <w:pStyle w:val="Normal"/>
      </w:pPr>
      <w:r>
        <w:rPr>
          <w:rFonts w:ascii="Georgia" w:hAnsi="Georgia" w:eastAsia="Microsoft YaHei"/>
          <w:color w:val="263238"/>
          <w:sz w:val="22"/>
        </w:rPr>
        <w:t xml:space="preserve">The Council publishes Quiet Water Windows ninety days ahead: recurring periods with no live-fire activity in the Governance Area. During windows, the channel runs at normal readiness and commerce enjoys maximal predictability. A breach of a window transmits a weapons-release report within five minutes and convenes an extraordinary channel session within six hours.</w:t>
      </w:r>
    </w:p>
    <w:p>
      <w:pPr>
        <w:pStyle w:val="Heading2"/>
      </w:pPr>
      <w:bookmarkStart w:id="262" w:name="_Toc263100162"/>
      <w:r>
        <w:rPr>
          <w:rFonts w:ascii="Georgia" w:hAnsi="Georgia" w:eastAsia="Microsoft YaHei"/>
          <w:color w:val="263238"/>
          <w:sz w:val="22"/>
        </w:rPr>
        <w:t xml:space="preserve">L.7 Escalation ladder inside the channel</w:t>
      </w:r>
      <w:bookmarkEnd w:id="262"/>
    </w:p>
    <w:p>
      <w:pPr>
        <w:pStyle w:val="Normal"/>
      </w:pPr>
      <w:r>
        <w:rPr>
          <w:rFonts w:ascii="Georgia" w:hAnsi="Georgia" w:eastAsia="Microsoft YaHei"/>
          <w:color w:val="263238"/>
          <w:sz w:val="22"/>
        </w:rPr>
        <w:t xml:space="preserve">A channel dispute escalates in four steps: post-to-post resolution within one hour; authority-to-authority call within four hours; executive line within twelve hours; Facilitator-witnessed session within forty-eight hours. The ladder climbs fast by design, because unresolved ambiguity at sea compounds hourly.</w:t>
      </w:r>
    </w:p>
    <w:p>
      <w:pPr>
        <w:pStyle w:val="Heading1"/>
      </w:pPr>
      <w:bookmarkStart w:id="263" w:name="_Toc263100163"/>
      <w:r>
        <w:rPr>
          <w:rFonts w:ascii="Georgia" w:hAnsi="Georgia" w:eastAsia="Microsoft YaHei"/>
          <w:color w:val="263238"/>
          <w:sz w:val="22"/>
        </w:rPr>
        <w:t xml:space="preserve">Annex M: Definitions and Interpretation Notes</w:t>
      </w:r>
      <w:bookmarkEnd w:id="263"/>
    </w:p>
    <w:p>
      <w:pPr>
        <w:pStyle w:val="Heading2"/>
      </w:pPr>
      <w:bookmarkStart w:id="264" w:name="_Toc263100164"/>
      <w:r>
        <w:rPr>
          <w:rFonts w:ascii="Georgia" w:hAnsi="Georgia" w:eastAsia="Microsoft YaHei"/>
          <w:color w:val="263238"/>
          <w:sz w:val="22"/>
        </w:rPr>
        <w:t xml:space="preserve">M.1 The definitions register</w:t>
      </w:r>
      <w:bookmarkEnd w:id="264"/>
    </w:p>
    <w:p>
      <w:pPr>
        <w:pStyle w:val="Normal"/>
      </w:pPr>
      <w:r>
        <w:rPr>
          <w:rFonts w:ascii="Georgia" w:hAnsi="Georgia" w:eastAsia="Microsoft YaHei"/>
          <w:color w:val="263238"/>
          <w:sz w:val="22"/>
        </w:rPr>
        <w:t xml:space="preserve">Terms in the Accord carry the meanings below and in Article 7. Where a term appears in an Annex only, this register governs it across the instrument.</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Anchor-and-Verify Protocol: the administrative verification procedure of Article 12 for Class H vessels.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Assurance Registry: the public certification and evidence record of Article 26.</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Compliance attestation pack: the settlement document set of Annex D demonstrating the service character of payments.</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Convergence Standard: the three-layer fact certification rule of Article 27.</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Default continuity: the interpretive rule that undecided questions resolve to continuation of the last agreed configuration.</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Golden record: the unalterable, cryptographically sealed data stream of the Shared Registry.</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Humanitarian lock: the protected reserve of Article 22 dedicated to SAR, environmental response, and watch-floor continuity.</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Minimal Viable Activation: the ten-day opening package of Article 38.</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Perimeter Test: the screening procedure of Article 6 against the Red Lines Register.</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Premium normalization index: the insurance pricing metric of Article 26 and Annex H.</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Reciprocity Ledger: the continuous public balance of contributions and shortfalls under Article 35.</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Seal of Transit Assurance: the registry-anchored transit certificate of Article 26.</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Shared Registry: the simultaneous, unalterable, transparent data system of the Accord.</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Standing: a participant's privilege level under the Reciprocity Ledger.</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Twin Key: the dual-concurrence activation rule of Article 19 and Annex C.</w:t>
      </w:r>
    </w:p>
    <w:p>
      <w:pPr>
        <w:pStyle w:val="Normal"/>
        <w:ind w:left="460" w:hanging="260"/>
      </w:pPr>
      <w:r>
        <w:rPr>
          <w:rFonts w:ascii="Georgia" w:hAnsi="Georgia" w:eastAsia="Microsoft YaHei"/>
          <w:b/>
          <w:color w:val="B8860B"/>
          <w:sz w:val="22"/>
        </w:rPr>
        <w:t xml:space="preserve">•  </w:t>
      </w:r>
      <w:r>
        <w:rPr>
          <w:rFonts w:ascii="Georgia" w:hAnsi="Georgia" w:eastAsia="Microsoft YaHei"/>
          <w:color w:val="263238"/>
          <w:sz w:val="22"/>
        </w:rPr>
        <w:t xml:space="preserve">Verified Services Catalog: the exclusive list of chargeable services in Annex D.</w:t>
      </w:r>
    </w:p>
    <w:p>
      <w:pPr>
        <w:pStyle w:val="Heading2"/>
      </w:pPr>
      <w:bookmarkStart w:id="265" w:name="_Toc263100165"/>
      <w:r>
        <w:rPr>
          <w:rFonts w:ascii="Georgia" w:hAnsi="Georgia" w:eastAsia="Microsoft YaHei"/>
          <w:color w:val="263238"/>
          <w:sz w:val="22"/>
        </w:rPr>
        <w:t xml:space="preserve">M.2 Interpretation notes</w:t>
      </w:r>
      <w:bookmarkEnd w:id="265"/>
    </w:p>
    <w:p>
      <w:pPr>
        <w:pStyle w:val="Normal"/>
      </w:pPr>
      <w:r>
        <w:rPr>
          <w:rFonts w:ascii="Georgia" w:hAnsi="Georgia" w:eastAsia="Microsoft YaHei"/>
          <w:color w:val="263238"/>
          <w:sz w:val="22"/>
        </w:rPr>
        <w:t xml:space="preserve">Five notes guide every interpreter. Note one: read for continuity; a silence reads as continuation, never as termination. Note two: read functions, not sovereignty; the Accord allocates tasks and never awards territory. Note three: read the Register; no interpretation survives a collision with the Red Lines Register. Note four: read proportionately; the compliance engine calibrates, never crushes. Note five: read the whole; Articles and Annexes form one instrument, and Annex text carries the same force as Article text within its stated scope.</w:t>
      </w:r>
    </w:p>
    <w:p>
      <w:pPr>
        <w:pStyle w:val="Heading2"/>
      </w:pPr>
      <w:bookmarkStart w:id="266" w:name="_Toc263100166"/>
      <w:r>
        <w:rPr>
          <w:rFonts w:ascii="Georgia" w:hAnsi="Georgia" w:eastAsia="Microsoft YaHei"/>
          <w:color w:val="263238"/>
          <w:sz w:val="22"/>
        </w:rPr>
        <w:t xml:space="preserve">M.3 The Technical Corrections Protocol</w:t>
      </w:r>
      <w:bookmarkEnd w:id="266"/>
    </w:p>
    <w:p>
      <w:pPr>
        <w:pStyle w:val="Normal"/>
      </w:pPr>
      <w:r>
        <w:rPr>
          <w:rFonts w:ascii="Georgia" w:hAnsi="Georgia" w:eastAsia="Microsoft YaHei"/>
          <w:color w:val="263238"/>
          <w:sz w:val="22"/>
        </w:rPr>
        <w:t xml:space="preserve">The Secretariat, with the Neutral Watch Office, issues technical corrections for non-material errors: typographical faults, cross-reference errors, numbering inconsistencies, and formatting defects. Each correction logs to the Registry, notifies all participants within forty-eight hours, and takes effect immediately. Any participant objects within seven days; objection suspends the correction pending Council review. Silence makes the correction permanent. No correction alters an obligation, a rate, a coordinate, or a timeline.</w:t>
      </w:r>
    </w:p>
    <w:p>
      <w:pPr>
        <w:pStyle w:val="Heading2"/>
      </w:pPr>
      <w:bookmarkStart w:id="267" w:name="_Toc263100167"/>
      <w:r>
        <w:rPr>
          <w:rFonts w:ascii="Georgia" w:hAnsi="Georgia" w:eastAsia="Microsoft YaHei"/>
          <w:color w:val="263238"/>
          <w:sz w:val="22"/>
        </w:rPr>
        <w:t xml:space="preserve">M.4 Text divergence rule</w:t>
      </w:r>
      <w:bookmarkEnd w:id="267"/>
    </w:p>
    <w:p>
      <w:pPr>
        <w:pStyle w:val="Normal"/>
      </w:pPr>
      <w:r>
        <w:rPr>
          <w:rFonts w:ascii="Georgia" w:hAnsi="Georgia" w:eastAsia="Microsoft YaHei"/>
          <w:color w:val="263238"/>
          <w:sz w:val="22"/>
        </w:rPr>
        <w:t xml:space="preserve">Divergence among the three authoritative language texts resolves first through the interpretation notes, then through the dispute tiers as a technical question, and always in favor of the reading that preserves the corridor system, the Zero-Toll Rule, and the Red Lines Register.</w:t>
      </w:r>
    </w:p>
    <w:p>
      <w:pPr>
        <w:pStyle w:val="Heading1"/>
      </w:pPr>
      <w:bookmarkStart w:id="268" w:name="_Toc263100168"/>
      <w:r>
        <w:rPr>
          <w:rFonts w:ascii="Georgia" w:hAnsi="Georgia" w:eastAsia="Microsoft YaHei"/>
          <w:color w:val="263238"/>
          <w:sz w:val="22"/>
        </w:rPr>
        <w:t xml:space="preserve">Annex N: Accession, Endorsement, and Observer Instruments</w:t>
      </w:r>
      <w:bookmarkEnd w:id="268"/>
    </w:p>
    <w:p>
      <w:pPr>
        <w:pStyle w:val="Heading2"/>
      </w:pPr>
      <w:bookmarkStart w:id="269" w:name="_Toc263100169"/>
      <w:r>
        <w:rPr>
          <w:rFonts w:ascii="Georgia" w:hAnsi="Georgia" w:eastAsia="Microsoft YaHei"/>
          <w:color w:val="263238"/>
          <w:sz w:val="22"/>
        </w:rPr>
        <w:t xml:space="preserve">N.1 The Accession Protocol for Regional Participants</w:t>
      </w:r>
      <w:bookmarkEnd w:id="269"/>
    </w:p>
    <w:p>
      <w:pPr>
        <w:pStyle w:val="Normal"/>
      </w:pPr>
      <w:r>
        <w:rPr>
          <w:rFonts w:ascii="Georgia" w:hAnsi="Georgia" w:eastAsia="Microsoft YaHei"/>
          <w:color w:val="263238"/>
          <w:sz w:val="22"/>
        </w:rPr>
        <w:t xml:space="preserve">A GCC member state accedes by executing the Accession Protocol: acceptance of the Accord text and Annexes; registration of any additional Red Lines; designation of its observer and liaison posts; acceptance of the contribution schedule of Annex D; and designation of its SAR assets under Annex G. Accession takes effect thirty days after deposit, with full observer rights from effect.</w:t>
      </w:r>
    </w:p>
    <w:p>
      <w:pPr>
        <w:pStyle w:val="Heading2"/>
      </w:pPr>
      <w:bookmarkStart w:id="270" w:name="_Toc263100170"/>
      <w:r>
        <w:rPr>
          <w:rFonts w:ascii="Georgia" w:hAnsi="Georgia" w:eastAsia="Microsoft YaHei"/>
          <w:color w:val="263238"/>
          <w:sz w:val="22"/>
        </w:rPr>
        <w:t xml:space="preserve">N.2 The Endorsement Protocol</w:t>
      </w:r>
      <w:bookmarkEnd w:id="270"/>
    </w:p>
    <w:p>
      <w:pPr>
        <w:pStyle w:val="Normal"/>
      </w:pPr>
      <w:r>
        <w:rPr>
          <w:rFonts w:ascii="Georgia" w:hAnsi="Georgia" w:eastAsia="Microsoft YaHei"/>
          <w:color w:val="263238"/>
          <w:sz w:val="22"/>
        </w:rPr>
        <w:t xml:space="preserve">The United States and any additional maritime power executes the Endorsement Protocol: endorsement of the Accord's purposes; acceptance of the Endorsing Stakeholder rights and limits of Article 18, including the absence of command authority and veto; designation of observer posts and deconfliction authority credentials; and registration of its Red Lines in Annex I. Endorsement joins on deposit and publishes immediately.</w:t>
      </w:r>
    </w:p>
    <w:p>
      <w:pPr>
        <w:pStyle w:val="Heading2"/>
      </w:pPr>
      <w:bookmarkStart w:id="271" w:name="_Toc263100171"/>
      <w:r>
        <w:rPr>
          <w:rFonts w:ascii="Georgia" w:hAnsi="Georgia" w:eastAsia="Microsoft YaHei"/>
          <w:color w:val="263238"/>
          <w:sz w:val="22"/>
        </w:rPr>
        <w:t xml:space="preserve">N.3 The Observer Protocol</w:t>
      </w:r>
      <w:bookmarkEnd w:id="271"/>
    </w:p>
    <w:p>
      <w:pPr>
        <w:pStyle w:val="Normal"/>
      </w:pPr>
      <w:r>
        <w:rPr>
          <w:rFonts w:ascii="Georgia" w:hAnsi="Georgia" w:eastAsia="Microsoft YaHei"/>
          <w:color w:val="263238"/>
          <w:sz w:val="22"/>
        </w:rPr>
        <w:t xml:space="preserve">Institutional observers, the International Maritime Organization, the European maritime safety mission, and industry bodies, execute the Observer Protocol: acceptance of access tiers, confidentiality of restricted records, and the publication rules of the Accord. The Observer Protocol carries no fee and no vote.</w:t>
      </w:r>
    </w:p>
    <w:p>
      <w:pPr>
        <w:pStyle w:val="Heading2"/>
      </w:pPr>
      <w:bookmarkStart w:id="272" w:name="_Toc263100172"/>
      <w:r>
        <w:rPr>
          <w:rFonts w:ascii="Georgia" w:hAnsi="Georgia" w:eastAsia="Microsoft YaHei"/>
          <w:color w:val="263238"/>
          <w:sz w:val="22"/>
        </w:rPr>
        <w:t xml:space="preserve">N.4 Model instruments</w:t>
      </w:r>
      <w:bookmarkEnd w:id="272"/>
    </w:p>
    <w:p>
      <w:pPr>
        <w:pStyle w:val="Normal"/>
      </w:pPr>
      <w:r>
        <w:rPr>
          <w:rFonts w:ascii="Georgia" w:hAnsi="Georgia" w:eastAsia="Microsoft YaHei"/>
          <w:color w:val="263238"/>
          <w:sz w:val="22"/>
        </w:rPr>
        <w:t xml:space="preserve">Model texts of each instrument append to this Annex in execution form: instrument of acceptance by a Coastal State Party; instrument of accession by a Regional Participant; instrument of endorsement by an Endorsing Stakeholder; and instrument of observer status. The Depositary holds the executed originals and circulates certified copies.</w:t>
      </w:r>
    </w:p>
    <w:p>
      <w:pPr>
        <w:pStyle w:val="Heading2"/>
      </w:pPr>
      <w:bookmarkStart w:id="273" w:name="_Toc263100173"/>
      <w:r>
        <w:rPr>
          <w:rFonts w:ascii="Georgia" w:hAnsi="Georgia" w:eastAsia="Microsoft YaHei"/>
          <w:color w:val="263238"/>
          <w:sz w:val="22"/>
        </w:rPr>
        <w:t xml:space="preserve">N.5 The joining window rule</w:t>
      </w:r>
      <w:bookmarkEnd w:id="273"/>
    </w:p>
    <w:p>
      <w:pPr>
        <w:pStyle w:val="Normal"/>
      </w:pPr>
      <w:r>
        <w:rPr>
          <w:rFonts w:ascii="Georgia" w:hAnsi="Georgia" w:eastAsia="Microsoft YaHei"/>
          <w:color w:val="263238"/>
          <w:sz w:val="22"/>
        </w:rPr>
        <w:t xml:space="preserve">Instruments deposit at any time after the Accord opens for signature. A joining participant accepts the Accord as it stands at deposit, including adopted amendments, with the Perimeter Test applied to its registered Red Lines against the standing text. Where the standing text already collides with a joining participant's registered Red Line, the collision enters Red Line Consultation before deposit completes.</w:t>
      </w:r>
    </w:p>
    <w:p>
      <w:pPr>
        <w:pStyle w:val="Heading1"/>
      </w:pPr>
      <w:bookmarkStart w:id="274" w:name="_Toc263100174"/>
      <w:r>
        <w:rPr>
          <w:rFonts w:ascii="Georgia" w:hAnsi="Georgia" w:eastAsia="Microsoft YaHei"/>
          <w:color w:val="263238"/>
          <w:sz w:val="22"/>
        </w:rPr>
        <w:t xml:space="preserve">Annex O: Escrow Operations and Financial Controls Manual</w:t>
      </w:r>
      <w:bookmarkEnd w:id="274"/>
    </w:p>
    <w:p>
      <w:pPr>
        <w:pStyle w:val="Heading2"/>
      </w:pPr>
      <w:bookmarkStart w:id="275" w:name="_Toc263100175"/>
      <w:r>
        <w:rPr>
          <w:rFonts w:ascii="Georgia" w:hAnsi="Georgia" w:eastAsia="Microsoft YaHei"/>
          <w:color w:val="263238"/>
          <w:sz w:val="22"/>
        </w:rPr>
        <w:t xml:space="preserve">O.1 Operating principles</w:t>
      </w:r>
      <w:bookmarkEnd w:id="275"/>
    </w:p>
    <w:p>
      <w:pPr>
        <w:pStyle w:val="Normal"/>
      </w:pPr>
      <w:r>
        <w:rPr>
          <w:rFonts w:ascii="Georgia" w:hAnsi="Georgia" w:eastAsia="Microsoft YaHei"/>
          <w:color w:val="263238"/>
          <w:sz w:val="22"/>
        </w:rPr>
        <w:t xml:space="preserve">The escrow operates on five principles: segregation, dual control, real-time visibility, delivery linkage, and audit readiness. Every account segregates by purpose. Every disbursement above the published threshold carries two signatures, one from each Coastal State desk. Every movement posts to the Shared Registry in real time. Every charge links to a delivered service in the golden record. Every record stands ready for audit on any day of the year.</w:t>
      </w:r>
    </w:p>
    <w:p>
      <w:pPr>
        <w:pStyle w:val="Heading2"/>
      </w:pPr>
      <w:bookmarkStart w:id="276" w:name="_Toc263100176"/>
      <w:r>
        <w:rPr>
          <w:rFonts w:ascii="Georgia" w:hAnsi="Georgia" w:eastAsia="Microsoft YaHei"/>
          <w:color w:val="263238"/>
          <w:sz w:val="22"/>
        </w:rPr>
        <w:t xml:space="preserve">O.2 Daily operating cycle</w:t>
      </w:r>
      <w:bookmarkEnd w:id="276"/>
    </w:p>
    <w:p>
      <w:pPr>
        <w:pStyle w:val="Normal"/>
      </w:pPr>
      <w:r>
        <w:rPr>
          <w:rFonts w:ascii="Georgia" w:hAnsi="Georgia" w:eastAsia="Microsoft YaHei"/>
          <w:color w:val="263238"/>
          <w:sz w:val="22"/>
        </w:rPr>
        <w:t xml:space="preserve">The escrow day runs a fixed cycle. At 06:00 UTC the system publishes the reference rates. Through the day, settlement statements issue automatically as transits complete, receipts post on arrival, and apportionment executes at posting. At 18:00 UTC the system reconciles the day: transits against statements, statements against receipts, receipts against apportionment. The reconciliation closes with a daily certificate signed by the duty escrow officer and countersigned by the duty officer of the other desk. A reconciliation break halts new disbursements, never new receipts, until the break clears.</w:t>
      </w:r>
    </w:p>
    <w:p>
      <w:pPr>
        <w:pStyle w:val="Heading2"/>
      </w:pPr>
      <w:bookmarkStart w:id="277" w:name="_Toc263100177"/>
      <w:r>
        <w:rPr>
          <w:rFonts w:ascii="Georgia" w:hAnsi="Georgia" w:eastAsia="Microsoft YaHei"/>
          <w:color w:val="263238"/>
          <w:sz w:val="22"/>
        </w:rPr>
        <w:t xml:space="preserve">O.3 Disbursement controls</w:t>
      </w:r>
      <w:bookmarkEnd w:id="277"/>
    </w:p>
    <w:p>
      <w:pPr>
        <w:pStyle w:val="Normal"/>
      </w:pPr>
      <w:r>
        <w:rPr>
          <w:rFonts w:ascii="Georgia" w:hAnsi="Georgia" w:eastAsia="Microsoft YaHei"/>
          <w:color w:val="263238"/>
          <w:sz w:val="22"/>
        </w:rPr>
        <w:t xml:space="preserve">Disbursements fall into three bands. Band one, operating disbursements within the adopted budget: dual signature, same-day execution. Band two, disbursements above the published threshold or outside the budget line: dual signature plus Neutral Watch Office witness. Band three, reserve movements: dual signature, witness, and a Council resolution on the Consensus Track. No band ever touches the humanitarian lock except for its dedicated purposes.</w:t>
      </w:r>
    </w:p>
    <w:p>
      <w:pPr>
        <w:pStyle w:val="Heading2"/>
      </w:pPr>
      <w:bookmarkStart w:id="278" w:name="_Toc263100178"/>
      <w:r>
        <w:rPr>
          <w:rFonts w:ascii="Georgia" w:hAnsi="Georgia" w:eastAsia="Microsoft YaHei"/>
          <w:color w:val="263238"/>
          <w:sz w:val="22"/>
        </w:rPr>
        <w:t xml:space="preserve">O.4 The settlement statement</w:t>
      </w:r>
      <w:bookmarkEnd w:id="278"/>
    </w:p>
    <w:p>
      <w:pPr>
        <w:pStyle w:val="Normal"/>
      </w:pPr>
      <w:r>
        <w:rPr>
          <w:rFonts w:ascii="Georgia" w:hAnsi="Georgia" w:eastAsia="Microsoft YaHei"/>
          <w:color w:val="263238"/>
          <w:sz w:val="22"/>
        </w:rPr>
        <w:t xml:space="preserve">Every settlement statement carries eleven fields: transit identifier; vessel class; corridor; entry and exit timestamps; services delivered with their delivery states; the rate lines; the adjustment lines; the total; the currency and reference rate; the escrow account details; and the attestation reference. The statement is the single financial document of the transit; master, agent, owner, insurer, and regulator all read the same number.</w:t>
      </w:r>
    </w:p>
    <w:p>
      <w:pPr>
        <w:pStyle w:val="Heading2"/>
      </w:pPr>
      <w:bookmarkStart w:id="279" w:name="_Toc263100179"/>
      <w:r>
        <w:rPr>
          <w:rFonts w:ascii="Georgia" w:hAnsi="Georgia" w:eastAsia="Microsoft YaHei"/>
          <w:color w:val="263238"/>
          <w:sz w:val="22"/>
        </w:rPr>
        <w:t xml:space="preserve">O.5 Refund and correction protocol</w:t>
      </w:r>
      <w:bookmarkEnd w:id="279"/>
    </w:p>
    <w:p>
      <w:pPr>
        <w:pStyle w:val="Normal"/>
      </w:pPr>
      <w:r>
        <w:rPr>
          <w:rFonts w:ascii="Georgia" w:hAnsi="Georgia" w:eastAsia="Microsoft YaHei"/>
          <w:color w:val="263238"/>
          <w:sz w:val="22"/>
        </w:rPr>
        <w:t xml:space="preserve">An overcharge corrects in six steps: the payer files through the user feedback channel; the escrow verifies against the golden record within five days; the Neutral Watch Office certifies the fact on dispute; the refund executes from the originating account within ten days; the Registry logs the correction; and the monthly report aggregates all corrections for the audit. Corrections cost the payer nothing, and repeated corrections against the same service line trigger a system review.</w:t>
      </w:r>
    </w:p>
    <w:p>
      <w:pPr>
        <w:pStyle w:val="Heading2"/>
      </w:pPr>
      <w:bookmarkStart w:id="280" w:name="_Toc263100180"/>
      <w:r>
        <w:rPr>
          <w:rFonts w:ascii="Georgia" w:hAnsi="Georgia" w:eastAsia="Microsoft YaHei"/>
          <w:color w:val="263238"/>
          <w:sz w:val="22"/>
        </w:rPr>
        <w:t xml:space="preserve">O.6 The contingency protocol</w:t>
      </w:r>
      <w:bookmarkEnd w:id="280"/>
    </w:p>
    <w:p>
      <w:pPr>
        <w:pStyle w:val="Normal"/>
      </w:pPr>
      <w:r>
        <w:rPr>
          <w:rFonts w:ascii="Georgia" w:hAnsi="Georgia" w:eastAsia="Microsoft YaHei"/>
          <w:color w:val="263238"/>
          <w:sz w:val="22"/>
        </w:rPr>
        <w:t xml:space="preserve">If receipts interrupt at the boundary for any political reason, the system runs on reserves: the operating reserve funds operations at one hundred percent for ninety days, the humanitarian lock protects SAR and environmental response absolutely, pilot-phase obligations freeze, and the Council convenes within seven days to manage the drawdown. The contingency protocol assumes politics happens; it prices resilience in advance.</w:t>
      </w:r>
    </w:p>
    <w:p>
      <w:pPr>
        <w:pStyle w:val="Heading2"/>
      </w:pPr>
      <w:bookmarkStart w:id="281" w:name="_Toc263100181"/>
      <w:r>
        <w:rPr>
          <w:rFonts w:ascii="Georgia" w:hAnsi="Georgia" w:eastAsia="Microsoft YaHei"/>
          <w:color w:val="263238"/>
          <w:sz w:val="22"/>
        </w:rPr>
        <w:t xml:space="preserve">O.7 Sanctions counsel review</w:t>
      </w:r>
      <w:bookmarkEnd w:id="281"/>
    </w:p>
    <w:p>
      <w:pPr>
        <w:pStyle w:val="Normal"/>
      </w:pPr>
      <w:r>
        <w:rPr>
          <w:rFonts w:ascii="Georgia" w:hAnsi="Georgia" w:eastAsia="Microsoft YaHei"/>
          <w:color w:val="263238"/>
          <w:sz w:val="22"/>
        </w:rPr>
        <w:t xml:space="preserve">The Swiss Facilitator retains external sanctions counsel on standing engagement. Counsel reviews the payment architecture annually, reviews the attestation pack templates on every material change, and issues a written architecture opinion each year. The opinion publishes with the annual audit, giving every payer's compliance function an independent professional assessment of the firewall.</w:t>
      </w:r>
    </w:p>
    <w:p>
      <w:pPr>
        <w:pStyle w:val="Heading2"/>
      </w:pPr>
      <w:bookmarkStart w:id="282" w:name="_Toc263100182"/>
      <w:r>
        <w:rPr>
          <w:rFonts w:ascii="Georgia" w:hAnsi="Georgia" w:eastAsia="Microsoft YaHei"/>
          <w:color w:val="263238"/>
          <w:sz w:val="22"/>
        </w:rPr>
        <w:t xml:space="preserve">O.8 Financial transparency publications</w:t>
      </w:r>
      <w:bookmarkEnd w:id="282"/>
    </w:p>
    <w:p>
      <w:pPr>
        <w:pStyle w:val="Normal"/>
      </w:pPr>
      <w:r>
        <w:rPr>
          <w:rFonts w:ascii="Georgia" w:hAnsi="Georgia" w:eastAsia="Microsoft YaHei"/>
          <w:color w:val="263238"/>
          <w:sz w:val="22"/>
        </w:rPr>
        <w:t xml:space="preserve">The escrow publishes: daily reference rates; the monthly aggregate report of transits, receipts, and apportionment; the quarterly reserve position; and the annual audited statements. Aggregate figures publish without vessel-level detail, protecting commercial confidentiality while proving systemic integrity.</w:t>
      </w:r>
    </w:p>
    <w:p>
      <w:pPr>
        <w:pStyle w:val="Heading2"/>
      </w:pPr>
      <w:bookmarkStart w:id="283" w:name="_Toc263100183"/>
      <w:r>
        <w:rPr>
          <w:rFonts w:ascii="Georgia" w:hAnsi="Georgia" w:eastAsia="Microsoft YaHei"/>
          <w:color w:val="263238"/>
          <w:sz w:val="22"/>
        </w:rPr>
        <w:t xml:space="preserve">O.9 The Financial Transparency Dashboard</w:t>
      </w:r>
      <w:bookmarkEnd w:id="283"/>
    </w:p>
    <w:p>
      <w:pPr>
        <w:pStyle w:val="Normal"/>
      </w:pPr>
      <w:r>
        <w:rPr>
          <w:rFonts w:ascii="Georgia" w:hAnsi="Georgia" w:eastAsia="Microsoft YaHei"/>
          <w:color w:val="263238"/>
          <w:sz w:val="22"/>
        </w:rPr>
        <w:t xml:space="preserve">A Financial Transparency Dashboard publishes on the Route Assurance Data Service: daily service charge revenue, daily disbursements by category, current reserve balances across the humanitarian lock, the operating reserve, and the service accounts, monthly late-settlement aggregates, and quarterly trend analysis. The Dashboard updates daily and audits annually with the financial statements. Solvency that shows itself daily never defends itself in a crisis; it simply shows the numbers.</w:t>
      </w:r>
    </w:p>
    <w:p>
      <w:pPr>
        <w:pStyle w:val="Heading1"/>
      </w:pPr>
      <w:bookmarkStart w:id="284" w:name="_Toc263100184"/>
      <w:r>
        <w:rPr>
          <w:rFonts w:ascii="Georgia" w:hAnsi="Georgia" w:eastAsia="Microsoft YaHei"/>
          <w:color w:val="263238"/>
          <w:sz w:val="22"/>
        </w:rPr>
        <w:t xml:space="preserve">Annex P: The Pilot Phase Operating Calendar</w:t>
      </w:r>
      <w:bookmarkEnd w:id="284"/>
    </w:p>
    <w:p>
      <w:pPr>
        <w:pStyle w:val="Heading2"/>
      </w:pPr>
      <w:bookmarkStart w:id="285" w:name="_Toc263100185"/>
      <w:r>
        <w:rPr>
          <w:rFonts w:ascii="Georgia" w:hAnsi="Georgia" w:eastAsia="Microsoft YaHei"/>
          <w:color w:val="263238"/>
          <w:sz w:val="22"/>
        </w:rPr>
        <w:t xml:space="preserve">P.1 Calendar architecture</w:t>
      </w:r>
      <w:bookmarkEnd w:id="285"/>
    </w:p>
    <w:p>
      <w:pPr>
        <w:pStyle w:val="Normal"/>
      </w:pPr>
      <w:r>
        <w:rPr>
          <w:rFonts w:ascii="Georgia" w:hAnsi="Georgia" w:eastAsia="Microsoft YaHei"/>
          <w:color w:val="263238"/>
          <w:sz w:val="22"/>
        </w:rPr>
        <w:t xml:space="preserve">The pilot runs on a published calendar so every participant, insurer, and master knows what happens when. The calendar divides into the six phases of Article 39, with week-level milestones below. Dates anchor to Activation Day, the day Minimal Viable Activation completes.</w:t>
      </w:r>
    </w:p>
    <w:p>
      <w:pPr>
        <w:pStyle w:val="Heading2"/>
      </w:pPr>
      <w:bookmarkStart w:id="286" w:name="_Toc263100186"/>
      <w:r>
        <w:rPr>
          <w:rFonts w:ascii="Georgia" w:hAnsi="Georgia" w:eastAsia="Microsoft YaHei"/>
          <w:color w:val="263238"/>
          <w:sz w:val="22"/>
        </w:rPr>
        <w:t xml:space="preserve">P.2 Phase One calendar, days 0 to 10</w:t>
      </w:r>
      <w:bookmarkEnd w:id="286"/>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Day</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Milestone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Owner</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Evidence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Signature ceremony and provisional application begins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Coastal State Parties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Executed texts deposited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Day One hazard declaration issued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Both desks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Registry entry and Bulletin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Watch floors open at full parity staffing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Operations Center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Staffing certificate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Shared Registry logging live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Secretariat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Integrity check report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Escrow accounts opened, reference rates first published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Escrow Administrator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Account certificates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Deconfliction channel and hotline live, first daily test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Channel parties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Test log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Provisional corridor guidance issued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Operations Center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Bulletin notice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 observers on station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Swiss Facilitator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Accreditation record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Red Team first integrity sweep begins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Red Team</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Sweep initiation log</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Pilot rate schedule published at sixty percent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Rate notice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Joint readiness announcement, Minimal Viable Activation complete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Coastal State Parties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Activation Day declaration</w:t>
            </w:r>
          </w:p>
        </w:tc>
      </w:tr>
    </w:tbl>
    <w:p>
      <w:pPr>
        <w:pStyle w:val="Caption"/>
      </w:pPr>
      <w:r>
        <w:rPr>
          <w:rFonts w:ascii="Georgia" w:hAnsi="Georgia" w:eastAsia="Microsoft YaHei"/>
          <w:color w:val="263238"/>
          <w:sz w:val="22"/>
        </w:rPr>
        <w:t xml:space="preserve">Table P-1: Phase One, the ten-day opening package.</w:t>
      </w:r>
    </w:p>
    <w:p>
      <w:pPr>
        <w:pStyle w:val="Heading2"/>
      </w:pPr>
      <w:bookmarkStart w:id="287" w:name="_Toc263100187"/>
      <w:r>
        <w:rPr>
          <w:rFonts w:ascii="Georgia" w:hAnsi="Georgia" w:eastAsia="Microsoft YaHei"/>
          <w:color w:val="263238"/>
          <w:sz w:val="22"/>
        </w:rPr>
        <w:t xml:space="preserve">P.3 Phase Two calendar, days 11 to 20</w:t>
      </w:r>
      <w:bookmarkEnd w:id="287"/>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Day</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Milestone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Owner</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Evidence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Pilot window formally declared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Declaration minute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Registry and insurer notification wave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Secretariat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Delivery receipts</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AIS pre-routing instructions issued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Operations Center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Instruction log</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Route Assurance Data Service opens public subscription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Operations Center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Service certificate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First escort pooling roster published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Corridor Management Board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Roster notice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One-page cards distributed in four languages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Operations Center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Distribution log</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Stakeholder Panel briefing session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Secretariat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Session record</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Drill program published in full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Technical Committee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Drill calendar</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Observer access feeds live at Tier Three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Access certificate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Phase Two review, go decision for sequential activation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Review minute</w:t>
            </w:r>
          </w:p>
        </w:tc>
      </w:tr>
    </w:tbl>
    <w:p>
      <w:pPr>
        <w:pStyle w:val="Caption"/>
      </w:pPr>
      <w:r>
        <w:rPr>
          <w:rFonts w:ascii="Georgia" w:hAnsi="Georgia" w:eastAsia="Microsoft YaHei"/>
          <w:color w:val="263238"/>
          <w:sz w:val="22"/>
        </w:rPr>
        <w:t xml:space="preserve">Table P-2: Phase Two, telling the world and readying the water.</w:t>
      </w:r>
    </w:p>
    <w:p>
      <w:pPr>
        <w:pStyle w:val="Heading2"/>
      </w:pPr>
      <w:bookmarkStart w:id="288" w:name="_Toc263100188"/>
      <w:r>
        <w:rPr>
          <w:rFonts w:ascii="Georgia" w:hAnsi="Georgia" w:eastAsia="Microsoft YaHei"/>
          <w:color w:val="263238"/>
          <w:sz w:val="22"/>
        </w:rPr>
        <w:t xml:space="preserve">P.4 Phase Three calendar, days 21 to 40</w:t>
      </w:r>
      <w:bookmarkEnd w:id="288"/>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Day</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Milestone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Owner</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Evidence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Buffer corridor survey record certified</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Joint survey unit</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Survey certificate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Buffer corridor opens, first emergency diversion drill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Activation certificate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Outbound corridor checklist complete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Checklist record</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Outbound corridor opens to live traffic</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Activation certificate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corridor checklist complete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Checklist record</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Inbound corridor opens to live traffic</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Activation certificate</w:t>
            </w:r>
          </w:p>
        </w:tc>
      </w:tr>
    </w:tbl>
    <w:p>
      <w:pPr>
        <w:pStyle w:val="Caption"/>
      </w:pPr>
      <w:r>
        <w:rPr>
          <w:rFonts w:ascii="Georgia" w:hAnsi="Georgia" w:eastAsia="Microsoft YaHei"/>
          <w:color w:val="263238"/>
          <w:sz w:val="22"/>
        </w:rPr>
        <w:t xml:space="preserve">Table P-3: Phase Three, sequential activation: buffer, outbound, inbound.</w:t>
      </w:r>
    </w:p>
    <w:p>
      <w:pPr>
        <w:pStyle w:val="Heading2"/>
      </w:pPr>
      <w:bookmarkStart w:id="289" w:name="_Toc263100189"/>
      <w:r>
        <w:rPr>
          <w:rFonts w:ascii="Georgia" w:hAnsi="Georgia" w:eastAsia="Microsoft YaHei"/>
          <w:color w:val="263238"/>
          <w:sz w:val="22"/>
        </w:rPr>
        <w:t xml:space="preserve">P.5 Phases Four to Six calendar, days 41 to 120</w:t>
      </w:r>
      <w:bookmarkEnd w:id="289"/>
    </w:p>
    <w:tbl>
      <w:tblPr>
        <w:tblW w:w="5000" w:type="pct"/>
        <w:tblBorders>
          <w:top w:val="single" w:color="1C3F4E" w:sz="12"/>
          <w:left w:val="nil"/>
          <w:bottom w:val="single" w:color="1C3F4E" w:sz="12"/>
          <w:right w:val="nil"/>
          <w:insideH w:val="single" w:color="C4D2D8" w:sz="2"/>
          <w:insideV w:val="nil"/>
        </w:tblBorders>
      </w:tblPr>
      <w:tblGrid>
        <w:gridCol w:w="2256"/>
        <w:gridCol w:w="2256"/>
        <w:gridCol w:w="2256"/>
        <w:gridCol w:w="2256"/>
      </w:tblGrid>
      <w:tr>
        <w:trPr>
          <w:tblHeader/>
        </w:trPr>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Window</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Milestone</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Owner</w:t>
            </w:r>
          </w:p>
        </w:tc>
        <w:tc>
          <w:tcPr>
            <w:tcW w:w="2256"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Evidence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ys 41 to 55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Escrow onboarding, settlement test series, first live settlements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Escrow Administrator</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Test series report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y 55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Payment channel declared operational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Operations certificate</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ys 55 to 90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Stability Audit execution on live operations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Certified dataset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y 90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Stability Audit determination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Audit report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ys 90 to 105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Corrective window if Conditional Pass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Named owners</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Corrective plan log</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y 105</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Re-audit of affected metrics if applicable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Neutral Watch Office</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Re-audit report</w:t>
            </w:r>
          </w:p>
        </w:tc>
      </w:tr>
      <w:tr>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ys 105 to 120</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Final coordinates publish, standard rates activate, wartime lanes sunset, full activation declaration</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Council and Depositary</w:t>
            </w:r>
          </w:p>
        </w:tc>
        <w:tc>
          <w:tcPr>
            <w:tcW w:w="2256"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Full activation declaration</w:t>
            </w:r>
          </w:p>
        </w:tc>
      </w:tr>
    </w:tbl>
    <w:p>
      <w:pPr>
        <w:pStyle w:val="Caption"/>
      </w:pPr>
      <w:r>
        <w:rPr>
          <w:rFonts w:ascii="Georgia" w:hAnsi="Georgia" w:eastAsia="Microsoft YaHei"/>
          <w:color w:val="263238"/>
          <w:sz w:val="22"/>
        </w:rPr>
        <w:t xml:space="preserve">Table P-4: The road from pilot to permanence.</w:t>
      </w:r>
    </w:p>
    <w:p>
      <w:pPr>
        <w:pStyle w:val="Heading2"/>
      </w:pPr>
      <w:bookmarkStart w:id="290" w:name="_Toc263100190"/>
      <w:r>
        <w:rPr>
          <w:rFonts w:ascii="Georgia" w:hAnsi="Georgia" w:eastAsia="Microsoft YaHei"/>
          <w:color w:val="263238"/>
          <w:sz w:val="22"/>
        </w:rPr>
        <w:t xml:space="preserve">P.6 Calendar governance</w:t>
      </w:r>
      <w:bookmarkEnd w:id="290"/>
    </w:p>
    <w:p>
      <w:pPr>
        <w:pStyle w:val="Normal"/>
      </w:pPr>
      <w:r>
        <w:rPr>
          <w:rFonts w:ascii="Georgia" w:hAnsi="Georgia" w:eastAsia="Microsoft YaHei"/>
          <w:color w:val="263238"/>
          <w:sz w:val="22"/>
        </w:rPr>
        <w:t xml:space="preserve">The calendar moves only forward on evidence and only backward by published notice. A slipped milestone carries a named owner and a new date within forty-eight hours of the slip, and the slip log publishes. Three slips in the same phase trigger a Council review of the phase itself.</w:t>
      </w:r>
    </w:p>
    <w:p>
      <w:pPr>
        <w:pStyle w:val="Heading1"/>
      </w:pPr>
      <w:bookmarkStart w:id="291" w:name="_Toc263100191"/>
      <w:r>
        <w:rPr>
          <w:rFonts w:ascii="Georgia" w:hAnsi="Georgia" w:eastAsia="Microsoft YaHei"/>
          <w:color w:val="263238"/>
          <w:sz w:val="22"/>
        </w:rPr>
        <w:t xml:space="preserve">Annex Q: Incident Scenario Playbooks</w:t>
      </w:r>
      <w:bookmarkEnd w:id="291"/>
    </w:p>
    <w:p>
      <w:pPr>
        <w:pStyle w:val="Heading2"/>
      </w:pPr>
      <w:bookmarkStart w:id="292" w:name="_Toc263100192"/>
      <w:r>
        <w:rPr>
          <w:rFonts w:ascii="Georgia" w:hAnsi="Georgia" w:eastAsia="Microsoft YaHei"/>
          <w:color w:val="263238"/>
          <w:sz w:val="22"/>
        </w:rPr>
        <w:t xml:space="preserve">Q.1 Purpose</w:t>
      </w:r>
      <w:bookmarkEnd w:id="292"/>
    </w:p>
    <w:p>
      <w:pPr>
        <w:pStyle w:val="Normal"/>
      </w:pPr>
      <w:r>
        <w:rPr>
          <w:rFonts w:ascii="Georgia" w:hAnsi="Georgia" w:eastAsia="Microsoft YaHei"/>
          <w:color w:val="263238"/>
          <w:sz w:val="22"/>
        </w:rPr>
        <w:t xml:space="preserve">The playbooks below walk the architecture through its hardest days in advance. Each scenario states the trigger, the automatic responses, the human decisions, and the exit. Playbooks train the system; they never constrain lawful seamanship.</w:t>
      </w:r>
    </w:p>
    <w:p>
      <w:pPr>
        <w:pStyle w:val="Heading2"/>
      </w:pPr>
      <w:bookmarkStart w:id="293" w:name="_Toc263100193"/>
      <w:r>
        <w:rPr>
          <w:rFonts w:ascii="Georgia" w:hAnsi="Georgia" w:eastAsia="Microsoft YaHei"/>
          <w:color w:val="263238"/>
          <w:sz w:val="22"/>
        </w:rPr>
        <w:t xml:space="preserve">Q.2 Scenario One: unauthorized stop of a conforming vessel</w:t>
      </w:r>
      <w:bookmarkEnd w:id="293"/>
    </w:p>
    <w:p>
      <w:pPr>
        <w:pStyle w:val="Normal"/>
      </w:pPr>
      <w:r>
        <w:rPr>
          <w:rFonts w:ascii="Georgia" w:hAnsi="Georgia" w:eastAsia="Microsoft YaHei"/>
          <w:color w:val="263238"/>
          <w:sz w:val="22"/>
        </w:rPr>
        <w:t xml:space="preserve">Trigger: a patrol of any Party stops a conforming commercial vessel outside the Twin Key Safety Intercept. Automatic responses: the watch floor logs the event in real time; the Neutral Watch Office issues a divergence flag; the vessel's master opens the feedback channel; escort pooling attention focuses on the segment. Human decisions: the desks confer within twelve hours; the vessel releases with an escorted onward transit; the Council classifies the event under Article 33 within seventy-two hours. Exit: Tier 2 classification with the graduated response, earn-back on fourteen days clean compliance, compensation to the vessel from the Fund if the intercept proves wrongful, and the full record published.</w:t>
      </w:r>
    </w:p>
    <w:p>
      <w:pPr>
        <w:pStyle w:val="Heading2"/>
      </w:pPr>
      <w:bookmarkStart w:id="294" w:name="_Toc263100194"/>
      <w:r>
        <w:rPr>
          <w:rFonts w:ascii="Georgia" w:hAnsi="Georgia" w:eastAsia="Microsoft YaHei"/>
          <w:color w:val="263238"/>
          <w:sz w:val="22"/>
        </w:rPr>
        <w:t xml:space="preserve">Q.3 Scenario Two: suspected mine contact in the outbound corridor</w:t>
      </w:r>
      <w:bookmarkEnd w:id="294"/>
    </w:p>
    <w:p>
      <w:pPr>
        <w:pStyle w:val="Normal"/>
      </w:pPr>
      <w:r>
        <w:rPr>
          <w:rFonts w:ascii="Georgia" w:hAnsi="Georgia" w:eastAsia="Microsoft YaHei"/>
          <w:color w:val="263238"/>
          <w:sz w:val="22"/>
        </w:rPr>
        <w:t xml:space="preserve">Trigger: a survey sonar or a vessel reports a suspected contact. Automatic responses: the six-step mine-risk protocol of Annex C executes; buffer routing opens around the contact; the hazard notice publishes within one hour; escort pooling activates on the affected segment. Human decisions: the joint survey unit classifies; clearance executes under Twin Key with Neutral Watch Office observation. Exit: the factual record publishes with provenance assessment where evidence supports one; the corridor returns to normal on certification; insurance market receives the evidence pack through the assurance feed the same day.</w:t>
      </w:r>
    </w:p>
    <w:p>
      <w:pPr>
        <w:pStyle w:val="Heading2"/>
      </w:pPr>
      <w:bookmarkStart w:id="295" w:name="_Toc263100195"/>
      <w:r>
        <w:rPr>
          <w:rFonts w:ascii="Georgia" w:hAnsi="Georgia" w:eastAsia="Microsoft YaHei"/>
          <w:color w:val="263238"/>
          <w:sz w:val="22"/>
        </w:rPr>
        <w:t xml:space="preserve">Q.4 Scenario Three: attack by an unknown actor on a tanker</w:t>
      </w:r>
      <w:bookmarkEnd w:id="295"/>
    </w:p>
    <w:p>
      <w:pPr>
        <w:pStyle w:val="Normal"/>
      </w:pPr>
      <w:r>
        <w:rPr>
          <w:rFonts w:ascii="Georgia" w:hAnsi="Georgia" w:eastAsia="Microsoft YaHei"/>
          <w:color w:val="263238"/>
          <w:sz w:val="22"/>
        </w:rPr>
        <w:t xml:space="preserve">Trigger: an explosion or strike damages a laden tanker mid-strait, actor unknown. Automatic responses: the Mishap Protocol executes; SAR takes priority; the buffer corridor opens; the rogue-actor pathway of Article 30 engages with its forty-eight-hour attribution deferral; both desks receive the fused picture within fifteen minutes. Human decisions: joint forensic work on the factual record; no compliance classification before attribution resolves; the executive line stands ready. Exit: forensic finding publishes; if attribution resolves to a Party, the compliance engine applies on evidence; if it resolves to a third hand, the architecture holds both Parties harmless and the security review strengthens the affected segment. The scenario exists to protect the relationship from the third hand.</w:t>
      </w:r>
    </w:p>
    <w:p>
      <w:pPr>
        <w:pStyle w:val="Heading2"/>
      </w:pPr>
      <w:bookmarkStart w:id="296" w:name="_Toc263100196"/>
      <w:r>
        <w:rPr>
          <w:rFonts w:ascii="Georgia" w:hAnsi="Georgia" w:eastAsia="Microsoft YaHei"/>
          <w:color w:val="263238"/>
          <w:sz w:val="22"/>
        </w:rPr>
        <w:t xml:space="preserve">Q.5 Scenario Four: telemetry blackout at one desk</w:t>
      </w:r>
      <w:bookmarkEnd w:id="296"/>
    </w:p>
    <w:p>
      <w:pPr>
        <w:pStyle w:val="Normal"/>
      </w:pPr>
      <w:r>
        <w:rPr>
          <w:rFonts w:ascii="Georgia" w:hAnsi="Georgia" w:eastAsia="Microsoft YaHei"/>
          <w:color w:val="263238"/>
          <w:sz w:val="22"/>
        </w:rPr>
        <w:t xml:space="preserve">Trigger: one desk's contributed feeds go dark. Automatic responses: degraded-mode operation engages; divergence flags publish; the surviving picture carries corridor operations. Human decisions: the Technical and Standards Committee diagnoses. If the gap passes forty-eight hours without certified technical cause, the 48-hour telemetry rule pauses the dark desk's service account distributions automatically. Exit: restoration with authenticity certification lifts the pause immediately; the incident log records the gap; no accusation travels without evidence.</w:t>
      </w:r>
    </w:p>
    <w:p>
      <w:pPr>
        <w:pStyle w:val="Heading2"/>
      </w:pPr>
      <w:bookmarkStart w:id="297" w:name="_Toc263100197"/>
      <w:r>
        <w:rPr>
          <w:rFonts w:ascii="Georgia" w:hAnsi="Georgia" w:eastAsia="Microsoft YaHei"/>
          <w:color w:val="263238"/>
          <w:sz w:val="22"/>
        </w:rPr>
        <w:t xml:space="preserve">Q.6 Scenario Five: payment channel stress</w:t>
      </w:r>
      <w:bookmarkEnd w:id="297"/>
    </w:p>
    <w:p>
      <w:pPr>
        <w:pStyle w:val="Normal"/>
      </w:pPr>
      <w:r>
        <w:rPr>
          <w:rFonts w:ascii="Georgia" w:hAnsi="Georgia" w:eastAsia="Microsoft YaHei"/>
          <w:color w:val="263238"/>
          <w:sz w:val="22"/>
        </w:rPr>
        <w:t xml:space="preserve">Trigger: a payer's bank refuses escrow settlement citing sanctions uncertainty. Automatic responses: the compliance desk issues the attestation pack and the annual counsel opinion; the Swiss Facilitator offers the regulator briefing; the escrow offers the alternate settlement currency. Human decisions: the payer completes settlement in the alternate channel; the case study anonymizes into the compliance desk's precedent library. Exit: settlement completes, the precedent library grows, and the next identical case settles in hours rather than days.</w:t>
      </w:r>
    </w:p>
    <w:p>
      <w:pPr>
        <w:pStyle w:val="Heading2"/>
      </w:pPr>
      <w:bookmarkStart w:id="298" w:name="_Toc263100198"/>
      <w:r>
        <w:rPr>
          <w:rFonts w:ascii="Georgia" w:hAnsi="Georgia" w:eastAsia="Microsoft YaHei"/>
          <w:color w:val="263238"/>
          <w:sz w:val="22"/>
        </w:rPr>
        <w:t xml:space="preserve">Q.7 Scenario Six: political crisis in a participant capital</w:t>
      </w:r>
      <w:bookmarkEnd w:id="298"/>
    </w:p>
    <w:p>
      <w:pPr>
        <w:pStyle w:val="Normal"/>
      </w:pPr>
      <w:r>
        <w:rPr>
          <w:rFonts w:ascii="Georgia" w:hAnsi="Georgia" w:eastAsia="Microsoft YaHei"/>
          <w:color w:val="263238"/>
          <w:sz w:val="22"/>
        </w:rPr>
        <w:t xml:space="preserve">Trigger: a domestic crisis paralyzes a Party's political layer. Automatic responses: Temporary Operational Suspension becomes available at the Party's choice; the Hormuz Watch pre-arms; corridor operations, the escrow, SAR, and the channels continue untouched. Human decisions: the Facilitators offer good offices; the Council holds its cadence with the available quorum rules of Article 34. Exit: the crisis passes, the suspension lifts, the clocks resume, and the system shows the region that governance survives politics.</w:t>
      </w:r>
    </w:p>
    <w:p>
      <w:pPr>
        <w:pStyle w:val="Heading2"/>
      </w:pPr>
      <w:bookmarkStart w:id="299" w:name="_Toc263100199"/>
      <w:r>
        <w:rPr>
          <w:rFonts w:ascii="Georgia" w:hAnsi="Georgia" w:eastAsia="Microsoft YaHei"/>
          <w:color w:val="263238"/>
          <w:sz w:val="22"/>
        </w:rPr>
        <w:t xml:space="preserve">Q.8 Playbook maintenance</w:t>
      </w:r>
      <w:bookmarkEnd w:id="299"/>
    </w:p>
    <w:p>
      <w:pPr>
        <w:pStyle w:val="Normal"/>
      </w:pPr>
      <w:r>
        <w:rPr>
          <w:rFonts w:ascii="Georgia" w:hAnsi="Georgia" w:eastAsia="Microsoft YaHei"/>
          <w:color w:val="263238"/>
          <w:sz w:val="22"/>
        </w:rPr>
        <w:t xml:space="preserve">The Technical and Standards Committee reviews the playbooks after every live incident and every Stability Audit, folding lessons into the texts. A playbook change travels the silence procedure; a playbook that fails in a live event travels to the Council with a Red Team post-mortem.</w:t>
      </w:r>
    </w:p>
    <w:p>
      <w:r>
        <w:br w:type="page"/>
      </w:r>
    </w:p>
    <w:p>
      <w:pPr>
        <w:pStyle w:val="Heading1"/>
      </w:pPr>
      <w:bookmarkStart w:id="300" w:name="_Toc263100200"/>
      <w:r>
        <w:rPr>
          <w:rFonts w:ascii="Georgia" w:hAnsi="Georgia" w:eastAsia="Microsoft YaHei"/>
          <w:color w:val="263238"/>
          <w:sz w:val="22"/>
        </w:rPr>
        <w:t xml:space="preserve">Annex R: Steady-State Annual Operating Calendar</w:t>
      </w:r>
      <w:bookmarkEnd w:id="300"/>
    </w:p>
    <w:p>
      <w:pPr>
        <w:pStyle w:val="Heading2"/>
      </w:pPr>
      <w:bookmarkStart w:id="301" w:name="_Toc263100201"/>
      <w:r>
        <w:rPr>
          <w:rFonts w:ascii="Georgia" w:hAnsi="Georgia" w:eastAsia="Microsoft YaHei"/>
          <w:color w:val="263238"/>
          <w:sz w:val="22"/>
        </w:rPr>
        <w:t xml:space="preserve">R.1 The annual rhythm</w:t>
      </w:r>
      <w:bookmarkEnd w:id="301"/>
    </w:p>
    <w:p>
      <w:pPr>
        <w:pStyle w:val="Normal"/>
      </w:pPr>
      <w:r>
        <w:rPr>
          <w:rFonts w:ascii="Georgia" w:hAnsi="Georgia" w:eastAsia="Microsoft YaHei"/>
          <w:color w:val="263238"/>
          <w:sz w:val="22"/>
        </w:rPr>
        <w:t xml:space="preserve">After full activation, the Accord runs on a published annual rhythm. The rhythm makes governance predictable: every participant knows the year's cadence in advance, and every audit, drill, and publication lands on a known date.</w:t>
      </w:r>
    </w:p>
    <w:tbl>
      <w:tblPr>
        <w:tblW w:w="5000" w:type="pct"/>
        <w:tblBorders>
          <w:top w:val="single" w:color="1C3F4E" w:sz="12"/>
          <w:left w:val="nil"/>
          <w:bottom w:val="single" w:color="1C3F4E" w:sz="12"/>
          <w:right w:val="nil"/>
          <w:insideH w:val="single" w:color="C4D2D8" w:sz="2"/>
          <w:insideV w:val="nil"/>
        </w:tblBorders>
      </w:tblPr>
      <w:tblGrid>
        <w:gridCol w:w="4513"/>
        <w:gridCol w:w="4513"/>
      </w:tblGrid>
      <w:tr>
        <w:trPr>
          <w:tblHeader/>
        </w:trPr>
        <w:tc>
          <w:tcPr>
            <w:tcW w:w="4513"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Month</w:t>
            </w:r>
          </w:p>
        </w:tc>
        <w:tc>
          <w:tcPr>
            <w:tcW w:w="4513" w:type="dxa"/>
            <w:shd w:val="clear" w:fill="E9EFF2"/>
            <w:tcMar>
              <w:top w:w="60" w:type="dxa"/>
              <w:left w:w="108" w:type="dxa"/>
              <w:bottom w:w="60" w:type="dxa"/>
              <w:right w:w="108" w:type="dxa"/>
            </w:tcMar>
          </w:tcPr>
          <w:p>
            <w:pPr>
              <w:spacing w:after="40" w:line="240" w:lineRule="auto"/>
            </w:pPr>
            <w:r>
              <w:rPr>
                <w:rFonts w:ascii="Georgia" w:hAnsi="Georgia" w:eastAsia="Microsoft YaHei"/>
                <w:b/>
                <w:color w:val="1C3F4E"/>
                <w:sz w:val="19"/>
              </w:rPr>
              <w:t xml:space="preserve">Fixed events</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nuary</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Standing confirmation page re-executed</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bruary</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First quarter audit-lite</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rch</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First quarter spill response drill</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ril</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Second quarter audit-lite</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ne</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Second quarter spill drill</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ly</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Third quarter audit-lite</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gust</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Annual Stability Audit determination and publication</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ptember</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Third quarter spill drill</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tober</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Fourth quarter audit-lite</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vember</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Annual external financial audit fieldwork</w:t>
            </w:r>
          </w:p>
        </w:tc>
      </w:tr>
      <w:tr>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cember</w:t>
            </w:r>
          </w:p>
        </w:tc>
        <w:tc>
          <w:tcPr>
            <w:tcW w:w="4513" w:type="dxa"/>
            <w:tcMar>
              <w:top w:w="60" w:type="dxa"/>
              <w:left w:w="108" w:type="dxa"/>
              <w:bottom w:w="60" w:type="dxa"/>
              <w:right w:w="108" w:type="dxa"/>
            </w:tcMar>
          </w:tcPr>
          <w:p>
            <w:pPr>
              <w:spacing w:after="40" w:line="240" w:lineRule="auto"/>
            </w:pPr>
            <w:r>
              <w:rPr>
                <w:rFonts w:ascii="Georgia" w:hAnsi="Georgia" w:eastAsia="Microsoft YaHei"/>
                <w:color w:val="263238"/>
                <w:sz w:val="19"/>
              </w:rPr>
              <w:t xml:space="preserve">Annual budget proposal for the coming year</w:t>
            </w:r>
          </w:p>
        </w:tc>
      </w:tr>
    </w:tbl>
    <w:p>
      <w:pPr>
        <w:pStyle w:val="Caption"/>
      </w:pPr>
      <w:r>
        <w:rPr>
          <w:rFonts w:ascii="Georgia" w:hAnsi="Georgia" w:eastAsia="Microsoft YaHei"/>
          <w:color w:val="263238"/>
          <w:sz w:val="22"/>
        </w:rPr>
        <w:t xml:space="preserve">Table R-1: The steady-state year. Predictability is the product.</w:t>
      </w:r>
    </w:p>
    <w:p>
      <w:pPr>
        <w:pStyle w:val="Heading2"/>
      </w:pPr>
      <w:bookmarkStart w:id="302" w:name="_Toc263100202"/>
      <w:r>
        <w:rPr>
          <w:rFonts w:ascii="Georgia" w:hAnsi="Georgia" w:eastAsia="Microsoft YaHei"/>
          <w:color w:val="263238"/>
          <w:sz w:val="22"/>
        </w:rPr>
        <w:t xml:space="preserve">R.2 The five-year rhythm</w:t>
      </w:r>
      <w:bookmarkEnd w:id="302"/>
    </w:p>
    <w:p>
      <w:pPr>
        <w:pStyle w:val="Normal"/>
      </w:pPr>
      <w:r>
        <w:rPr>
          <w:rFonts w:ascii="Georgia" w:hAnsi="Georgia" w:eastAsia="Microsoft YaHei"/>
          <w:color w:val="263238"/>
          <w:sz w:val="22"/>
        </w:rPr>
        <w:t xml:space="preserve">Every fifth year adds: the review conference of Article 43; the full Standards Register re-validation; the escrow mandate review; and the corridor geometry fitness review against traffic growth. The five-year review reads five years of Stability Audits as one document and asks one question: does the architecture still fit the strait.</w:t>
      </w:r>
    </w:p>
    <w:p>
      <w:pPr>
        <w:pStyle w:val="Heading1"/>
      </w:pPr>
      <w:bookmarkStart w:id="303" w:name="_Toc263100203"/>
      <w:r>
        <w:rPr>
          <w:rFonts w:ascii="Georgia" w:hAnsi="Georgia" w:eastAsia="Microsoft YaHei"/>
          <w:color w:val="263238"/>
          <w:sz w:val="22"/>
        </w:rPr>
        <w:t xml:space="preserve">Annex S: Data and Registry Technical Standards</w:t>
      </w:r>
      <w:bookmarkEnd w:id="303"/>
    </w:p>
    <w:p>
      <w:pPr>
        <w:pStyle w:val="Heading2"/>
      </w:pPr>
      <w:bookmarkStart w:id="304" w:name="_Toc263100204"/>
      <w:r>
        <w:rPr>
          <w:rFonts w:ascii="Georgia" w:hAnsi="Georgia" w:eastAsia="Microsoft YaHei"/>
          <w:color w:val="263238"/>
          <w:sz w:val="22"/>
        </w:rPr>
        <w:t xml:space="preserve">S.1 The Shared Registry</w:t>
      </w:r>
      <w:bookmarkEnd w:id="304"/>
    </w:p>
    <w:p>
      <w:pPr>
        <w:pStyle w:val="Normal"/>
      </w:pPr>
      <w:r>
        <w:rPr>
          <w:rFonts w:ascii="Georgia" w:hAnsi="Georgia" w:eastAsia="Microsoft YaHei"/>
          <w:color w:val="263238"/>
          <w:sz w:val="22"/>
        </w:rPr>
        <w:t xml:space="preserve">The Shared Registry is the single source of truth for the Accord: a distributed, append-only record with cryptographic chain of custody, replicated across the Operations Center, the Mirror Facility, and the Depositary's sealed archive. Writes append; nothing overwrites; corrections post as new entries that reference their originals. Every entry carries timestamp, author key, and content hash.</w:t>
      </w:r>
    </w:p>
    <w:p>
      <w:pPr>
        <w:pStyle w:val="Heading2"/>
      </w:pPr>
      <w:bookmarkStart w:id="305" w:name="_Toc263100205"/>
      <w:r>
        <w:rPr>
          <w:rFonts w:ascii="Georgia" w:hAnsi="Georgia" w:eastAsia="Microsoft YaHei"/>
          <w:color w:val="263238"/>
          <w:sz w:val="22"/>
        </w:rPr>
        <w:t xml:space="preserve">S.2 Availability and integrity targets</w:t>
      </w:r>
      <w:bookmarkEnd w:id="305"/>
    </w:p>
    <w:p>
      <w:pPr>
        <w:pStyle w:val="Normal"/>
      </w:pPr>
      <w:r>
        <w:rPr>
          <w:rFonts w:ascii="Georgia" w:hAnsi="Georgia" w:eastAsia="Microsoft YaHei"/>
          <w:color w:val="263238"/>
          <w:sz w:val="22"/>
        </w:rPr>
        <w:t xml:space="preserve">The Registry holds five engineering targets: write availability of 99.9 percent monthly; replication lag under sixty seconds between sites; zero unexplained hash mismatches; gap-free logging with no interval exceeding fifteen minutes; and recovery from any single site loss within one hour. The Red Team tests every target continuously, and failures log as Level 2 or Level 3 anomalies per Annex B.</w:t>
      </w:r>
    </w:p>
    <w:p>
      <w:pPr>
        <w:pStyle w:val="Heading2"/>
      </w:pPr>
      <w:bookmarkStart w:id="306" w:name="_Toc263100206"/>
      <w:r>
        <w:rPr>
          <w:rFonts w:ascii="Georgia" w:hAnsi="Georgia" w:eastAsia="Microsoft YaHei"/>
          <w:color w:val="263238"/>
          <w:sz w:val="22"/>
        </w:rPr>
        <w:t xml:space="preserve">S.3 Interface standards</w:t>
      </w:r>
      <w:bookmarkEnd w:id="306"/>
    </w:p>
    <w:p>
      <w:pPr>
        <w:pStyle w:val="Normal"/>
      </w:pPr>
      <w:r>
        <w:rPr>
          <w:rFonts w:ascii="Georgia" w:hAnsi="Georgia" w:eastAsia="Microsoft YaHei"/>
          <w:color w:val="263238"/>
          <w:sz w:val="22"/>
        </w:rPr>
        <w:t xml:space="preserve">All feeds conform to the interface control documents of the Standards Register: AIS per the international AIS message standard; radar tracks per the Committee's track message format; environmental telemetry per the Annex F grid specification; financial postings per the escrow message format. A non-conforming message rejects at the gateway with an automatic formatting alert, and the alert pattern feeds the data quality rule of Annex B.</w:t>
      </w:r>
    </w:p>
    <w:p>
      <w:pPr>
        <w:pStyle w:val="Heading2"/>
      </w:pPr>
      <w:bookmarkStart w:id="307" w:name="_Toc263100207"/>
      <w:r>
        <w:rPr>
          <w:rFonts w:ascii="Georgia" w:hAnsi="Georgia" w:eastAsia="Microsoft YaHei"/>
          <w:color w:val="263238"/>
          <w:sz w:val="22"/>
        </w:rPr>
        <w:t xml:space="preserve">S.4 Access control</w:t>
      </w:r>
      <w:bookmarkEnd w:id="307"/>
    </w:p>
    <w:p>
      <w:pPr>
        <w:pStyle w:val="Normal"/>
      </w:pPr>
      <w:r>
        <w:rPr>
          <w:rFonts w:ascii="Georgia" w:hAnsi="Georgia" w:eastAsia="Microsoft YaHei"/>
          <w:color w:val="263238"/>
          <w:sz w:val="22"/>
        </w:rPr>
        <w:t xml:space="preserve">Access follows the tiers of Annex B, enforced cryptographically: public data signs but never encrypts; Tier Two data delivers through authenticated subscription; Tier Three data encrypts to participant keys; Tier Four data opens only on the two-key rule. Key custody follows published ceremony: keys generate in the presence of the Neutral Watch Office, store under dual control, and rotate annually.</w:t>
      </w:r>
    </w:p>
    <w:p>
      <w:pPr>
        <w:pStyle w:val="Heading2"/>
      </w:pPr>
      <w:bookmarkStart w:id="308" w:name="_Toc263100208"/>
      <w:r>
        <w:rPr>
          <w:rFonts w:ascii="Georgia" w:hAnsi="Georgia" w:eastAsia="Microsoft YaHei"/>
          <w:color w:val="263238"/>
          <w:sz w:val="22"/>
        </w:rPr>
        <w:t xml:space="preserve">S.5 The public dashboard</w:t>
      </w:r>
      <w:bookmarkEnd w:id="308"/>
    </w:p>
    <w:p>
      <w:pPr>
        <w:pStyle w:val="Normal"/>
      </w:pPr>
      <w:r>
        <w:rPr>
          <w:rFonts w:ascii="Georgia" w:hAnsi="Georgia" w:eastAsia="Microsoft YaHei"/>
          <w:color w:val="263238"/>
          <w:sz w:val="22"/>
        </w:rPr>
        <w:t xml:space="preserve">The public dashboard publishes the live pulse of the system: current Flow State, corridor status, delivery states, the day's transit count by class, the week's incident count, and the current audit-lite indicators. The dashboard answers the world's basic question at a glance: the strait works, and here is the proof, updated hourly.</w:t>
      </w:r>
    </w:p>
    <w:p>
      <w:pPr>
        <w:pStyle w:val="Heading2"/>
      </w:pPr>
      <w:bookmarkStart w:id="309" w:name="_Toc263100209"/>
      <w:r>
        <w:rPr>
          <w:rFonts w:ascii="Georgia" w:hAnsi="Georgia" w:eastAsia="Microsoft YaHei"/>
          <w:color w:val="263238"/>
          <w:sz w:val="22"/>
        </w:rPr>
        <w:t xml:space="preserve">S.6 Data retention</w:t>
      </w:r>
      <w:bookmarkEnd w:id="309"/>
    </w:p>
    <w:p>
      <w:pPr>
        <w:pStyle w:val="Normal"/>
      </w:pPr>
      <w:r>
        <w:rPr>
          <w:rFonts w:ascii="Georgia" w:hAnsi="Georgia" w:eastAsia="Microsoft YaHei"/>
          <w:color w:val="263238"/>
          <w:sz w:val="22"/>
        </w:rPr>
        <w:t xml:space="preserve">Operational data retains for ten years per Article 5; financial records retain for ten years; incident records retain permanently; and the annual sealed archive transfers to the Depositary each January. The retention schedule publishes, and disposal outside the schedule reads as a data integrity event.</w:t>
      </w:r>
    </w:p>
    <w:p>
      <w:pPr>
        <w:pStyle w:val="Heading1"/>
      </w:pPr>
      <w:bookmarkStart w:id="310" w:name="_Toc263100210"/>
      <w:r>
        <w:rPr>
          <w:rFonts w:ascii="Georgia" w:hAnsi="Georgia" w:eastAsia="Microsoft YaHei"/>
          <w:color w:val="263238"/>
          <w:sz w:val="22"/>
        </w:rPr>
        <w:t xml:space="preserve">Annex T: Transitional Provisions for Wartime Legacy Matters</w:t>
      </w:r>
      <w:bookmarkEnd w:id="310"/>
    </w:p>
    <w:p>
      <w:pPr>
        <w:pStyle w:val="Heading2"/>
      </w:pPr>
      <w:bookmarkStart w:id="311" w:name="_Toc263100211"/>
      <w:r>
        <w:rPr>
          <w:rFonts w:ascii="Georgia" w:hAnsi="Georgia" w:eastAsia="Microsoft YaHei"/>
          <w:color w:val="263238"/>
          <w:sz w:val="22"/>
        </w:rPr>
        <w:t xml:space="preserve">T.1 Purpose and restraint</w:t>
      </w:r>
      <w:bookmarkEnd w:id="311"/>
    </w:p>
    <w:p>
      <w:pPr>
        <w:pStyle w:val="Normal"/>
      </w:pPr>
      <w:r>
        <w:rPr>
          <w:rFonts w:ascii="Georgia" w:hAnsi="Georgia" w:eastAsia="Microsoft YaHei"/>
          <w:color w:val="263238"/>
          <w:sz w:val="22"/>
        </w:rPr>
        <w:t xml:space="preserve">The wartime period leaves human and commercial legacies: detained crews, seized vessels, interrupted voyages, and losses in search of a forum. The Accord addresses these legacies with deliberate restraint: it settles what touches the corridor system directly, and it channels the rest toward the appropriate bilateral and legal tracks without pretending to replace them.</w:t>
      </w:r>
    </w:p>
    <w:p>
      <w:pPr>
        <w:pStyle w:val="Heading2"/>
      </w:pPr>
      <w:bookmarkStart w:id="312" w:name="_Toc263100212"/>
      <w:r>
        <w:rPr>
          <w:rFonts w:ascii="Georgia" w:hAnsi="Georgia" w:eastAsia="Microsoft YaHei"/>
          <w:color w:val="263238"/>
          <w:sz w:val="22"/>
        </w:rPr>
        <w:t xml:space="preserve">T.2 Crew welfare continuity</w:t>
      </w:r>
      <w:bookmarkEnd w:id="312"/>
    </w:p>
    <w:p>
      <w:pPr>
        <w:pStyle w:val="Normal"/>
      </w:pPr>
      <w:r>
        <w:rPr>
          <w:rFonts w:ascii="Georgia" w:hAnsi="Georgia" w:eastAsia="Microsoft YaHei"/>
          <w:color w:val="263238"/>
          <w:sz w:val="22"/>
        </w:rPr>
        <w:t xml:space="preserve">Any mariner detained in connection with corridor-era events receives, from entry into force: consular access verification within twenty-four hours of a flag-state request through the Accord channel; welfare confirmation through the Neutral Watch Office; and inclusion in the published welfare log until release. The provision protects people, not positions; it touches no question of the lawfulness of any detention.</w:t>
      </w:r>
    </w:p>
    <w:p>
      <w:pPr>
        <w:pStyle w:val="Heading2"/>
      </w:pPr>
      <w:bookmarkStart w:id="313" w:name="_Toc263100213"/>
      <w:r>
        <w:rPr>
          <w:rFonts w:ascii="Georgia" w:hAnsi="Georgia" w:eastAsia="Microsoft YaHei"/>
          <w:color w:val="263238"/>
          <w:sz w:val="22"/>
        </w:rPr>
        <w:t xml:space="preserve">T.3 Vessel status registry</w:t>
      </w:r>
      <w:bookmarkEnd w:id="313"/>
    </w:p>
    <w:p>
      <w:pPr>
        <w:pStyle w:val="Normal"/>
      </w:pPr>
      <w:r>
        <w:rPr>
          <w:rFonts w:ascii="Georgia" w:hAnsi="Georgia" w:eastAsia="Microsoft YaHei"/>
          <w:color w:val="263238"/>
          <w:sz w:val="22"/>
        </w:rPr>
        <w:t xml:space="preserve">The Operations Center maintains a transitional registry of vessels whose status the wartime period left unresolved: seized, stranded, or abandoned in or near the Governance Area. The registry records status, location, crew situation, and flag. It informs the responsible authorities and the flag states equally, and it closes each entry on resolution. The registry resolves nothing itself; it makes resolution visible.</w:t>
      </w:r>
    </w:p>
    <w:p>
      <w:pPr>
        <w:pStyle w:val="Heading2"/>
      </w:pPr>
      <w:bookmarkStart w:id="314" w:name="_Toc263100214"/>
      <w:r>
        <w:rPr>
          <w:rFonts w:ascii="Georgia" w:hAnsi="Georgia" w:eastAsia="Microsoft YaHei"/>
          <w:color w:val="263238"/>
          <w:sz w:val="22"/>
        </w:rPr>
        <w:t xml:space="preserve">T.4 Commercial loss channeling</w:t>
      </w:r>
      <w:bookmarkEnd w:id="314"/>
    </w:p>
    <w:p>
      <w:pPr>
        <w:pStyle w:val="Normal"/>
      </w:pPr>
      <w:r>
        <w:rPr>
          <w:rFonts w:ascii="Georgia" w:hAnsi="Georgia" w:eastAsia="Microsoft YaHei"/>
          <w:color w:val="263238"/>
          <w:sz w:val="22"/>
        </w:rPr>
        <w:t xml:space="preserve">Wartime commercial losses outside the compensation window of Annex D route to guidance, not silence: the Secretariat publishes a channeling note identifying the appropriate forums for each loss category, from war-risk policies to bilateral claims processes to the courts of the relevant jurisdictions. The Accord claims no jurisdiction over wartime losses; it refuses to leave their holders without a map.</w:t>
      </w:r>
    </w:p>
    <w:p>
      <w:pPr>
        <w:pStyle w:val="Heading2"/>
      </w:pPr>
      <w:bookmarkStart w:id="315" w:name="_Toc263100215"/>
      <w:r>
        <w:rPr>
          <w:rFonts w:ascii="Georgia" w:hAnsi="Georgia" w:eastAsia="Microsoft YaHei"/>
          <w:color w:val="263238"/>
          <w:sz w:val="22"/>
        </w:rPr>
        <w:t xml:space="preserve">T.5 The closure ledger of Article 41</w:t>
      </w:r>
      <w:bookmarkEnd w:id="315"/>
    </w:p>
    <w:p>
      <w:pPr>
        <w:pStyle w:val="Normal"/>
      </w:pPr>
      <w:r>
        <w:rPr>
          <w:rFonts w:ascii="Georgia" w:hAnsi="Georgia" w:eastAsia="Microsoft YaHei"/>
          <w:color w:val="263238"/>
          <w:sz w:val="22"/>
        </w:rPr>
        <w:t xml:space="preserve">The closure ledger carries the full inventory of replaced wartime measures: each lane, notice, convoy rule, and security area, with its sunset certificate and its permanent successor. The ledger updates until the inventory completes, then seals with the full activation declaration and enters the permanent archive.</w:t>
      </w:r>
    </w:p>
    <w:p>
      <w:pPr>
        <w:pStyle w:val="Heading2"/>
      </w:pPr>
      <w:bookmarkStart w:id="316" w:name="_Toc263100216"/>
      <w:r>
        <w:rPr>
          <w:rFonts w:ascii="Georgia" w:hAnsi="Georgia" w:eastAsia="Microsoft YaHei"/>
          <w:color w:val="263238"/>
          <w:sz w:val="22"/>
        </w:rPr>
        <w:t xml:space="preserve">T.6 Non-prejudice reaffirmed</w:t>
      </w:r>
      <w:bookmarkEnd w:id="316"/>
    </w:p>
    <w:p>
      <w:pPr>
        <w:pStyle w:val="Normal"/>
      </w:pPr>
      <w:r>
        <w:rPr>
          <w:rFonts w:ascii="Georgia" w:hAnsi="Georgia" w:eastAsia="Microsoft YaHei"/>
          <w:color w:val="263238"/>
          <w:sz w:val="22"/>
        </w:rPr>
        <w:t xml:space="preserve">Nothing in this Annex recognizes, denies, or prejudices any claim, any legal position, or any responsibility of any state or person. The transitional provisions serve mariners, transparency, and continuity, and they serve nothing else.</w:t>
      </w:r>
    </w:p>
    <w:p>
      <w:pPr>
        <w:pStyle w:val="Heading1"/>
      </w:pPr>
      <w:bookmarkStart w:id="317" w:name="_Toc263100217"/>
      <w:r>
        <w:rPr>
          <w:rFonts w:ascii="Georgia" w:hAnsi="Georgia" w:eastAsia="Microsoft YaHei"/>
          <w:color w:val="263238"/>
          <w:sz w:val="22"/>
        </w:rPr>
        <w:t xml:space="preserve">Annex U: Regional Participant Schedules</w:t>
      </w:r>
      <w:bookmarkEnd w:id="317"/>
    </w:p>
    <w:p>
      <w:pPr>
        <w:pStyle w:val="Heading2"/>
      </w:pPr>
      <w:bookmarkStart w:id="318" w:name="_Toc263100218"/>
      <w:r>
        <w:rPr>
          <w:rFonts w:ascii="Georgia" w:hAnsi="Georgia" w:eastAsia="Microsoft YaHei"/>
          <w:color w:val="263238"/>
          <w:sz w:val="22"/>
        </w:rPr>
        <w:t xml:space="preserve">U.1 The GCC contribution and integration schedule</w:t>
      </w:r>
      <w:bookmarkEnd w:id="318"/>
    </w:p>
    <w:p>
      <w:pPr>
        <w:pStyle w:val="Normal"/>
      </w:pPr>
      <w:r>
        <w:rPr>
          <w:rFonts w:ascii="Georgia" w:hAnsi="Georgia" w:eastAsia="Microsoft YaHei"/>
          <w:color w:val="263238"/>
          <w:sz w:val="22"/>
        </w:rPr>
        <w:t xml:space="preserve">Each GCC member state participates on the standing schedule below, effective from accession: the annual base contribution and per-transit solidarity amount of Annex D; one liaison officer to the watch floor and one to the deconfliction channel; SAR assets per the posture table of Annex G; and observer rotation in the GCC Observer College per the published sequence. The schedule treats every GCC state identically in rights and scales contributions to published capacity factors.</w:t>
      </w:r>
    </w:p>
    <w:p>
      <w:pPr>
        <w:pStyle w:val="Heading2"/>
      </w:pPr>
      <w:bookmarkStart w:id="319" w:name="_Toc263100219"/>
      <w:r>
        <w:rPr>
          <w:rFonts w:ascii="Georgia" w:hAnsi="Georgia" w:eastAsia="Microsoft YaHei"/>
          <w:color w:val="263238"/>
          <w:sz w:val="22"/>
        </w:rPr>
        <w:t xml:space="preserve">U.2 Capacity factors</w:t>
      </w:r>
      <w:bookmarkEnd w:id="319"/>
    </w:p>
    <w:p>
      <w:pPr>
        <w:pStyle w:val="Normal"/>
      </w:pPr>
      <w:r>
        <w:rPr>
          <w:rFonts w:ascii="Georgia" w:hAnsi="Georgia" w:eastAsia="Microsoft YaHei"/>
          <w:color w:val="263238"/>
          <w:sz w:val="22"/>
        </w:rPr>
        <w:t xml:space="preserve">Capacity factors compute from a published formula: fifty percent share of Gulf export transits, twenty-five percent share of Gulf gross tonnage registered, twenty-five percent share of regional gross domestic product. The Technical and Standards Committee recomputes factors annually from public data, and the schedule publishes with the budget.</w:t>
      </w:r>
    </w:p>
    <w:p>
      <w:pPr>
        <w:pStyle w:val="Heading2"/>
      </w:pPr>
      <w:bookmarkStart w:id="320" w:name="_Toc263100220"/>
      <w:r>
        <w:rPr>
          <w:rFonts w:ascii="Georgia" w:hAnsi="Georgia" w:eastAsia="Microsoft YaHei"/>
          <w:color w:val="263238"/>
          <w:sz w:val="22"/>
        </w:rPr>
        <w:t xml:space="preserve">U.3 Observer College rotation</w:t>
      </w:r>
      <w:bookmarkEnd w:id="320"/>
    </w:p>
    <w:p>
      <w:pPr>
        <w:pStyle w:val="Normal"/>
      </w:pPr>
      <w:r>
        <w:rPr>
          <w:rFonts w:ascii="Georgia" w:hAnsi="Georgia" w:eastAsia="Microsoft YaHei"/>
          <w:color w:val="263238"/>
          <w:sz w:val="22"/>
        </w:rPr>
        <w:t xml:space="preserve">The GCC Observer College voice rotates annually in the published sequence, with the incoming member shadowing the outgoing member for sixty days. Rotation minutes log to the Registry, and the College speaks in the Council through whichever member holds the year.</w:t>
      </w:r>
    </w:p>
    <w:p>
      <w:pPr>
        <w:pStyle w:val="Heading2"/>
      </w:pPr>
      <w:bookmarkStart w:id="321" w:name="_Toc263100221"/>
      <w:r>
        <w:rPr>
          <w:rFonts w:ascii="Georgia" w:hAnsi="Georgia" w:eastAsia="Microsoft YaHei"/>
          <w:color w:val="263238"/>
          <w:sz w:val="22"/>
        </w:rPr>
        <w:t xml:space="preserve">U.4 European and IMO observer schedules</w:t>
      </w:r>
      <w:bookmarkEnd w:id="321"/>
    </w:p>
    <w:p>
      <w:pPr>
        <w:pStyle w:val="Normal"/>
      </w:pPr>
      <w:r>
        <w:rPr>
          <w:rFonts w:ascii="Georgia" w:hAnsi="Georgia" w:eastAsia="Microsoft YaHei"/>
          <w:color w:val="263238"/>
          <w:sz w:val="22"/>
        </w:rPr>
        <w:t xml:space="preserve">The European maritime safety observer and the IMO observer hold standing schedules: Tier Three access, attendance at Council and Technical Committee sessions, participation as technical witnesses in environmental and Stability Audits, and the published reporting duties of their own institutions. Their schedules carry no fee and no vote, and their reports to their institutions publish in the Registry on receipt.</w:t>
      </w:r>
    </w:p>
    <w:p>
      <w:pPr>
        <w:pStyle w:val="Heading2"/>
      </w:pPr>
      <w:bookmarkStart w:id="322" w:name="_Toc263100222"/>
      <w:r>
        <w:rPr>
          <w:rFonts w:ascii="Georgia" w:hAnsi="Georgia" w:eastAsia="Microsoft YaHei"/>
          <w:color w:val="263238"/>
          <w:sz w:val="22"/>
        </w:rPr>
        <w:t xml:space="preserve">U.5 United States Endorsement schedule</w:t>
      </w:r>
      <w:bookmarkEnd w:id="322"/>
    </w:p>
    <w:p>
      <w:pPr>
        <w:pStyle w:val="Normal"/>
      </w:pPr>
      <w:r>
        <w:rPr>
          <w:rFonts w:ascii="Georgia" w:hAnsi="Georgia" w:eastAsia="Microsoft YaHei"/>
          <w:color w:val="263238"/>
          <w:sz w:val="22"/>
        </w:rPr>
        <w:t xml:space="preserve">The United States Endorsement schedule specifies: the observer posts at the Operations Center and the Mirror Facility; the deconfliction authority credentials; the Tier Three feed endpoints; the standing briefing cycle with the compliance desk; and the named points of contact for the executive line. The schedule carries no fee, no vote, no command authority, and no veto, per Article 18 and the Red Lines Register.</w:t>
      </w:r>
    </w:p>
    <w:p>
      <w:pPr>
        <w:pStyle w:val="Heading2"/>
      </w:pPr>
      <w:bookmarkStart w:id="323" w:name="_Toc263100223"/>
      <w:r>
        <w:rPr>
          <w:rFonts w:ascii="Georgia" w:hAnsi="Georgia" w:eastAsia="Microsoft YaHei"/>
          <w:color w:val="263238"/>
          <w:sz w:val="22"/>
        </w:rPr>
        <w:t xml:space="preserve">U.6 Revision of schedules</w:t>
      </w:r>
      <w:bookmarkEnd w:id="323"/>
    </w:p>
    <w:p>
      <w:pPr>
        <w:pStyle w:val="Normal"/>
      </w:pPr>
      <w:r>
        <w:rPr>
          <w:rFonts w:ascii="Georgia" w:hAnsi="Georgia" w:eastAsia="Microsoft YaHei"/>
          <w:color w:val="263238"/>
          <w:sz w:val="22"/>
        </w:rPr>
        <w:t xml:space="preserve">Schedules revise annually through the silence procedure where they state technical details, and through the Consensus Track where they state contributions, seats, or access tiers. Every revision publishes with its effective date and its Perimeter Test record.</w:t>
      </w:r>
    </w:p>
    <w:p>
      <w:r>
        <w:br w:type="page"/>
      </w:r>
    </w:p>
    <w:p>
      <w:pPr>
        <w:pStyle w:val="Heading1"/>
      </w:pPr>
      <w:bookmarkStart w:id="324" w:name="_Toc263100224"/>
      <w:r>
        <w:rPr>
          <w:rFonts w:ascii="Georgia" w:hAnsi="Georgia" w:eastAsia="Microsoft YaHei"/>
          <w:color w:val="263238"/>
          <w:sz w:val="22"/>
        </w:rPr>
        <w:t xml:space="preserve">Annex V: Contingency Routing and Surge Capacity</w:t>
      </w:r>
      <w:bookmarkEnd w:id="324"/>
    </w:p>
    <w:p>
      <w:pPr>
        <w:pStyle w:val="Heading2"/>
      </w:pPr>
      <w:bookmarkStart w:id="325" w:name="_Toc263100225"/>
      <w:r>
        <w:rPr>
          <w:rFonts w:ascii="Georgia" w:hAnsi="Georgia" w:eastAsia="Microsoft YaHei"/>
          <w:color w:val="263238"/>
          <w:sz w:val="22"/>
        </w:rPr>
        <w:t xml:space="preserve">V.1 The surge problem</w:t>
      </w:r>
      <w:bookmarkEnd w:id="325"/>
    </w:p>
    <w:p>
      <w:pPr>
        <w:pStyle w:val="Normal"/>
      </w:pPr>
      <w:r>
        <w:rPr>
          <w:rFonts w:ascii="Georgia" w:hAnsi="Georgia" w:eastAsia="Microsoft YaHei"/>
          <w:color w:val="263238"/>
          <w:sz w:val="22"/>
        </w:rPr>
        <w:t xml:space="preserve">The strait carries one of the densest energy flows on earth, and any disruption sends volume hunting for alternatives. The Accord plans for the surge in both directions: the sudden return of deferred traffic after a crisis, and the sudden diversion of traffic during one. Planning for surge is planning for the system's most dangerous hours, when volume and anxiety peak together.</w:t>
      </w:r>
    </w:p>
    <w:p>
      <w:pPr>
        <w:pStyle w:val="Heading2"/>
      </w:pPr>
      <w:bookmarkStart w:id="326" w:name="_Toc263100226"/>
      <w:r>
        <w:rPr>
          <w:rFonts w:ascii="Georgia" w:hAnsi="Georgia" w:eastAsia="Microsoft YaHei"/>
          <w:color w:val="263238"/>
          <w:sz w:val="22"/>
        </w:rPr>
        <w:t xml:space="preserve">V.2 Post-crisis surge protocol</w:t>
      </w:r>
      <w:bookmarkEnd w:id="326"/>
    </w:p>
    <w:p>
      <w:pPr>
        <w:pStyle w:val="Normal"/>
      </w:pPr>
      <w:r>
        <w:rPr>
          <w:rFonts w:ascii="Georgia" w:hAnsi="Georgia" w:eastAsia="Microsoft YaHei"/>
          <w:color w:val="263238"/>
          <w:sz w:val="22"/>
        </w:rPr>
        <w:t xml:space="preserve">When a Flow State returns from RED or AMBER to GREEN after a disruption, pent-up demand arrives in a wave. The surge protocol manages the wave in six steps. Step one: the Operations Center declares a surge window of up to fourteen days in the Bulletin. Step two: corridor throughput plans publish per day and per class, sequenced by humanitarian cargo first, then perishable and time-critical cargo, then the queue order of the transit notice register. Step three: escort pooling continues through the window regardless of Flow State. Step four: reporting tempo doubles at every waypoint. Step five: the assurance feed publishes daily throughput and queue depth so the market prices reality. Step six: the window closes on the published exit test, queue depth below the published threshold for two consecutive days.</w:t>
      </w:r>
    </w:p>
    <w:p>
      <w:pPr>
        <w:pStyle w:val="Heading2"/>
      </w:pPr>
      <w:bookmarkStart w:id="327" w:name="_Toc263100227"/>
      <w:r>
        <w:rPr>
          <w:rFonts w:ascii="Georgia" w:hAnsi="Georgia" w:eastAsia="Microsoft YaHei"/>
          <w:color w:val="263238"/>
          <w:sz w:val="22"/>
        </w:rPr>
        <w:t xml:space="preserve">V.3 In-crisis diversion support</w:t>
      </w:r>
      <w:bookmarkEnd w:id="327"/>
    </w:p>
    <w:p>
      <w:pPr>
        <w:pStyle w:val="Normal"/>
      </w:pPr>
      <w:r>
        <w:rPr>
          <w:rFonts w:ascii="Georgia" w:hAnsi="Georgia" w:eastAsia="Microsoft YaHei"/>
          <w:color w:val="263238"/>
          <w:sz w:val="22"/>
        </w:rPr>
        <w:t xml:space="preserve">When shippers divert away from the strait during a crisis, the Accord keeps the door mapped for return: the Route Assurance Data Service continues publishing corridor status, the Stability Audit continues on schedule, and the Bulletin continues on cadence. A shipper that diverts watches the same data as a shipper that transits, and the return decision rests on numbers rather than rumor.</w:t>
      </w:r>
    </w:p>
    <w:p>
      <w:pPr>
        <w:pStyle w:val="Heading2"/>
      </w:pPr>
      <w:bookmarkStart w:id="328" w:name="_Toc263100228"/>
      <w:r>
        <w:rPr>
          <w:rFonts w:ascii="Georgia" w:hAnsi="Georgia" w:eastAsia="Microsoft YaHei"/>
          <w:color w:val="263238"/>
          <w:sz w:val="22"/>
        </w:rPr>
        <w:t xml:space="preserve">V.4 Corridor throughput capacity</w:t>
      </w:r>
      <w:bookmarkEnd w:id="328"/>
    </w:p>
    <w:p>
      <w:pPr>
        <w:pStyle w:val="Normal"/>
      </w:pPr>
      <w:r>
        <w:rPr>
          <w:rFonts w:ascii="Georgia" w:hAnsi="Georgia" w:eastAsia="Microsoft YaHei"/>
          <w:color w:val="263238"/>
          <w:sz w:val="22"/>
        </w:rPr>
        <w:t xml:space="preserve">The corridor system publishes its designed throughput: up to one hundred twenty commercial transits per day across both directional corridors at standard spacing, with surge capacity to one hundred sixty under the surge protocol's tightened management. The Technical and Standards Committee reviews the capacity figures annually against actual traffic and recommends geometry or spacing adjustments through the ordinary tracks.</w:t>
      </w:r>
    </w:p>
    <w:p>
      <w:pPr>
        <w:pStyle w:val="Heading2"/>
      </w:pPr>
      <w:bookmarkStart w:id="329" w:name="_Toc263100229"/>
      <w:r>
        <w:rPr>
          <w:rFonts w:ascii="Georgia" w:hAnsi="Georgia" w:eastAsia="Microsoft YaHei"/>
          <w:color w:val="263238"/>
          <w:sz w:val="22"/>
        </w:rPr>
        <w:t xml:space="preserve">V.5 Port approach coordination</w:t>
      </w:r>
      <w:bookmarkEnd w:id="329"/>
    </w:p>
    <w:p>
      <w:pPr>
        <w:pStyle w:val="Normal"/>
      </w:pPr>
      <w:r>
        <w:rPr>
          <w:rFonts w:ascii="Georgia" w:hAnsi="Georgia" w:eastAsia="Microsoft YaHei"/>
          <w:color w:val="263238"/>
          <w:sz w:val="22"/>
        </w:rPr>
        <w:t xml:space="preserve">Corridor exits hand traffic to the coastal States' port approach systems and to the open Gulf and Gulf of Oman. The Accord maintains standing coordination with the relevant vessel traffic services of both coastal States and publishes the handoff points and radio procedures in the routing cards, so the corridor system ends cleanly at its boundaries rather than dissolving into ambiguity.</w:t>
      </w:r>
    </w:p>
    <w:p>
      <w:pPr>
        <w:pStyle w:val="Heading2"/>
      </w:pPr>
      <w:bookmarkStart w:id="330" w:name="_Toc263100230"/>
      <w:r>
        <w:rPr>
          <w:rFonts w:ascii="Georgia" w:hAnsi="Georgia" w:eastAsia="Microsoft YaHei"/>
          <w:color w:val="263238"/>
          <w:sz w:val="22"/>
        </w:rPr>
        <w:t xml:space="preserve">V.6 Weather and visibility contingencies</w:t>
      </w:r>
      <w:bookmarkEnd w:id="330"/>
    </w:p>
    <w:p>
      <w:pPr>
        <w:pStyle w:val="Normal"/>
      </w:pPr>
      <w:r>
        <w:rPr>
          <w:rFonts w:ascii="Georgia" w:hAnsi="Georgia" w:eastAsia="Microsoft YaHei"/>
          <w:color w:val="263238"/>
          <w:sz w:val="22"/>
        </w:rPr>
        <w:t xml:space="preserve">The strait's summer haze, winter shamal winds, and seasonal haze-driven visibility drops enter the operating model as published weather contingencies: reduced-visibility procedures tighten spacing, slow speed bands, and raise reporting tempo on watch-floor declaration, with automatic reversion on clearing. The contingencies publish with the routing cards, and the Bulletin announces every activation.</w:t>
      </w:r>
    </w:p>
    <w:p>
      <w:pPr>
        <w:pStyle w:val="Heading1"/>
      </w:pPr>
      <w:bookmarkStart w:id="331" w:name="_Toc263100231"/>
      <w:r>
        <w:rPr>
          <w:rFonts w:ascii="Georgia" w:hAnsi="Georgia" w:eastAsia="Microsoft YaHei"/>
          <w:color w:val="263238"/>
          <w:sz w:val="22"/>
        </w:rPr>
        <w:t xml:space="preserve">Annex W: Training, Accreditation, and Personnel Standards</w:t>
      </w:r>
      <w:bookmarkEnd w:id="331"/>
    </w:p>
    <w:p>
      <w:pPr>
        <w:pStyle w:val="Heading2"/>
      </w:pPr>
      <w:bookmarkStart w:id="332" w:name="_Toc263100232"/>
      <w:r>
        <w:rPr>
          <w:rFonts w:ascii="Georgia" w:hAnsi="Georgia" w:eastAsia="Microsoft YaHei"/>
          <w:color w:val="263238"/>
          <w:sz w:val="22"/>
        </w:rPr>
        <w:t xml:space="preserve">W.1 The people standard</w:t>
      </w:r>
      <w:bookmarkEnd w:id="332"/>
    </w:p>
    <w:p>
      <w:pPr>
        <w:pStyle w:val="Normal"/>
      </w:pPr>
      <w:r>
        <w:rPr>
          <w:rFonts w:ascii="Georgia" w:hAnsi="Georgia" w:eastAsia="Microsoft YaHei"/>
          <w:color w:val="263238"/>
          <w:sz w:val="22"/>
        </w:rPr>
        <w:t xml:space="preserve">Institutions fail through untrained hands long before they fail through bad design. The Accord sets a single personnel standard for every role that touches corridor safety, money, or data: trained, examined, accredited, current, and rotated. The standard binds both desks, the Neutral Watch Office, the escrow, and the Secretariat.</w:t>
      </w:r>
    </w:p>
    <w:p>
      <w:pPr>
        <w:pStyle w:val="Heading2"/>
      </w:pPr>
      <w:bookmarkStart w:id="333" w:name="_Toc263100233"/>
      <w:r>
        <w:rPr>
          <w:rFonts w:ascii="Georgia" w:hAnsi="Georgia" w:eastAsia="Microsoft YaHei"/>
          <w:color w:val="263238"/>
          <w:sz w:val="22"/>
        </w:rPr>
        <w:t xml:space="preserve">W.2 Role curricula</w:t>
      </w:r>
      <w:bookmarkEnd w:id="333"/>
    </w:p>
    <w:p>
      <w:pPr>
        <w:pStyle w:val="Normal"/>
      </w:pPr>
      <w:r>
        <w:rPr>
          <w:rFonts w:ascii="Georgia" w:hAnsi="Georgia" w:eastAsia="Microsoft YaHei"/>
          <w:color w:val="263238"/>
          <w:sz w:val="22"/>
        </w:rPr>
        <w:t xml:space="preserve">The Technical and Standards Committee maintains published curricula per role: watch officer, traffic operator, data custodian, escrow officer, patrol commander, embarked observer, survey technician, rescue coordinator, and compliance officer. Each curriculum states hours, content, examination, and supervised practice. A role holder completes the curriculum before first solo watch, and the accreditation register records completion.</w:t>
      </w:r>
    </w:p>
    <w:p>
      <w:pPr>
        <w:pStyle w:val="Heading2"/>
      </w:pPr>
      <w:bookmarkStart w:id="334" w:name="_Toc263100234"/>
      <w:r>
        <w:rPr>
          <w:rFonts w:ascii="Georgia" w:hAnsi="Georgia" w:eastAsia="Microsoft YaHei"/>
          <w:color w:val="263238"/>
          <w:sz w:val="22"/>
        </w:rPr>
        <w:t xml:space="preserve">W.3 Cross-training and the parity dividend</w:t>
      </w:r>
      <w:bookmarkEnd w:id="334"/>
    </w:p>
    <w:p>
      <w:pPr>
        <w:pStyle w:val="Normal"/>
      </w:pPr>
      <w:r>
        <w:rPr>
          <w:rFonts w:ascii="Georgia" w:hAnsi="Georgia" w:eastAsia="Microsoft YaHei"/>
          <w:color w:val="263238"/>
          <w:sz w:val="22"/>
        </w:rPr>
        <w:t xml:space="preserve">Every watch-floor role trains at both sites. Iranian operators serve rotations in Muscat; Omani operators serve rotations in Bandar Abbas. Cross-training builds the parity dividend: two sites that genuinely understand each other, a shared professional culture across the water, and a workforce that experiences the system as one institution on two shores, exactly as Article 16 designs it. Every watch officer serves at least one three-month exchange tour at the opposite site during an accreditation period, holding the same duties as host-site counterparts. The exchange is the human equivalent of the data fusion the system runs on: officers who have stood both watches stop reading the other shore as an adversary.</w:t>
      </w:r>
    </w:p>
    <w:p>
      <w:pPr>
        <w:pStyle w:val="Heading2"/>
      </w:pPr>
      <w:bookmarkStart w:id="335" w:name="_Toc263100235"/>
      <w:r>
        <w:rPr>
          <w:rFonts w:ascii="Georgia" w:hAnsi="Georgia" w:eastAsia="Microsoft YaHei"/>
          <w:color w:val="263238"/>
          <w:sz w:val="22"/>
        </w:rPr>
        <w:t xml:space="preserve">W.4 Currency and refresher rules</w:t>
      </w:r>
      <w:bookmarkEnd w:id="335"/>
    </w:p>
    <w:p>
      <w:pPr>
        <w:pStyle w:val="Normal"/>
      </w:pPr>
      <w:r>
        <w:rPr>
          <w:rFonts w:ascii="Georgia" w:hAnsi="Georgia" w:eastAsia="Microsoft YaHei"/>
          <w:color w:val="263238"/>
          <w:sz w:val="22"/>
        </w:rPr>
        <w:t xml:space="preserve">Accreditation lapses without currency: each role holder completes annual refresher training and a published number of live watches per quarter. The accreditation register flags approaching lapses sixty days ahead, and a lapsed accreditation returns to duty through supervised requalification. Currency data feeds the staffing parity metric of Annex B.</w:t>
      </w:r>
    </w:p>
    <w:p>
      <w:pPr>
        <w:pStyle w:val="Heading2"/>
      </w:pPr>
      <w:bookmarkStart w:id="336" w:name="_Toc263100236"/>
      <w:r>
        <w:rPr>
          <w:rFonts w:ascii="Georgia" w:hAnsi="Georgia" w:eastAsia="Microsoft YaHei"/>
          <w:color w:val="263238"/>
          <w:sz w:val="22"/>
        </w:rPr>
        <w:t xml:space="preserve">W.5 Language competency</w:t>
      </w:r>
      <w:bookmarkEnd w:id="336"/>
    </w:p>
    <w:p>
      <w:pPr>
        <w:pStyle w:val="Normal"/>
      </w:pPr>
      <w:r>
        <w:rPr>
          <w:rFonts w:ascii="Georgia" w:hAnsi="Georgia" w:eastAsia="Microsoft YaHei"/>
          <w:color w:val="263238"/>
          <w:sz w:val="22"/>
        </w:rPr>
        <w:t xml:space="preserve">Watch-floor personnel hold certified competency in the working language and in one of the two regional languages; the recruitment balance across both sites guarantees full three-language coverage on every watch. Distress response never waits for a translator, and the competency register proves it to the audit.</w:t>
      </w:r>
    </w:p>
    <w:p>
      <w:pPr>
        <w:pStyle w:val="Heading2"/>
      </w:pPr>
      <w:bookmarkStart w:id="337" w:name="_Toc263100237"/>
      <w:r>
        <w:rPr>
          <w:rFonts w:ascii="Georgia" w:hAnsi="Georgia" w:eastAsia="Microsoft YaHei"/>
          <w:color w:val="263238"/>
          <w:sz w:val="22"/>
        </w:rPr>
        <w:t xml:space="preserve">W.6 Conduct and conflict-of-interest rules</w:t>
      </w:r>
      <w:bookmarkEnd w:id="337"/>
    </w:p>
    <w:p>
      <w:pPr>
        <w:pStyle w:val="Normal"/>
      </w:pPr>
      <w:r>
        <w:rPr>
          <w:rFonts w:ascii="Georgia" w:hAnsi="Georgia" w:eastAsia="Microsoft YaHei"/>
          <w:color w:val="263238"/>
          <w:sz w:val="22"/>
        </w:rPr>
        <w:t xml:space="preserve">Every accredited person signs the conduct code: no outside employment in corridor-related commerce, no gifts from users, disclosure of family financial interests in shipping or insurance, and absolute confidentiality for restricted records. The code publishes. Violations route to a standing conduct panel with published outcomes, and the panel's annual report feeds the integrity statement of Annex B.</w:t>
      </w:r>
    </w:p>
    <w:p>
      <w:pPr>
        <w:pStyle w:val="Heading2"/>
      </w:pPr>
      <w:bookmarkStart w:id="338" w:name="_Toc263100238"/>
      <w:r>
        <w:rPr>
          <w:rFonts w:ascii="Georgia" w:hAnsi="Georgia" w:eastAsia="Microsoft YaHei"/>
          <w:color w:val="263238"/>
          <w:sz w:val="22"/>
        </w:rPr>
        <w:t xml:space="preserve">W.7 The exchange program with the industry</w:t>
      </w:r>
      <w:bookmarkEnd w:id="338"/>
    </w:p>
    <w:p>
      <w:pPr>
        <w:pStyle w:val="Normal"/>
      </w:pPr>
      <w:r>
        <w:rPr>
          <w:rFonts w:ascii="Georgia" w:hAnsi="Georgia" w:eastAsia="Microsoft YaHei"/>
          <w:color w:val="263238"/>
          <w:sz w:val="22"/>
        </w:rPr>
        <w:t xml:space="preserve">The Accord runs a standing exchange: watch officers ride commercial transits as guests of the Stakeholder Panel's members, and merchant officers visit the watch floors on published open days. The exchange keeps the system's people literate in the industry's reality and the industry's people literate in the system's, and it costs almost nothing.</w:t>
      </w:r>
    </w:p>
    <w:p>
      <w:pPr>
        <w:pStyle w:val="Heading2"/>
      </w:pPr>
      <w:bookmarkStart w:id="339" w:name="_Toc263100239"/>
      <w:r>
        <w:rPr>
          <w:rFonts w:ascii="Georgia" w:hAnsi="Georgia" w:eastAsia="Microsoft YaHei"/>
          <w:color w:val="263238"/>
          <w:sz w:val="22"/>
        </w:rPr>
        <w:t xml:space="preserve">W.8 The Excellence in Boring Certification</w:t>
      </w:r>
      <w:bookmarkEnd w:id="339"/>
    </w:p>
    <w:p>
      <w:pPr>
        <w:pStyle w:val="Normal"/>
      </w:pPr>
      <w:r>
        <w:rPr>
          <w:rFonts w:ascii="Georgia" w:hAnsi="Georgia" w:eastAsia="Microsoft YaHei"/>
          <w:color w:val="263238"/>
          <w:sz w:val="22"/>
        </w:rPr>
        <w:t xml:space="preserve">A watch floor, site, or individual completing a rolling 365-day period without an incident, a compliance event, or an unresolved anomaly earns the Excellence in Boring certification. The certification publishes in the Assurance Registry and cites in the Institutional Memory Vault. Three consecutive years of certification qualify the holder for the Golden Helmet Award. The certification teaches the system to celebrate the absence of drama, which is, in the end, the entire product.</w:t>
      </w:r>
    </w:p>
    <w:p>
      <w:pPr>
        <w:pStyle w:val="Heading1"/>
      </w:pPr>
      <w:bookmarkStart w:id="340" w:name="_Toc263100240"/>
      <w:r>
        <w:rPr>
          <w:rFonts w:ascii="Georgia" w:hAnsi="Georgia" w:eastAsia="Microsoft YaHei"/>
          <w:color w:val="263238"/>
          <w:sz w:val="22"/>
        </w:rPr>
        <w:t xml:space="preserve">Annex X: Communications and Public Information Protocol</w:t>
      </w:r>
      <w:bookmarkEnd w:id="340"/>
    </w:p>
    <w:p>
      <w:pPr>
        <w:pStyle w:val="Heading2"/>
      </w:pPr>
      <w:bookmarkStart w:id="341" w:name="_Toc263100241"/>
      <w:r>
        <w:rPr>
          <w:rFonts w:ascii="Georgia" w:hAnsi="Georgia" w:eastAsia="Microsoft YaHei"/>
          <w:color w:val="263238"/>
          <w:sz w:val="22"/>
        </w:rPr>
        <w:t xml:space="preserve">X.1 The single voice rule</w:t>
      </w:r>
      <w:bookmarkEnd w:id="341"/>
    </w:p>
    <w:p>
      <w:pPr>
        <w:pStyle w:val="Normal"/>
      </w:pPr>
      <w:r>
        <w:rPr>
          <w:rFonts w:ascii="Georgia" w:hAnsi="Georgia" w:eastAsia="Microsoft YaHei"/>
          <w:color w:val="263238"/>
          <w:sz w:val="22"/>
        </w:rPr>
        <w:t xml:space="preserve">The Accord speaks to the public through published channels only: the Bulletin, the assurance feed, the dashboard, the audit publications, and the Council's session records. Individual desks, observers, and participants speak for themselves about their own positions, and the silence clause of Article 36 binds them during live disputes. The single voice rule protects the system's credibility: when the Accord speaks, the world knows it is the Accord speaking.</w:t>
      </w:r>
    </w:p>
    <w:p>
      <w:pPr>
        <w:pStyle w:val="Heading2"/>
      </w:pPr>
      <w:bookmarkStart w:id="342" w:name="_Toc263100242"/>
      <w:r>
        <w:rPr>
          <w:rFonts w:ascii="Georgia" w:hAnsi="Georgia" w:eastAsia="Microsoft YaHei"/>
          <w:color w:val="263238"/>
          <w:sz w:val="22"/>
        </w:rPr>
        <w:t xml:space="preserve">X.2 Crisis communication</w:t>
      </w:r>
      <w:bookmarkEnd w:id="342"/>
    </w:p>
    <w:p>
      <w:pPr>
        <w:pStyle w:val="Normal"/>
      </w:pPr>
      <w:r>
        <w:rPr>
          <w:rFonts w:ascii="Georgia" w:hAnsi="Georgia" w:eastAsia="Microsoft YaHei"/>
          <w:color w:val="263238"/>
          <w:sz w:val="22"/>
        </w:rPr>
        <w:t xml:space="preserve">In any serious incident, the Operations Center publishes a first factual note within two hours: what happened, where, what the system is doing, and when the next update lands. Updates land on the stated cadence until the incident log entry publishes. Crisis communication never speculates, never attributes, and never hides behind silence: it states verified facts and the shape of what remains unverified.</w:t>
      </w:r>
    </w:p>
    <w:p>
      <w:pPr>
        <w:pStyle w:val="Heading2"/>
      </w:pPr>
      <w:bookmarkStart w:id="343" w:name="_Toc263100243"/>
      <w:r>
        <w:rPr>
          <w:rFonts w:ascii="Georgia" w:hAnsi="Georgia" w:eastAsia="Microsoft YaHei"/>
          <w:color w:val="263238"/>
          <w:sz w:val="22"/>
        </w:rPr>
        <w:t xml:space="preserve">X.3 The rumor response desk</w:t>
      </w:r>
      <w:bookmarkEnd w:id="343"/>
    </w:p>
    <w:p>
      <w:pPr>
        <w:pStyle w:val="Normal"/>
      </w:pPr>
      <w:r>
        <w:rPr>
          <w:rFonts w:ascii="Georgia" w:hAnsi="Georgia" w:eastAsia="Microsoft YaHei"/>
          <w:color w:val="263238"/>
          <w:sz w:val="22"/>
        </w:rPr>
        <w:t xml:space="preserve">A standing rumor response desk monitors public reporting on the strait and answers material inaccuracies with registry-anchored facts within six hours. The desk publishes its corrections in the same feed as the Bulletin. In the information environment of the Gulf, an unanswered rumor prices like a fact; the desk exists so that facts outrun rumors.</w:t>
      </w:r>
    </w:p>
    <w:p>
      <w:pPr>
        <w:pStyle w:val="Heading2"/>
      </w:pPr>
      <w:bookmarkStart w:id="344" w:name="_Toc263100244"/>
      <w:r>
        <w:rPr>
          <w:rFonts w:ascii="Georgia" w:hAnsi="Georgia" w:eastAsia="Microsoft YaHei"/>
          <w:color w:val="263238"/>
          <w:sz w:val="22"/>
        </w:rPr>
        <w:t xml:space="preserve">X.4 Multilingual publication</w:t>
      </w:r>
      <w:bookmarkEnd w:id="344"/>
    </w:p>
    <w:p>
      <w:pPr>
        <w:pStyle w:val="Normal"/>
      </w:pPr>
      <w:r>
        <w:rPr>
          <w:rFonts w:ascii="Georgia" w:hAnsi="Georgia" w:eastAsia="Microsoft YaHei"/>
          <w:color w:val="263238"/>
          <w:sz w:val="22"/>
        </w:rPr>
        <w:t xml:space="preserve">Every public document of the Accord publishes simultaneously in English, Arabic, and Persian, with the routing cards additionally in the working languages of the major registries. Translation quality audits annually, because a mistranslated rate or routing instruction is an operational defect, not a cosmetic one.</w:t>
      </w:r>
    </w:p>
    <w:p>
      <w:pPr>
        <w:pStyle w:val="Heading2"/>
      </w:pPr>
      <w:bookmarkStart w:id="345" w:name="_Toc263100245"/>
      <w:r>
        <w:rPr>
          <w:rFonts w:ascii="Georgia" w:hAnsi="Georgia" w:eastAsia="Microsoft YaHei"/>
          <w:color w:val="263238"/>
          <w:sz w:val="22"/>
        </w:rPr>
        <w:t xml:space="preserve">X.5 Media and researcher access</w:t>
      </w:r>
      <w:bookmarkEnd w:id="345"/>
    </w:p>
    <w:p>
      <w:pPr>
        <w:pStyle w:val="Normal"/>
      </w:pPr>
      <w:r>
        <w:rPr>
          <w:rFonts w:ascii="Georgia" w:hAnsi="Georgia" w:eastAsia="Microsoft YaHei"/>
          <w:color w:val="263238"/>
          <w:sz w:val="22"/>
        </w:rPr>
        <w:t xml:space="preserve">Accredited media receive quarterly technical briefings at the Operations Center, alternating with the Mirror Facility. Researchers receive the declassified tranches of Annex B on publication and request structured data extracts through the Secretariat. The Accord treats scrutiny as a feature: a system that audits itself in public invites the public to check its arithmetic.</w:t>
      </w:r>
    </w:p>
    <w:p>
      <w:pPr>
        <w:pStyle w:val="Heading2"/>
      </w:pPr>
      <w:bookmarkStart w:id="346" w:name="_Toc263100246"/>
      <w:r>
        <w:rPr>
          <w:rFonts w:ascii="Georgia" w:hAnsi="Georgia" w:eastAsia="Microsoft YaHei"/>
          <w:color w:val="263238"/>
          <w:sz w:val="22"/>
        </w:rPr>
        <w:t xml:space="preserve">X.6 The One-Word Test for Public Statements</w:t>
      </w:r>
      <w:bookmarkEnd w:id="346"/>
    </w:p>
    <w:p>
      <w:pPr>
        <w:pStyle w:val="Normal"/>
      </w:pPr>
      <w:r>
        <w:rPr>
          <w:rFonts w:ascii="Georgia" w:hAnsi="Georgia" w:eastAsia="Microsoft YaHei"/>
          <w:color w:val="263238"/>
          <w:sz w:val="22"/>
        </w:rPr>
        <w:t xml:space="preserve">A Party, Stakeholder, or participant submitting a public statement about the corridor system to the Secretariat before publication receives the One-Word Test: the Neutral Watch Office reviews the text, and language it judges likely to escalate tensions or undermine confidence earns a notation in the Rumor Response Desk log appended to the statement in the public record. The statement publishes regardless; the test blocks nothing and censors nothing. It exists as an early-warning instrument for rhetoric, and its mere existence disciplines the drafts before they leave the capital.</w:t>
      </w:r>
    </w:p>
    <w:p>
      <w:pPr>
        <w:pStyle w:val="Heading1"/>
      </w:pPr>
      <w:bookmarkStart w:id="347" w:name="_Toc263100247"/>
      <w:r>
        <w:rPr>
          <w:rFonts w:ascii="Georgia" w:hAnsi="Georgia" w:eastAsia="Microsoft YaHei"/>
          <w:color w:val="263238"/>
          <w:sz w:val="22"/>
        </w:rPr>
        <w:t xml:space="preserve">Annex Y: Frequently Raised Questions and Their Resolutions</w:t>
      </w:r>
      <w:bookmarkEnd w:id="347"/>
    </w:p>
    <w:p>
      <w:pPr>
        <w:pStyle w:val="Heading2"/>
      </w:pPr>
      <w:bookmarkStart w:id="348" w:name="_Toc263100248"/>
      <w:r>
        <w:rPr>
          <w:rFonts w:ascii="Georgia" w:hAnsi="Georgia" w:eastAsia="Microsoft YaHei"/>
          <w:color w:val="263238"/>
          <w:sz w:val="22"/>
        </w:rPr>
        <w:t xml:space="preserve">Y.1 Purpose</w:t>
      </w:r>
      <w:bookmarkEnd w:id="348"/>
    </w:p>
    <w:p>
      <w:pPr>
        <w:pStyle w:val="Normal"/>
      </w:pPr>
      <w:r>
        <w:rPr>
          <w:rFonts w:ascii="Georgia" w:hAnsi="Georgia" w:eastAsia="Microsoft YaHei"/>
          <w:color w:val="263238"/>
          <w:sz w:val="22"/>
        </w:rPr>
        <w:t xml:space="preserve">Negotiation history teaches that the same questions return in every capital. This Annex answers the recurring questions in the Accord's own logic, so that delegations, journalists, and parliaments read consistent answers from the text itself.</w:t>
      </w:r>
    </w:p>
    <w:p>
      <w:pPr>
        <w:pStyle w:val="Heading2"/>
      </w:pPr>
      <w:bookmarkStart w:id="349" w:name="_Toc263100249"/>
      <w:r>
        <w:rPr>
          <w:rFonts w:ascii="Georgia" w:hAnsi="Georgia" w:eastAsia="Microsoft YaHei"/>
          <w:color w:val="263238"/>
          <w:sz w:val="22"/>
        </w:rPr>
        <w:t xml:space="preserve">Y.2 Does the Accord charge for passage?</w:t>
      </w:r>
      <w:bookmarkEnd w:id="349"/>
    </w:p>
    <w:p>
      <w:pPr>
        <w:pStyle w:val="Normal"/>
      </w:pPr>
      <w:r>
        <w:rPr>
          <w:rFonts w:ascii="Georgia" w:hAnsi="Georgia" w:eastAsia="Microsoft YaHei"/>
          <w:color w:val="263238"/>
          <w:sz w:val="22"/>
        </w:rPr>
        <w:t xml:space="preserve">No. The Zero-Toll Rule of Article 21 prohibits any charge on passage itself, in every circumstance, permanently. The Accord charges only for delivered services listed in the Verified Services Catalog, and every charge links to a delivery record the payer audits line by line. A vessel that declines every optional service pays only the standard bundle for the corridor services the system actually delivers to every transit: traffic management, route assurance, environmental monitoring, and rescue readiness.</w:t>
      </w:r>
    </w:p>
    <w:p>
      <w:pPr>
        <w:pStyle w:val="Heading2"/>
      </w:pPr>
      <w:bookmarkStart w:id="350" w:name="_Toc263100250"/>
      <w:r>
        <w:rPr>
          <w:rFonts w:ascii="Georgia" w:hAnsi="Georgia" w:eastAsia="Microsoft YaHei"/>
          <w:color w:val="263238"/>
          <w:sz w:val="22"/>
        </w:rPr>
        <w:t xml:space="preserve">Y.3 Who controls the strait?</w:t>
      </w:r>
      <w:bookmarkEnd w:id="350"/>
    </w:p>
    <w:p>
      <w:pPr>
        <w:pStyle w:val="Normal"/>
      </w:pPr>
      <w:r>
        <w:rPr>
          <w:rFonts w:ascii="Georgia" w:hAnsi="Georgia" w:eastAsia="Microsoft YaHei"/>
          <w:color w:val="263238"/>
          <w:sz w:val="22"/>
        </w:rPr>
        <w:t xml:space="preserve">No one, alone. Functions allocate across desks; keys allocate across hands; the Council governs by consensus; and the architecture answers every sensitive action with the Twin Key Rule. Iran performs inbound functions, Oman performs outbound functions and administers the escrow, the buffer stands jointly managed, observers watch everything, and external stakeholders hold visibility without command. The honest answer to who controls the strait is the corridor system itself, and this document is its complete rulebook.</w:t>
      </w:r>
    </w:p>
    <w:p>
      <w:pPr>
        <w:pStyle w:val="Heading2"/>
      </w:pPr>
      <w:bookmarkStart w:id="351" w:name="_Toc263100251"/>
      <w:r>
        <w:rPr>
          <w:rFonts w:ascii="Georgia" w:hAnsi="Georgia" w:eastAsia="Microsoft YaHei"/>
          <w:color w:val="263238"/>
          <w:sz w:val="22"/>
        </w:rPr>
        <w:t xml:space="preserve">Y.4 What happens if relations between the Parties deteriorate?</w:t>
      </w:r>
      <w:bookmarkEnd w:id="351"/>
    </w:p>
    <w:p>
      <w:pPr>
        <w:pStyle w:val="Normal"/>
      </w:pPr>
      <w:r>
        <w:rPr>
          <w:rFonts w:ascii="Georgia" w:hAnsi="Georgia" w:eastAsia="Microsoft YaHei"/>
          <w:color w:val="263238"/>
          <w:sz w:val="22"/>
        </w:rPr>
        <w:t xml:space="preserve">The system narrows rather than collapses. Temporary Operational Suspension absorbs political crises; the Hormuz Watch carries the protective core automatically; default continuity holds every administrative arrangement in place; the escrow, the channels, SAR, and the Bulletin continue untouched; and the compliance engine prices any backsliding proportionately with guaranteed earn-back. Deterioration is a design case, not an edge case.</w:t>
      </w:r>
    </w:p>
    <w:p>
      <w:pPr>
        <w:pStyle w:val="Heading2"/>
      </w:pPr>
      <w:bookmarkStart w:id="352" w:name="_Toc263100252"/>
      <w:r>
        <w:rPr>
          <w:rFonts w:ascii="Georgia" w:hAnsi="Georgia" w:eastAsia="Microsoft YaHei"/>
          <w:color w:val="263238"/>
          <w:sz w:val="22"/>
        </w:rPr>
        <w:t xml:space="preserve">Y.5 How does the Accord satisfy sanctions law?</w:t>
      </w:r>
      <w:bookmarkEnd w:id="352"/>
    </w:p>
    <w:p>
      <w:pPr>
        <w:pStyle w:val="Normal"/>
      </w:pPr>
      <w:r>
        <w:rPr>
          <w:rFonts w:ascii="Georgia" w:hAnsi="Georgia" w:eastAsia="Microsoft YaHei"/>
          <w:color w:val="263238"/>
          <w:sz w:val="22"/>
        </w:rPr>
        <w:t xml:space="preserve">Through architecture, not argument. Payments price services, never passage. They route through Omani administration with Swiss facilitation, outside any single sanctions jurisdiction's primary reach. They settle in Swiss francs or UAE dirhams at published reference rates. And every settlement generates a compliance attestation pack plus access to a standing regulator briefing and an annual independent counsel opinion. The firewall of Article 24 exists so that a lawful payer stays lawful.</w:t>
      </w:r>
    </w:p>
    <w:p>
      <w:pPr>
        <w:pStyle w:val="Heading2"/>
      </w:pPr>
      <w:bookmarkStart w:id="353" w:name="_Toc263100253"/>
      <w:r>
        <w:rPr>
          <w:rFonts w:ascii="Georgia" w:hAnsi="Georgia" w:eastAsia="Microsoft YaHei"/>
          <w:color w:val="263238"/>
          <w:sz w:val="22"/>
        </w:rPr>
        <w:t xml:space="preserve">Y.6 What stops a Party from closing the strait again?</w:t>
      </w:r>
      <w:bookmarkEnd w:id="353"/>
    </w:p>
    <w:p>
      <w:pPr>
        <w:pStyle w:val="Normal"/>
      </w:pPr>
      <w:r>
        <w:rPr>
          <w:rFonts w:ascii="Georgia" w:hAnsi="Georgia" w:eastAsia="Microsoft YaHei"/>
          <w:color w:val="263238"/>
          <w:sz w:val="22"/>
        </w:rPr>
        <w:t xml:space="preserve">Structure, not promises. Closure is not an operating condition of the architecture: no Flow State closes the strait, no organ holds a closure authority, and the Zero-Toll and non-interdiction rules bind in every state. A Party attempting closure acts outside the system entirely, forfeits every benefit of standing, triggers the compliance engine's highest tier, and faces a system designed to continue without it. The Accord cannot make closure unthinkable; it makes it unprofitable, unsupported, and institutionally homeless.</w:t>
      </w:r>
    </w:p>
    <w:p>
      <w:pPr>
        <w:pStyle w:val="Heading2"/>
      </w:pPr>
      <w:bookmarkStart w:id="354" w:name="_Toc263100254"/>
      <w:r>
        <w:rPr>
          <w:rFonts w:ascii="Georgia" w:hAnsi="Georgia" w:eastAsia="Microsoft YaHei"/>
          <w:color w:val="263238"/>
          <w:sz w:val="22"/>
        </w:rPr>
        <w:t xml:space="preserve">Y.7 Why does the United States hold no command role?</w:t>
      </w:r>
      <w:bookmarkEnd w:id="354"/>
    </w:p>
    <w:p>
      <w:pPr>
        <w:pStyle w:val="Normal"/>
      </w:pPr>
      <w:r>
        <w:rPr>
          <w:rFonts w:ascii="Georgia" w:hAnsi="Georgia" w:eastAsia="Microsoft YaHei"/>
          <w:color w:val="263238"/>
          <w:sz w:val="22"/>
        </w:rPr>
        <w:t xml:space="preserve">Because the architecture prices the alternative. A command role for any external power crosses the registered Red Lines of both Coastal State Parties and converts outside pressure into a sovereignty contest the system cannot survive. The Endorsing Stakeholder design converts the same interest into full visibility, standing access, and deconfliction voice, which delivers the substance of assurance at a fraction of the political cost.</w:t>
      </w:r>
    </w:p>
    <w:p>
      <w:pPr>
        <w:pStyle w:val="Heading2"/>
      </w:pPr>
      <w:bookmarkStart w:id="355" w:name="_Toc263100255"/>
      <w:r>
        <w:rPr>
          <w:rFonts w:ascii="Georgia" w:hAnsi="Georgia" w:eastAsia="Microsoft YaHei"/>
          <w:color w:val="263238"/>
          <w:sz w:val="22"/>
        </w:rPr>
        <w:t xml:space="preserve">Y.8 Do the corridors change over time?</w:t>
      </w:r>
      <w:bookmarkEnd w:id="355"/>
    </w:p>
    <w:p>
      <w:pPr>
        <w:pStyle w:val="Normal"/>
      </w:pPr>
      <w:r>
        <w:rPr>
          <w:rFonts w:ascii="Georgia" w:hAnsi="Georgia" w:eastAsia="Microsoft YaHei"/>
          <w:color w:val="263238"/>
          <w:sz w:val="22"/>
        </w:rPr>
        <w:t xml:space="preserve">Yes, through the published tracks. Technical adjustments travel the silence procedure; geometry changes to widths or entry and exit points travel the Consensus Track with both Coastal State Parties affirmative; and every change passes the Perimeter Test and registers with the International Maritime Organization. The system adapts deliberately, visibly, and never unilaterally.</w:t>
      </w:r>
    </w:p>
    <w:p>
      <w:pPr>
        <w:pStyle w:val="Heading2"/>
      </w:pPr>
      <w:bookmarkStart w:id="356" w:name="_Toc263100256"/>
      <w:r>
        <w:rPr>
          <w:rFonts w:ascii="Georgia" w:hAnsi="Georgia" w:eastAsia="Microsoft YaHei"/>
          <w:color w:val="263238"/>
          <w:sz w:val="22"/>
        </w:rPr>
        <w:t xml:space="preserve">Y.9 What does success look like in five years?</w:t>
      </w:r>
      <w:bookmarkEnd w:id="356"/>
    </w:p>
    <w:p>
      <w:pPr>
        <w:pStyle w:val="Normal"/>
      </w:pPr>
      <w:r>
        <w:rPr>
          <w:rFonts w:ascii="Georgia" w:hAnsi="Georgia" w:eastAsia="Microsoft YaHei"/>
          <w:color w:val="263238"/>
          <w:sz w:val="22"/>
        </w:rPr>
        <w:t xml:space="preserve">Boring, by design. Premiums at baseline. The audit cadence running on schedule. Zero Level 4 anomalies in the trailing year. Throughput at or above design capacity with adherence above threshold. The Regional Maritime Dialogue routine. The closure ledger sealed and archived. And a generation of watch officers, escrow officers, and harbor pilots on both shores who have never known the strait as anything other than governed water.</w:t>
      </w:r>
    </w:p>
    <w:p>
      <w:pPr>
        <w:pStyle w:val="Heading2"/>
      </w:pPr>
      <w:bookmarkStart w:id="357" w:name="_Toc263100257"/>
      <w:r>
        <w:rPr>
          <w:rFonts w:ascii="Georgia" w:hAnsi="Georgia" w:eastAsia="Microsoft YaHei"/>
          <w:color w:val="263238"/>
          <w:sz w:val="22"/>
        </w:rPr>
        <w:t xml:space="preserve">Y.10 The Legacy Transmission Document</w:t>
      </w:r>
      <w:bookmarkEnd w:id="357"/>
    </w:p>
    <w:p>
      <w:pPr>
        <w:pStyle w:val="Normal"/>
      </w:pPr>
      <w:r>
        <w:rPr>
          <w:rFonts w:ascii="Georgia" w:hAnsi="Georgia" w:eastAsia="Microsoft YaHei"/>
          <w:color w:val="263238"/>
          <w:sz w:val="22"/>
        </w:rPr>
        <w:t xml:space="preserve">Alongside the Accord, the Secretariat and the Mediator of Record prepare the Legacy Transmission: a non-binding record of the historical context, the key decisions and compromises of the drafting, the spirit of the architecture as its drafters intended it, and a vision of the strait's future. The Legacy Transmission deposits with the Depositary and publishes alongside the Accord. It carries no legal weight; it carries memory. Future interpreters read it to understand not only what the Accord says, but why it says it.</w:t>
      </w:r>
    </w:p>
    <w:p>
      <w:r>
        <w:br w:type="page"/>
      </w:r>
    </w:p>
    <w:p>
      <w:pPr>
        <w:pStyle w:val="Heading1"/>
      </w:pPr>
      <w:bookmarkStart w:id="358" w:name="_Toc263100258"/>
      <w:r>
        <w:rPr>
          <w:rFonts w:ascii="Georgia" w:hAnsi="Georgia" w:eastAsia="Microsoft YaHei"/>
          <w:color w:val="263238"/>
          <w:sz w:val="22"/>
        </w:rPr>
        <w:t xml:space="preserve">Annex Z: Pre-Activation Trust-Building and Shadow Implementation</w:t>
      </w:r>
      <w:bookmarkEnd w:id="358"/>
    </w:p>
    <w:p>
      <w:pPr>
        <w:pStyle w:val="Heading2"/>
      </w:pPr>
      <w:bookmarkStart w:id="359" w:name="_Toc263100259"/>
      <w:r>
        <w:rPr>
          <w:rFonts w:ascii="Georgia" w:hAnsi="Georgia" w:eastAsia="Microsoft YaHei"/>
          <w:color w:val="263238"/>
          <w:sz w:val="22"/>
        </w:rPr>
        <w:t xml:space="preserve">Z.1 Purpose</w:t>
      </w:r>
      <w:bookmarkEnd w:id="359"/>
    </w:p>
    <w:p>
      <w:pPr>
        <w:pStyle w:val="Normal"/>
      </w:pPr>
      <w:r>
        <w:rPr>
          <w:rFonts w:ascii="Georgia" w:hAnsi="Georgia" w:eastAsia="Microsoft YaHei"/>
          <w:color w:val="263238"/>
          <w:sz w:val="22"/>
        </w:rPr>
        <w:t xml:space="preserve">The ninety-day Pre-Activation Period runs from signature to Minimal Viable Activation. Its purpose is operational trust: the system proves itself on simulated traffic before the first live tanker depends on it, and every participant certifies readiness on the record before the public phase begins.</w:t>
      </w:r>
    </w:p>
    <w:p>
      <w:pPr>
        <w:pStyle w:val="Heading2"/>
      </w:pPr>
      <w:bookmarkStart w:id="360" w:name="_Toc263100260"/>
      <w:r>
        <w:rPr>
          <w:rFonts w:ascii="Georgia" w:hAnsi="Georgia" w:eastAsia="Microsoft YaHei"/>
          <w:color w:val="263238"/>
          <w:sz w:val="22"/>
        </w:rPr>
        <w:t xml:space="preserve">Z.2 Shadow implementation</w:t>
      </w:r>
      <w:bookmarkEnd w:id="360"/>
    </w:p>
    <w:p>
      <w:pPr>
        <w:pStyle w:val="Normal"/>
      </w:pPr>
      <w:r>
        <w:rPr>
          <w:rFonts w:ascii="Georgia" w:hAnsi="Georgia" w:eastAsia="Microsoft YaHei"/>
          <w:color w:val="263238"/>
          <w:sz w:val="22"/>
        </w:rPr>
        <w:t xml:space="preserve">During the Pre-Activation Period, both watch floors and the Mirror Facility operate in Shadow Mode on simulated traffic data, running every procedure end to end without live vessels: corridor sequencing, Twin Key actions, bulletins, settlement statements, incident protocols, and drill scenarios. The escrow runs its full settlement cycle on test accounts. The Red Team conducts a full-spectrum integrity sweep of every system, feed, and procedure, and its findings close before the period ends.</w:t>
      </w:r>
    </w:p>
    <w:p>
      <w:pPr>
        <w:pStyle w:val="Heading2"/>
      </w:pPr>
      <w:bookmarkStart w:id="361" w:name="_Toc263100261"/>
      <w:r>
        <w:rPr>
          <w:rFonts w:ascii="Georgia" w:hAnsi="Georgia" w:eastAsia="Microsoft YaHei"/>
          <w:color w:val="263238"/>
          <w:sz w:val="22"/>
        </w:rPr>
        <w:t xml:space="preserve">Z.3 The trust drills</w:t>
      </w:r>
      <w:bookmarkEnd w:id="361"/>
    </w:p>
    <w:p>
      <w:pPr>
        <w:pStyle w:val="Normal"/>
      </w:pPr>
      <w:r>
        <w:rPr>
          <w:rFonts w:ascii="Georgia" w:hAnsi="Georgia" w:eastAsia="Microsoft YaHei"/>
          <w:color w:val="263238"/>
          <w:sz w:val="22"/>
        </w:rPr>
        <w:t xml:space="preserve">The period executes a published series of trust drills: simulated Twin Key failures, simulated feed losses and site handovers, simulated escrow stress, a simulated rogue-actor attack running the two-track protocol of Article 30, and a simulated de-escalation timer event under Article 10. Every drill scores against the Annex H metrics, and scores publish.</w:t>
      </w:r>
    </w:p>
    <w:p>
      <w:pPr>
        <w:pStyle w:val="Heading2"/>
      </w:pPr>
      <w:bookmarkStart w:id="362" w:name="_Toc263100262"/>
      <w:r>
        <w:rPr>
          <w:rFonts w:ascii="Georgia" w:hAnsi="Georgia" w:eastAsia="Microsoft YaHei"/>
          <w:color w:val="263238"/>
          <w:sz w:val="22"/>
        </w:rPr>
        <w:t xml:space="preserve">Z.4 The National Readiness Certificates</w:t>
      </w:r>
      <w:bookmarkEnd w:id="362"/>
    </w:p>
    <w:p>
      <w:pPr>
        <w:pStyle w:val="Normal"/>
      </w:pPr>
      <w:r>
        <w:rPr>
          <w:rFonts w:ascii="Georgia" w:hAnsi="Georgia" w:eastAsia="Microsoft YaHei"/>
          <w:color w:val="263238"/>
          <w:sz w:val="22"/>
        </w:rPr>
        <w:t xml:space="preserve">Each Coastal State Party and each Endorsing Stakeholder appoints a senior independent panel to observe the shadow implementation. Before Minimal Viable Activation commences, each panel issues a National Readiness Certificate. A certificate lists conditions or caveats where the panel registers them, and every certificate and caveat publishes in the Shared Registry. The architecture activates on certified readiness, not on hope.</w:t>
      </w:r>
    </w:p>
    <w:p>
      <w:pPr>
        <w:pStyle w:val="Heading2"/>
      </w:pPr>
      <w:bookmarkStart w:id="363" w:name="_Toc263100263"/>
      <w:r>
        <w:rPr>
          <w:rFonts w:ascii="Georgia" w:hAnsi="Georgia" w:eastAsia="Microsoft YaHei"/>
          <w:color w:val="263238"/>
          <w:sz w:val="22"/>
        </w:rPr>
        <w:t xml:space="preserve">Z.5 The Fail Fast Protocol</w:t>
      </w:r>
      <w:bookmarkEnd w:id="363"/>
    </w:p>
    <w:p>
      <w:pPr>
        <w:pStyle w:val="Normal"/>
      </w:pPr>
      <w:r>
        <w:rPr>
          <w:rFonts w:ascii="Georgia" w:hAnsi="Georgia" w:eastAsia="Microsoft YaHei"/>
          <w:color w:val="263238"/>
          <w:sz w:val="22"/>
        </w:rPr>
        <w:t xml:space="preserve">A material design flaw or operational incapacity revealed during shadow implementation goes to the Technical and Standards Committee for resolution before the activation clock starts. The Committee certifies each closure in writing. The system never fails for the first time on a live vessel; it fails early, cheaply, and in simulation, exactly as designed.</w:t>
      </w:r>
    </w:p>
    <w:p>
      <w:pPr>
        <w:pStyle w:val="Heading2"/>
      </w:pPr>
      <w:bookmarkStart w:id="364" w:name="_Toc263100264"/>
      <w:r>
        <w:rPr>
          <w:rFonts w:ascii="Georgia" w:hAnsi="Georgia" w:eastAsia="Microsoft YaHei"/>
          <w:color w:val="263238"/>
          <w:sz w:val="22"/>
        </w:rPr>
        <w:t xml:space="preserve">Z.6 The Confidence Memorandum</w:t>
      </w:r>
      <w:bookmarkEnd w:id="364"/>
    </w:p>
    <w:p>
      <w:pPr>
        <w:pStyle w:val="Normal"/>
      </w:pPr>
      <w:r>
        <w:rPr>
          <w:rFonts w:ascii="Georgia" w:hAnsi="Georgia" w:eastAsia="Microsoft YaHei"/>
          <w:color w:val="263238"/>
          <w:sz w:val="22"/>
        </w:rPr>
        <w:t xml:space="preserve">During the Pre-Activation Period, the Guarantor and Facilitation Panel convenes a series of Strategic Assurance Dialogues with all Parties and Stakeholders, surfacing political concerns before they become operational crises. The dialogues conclude in a Confidence Memorandum signed by every participant, acknowledging the shared commitment to the system's success. The Memorandum binds nothing legally; it anchors everything politically.</w:t>
      </w:r>
    </w:p>
    <w:p>
      <w:r>
        <w:br w:type="page"/>
      </w:r>
    </w:p>
    <w:p>
      <w:pPr>
        <w:pStyle w:val="Heading1"/>
      </w:pPr>
      <w:bookmarkStart w:id="365" w:name="_Toc263100265"/>
      <w:r>
        <w:rPr>
          <w:rFonts w:ascii="Georgia" w:hAnsi="Georgia" w:eastAsia="Microsoft YaHei"/>
          <w:color w:val="263238"/>
          <w:sz w:val="22"/>
        </w:rPr>
        <w:t xml:space="preserve">Closing Note: The Architecture in One View</w:t>
      </w:r>
      <w:bookmarkEnd w:id="365"/>
    </w:p>
    <w:p>
      <w:pPr>
        <w:pStyle w:val="Normal"/>
      </w:pPr>
      <w:r>
        <w:rPr>
          <w:rFonts w:ascii="Georgia" w:hAnsi="Georgia" w:eastAsia="Microsoft YaHei"/>
          <w:color w:val="263238"/>
          <w:sz w:val="22"/>
        </w:rPr>
        <w:t xml:space="preserve">The Hormuz Global Commerce Accord settles the governance of the Strait of Hormuz the way durable settlements always form: it gives every side a function it defends, a safeguard it verifies, and a recovery path it trusts. Iran performs inbound functions; Oman performs outbound functions and administers the escrow; the buffer corridor stands jointly managed between them; the Twin Key keeps every sensitive action shared; the Zero-Toll Rule removes the question that started the crisis; the firewall keeps lawful payment lawful for every payer; the compliance engine breathes instead of snapping; and the Stability Audit tells the world, on evidence, that the strait works. The strait of the wartime period closes behind the closure ledger. The strait of the Accord opens in front of it, corridor by corridor, certificate by certificate, audit by audit, on the record.</w:t>
      </w:r>
    </w:p>
    <w:p>
      <w:r>
        <w:br w:type="page"/>
      </w:r>
    </w:p>
    <w:sectPr>
      <w:headerReference w:type="default" r:id="R4d80861153844bbd"/>
      <w:footerReference w:type="default" r:id="Re7a55a1e2d8f496e"/>
      <w:pgSz w:w="11906" w:h="16838"/>
      <w:pgMar w:top="1600" w:right="1440" w:bottom="1440" w:left="1440" w:header="720" w:footer="720"/>
    </w:sectPr>
  </w:body>
</w:document>
</file>

<file path=word/footer1.xml><?xml version="1.0" encoding="utf-8"?>
<w:ftr xmlns:w="http://schemas.openxmlformats.org/wordprocessingml/2006/main">
  <w:p>
    <w:pPr>
      <w:jc w:val="center"/>
    </w:pPr>
    <w:r>
      <w:rPr>
        <w:rFonts w:ascii="Georgia" w:hAnsi="Georgia" w:eastAsia="Microsoft YaHei"/>
        <w:color w:val="6E8A96"/>
        <w:sz w:val="16"/>
      </w:rPr>
      <w:t xml:space="preserve">THGCA  ·  Version 1.1  ·  Page </w:t>
    </w:r>
    <w:r>
      <w:rPr>
        <w:color w:val="6E8A96"/>
        <w:sz w:val="16"/>
      </w:rPr>
      <w:fldChar w:fldCharType="begin"/>
    </w:r>
    <w:r>
      <w:rPr>
        <w:color w:val="6E8A96"/>
        <w:sz w:val="16"/>
      </w:rPr>
      <w:instrText xml:space="preserve"> PAGE </w:instrText>
    </w:r>
    <w:r>
      <w:rPr>
        <w:color w:val="6E8A96"/>
        <w:sz w:val="16"/>
      </w:rPr>
      <w:fldChar w:fldCharType="separate"/>
    </w:r>
    <w:r>
      <w:rPr>
        <w:color w:val="6E8A96"/>
        <w:sz w:val="16"/>
      </w:rPr>
      <w:t>1</w:t>
    </w:r>
    <w:r>
      <w:rPr>
        <w:color w:val="6E8A96"/>
        <w:sz w:val="16"/>
      </w:rPr>
      <w:fldChar w:fldCharType="end"/>
    </w:r>
  </w:p>
</w:ftr>
</file>

<file path=word/header1.xml><?xml version="1.0" encoding="utf-8"?>
<w:hdr xmlns:w="http://schemas.openxmlformats.org/wordprocessingml/2006/main">
  <w:p>
    <w:pPr>
      <w:pBdr>
        <w:bottom w:val="single" w:color="C4D2D8" w:sz="4" w:space="2"/>
      </w:pBdr>
      <w:jc w:val="right"/>
    </w:pPr>
    <w:r>
      <w:rPr>
        <w:rFonts w:ascii="Georgia" w:hAnsi="Georgia" w:eastAsia="Microsoft YaHei"/>
        <w:color w:val="6E8A96"/>
        <w:sz w:val="16"/>
      </w:rPr>
      <w:t xml:space="preserve">THE HORMUZ GLOBAL COMMERCE ACCORD</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300" w:lineRule="auto"/>
      <w:jc w:val="both"/>
    </w:pPr>
    <w:rPr>
      <w:rFonts w:ascii="Georgia" w:hAnsi="Georgia" w:eastAsia="Microsoft YaHei"/>
      <w:color w:val="263238"/>
      <w:sz w:val="22"/>
    </w:rPr>
  </w:style>
  <w:style w:type="paragraph" w:styleId="Heading1">
    <w:name w:val="heading 1"/>
    <w:basedOn w:val="Normal"/>
    <w:pPr>
      <w:keepNext/>
      <w:keepLines/>
      <w:pageBreakBefore/>
      <w:pBdr>
        <w:bottom w:val="single" w:color="B8860B" w:sz="12" w:space="4"/>
      </w:pBdr>
      <w:spacing w:before="0" w:after="360"/>
      <w:outlineLvl w:val="0"/>
    </w:pPr>
    <w:rPr>
      <w:rFonts w:ascii="Georgia" w:hAnsi="Georgia" w:eastAsia="Microsoft YaHei"/>
      <w:b/>
      <w:color w:val="1C3F4E"/>
      <w:sz w:val="32"/>
    </w:rPr>
  </w:style>
  <w:style w:type="paragraph" w:styleId="Heading2">
    <w:name w:val="heading 2"/>
    <w:basedOn w:val="Normal"/>
    <w:pPr>
      <w:keepNext/>
      <w:keepLines/>
      <w:spacing w:before="400" w:after="160"/>
      <w:outlineLvl w:val="1"/>
    </w:pPr>
    <w:rPr>
      <w:rFonts w:ascii="Georgia" w:hAnsi="Georgia" w:eastAsia="Microsoft YaHei"/>
      <w:b/>
      <w:color w:val="1C3F4E"/>
      <w:sz w:val="26"/>
    </w:rPr>
  </w:style>
  <w:style w:type="paragraph" w:styleId="Heading3">
    <w:name w:val="heading 3"/>
    <w:basedOn w:val="Normal"/>
    <w:pPr>
      <w:keepNext/>
      <w:keepLines/>
      <w:spacing w:before="240" w:after="120"/>
      <w:outlineLvl w:val="2"/>
    </w:pPr>
    <w:rPr>
      <w:rFonts w:ascii="Georgia" w:hAnsi="Georgia" w:eastAsia="Microsoft YaHei"/>
      <w:b/>
      <w:i/>
      <w:color w:val="37525E"/>
      <w:sz w:val="23"/>
    </w:rPr>
  </w:style>
  <w:style w:type="paragraph" w:styleId="Caption">
    <w:name w:val="Caption"/>
    <w:basedOn w:val="Normal"/>
    <w:pPr>
      <w:keepLines/>
      <w:spacing w:before="80" w:after="240"/>
      <w:jc w:val="center"/>
    </w:pPr>
    <w:rPr>
      <w:rFonts w:ascii="Georgia" w:hAnsi="Georgia" w:eastAsia="Microsoft YaHei"/>
      <w:i/>
      <w:color w:val="6E8A96"/>
      <w:sz w:val="18"/>
    </w:rPr>
  </w:style>
  <w:style w:type="paragraph" w:styleId="TOC1">
    <w:name w:val="toc1"/>
    <w:basedOn w:val="Normal"/>
    <w:pPr>
      <w:tabs>
        <w:tab w:val="right" w:leader="dot" w:pos="9010"/>
      </w:tabs>
      <w:spacing w:after="60" w:line="260" w:lineRule="auto"/>
      <w:ind w:left="0"/>
    </w:pPr>
    <w:rPr>
      <w:rFonts w:ascii="Georgia" w:hAnsi="Georgia" w:eastAsia="Microsoft YaHei"/>
      <w:b w:val="true"/>
      <w:color w:val="1C3F4E"/>
      <w:sz w:val="22"/>
    </w:rPr>
  </w:style>
  <w:style w:type="paragraph" w:styleId="TOC2">
    <w:name w:val="toc2"/>
    <w:basedOn w:val="Normal"/>
    <w:pPr>
      <w:tabs>
        <w:tab w:val="right" w:leader="dot" w:pos="9010"/>
      </w:tabs>
      <w:spacing w:after="60" w:line="260" w:lineRule="auto"/>
      <w:ind w:left="360"/>
    </w:pPr>
    <w:rPr>
      <w:rFonts w:ascii="Georgia" w:hAnsi="Georgia" w:eastAsia="Microsoft YaHei"/>
      <w:b w:val="false"/>
      <w:color w:val="263238"/>
      <w:sz w:val="20"/>
    </w:rPr>
  </w:style>
</w:styles>
</file>

<file path=word/_rels/document.xml.rels><?xml version='1.0' encoding='UTF-8'?>
<Relationships xmlns="http://schemas.openxmlformats.org/package/2006/relationships"><Relationship Type="http://schemas.openxmlformats.org/officeDocument/2006/relationships/styles" Target="styles.xml" Id="Re53d242e28f6424a" /><Relationship Type="http://schemas.openxmlformats.org/officeDocument/2006/relationships/header" Target="header1.xml" Id="R4d80861153844bbd" /><Relationship Type="http://schemas.openxmlformats.org/officeDocument/2006/relationships/footer" Target="footer1.xml" Id="Re7a55a1e2d8f496e" /><Relationship Type="http://schemas.openxmlformats.org/officeDocument/2006/relationships/settings" Target="settings.xml" Id="R8ff7620be18f4536" /></Relationships>
</file>