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efadf87f711345f4" /></Relationships>
</file>

<file path=word/document.xml><?xml version="1.0" encoding="utf-8"?>
<w:document xmlns:r="http://schemas.openxmlformats.org/officeDocument/2006/relationships" xmlns:w="http://schemas.openxmlformats.org/wordprocessingml/2006/main">
  <w:body>
    <w:p>
      <w:pPr>
        <w:spacing w:before="2400" w:after="0" w:line="300" w:lineRule="auto"/>
        <w:jc w:val="center"/>
      </w:pPr>
      <w:r>
        <w:rPr>
          <w:rFonts w:ascii="Calibri" w:hAnsi="Calibri"/>
          <w:color w:val="2E4A62"/>
          <w:sz w:val="20"/>
        </w:rPr>
        <w:t xml:space="preserve"/>
      </w:r>
    </w:p>
    <w:p>
      <w:pPr>
        <w:pBdr>
          <w:bottom w:val="single" w:color="B08A3E" w:sz="8" w:space="6"/>
        </w:pBdr>
        <w:spacing w:before="0" w:after="400"/>
        <w:ind w:left="2400" w:right="2400"/>
        <w:jc w:val="center"/>
      </w:pPr>
    </w:p>
    <w:p>
      <w:pPr>
        <w:spacing w:before="200" w:after="60" w:line="300" w:lineRule="auto"/>
        <w:jc w:val="center"/>
      </w:pPr>
      <w:r>
        <w:rPr>
          <w:rFonts w:ascii="Calibri" w:hAnsi="Calibri"/>
          <w:b/>
          <w:color w:val="2E4A62"/>
          <w:spacing w:val="30"/>
          <w:sz w:val="56"/>
        </w:rPr>
        <w:t xml:space="preserve">THE HORMUZ MULTILATERAL</w:t>
      </w:r>
    </w:p>
    <w:p>
      <w:pPr>
        <w:spacing w:before="0" w:after="200" w:line="300" w:lineRule="auto"/>
        <w:jc w:val="center"/>
      </w:pPr>
      <w:r>
        <w:rPr>
          <w:rFonts w:ascii="Calibri" w:hAnsi="Calibri"/>
          <w:b/>
          <w:color w:val="2E4A62"/>
          <w:spacing w:val="30"/>
          <w:sz w:val="56"/>
        </w:rPr>
        <w:t xml:space="preserve">PEACE UNDERSTANDING</w:t>
      </w:r>
    </w:p>
    <w:p>
      <w:pPr>
        <w:spacing w:before="120" w:after="360" w:line="300" w:lineRule="auto"/>
        <w:jc w:val="center"/>
      </w:pPr>
      <w:r>
        <w:rPr>
          <w:rFonts w:ascii="Calibri" w:hAnsi="Calibri"/>
          <w:b/>
          <w:color w:val="B08A3E"/>
          <w:spacing w:val="60"/>
          <w:sz w:val="30"/>
        </w:rPr>
        <w:t xml:space="preserve">HMPU  v1.0</w:t>
      </w:r>
    </w:p>
    <w:p>
      <w:pPr>
        <w:spacing w:before="120" w:after="20" w:line="300" w:lineRule="auto"/>
        <w:jc w:val="center"/>
      </w:pPr>
      <w:r>
        <w:rPr>
          <w:rFonts w:ascii="Calibri" w:hAnsi="Calibri"/>
          <w:color w:val="455A64"/>
          <w:sz w:val="22"/>
        </w:rPr>
        <w:t xml:space="preserve">A Multilateral Governance Architecture for Safe, Toll-Free, and</w:t>
      </w:r>
    </w:p>
    <w:p>
      <w:pPr>
        <w:spacing w:before="0" w:after="420" w:line="300" w:lineRule="auto"/>
        <w:jc w:val="center"/>
      </w:pPr>
      <w:r>
        <w:rPr>
          <w:rFonts w:ascii="Calibri" w:hAnsi="Calibri"/>
          <w:color w:val="455A64"/>
          <w:sz w:val="22"/>
        </w:rPr>
        <w:t xml:space="preserve">Cooperative Navigation in the Strait of Hormuz</w:t>
      </w:r>
    </w:p>
    <w:p>
      <w:pPr>
        <w:spacing w:before="200" w:after="60" w:line="300" w:lineRule="auto"/>
        <w:jc w:val="center"/>
      </w:pPr>
      <w:r>
        <w:rPr>
          <w:rFonts w:ascii="Calibri" w:hAnsi="Calibri"/>
          <w:b/>
          <w:color w:val="263238"/>
          <w:sz w:val="20"/>
        </w:rPr>
        <w:t xml:space="preserve">Version 1.0   |   August 2026</w:t>
      </w:r>
    </w:p>
    <w:p>
      <w:pPr>
        <w:spacing w:before="0" w:after="500" w:line="300" w:lineRule="auto"/>
        <w:jc w:val="center"/>
      </w:pPr>
      <w:r>
        <w:rPr>
          <w:rFonts w:ascii="Calibri" w:hAnsi="Calibri"/>
          <w:color w:val="455A64"/>
          <w:sz w:val="19"/>
        </w:rPr>
        <w:t xml:space="preserve">Negotiating Instrument for Authorized Participants</w:t>
      </w:r>
    </w:p>
    <w:p>
      <w:pPr>
        <w:spacing w:before="200" w:after="40" w:line="300" w:lineRule="auto"/>
        <w:jc w:val="center"/>
      </w:pPr>
      <w:r>
        <w:rPr>
          <w:rFonts w:ascii="Calibri" w:hAnsi="Calibri"/>
          <w:color w:val="263238"/>
          <w:sz w:val="20"/>
        </w:rPr>
        <w:t xml:space="preserve">The Islamic Republic of Iran and the Sultanate of Oman as Founding Parties</w:t>
      </w:r>
    </w:p>
    <w:p>
      <w:pPr>
        <w:spacing w:before="0" w:after="20" w:line="300" w:lineRule="auto"/>
        <w:jc w:val="center"/>
      </w:pPr>
      <w:r>
        <w:rPr>
          <w:rFonts w:ascii="Calibri" w:hAnsi="Calibri"/>
          <w:color w:val="455A64"/>
          <w:sz w:val="18"/>
        </w:rPr>
        <w:t xml:space="preserve">with a defined accession path for the United Arab Emirates, the Kingdom of Saudi Arabia,</w:t>
      </w:r>
    </w:p>
    <w:p>
      <w:pPr>
        <w:spacing w:before="0" w:after="120" w:line="300" w:lineRule="auto"/>
        <w:jc w:val="center"/>
      </w:pPr>
      <w:r>
        <w:rPr>
          <w:rFonts w:ascii="Calibri" w:hAnsi="Calibri"/>
          <w:color w:val="455A64"/>
          <w:sz w:val="18"/>
        </w:rPr>
        <w:t xml:space="preserve">the State of Qatar, the Kingdom of Bahrain, the State of Kuwait, and the Republic of Iraq</w:t>
      </w:r>
    </w:p>
    <w:p>
      <w:pPr>
        <w:spacing w:before="80" w:after="20" w:line="300" w:lineRule="auto"/>
        <w:jc w:val="center"/>
      </w:pPr>
      <w:r>
        <w:rPr>
          <w:rFonts w:ascii="Calibri" w:hAnsi="Calibri"/>
          <w:color w:val="455A64"/>
          <w:sz w:val="18"/>
        </w:rPr>
        <w:t xml:space="preserve">Mediator of Record:  The Sultanate of Oman</w:t>
      </w:r>
    </w:p>
    <w:p>
      <w:pPr>
        <w:spacing w:before="0" w:after="20" w:line="300" w:lineRule="auto"/>
        <w:jc w:val="center"/>
      </w:pPr>
      <w:r>
        <w:rPr>
          <w:rFonts w:ascii="Calibri" w:hAnsi="Calibri"/>
          <w:color w:val="455A64"/>
          <w:sz w:val="18"/>
        </w:rPr>
        <w:t xml:space="preserve">Neutral Administrator:  The Swiss Confederation</w:t>
      </w:r>
    </w:p>
    <w:p>
      <w:pPr>
        <w:spacing w:before="0" w:after="20" w:line="300" w:lineRule="auto"/>
        <w:jc w:val="center"/>
      </w:pPr>
      <w:r>
        <w:rPr>
          <w:rFonts w:ascii="Calibri" w:hAnsi="Calibri"/>
          <w:color w:val="455A64"/>
          <w:sz w:val="18"/>
        </w:rPr>
        <w:t xml:space="preserve">Supporting Facilitators:  The State of Qatar and the Islamic Republic of Pakistan</w:t>
      </w:r>
    </w:p>
    <w:p>
      <w:pPr>
        <w:spacing w:before="0" w:after="420" w:line="300" w:lineRule="auto"/>
        <w:jc w:val="center"/>
      </w:pPr>
      <w:r>
        <w:rPr>
          <w:rFonts w:ascii="Calibri" w:hAnsi="Calibri"/>
          <w:color w:val="455A64"/>
          <w:sz w:val="18"/>
        </w:rPr>
        <w:t xml:space="preserve">Endorsing Stakeholders:  The United States of America; the France-United Kingdom Maritime Mission</w:t>
      </w:r>
    </w:p>
    <w:p>
      <w:pPr>
        <w:spacing w:before="160" w:after="20" w:line="300" w:lineRule="auto"/>
        <w:jc w:val="center"/>
      </w:pPr>
      <w:r>
        <w:rPr>
          <w:rFonts w:ascii="Calibri" w:hAnsi="Calibri"/>
          <w:color w:val="455A64"/>
          <w:sz w:val="18"/>
        </w:rPr>
        <w:t xml:space="preserve">Seated at the Horizon Maritime Authority, Muscat,</w:t>
      </w:r>
    </w:p>
    <w:p>
      <w:pPr>
        <w:spacing w:before="0" w:after="600" w:line="300" w:lineRule="auto"/>
        <w:jc w:val="center"/>
      </w:pPr>
      <w:r>
        <w:rPr>
          <w:rFonts w:ascii="Calibri" w:hAnsi="Calibri"/>
          <w:color w:val="455A64"/>
          <w:sz w:val="18"/>
        </w:rPr>
        <w:t xml:space="preserve">with the Mirror Facility of Equal Rank at Bandar Abbas</w:t>
      </w:r>
    </w:p>
    <w:p>
      <w:pPr>
        <w:pBdr>
          <w:bottom w:val="single" w:color="B08A3E" w:sz="8" w:space="6"/>
        </w:pBdr>
        <w:spacing w:before="0" w:after="240"/>
        <w:ind w:left="2400" w:right="2400"/>
        <w:jc w:val="center"/>
      </w:pPr>
    </w:p>
    <w:p>
      <w:pPr>
        <w:spacing w:before="240" w:after="0" w:line="300" w:lineRule="auto"/>
        <w:jc w:val="center"/>
      </w:pPr>
      <w:r>
        <w:rPr>
          <w:rFonts w:ascii="Calibri" w:hAnsi="Calibri"/>
          <w:color w:val="7A8A94"/>
          <w:sz w:val="17"/>
        </w:rPr>
        <w:t xml:space="preserve">Drafted in strict adherence to the Immutable Present-Tense Matrix</w:t>
      </w:r>
    </w:p>
    <w:p>
      <w:pPr>
        <w:sectPr>
          <w:type w:val="nextPage"/>
          <w:pgSz w:w="11906" w:h="16838"/>
          <w:pgMar w:top="0" w:right="0" w:bottom="0" w:left="0" w:header="0" w:footer="0"/>
          <w:pgBorders>
            <w:top w:val="double" w:color="2E4A62" w:sz="18" w:space="28"/>
            <w:left w:val="double" w:color="2E4A62" w:sz="18" w:space="28"/>
            <w:bottom w:val="double" w:color="2E4A62" w:sz="18" w:space="28"/>
            <w:right w:val="double" w:color="2E4A62" w:sz="18" w:space="28"/>
          </w:pgBorders>
          <w:titlePg/>
        </w:sectPr>
      </w:pPr>
    </w:p>
    <w:p>
      <w:pPr>
        <w:pStyle w:val="Heading1"/>
        <w:pageBreakBefore/>
        <w:pBdr>
          <w:bottom w:val="single" w:color="B9C6CF" w:sz="6" w:space="4"/>
        </w:pBdr>
      </w:pPr>
      <w:bookmarkStart w:id="100" w:name="_Toc261100000"/>
      <w:r>
        <w:rPr>
          <w:rFonts w:ascii="Calibri" w:hAnsi="Calibri"/>
        </w:rPr>
        <w:t xml:space="preserve">Document Control</w:t>
      </w:r>
      <w:bookmarkEnd w:id="100"/>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2800"/>
        <w:gridCol w:w="6700"/>
      </w:tblGrid>
      <w:tr>
        <w:trPr>
          <w:tblHeader/>
        </w:trPr>
        <w:tc>
          <w:tcPr>
            <w:tcW w:w="2800" w:type="dxa"/>
            <w:shd w:val="clear" w:fill="E8EDF1"/>
          </w:tcPr>
          <w:p>
            <w:pPr>
              <w:spacing w:after="20" w:line="264" w:lineRule="auto"/>
            </w:pPr>
            <w:r>
              <w:rPr>
                <w:rFonts w:ascii="Calibri" w:hAnsi="Calibri"/>
                <w:b/>
                <w:color w:val="2E4A62"/>
                <w:sz w:val="18"/>
              </w:rPr>
              <w:t xml:space="preserve">Field</w:t>
            </w:r>
          </w:p>
        </w:tc>
        <w:tc>
          <w:tcPr>
            <w:tcW w:w="6700" w:type="dxa"/>
            <w:shd w:val="clear" w:fill="E8EDF1"/>
          </w:tcPr>
          <w:p>
            <w:pPr>
              <w:spacing w:after="20" w:line="264" w:lineRule="auto"/>
            </w:pPr>
            <w:r>
              <w:rPr>
                <w:rFonts w:ascii="Calibri" w:hAnsi="Calibri"/>
                <w:b/>
                <w:color w:val="2E4A62"/>
                <w:sz w:val="18"/>
              </w:rPr>
              <w:t xml:space="preserve">Entry</w:t>
            </w:r>
          </w:p>
        </w:tc>
      </w:tr>
      <w:tr>
        <w:tc>
          <w:tcPr>
            <w:tcW w:w="2800" w:type="dxa"/>
          </w:tcPr>
          <w:p>
            <w:pPr>
              <w:spacing w:after="20" w:line="264" w:lineRule="auto"/>
            </w:pPr>
            <w:r>
              <w:rPr>
                <w:rFonts w:ascii="Calibri" w:hAnsi="Calibri"/>
                <w:color w:val="263238"/>
                <w:sz w:val="18"/>
              </w:rPr>
              <w:t xml:space="preserve">Instrument</w:t>
            </w:r>
          </w:p>
        </w:tc>
        <w:tc>
          <w:tcPr>
            <w:tcW w:w="6700" w:type="dxa"/>
          </w:tcPr>
          <w:p>
            <w:pPr>
              <w:spacing w:after="20" w:line="264" w:lineRule="auto"/>
            </w:pPr>
            <w:r>
              <w:rPr>
                <w:rFonts w:ascii="Calibri" w:hAnsi="Calibri"/>
                <w:color w:val="263238"/>
                <w:sz w:val="18"/>
              </w:rPr>
              <w:t xml:space="preserve">The Hormuz Multilateral Peace Understanding, Version 1.0</w:t>
            </w:r>
          </w:p>
        </w:tc>
      </w:tr>
      <w:tr>
        <w:tc>
          <w:tcPr>
            <w:tcW w:w="2800" w:type="dxa"/>
          </w:tcPr>
          <w:p>
            <w:pPr>
              <w:spacing w:after="20" w:line="264" w:lineRule="auto"/>
            </w:pPr>
            <w:r>
              <w:rPr>
                <w:rFonts w:ascii="Calibri" w:hAnsi="Calibri"/>
                <w:color w:val="263238"/>
                <w:sz w:val="18"/>
              </w:rPr>
              <w:t xml:space="preserve">Short title</w:t>
            </w:r>
          </w:p>
        </w:tc>
        <w:tc>
          <w:tcPr>
            <w:tcW w:w="6700" w:type="dxa"/>
          </w:tcPr>
          <w:p>
            <w:pPr>
              <w:spacing w:after="20" w:line="264" w:lineRule="auto"/>
            </w:pPr>
            <w:r>
              <w:rPr>
                <w:rFonts w:ascii="Calibri" w:hAnsi="Calibri"/>
                <w:color w:val="263238"/>
                <w:sz w:val="18"/>
              </w:rPr>
              <w:t xml:space="preserve">The Understanding (HMPU)</w:t>
            </w:r>
          </w:p>
        </w:tc>
      </w:tr>
      <w:tr>
        <w:tc>
          <w:tcPr>
            <w:tcW w:w="2800" w:type="dxa"/>
          </w:tcPr>
          <w:p>
            <w:pPr>
              <w:spacing w:after="20" w:line="264" w:lineRule="auto"/>
            </w:pPr>
            <w:r>
              <w:rPr>
                <w:rFonts w:ascii="Calibri" w:hAnsi="Calibri"/>
                <w:color w:val="263238"/>
                <w:sz w:val="18"/>
              </w:rPr>
              <w:t xml:space="preserve">Status</w:t>
            </w:r>
          </w:p>
        </w:tc>
        <w:tc>
          <w:tcPr>
            <w:tcW w:w="6700" w:type="dxa"/>
          </w:tcPr>
          <w:p>
            <w:pPr>
              <w:spacing w:after="20" w:line="264" w:lineRule="auto"/>
            </w:pPr>
            <w:r>
              <w:rPr>
                <w:rFonts w:ascii="Calibri" w:hAnsi="Calibri"/>
                <w:color w:val="263238"/>
                <w:sz w:val="18"/>
              </w:rPr>
              <w:t xml:space="preserve">Negotiating instrument for authorized participants; every line adheres to the Immutable Present-Tense Matrix</w:t>
            </w:r>
          </w:p>
        </w:tc>
      </w:tr>
      <w:tr>
        <w:tc>
          <w:tcPr>
            <w:tcW w:w="2800" w:type="dxa"/>
          </w:tcPr>
          <w:p>
            <w:pPr>
              <w:spacing w:after="20" w:line="264" w:lineRule="auto"/>
            </w:pPr>
            <w:r>
              <w:rPr>
                <w:rFonts w:ascii="Calibri" w:hAnsi="Calibri"/>
                <w:color w:val="263238"/>
                <w:sz w:val="18"/>
              </w:rPr>
              <w:t xml:space="preserve">Date</w:t>
            </w:r>
          </w:p>
        </w:tc>
        <w:tc>
          <w:tcPr>
            <w:tcW w:w="6700" w:type="dxa"/>
          </w:tcPr>
          <w:p>
            <w:pPr>
              <w:spacing w:after="20" w:line="264" w:lineRule="auto"/>
            </w:pPr>
            <w:r>
              <w:rPr>
                <w:rFonts w:ascii="Calibri" w:hAnsi="Calibri"/>
                <w:color w:val="263238"/>
                <w:sz w:val="18"/>
              </w:rPr>
              <w:t xml:space="preserve">August 2026</w:t>
            </w:r>
          </w:p>
        </w:tc>
      </w:tr>
      <w:tr>
        <w:tc>
          <w:tcPr>
            <w:tcW w:w="2800" w:type="dxa"/>
          </w:tcPr>
          <w:p>
            <w:pPr>
              <w:spacing w:after="20" w:line="264" w:lineRule="auto"/>
            </w:pPr>
            <w:r>
              <w:rPr>
                <w:rFonts w:ascii="Calibri" w:hAnsi="Calibri"/>
                <w:color w:val="263238"/>
                <w:sz w:val="18"/>
              </w:rPr>
              <w:t xml:space="preserve">Anchor instruments</w:t>
            </w:r>
          </w:p>
        </w:tc>
        <w:tc>
          <w:tcPr>
            <w:tcW w:w="6700" w:type="dxa"/>
          </w:tcPr>
          <w:p>
            <w:pPr>
              <w:spacing w:after="20" w:line="264" w:lineRule="auto"/>
            </w:pPr>
            <w:r>
              <w:rPr>
                <w:rFonts w:ascii="Calibri" w:hAnsi="Calibri"/>
                <w:color w:val="263238"/>
                <w:sz w:val="18"/>
              </w:rPr>
              <w:t xml:space="preserve">The Islamabad Memorandum of Understanding between the United States of America and the Islamic Republic of Iran, June 2026 (the MOU); the Iran-Oman corridor understandings under finalization in Muscat, July and August 2026; the Omani regional mechanism proposal of 28 July 2026, carried with Gulf backing</w:t>
            </w:r>
          </w:p>
        </w:tc>
      </w:tr>
      <w:tr>
        <w:tc>
          <w:tcPr>
            <w:tcW w:w="2800" w:type="dxa"/>
          </w:tcPr>
          <w:p>
            <w:pPr>
              <w:spacing w:after="20" w:line="264" w:lineRule="auto"/>
            </w:pPr>
            <w:r>
              <w:rPr>
                <w:rFonts w:ascii="Calibri" w:hAnsi="Calibri"/>
                <w:color w:val="263238"/>
                <w:sz w:val="18"/>
              </w:rPr>
              <w:t xml:space="preserve">Founding Parties</w:t>
            </w:r>
          </w:p>
        </w:tc>
        <w:tc>
          <w:tcPr>
            <w:tcW w:w="6700" w:type="dxa"/>
          </w:tcPr>
          <w:p>
            <w:pPr>
              <w:spacing w:after="20" w:line="264" w:lineRule="auto"/>
            </w:pPr>
            <w:r>
              <w:rPr>
                <w:rFonts w:ascii="Calibri" w:hAnsi="Calibri"/>
                <w:color w:val="263238"/>
                <w:sz w:val="18"/>
              </w:rPr>
              <w:t xml:space="preserve">The Islamic Republic of Iran and the Sultanate of Oman; entry into force upon signature by both</w:t>
            </w:r>
          </w:p>
        </w:tc>
      </w:tr>
      <w:tr>
        <w:tc>
          <w:tcPr>
            <w:tcW w:w="2800" w:type="dxa"/>
          </w:tcPr>
          <w:p>
            <w:pPr>
              <w:spacing w:after="20" w:line="264" w:lineRule="auto"/>
            </w:pPr>
            <w:r>
              <w:rPr>
                <w:rFonts w:ascii="Calibri" w:hAnsi="Calibri"/>
                <w:color w:val="263238"/>
                <w:sz w:val="18"/>
              </w:rPr>
              <w:t xml:space="preserve">Accession path</w:t>
            </w:r>
          </w:p>
        </w:tc>
        <w:tc>
          <w:tcPr>
            <w:tcW w:w="6700" w:type="dxa"/>
          </w:tcPr>
          <w:p>
            <w:pPr>
              <w:spacing w:after="20" w:line="264" w:lineRule="auto"/>
            </w:pPr>
            <w:r>
              <w:rPr>
                <w:rFonts w:ascii="Calibri" w:hAnsi="Calibri"/>
                <w:color w:val="263238"/>
                <w:sz w:val="18"/>
              </w:rPr>
              <w:t xml:space="preserve">The United Arab Emirates, the Kingdom of Saudi Arabia, the State of Qatar, the Kingdom of Bahrain, the State of Kuwait, and the Republic of Iraq</w:t>
            </w:r>
          </w:p>
        </w:tc>
      </w:tr>
      <w:tr>
        <w:tc>
          <w:tcPr>
            <w:tcW w:w="2800" w:type="dxa"/>
          </w:tcPr>
          <w:p>
            <w:pPr>
              <w:spacing w:after="20" w:line="264" w:lineRule="auto"/>
            </w:pPr>
            <w:r>
              <w:rPr>
                <w:rFonts w:ascii="Calibri" w:hAnsi="Calibri"/>
                <w:color w:val="263238"/>
                <w:sz w:val="18"/>
              </w:rPr>
              <w:t xml:space="preserve">Mediator of Record</w:t>
            </w:r>
          </w:p>
        </w:tc>
        <w:tc>
          <w:tcPr>
            <w:tcW w:w="6700" w:type="dxa"/>
          </w:tcPr>
          <w:p>
            <w:pPr>
              <w:spacing w:after="20" w:line="264" w:lineRule="auto"/>
            </w:pPr>
            <w:r>
              <w:rPr>
                <w:rFonts w:ascii="Calibri" w:hAnsi="Calibri"/>
                <w:color w:val="263238"/>
                <w:sz w:val="18"/>
              </w:rPr>
              <w:t xml:space="preserve">The Sultanate of Oman</w:t>
            </w:r>
          </w:p>
        </w:tc>
      </w:tr>
      <w:tr>
        <w:tc>
          <w:tcPr>
            <w:tcW w:w="2800" w:type="dxa"/>
          </w:tcPr>
          <w:p>
            <w:pPr>
              <w:spacing w:after="20" w:line="264" w:lineRule="auto"/>
            </w:pPr>
            <w:r>
              <w:rPr>
                <w:rFonts w:ascii="Calibri" w:hAnsi="Calibri"/>
                <w:color w:val="263238"/>
                <w:sz w:val="18"/>
              </w:rPr>
              <w:t xml:space="preserve">Neutral Administrator</w:t>
            </w:r>
          </w:p>
        </w:tc>
        <w:tc>
          <w:tcPr>
            <w:tcW w:w="6700" w:type="dxa"/>
          </w:tcPr>
          <w:p>
            <w:pPr>
              <w:spacing w:after="20" w:line="264" w:lineRule="auto"/>
            </w:pPr>
            <w:r>
              <w:rPr>
                <w:rFonts w:ascii="Calibri" w:hAnsi="Calibri"/>
                <w:color w:val="263238"/>
                <w:sz w:val="18"/>
              </w:rPr>
              <w:t xml:space="preserve">The Swiss Confederation</w:t>
            </w:r>
          </w:p>
        </w:tc>
      </w:tr>
      <w:tr>
        <w:tc>
          <w:tcPr>
            <w:tcW w:w="2800" w:type="dxa"/>
          </w:tcPr>
          <w:p>
            <w:pPr>
              <w:spacing w:after="20" w:line="264" w:lineRule="auto"/>
            </w:pPr>
            <w:r>
              <w:rPr>
                <w:rFonts w:ascii="Calibri" w:hAnsi="Calibri"/>
                <w:color w:val="263238"/>
                <w:sz w:val="18"/>
              </w:rPr>
              <w:t xml:space="preserve">Supporting facilitators</w:t>
            </w:r>
          </w:p>
        </w:tc>
        <w:tc>
          <w:tcPr>
            <w:tcW w:w="6700" w:type="dxa"/>
          </w:tcPr>
          <w:p>
            <w:pPr>
              <w:spacing w:after="20" w:line="264" w:lineRule="auto"/>
            </w:pPr>
            <w:r>
              <w:rPr>
                <w:rFonts w:ascii="Calibri" w:hAnsi="Calibri"/>
                <w:color w:val="263238"/>
                <w:sz w:val="18"/>
              </w:rPr>
              <w:t xml:space="preserve">The State of Qatar and the Islamic Republic of Pakistan</w:t>
            </w:r>
          </w:p>
        </w:tc>
      </w:tr>
      <w:tr>
        <w:tc>
          <w:tcPr>
            <w:tcW w:w="2800" w:type="dxa"/>
          </w:tcPr>
          <w:p>
            <w:pPr>
              <w:spacing w:after="20" w:line="264" w:lineRule="auto"/>
            </w:pPr>
            <w:r>
              <w:rPr>
                <w:rFonts w:ascii="Calibri" w:hAnsi="Calibri"/>
                <w:color w:val="263238"/>
                <w:sz w:val="18"/>
              </w:rPr>
              <w:t xml:space="preserve">Endorsing Stakeholders</w:t>
            </w:r>
          </w:p>
        </w:tc>
        <w:tc>
          <w:tcPr>
            <w:tcW w:w="6700" w:type="dxa"/>
          </w:tcPr>
          <w:p>
            <w:pPr>
              <w:spacing w:after="20" w:line="264" w:lineRule="auto"/>
            </w:pPr>
            <w:r>
              <w:rPr>
                <w:rFonts w:ascii="Calibri" w:hAnsi="Calibri"/>
                <w:color w:val="263238"/>
                <w:sz w:val="18"/>
              </w:rPr>
              <w:t xml:space="preserve">The United States of America; the France-United Kingdom Multinational Maritime Mission; any state or body admitted under Article 24</w:t>
            </w:r>
          </w:p>
        </w:tc>
      </w:tr>
      <w:tr>
        <w:tc>
          <w:tcPr>
            <w:tcW w:w="2800" w:type="dxa"/>
          </w:tcPr>
          <w:p>
            <w:pPr>
              <w:spacing w:after="20" w:line="264" w:lineRule="auto"/>
            </w:pPr>
            <w:r>
              <w:rPr>
                <w:rFonts w:ascii="Calibri" w:hAnsi="Calibri"/>
                <w:color w:val="263238"/>
                <w:sz w:val="18"/>
              </w:rPr>
              <w:t xml:space="preserve">Technical interface</w:t>
            </w:r>
          </w:p>
        </w:tc>
        <w:tc>
          <w:tcPr>
            <w:tcW w:w="6700" w:type="dxa"/>
          </w:tcPr>
          <w:p>
            <w:pPr>
              <w:spacing w:after="20" w:line="264" w:lineRule="auto"/>
            </w:pPr>
            <w:r>
              <w:rPr>
                <w:rFonts w:ascii="Calibri" w:hAnsi="Calibri"/>
                <w:color w:val="263238"/>
                <w:sz w:val="18"/>
              </w:rPr>
              <w:t xml:space="preserve">The International Maritime Organization (IMO); the International Hydrographic Organization (IHO); the United Nations Mine Action Service for the survey sequence of Article 17; the International Chamber of Shipping and the P&amp;I clubs for the Stakeholder Panel of Article 23</w:t>
            </w:r>
          </w:p>
        </w:tc>
      </w:tr>
      <w:tr>
        <w:tc>
          <w:tcPr>
            <w:tcW w:w="2800" w:type="dxa"/>
          </w:tcPr>
          <w:p>
            <w:pPr>
              <w:spacing w:after="20" w:line="264" w:lineRule="auto"/>
            </w:pPr>
            <w:r>
              <w:rPr>
                <w:rFonts w:ascii="Calibri" w:hAnsi="Calibri"/>
                <w:color w:val="263238"/>
                <w:sz w:val="18"/>
              </w:rPr>
              <w:t xml:space="preserve">Seat</w:t>
            </w:r>
          </w:p>
        </w:tc>
        <w:tc>
          <w:tcPr>
            <w:tcW w:w="6700" w:type="dxa"/>
          </w:tcPr>
          <w:p>
            <w:pPr>
              <w:spacing w:after="20" w:line="264" w:lineRule="auto"/>
            </w:pPr>
            <w:r>
              <w:rPr>
                <w:rFonts w:ascii="Calibri" w:hAnsi="Calibri"/>
                <w:color w:val="263238"/>
                <w:sz w:val="18"/>
              </w:rPr>
              <w:t xml:space="preserve">The Horizon Maritime Authority, Muscat, with the Mirror Facility of Equal Rank at Bandar Abbas</w:t>
            </w:r>
          </w:p>
        </w:tc>
      </w:tr>
      <w:tr>
        <w:tc>
          <w:tcPr>
            <w:tcW w:w="2800" w:type="dxa"/>
          </w:tcPr>
          <w:p>
            <w:pPr>
              <w:spacing w:after="20" w:line="264" w:lineRule="auto"/>
            </w:pPr>
            <w:r>
              <w:rPr>
                <w:rFonts w:ascii="Calibri" w:hAnsi="Calibri"/>
                <w:color w:val="263238"/>
                <w:sz w:val="18"/>
              </w:rPr>
              <w:t xml:space="preserve">Depositary</w:t>
            </w:r>
          </w:p>
        </w:tc>
        <w:tc>
          <w:tcPr>
            <w:tcW w:w="6700" w:type="dxa"/>
          </w:tcPr>
          <w:p>
            <w:pPr>
              <w:spacing w:after="20" w:line="264" w:lineRule="auto"/>
            </w:pPr>
            <w:r>
              <w:rPr>
                <w:rFonts w:ascii="Calibri" w:hAnsi="Calibri"/>
                <w:color w:val="263238"/>
                <w:sz w:val="18"/>
              </w:rPr>
              <w:t xml:space="preserve">The Sultanate of Oman, Ministry of Foreign Affairs, Muscat</w:t>
            </w:r>
          </w:p>
        </w:tc>
      </w:tr>
      <w:tr>
        <w:tc>
          <w:tcPr>
            <w:tcW w:w="2800" w:type="dxa"/>
          </w:tcPr>
          <w:p>
            <w:pPr>
              <w:spacing w:after="20" w:line="264" w:lineRule="auto"/>
            </w:pPr>
            <w:r>
              <w:rPr>
                <w:rFonts w:ascii="Calibri" w:hAnsi="Calibri"/>
                <w:color w:val="263238"/>
                <w:sz w:val="18"/>
              </w:rPr>
              <w:t xml:space="preserve">Languages</w:t>
            </w:r>
          </w:p>
        </w:tc>
        <w:tc>
          <w:tcPr>
            <w:tcW w:w="6700" w:type="dxa"/>
          </w:tcPr>
          <w:p>
            <w:pPr>
              <w:spacing w:after="20" w:line="264" w:lineRule="auto"/>
            </w:pPr>
            <w:r>
              <w:rPr>
                <w:rFonts w:ascii="Calibri" w:hAnsi="Calibri"/>
                <w:color w:val="263238"/>
                <w:sz w:val="18"/>
              </w:rPr>
              <w:t xml:space="preserve">Persian, Arabic, and English; the three texts carry equal authority</w:t>
            </w:r>
          </w:p>
        </w:tc>
      </w:tr>
      <w:tr>
        <w:tc>
          <w:tcPr>
            <w:tcW w:w="2800" w:type="dxa"/>
          </w:tcPr>
          <w:p>
            <w:pPr>
              <w:spacing w:after="20" w:line="264" w:lineRule="auto"/>
            </w:pPr>
            <w:r>
              <w:rPr>
                <w:rFonts w:ascii="Calibri" w:hAnsi="Calibri"/>
                <w:color w:val="263238"/>
                <w:sz w:val="18"/>
              </w:rPr>
              <w:t xml:space="preserve">Continuity rule</w:t>
            </w:r>
          </w:p>
        </w:tc>
        <w:tc>
          <w:tcPr>
            <w:tcW w:w="6700" w:type="dxa"/>
          </w:tcPr>
          <w:p>
            <w:pPr>
              <w:spacing w:after="20" w:line="264" w:lineRule="auto"/>
            </w:pPr>
            <w:r>
              <w:rPr>
                <w:rFonts w:ascii="Calibri" w:hAnsi="Calibri"/>
                <w:color w:val="263238"/>
                <w:sz w:val="18"/>
              </w:rPr>
              <w:t xml:space="preserve">The Standing Continuity Guarantee (Article 5): no provision expires, lapses, or dissolves by the passage of time alone</w:t>
            </w:r>
          </w:p>
        </w:tc>
      </w:tr>
      <w:tr>
        <w:tc>
          <w:tcPr>
            <w:tcW w:w="2800" w:type="dxa"/>
          </w:tcPr>
          <w:p>
            <w:pPr>
              <w:spacing w:after="20" w:line="264" w:lineRule="auto"/>
            </w:pPr>
            <w:r>
              <w:rPr>
                <w:rFonts w:ascii="Calibri" w:hAnsi="Calibri"/>
                <w:color w:val="263238"/>
                <w:sz w:val="18"/>
              </w:rPr>
              <w:t xml:space="preserve">Simplicity rule</w:t>
            </w:r>
          </w:p>
        </w:tc>
        <w:tc>
          <w:tcPr>
            <w:tcW w:w="6700" w:type="dxa"/>
          </w:tcPr>
          <w:p>
            <w:pPr>
              <w:spacing w:after="20" w:line="264" w:lineRule="auto"/>
            </w:pPr>
            <w:r>
              <w:rPr>
                <w:rFonts w:ascii="Calibri" w:hAnsi="Calibri"/>
                <w:color w:val="263238"/>
                <w:sz w:val="18"/>
              </w:rPr>
              <w:t xml:space="preserve">The Five-Step Rule (Article 4): no mechanism in this Understanding contains more than five steps, and four steps form the design norm</w:t>
            </w:r>
          </w:p>
        </w:tc>
      </w:tr>
      <w:tr>
        <w:tc>
          <w:tcPr>
            <w:tcW w:w="2800" w:type="dxa"/>
          </w:tcPr>
          <w:p>
            <w:pPr>
              <w:spacing w:after="20" w:line="264" w:lineRule="auto"/>
            </w:pPr>
            <w:r>
              <w:rPr>
                <w:rFonts w:ascii="Calibri" w:hAnsi="Calibri"/>
                <w:color w:val="263238"/>
                <w:sz w:val="18"/>
              </w:rPr>
              <w:t xml:space="preserve">Synchronization rule</w:t>
            </w:r>
          </w:p>
        </w:tc>
        <w:tc>
          <w:tcPr>
            <w:tcW w:w="6700" w:type="dxa"/>
          </w:tcPr>
          <w:p>
            <w:pPr>
              <w:spacing w:after="20" w:line="264" w:lineRule="auto"/>
            </w:pPr>
            <w:r>
              <w:rPr>
                <w:rFonts w:ascii="Calibri" w:hAnsi="Calibri"/>
                <w:color w:val="263238"/>
                <w:sz w:val="18"/>
              </w:rPr>
              <w:t xml:space="preserve">The Synchronized Indivisible Event (Article 36): corridor activation and the termination of all impediments to passage occur as one event, in one hour</w:t>
            </w:r>
          </w:p>
        </w:tc>
      </w:tr>
    </w:tbl>
    <w:p>
      <w:pPr>
        <w:spacing w:after="160"/>
      </w:pPr>
    </w:p>
    <w:p>
      <w:pPr>
        <w:spacing w:after="240"/>
      </w:pPr>
    </w:p>
    <w:p>
      <w:pPr>
        <w:pStyle w:val="Heading2"/>
      </w:pPr>
      <w:bookmarkStart w:id="101" w:name="_Toc261100001"/>
      <w:r>
        <w:rPr>
          <w:rFonts w:ascii="Calibri" w:hAnsi="Calibri"/>
        </w:rPr>
        <w:t xml:space="preserve">Drafting Discipline Note</w:t>
      </w:r>
      <w:bookmarkEnd w:id="101"/>
    </w:p>
    <w:p>
      <w:pPr>
        <w:jc w:val="both"/>
      </w:pPr>
      <w:r>
        <w:rPr/>
        <w:t xml:space="preserve">Every provision of this Understanding adheres to the Immutable Present-Tense Matrix: sovereign active present-tense drafting; mutual-architecture framing in which every constraint attaches to the shared design and never to one Party's restraint for another's benefit; automatic logic triggers stated as immediate operational realities; no command vocabulary; no discretionary softeners; no passive placeholders; no floating background imagery. The Standing Continuity Guarantee of Article 5 stands first among equals: nothing in this instrument fades, lapses, or dissolves by the passage of time alone. Verified performance banks permanently. Renewal occurs by silence; change occurs by joint written instrument; exit is a deliberate, notified, time-buffered sovereign act, never a drift.</w:t>
      </w:r>
    </w:p>
    <w:p>
      <w:pPr>
        <w:jc w:val="both"/>
      </w:pPr>
      <w:r>
        <w:rPr/>
        <w:t xml:space="preserve">The drafting discipline serves a political purpose as well as a literary one. Every Party reads this instrument in its own capital and finds its own red lines stated as untouchable principles, its own functions stated as recognized contributions, and its own obligations stated as features of a shared architecture rather than concessions extracted under pressure. The text carries no unilateral restraint clauses. Where a reader expects the phrase "Iran refrains from" or "the United States refrains from," the text instead states what the framework itself excludes, because the framework binds both equally by design.</w:t>
      </w:r>
    </w:p>
    <w:p>
      <w:pPr>
        <w:pStyle w:val="Heading2"/>
      </w:pPr>
      <w:bookmarkStart w:id="102" w:name="_Toc261100002"/>
      <w:r>
        <w:rPr>
          <w:rFonts w:ascii="Calibri" w:hAnsi="Calibri"/>
        </w:rPr>
        <w:t xml:space="preserve">How to Read This Understanding</w:t>
      </w:r>
      <w:bookmarkEnd w:id="102"/>
    </w:p>
    <w:p>
      <w:pPr>
        <w:jc w:val="both"/>
      </w:pPr>
      <w:r>
        <w:rPr/>
        <w:t xml:space="preserve">This instrument contains a Declaration of Inviolable Principles, a Preamble, a main body of forty-five Articles organized in eight Parts, and fourteen operative Annexes (Annex A through Annex N). The Annexes form an integral part of this instrument and bind the Parties to the same extent as the Articles. A reference to an Article includes the Annexes that the Article designates as operative for that Article.</w:t>
      </w:r>
    </w:p>
    <w:p>
      <w:pPr>
        <w:jc w:val="both"/>
      </w:pPr>
      <w:r>
        <w:rPr/>
        <w:t xml:space="preserve">A first reader takes the following path. Read the Declaration of Inviolable Principles for the red lines. Read Article 3 for the operating principles. Read Article 8 for the corridor system. Read Article 25 for the toll question. Read Article 34 for the Good Behavior Escalator. Read Article 36 for the Synchronized Indivisible Event. Read Annex K for the proof that every stated demand of every participant finds its answer in this architecture. Everything else is engineering.</w:t>
      </w:r>
    </w:p>
    <w:p>
      <w:pPr>
        <w:jc w:val="both"/>
      </w:pPr>
      <w:r>
        <w:rPr/>
        <w:t xml:space="preserve">The reader who checks the text against the Immutable Present-Tense Matrix finds no instance of the banned command vocabulary, no permissive softener attached to any milestone, no passive construction carrying an operational state, and no clause that frames one Party's conduct as a favor to another. The mechanical verification record of this instrument appears in the drafting certificate lodged with the Depositary.</w:t>
      </w:r>
    </w:p>
    <w:p>
      <w:pPr>
        <w:keepNext/>
        <w:keepLines/>
        <w:spacing w:before="720" w:after="280"/>
      </w:pPr>
      <w:r>
        <w:rPr>
          <w:rFonts w:ascii="Calibri" w:hAnsi="Calibri" w:eastAsia="Microsoft YaHei"/>
          <w:b/>
          <w:color w:val="2E4A62"/>
          <w:sz w:val="34"/>
        </w:rPr>
        <w:t>Table of Contents</w:t>
      </w:r>
    </w:p>
    <w:p>
      <w:pPr>
        <w:pStyle w:val="TOC1"/>
      </w:pPr>
      <w:r>
        <w:rPr>
          <w:noProof/>
          <w:webHidden/>
        </w:rPr>
        <w:fldChar w:fldCharType="begin" w:dirty="true"/>
      </w:r>
      <w:r>
        <w:rPr>
          <w:noProof/>
          <w:webHidden/>
        </w:rPr>
        <w:instrText xml:space="preserve"> TOC \o "1-2" \h \z \u </w:instrText>
      </w:r>
      <w:r>
        <w:rPr>
          <w:noProof/>
          <w:webHidden/>
        </w:rPr>
        <w:fldChar w:fldCharType="separate"/>
      </w:r>
      <w:hyperlink w:anchor="_Toc261100000" w:history="1">
        <w:r>
          <w:rPr>
            <w:noProof/>
          </w:rPr>
          <w:t xml:space="preserve">Document Control</w:t>
        </w:r>
        <w:r>
          <w:rPr>
            <w:noProof/>
            <w:webHidden/>
          </w:rPr>
          <w:tab/>
        </w:r>
        <w:r>
          <w:rPr>
            <w:noProof/>
            <w:webHidden/>
          </w:rPr>
          <w:fldChar w:fldCharType="begin"/>
        </w:r>
        <w:r>
          <w:rPr>
            <w:noProof/>
            <w:webHidden/>
          </w:rPr>
          <w:instrText xml:space="preserve"> PAGEREF _Toc261100000 \h </w:instrText>
        </w:r>
        <w:r>
          <w:rPr>
            <w:noProof/>
            <w:webHidden/>
          </w:rPr>
          <w:fldChar w:fldCharType="separate"/>
        </w:r>
        <w:r>
          <w:rPr>
            <w:noProof/>
            <w:webHidden/>
          </w:rPr>
          <w:t xml:space="preserve">2</w:t>
        </w:r>
        <w:r>
          <w:rPr>
            <w:noProof/>
            <w:webHidden/>
          </w:rPr>
          <w:fldChar w:fldCharType="end"/>
        </w:r>
      </w:hyperlink>
    </w:p>
    <w:p>
      <w:pPr>
        <w:pStyle w:val="TOC2"/>
      </w:pPr>
      <w:hyperlink w:anchor="_Toc261100001" w:history="1">
        <w:r>
          <w:rPr>
            <w:noProof/>
          </w:rPr>
          <w:t xml:space="preserve">Drafting Discipline Note</w:t>
        </w:r>
        <w:r>
          <w:rPr>
            <w:noProof/>
            <w:webHidden/>
          </w:rPr>
          <w:tab/>
        </w:r>
        <w:r>
          <w:rPr>
            <w:noProof/>
            <w:webHidden/>
          </w:rPr>
          <w:fldChar w:fldCharType="begin"/>
        </w:r>
        <w:r>
          <w:rPr>
            <w:noProof/>
            <w:webHidden/>
          </w:rPr>
          <w:instrText xml:space="preserve"> PAGEREF _Toc261100001 \h </w:instrText>
        </w:r>
        <w:r>
          <w:rPr>
            <w:noProof/>
            <w:webHidden/>
          </w:rPr>
          <w:fldChar w:fldCharType="separate"/>
        </w:r>
        <w:r>
          <w:rPr>
            <w:noProof/>
            <w:webHidden/>
          </w:rPr>
          <w:t xml:space="preserve">3</w:t>
        </w:r>
        <w:r>
          <w:rPr>
            <w:noProof/>
            <w:webHidden/>
          </w:rPr>
          <w:fldChar w:fldCharType="end"/>
        </w:r>
      </w:hyperlink>
    </w:p>
    <w:p>
      <w:pPr>
        <w:pStyle w:val="TOC2"/>
      </w:pPr>
      <w:hyperlink w:anchor="_Toc261100002" w:history="1">
        <w:r>
          <w:rPr>
            <w:noProof/>
          </w:rPr>
          <w:t xml:space="preserve">How to Read This Understanding</w:t>
        </w:r>
        <w:r>
          <w:rPr>
            <w:noProof/>
            <w:webHidden/>
          </w:rPr>
          <w:tab/>
        </w:r>
        <w:r>
          <w:rPr>
            <w:noProof/>
            <w:webHidden/>
          </w:rPr>
          <w:fldChar w:fldCharType="begin"/>
        </w:r>
        <w:r>
          <w:rPr>
            <w:noProof/>
            <w:webHidden/>
          </w:rPr>
          <w:instrText xml:space="preserve"> PAGEREF _Toc261100002 \h </w:instrText>
        </w:r>
        <w:r>
          <w:rPr>
            <w:noProof/>
            <w:webHidden/>
          </w:rPr>
          <w:fldChar w:fldCharType="separate"/>
        </w:r>
        <w:r>
          <w:rPr>
            <w:noProof/>
            <w:webHidden/>
          </w:rPr>
          <w:t xml:space="preserve">3</w:t>
        </w:r>
        <w:r>
          <w:rPr>
            <w:noProof/>
            <w:webHidden/>
          </w:rPr>
          <w:fldChar w:fldCharType="end"/>
        </w:r>
      </w:hyperlink>
    </w:p>
    <w:p>
      <w:pPr>
        <w:pStyle w:val="TOC1"/>
      </w:pPr>
      <w:hyperlink w:anchor="_Toc261100003" w:history="1">
        <w:r>
          <w:rPr>
            <w:noProof/>
          </w:rPr>
          <w:t xml:space="preserve">The Hormuz Declaration of Inviolable Principles</w:t>
        </w:r>
        <w:r>
          <w:rPr>
            <w:noProof/>
            <w:webHidden/>
          </w:rPr>
          <w:tab/>
        </w:r>
        <w:r>
          <w:rPr>
            <w:noProof/>
            <w:webHidden/>
          </w:rPr>
          <w:fldChar w:fldCharType="begin"/>
        </w:r>
        <w:r>
          <w:rPr>
            <w:noProof/>
            <w:webHidden/>
          </w:rPr>
          <w:instrText xml:space="preserve"> PAGEREF _Toc261100003 \h </w:instrText>
        </w:r>
        <w:r>
          <w:rPr>
            <w:noProof/>
            <w:webHidden/>
          </w:rPr>
          <w:fldChar w:fldCharType="separate"/>
        </w:r>
        <w:r>
          <w:rPr>
            <w:noProof/>
            <w:webHidden/>
          </w:rPr>
          <w:t xml:space="preserve">9</w:t>
        </w:r>
        <w:r>
          <w:rPr>
            <w:noProof/>
            <w:webHidden/>
          </w:rPr>
          <w:fldChar w:fldCharType="end"/>
        </w:r>
      </w:hyperlink>
    </w:p>
    <w:p>
      <w:pPr>
        <w:pStyle w:val="TOC1"/>
      </w:pPr>
      <w:hyperlink w:anchor="_Toc261100004" w:history="1">
        <w:r>
          <w:rPr>
            <w:noProof/>
          </w:rPr>
          <w:t xml:space="preserve">Preamble: The Moment of August 2026</w:t>
        </w:r>
        <w:r>
          <w:rPr>
            <w:noProof/>
            <w:webHidden/>
          </w:rPr>
          <w:tab/>
        </w:r>
        <w:r>
          <w:rPr>
            <w:noProof/>
            <w:webHidden/>
          </w:rPr>
          <w:fldChar w:fldCharType="begin"/>
        </w:r>
        <w:r>
          <w:rPr>
            <w:noProof/>
            <w:webHidden/>
          </w:rPr>
          <w:instrText xml:space="preserve"> PAGEREF _Toc261100004 \h </w:instrText>
        </w:r>
        <w:r>
          <w:rPr>
            <w:noProof/>
            <w:webHidden/>
          </w:rPr>
          <w:fldChar w:fldCharType="separate"/>
        </w:r>
        <w:r>
          <w:rPr>
            <w:noProof/>
            <w:webHidden/>
          </w:rPr>
          <w:t xml:space="preserve">11</w:t>
        </w:r>
        <w:r>
          <w:rPr>
            <w:noProof/>
            <w:webHidden/>
          </w:rPr>
          <w:fldChar w:fldCharType="end"/>
        </w:r>
      </w:hyperlink>
    </w:p>
    <w:p>
      <w:pPr>
        <w:pStyle w:val="TOC1"/>
      </w:pPr>
      <w:hyperlink w:anchor="_Toc261100005" w:history="1">
        <w:r>
          <w:rPr>
            <w:noProof/>
          </w:rPr>
          <w:t xml:space="preserve">Part I: Foundations and Operating Principles</w:t>
        </w:r>
        <w:r>
          <w:rPr>
            <w:noProof/>
            <w:webHidden/>
          </w:rPr>
          <w:tab/>
        </w:r>
        <w:r>
          <w:rPr>
            <w:noProof/>
            <w:webHidden/>
          </w:rPr>
          <w:fldChar w:fldCharType="begin"/>
        </w:r>
        <w:r>
          <w:rPr>
            <w:noProof/>
            <w:webHidden/>
          </w:rPr>
          <w:instrText xml:space="preserve"> PAGEREF _Toc261100005 \h </w:instrText>
        </w:r>
        <w:r>
          <w:rPr>
            <w:noProof/>
            <w:webHidden/>
          </w:rPr>
          <w:fldChar w:fldCharType="separate"/>
        </w:r>
        <w:r>
          <w:rPr>
            <w:noProof/>
            <w:webHidden/>
          </w:rPr>
          <w:t xml:space="preserve">14</w:t>
        </w:r>
        <w:r>
          <w:rPr>
            <w:noProof/>
            <w:webHidden/>
          </w:rPr>
          <w:fldChar w:fldCharType="end"/>
        </w:r>
      </w:hyperlink>
    </w:p>
    <w:p>
      <w:pPr>
        <w:pStyle w:val="TOC2"/>
      </w:pPr>
      <w:hyperlink w:anchor="_Toc261100006" w:history="1">
        <w:r>
          <w:rPr>
            <w:noProof/>
          </w:rPr>
          <w:t xml:space="preserve">Article 1: Purpose and Scope</w:t>
        </w:r>
        <w:r>
          <w:rPr>
            <w:noProof/>
            <w:webHidden/>
          </w:rPr>
          <w:tab/>
        </w:r>
        <w:r>
          <w:rPr>
            <w:noProof/>
            <w:webHidden/>
          </w:rPr>
          <w:fldChar w:fldCharType="begin"/>
        </w:r>
        <w:r>
          <w:rPr>
            <w:noProof/>
            <w:webHidden/>
          </w:rPr>
          <w:instrText xml:space="preserve"> PAGEREF _Toc261100006 \h </w:instrText>
        </w:r>
        <w:r>
          <w:rPr>
            <w:noProof/>
            <w:webHidden/>
          </w:rPr>
          <w:fldChar w:fldCharType="separate"/>
        </w:r>
        <w:r>
          <w:rPr>
            <w:noProof/>
            <w:webHidden/>
          </w:rPr>
          <w:t xml:space="preserve">14</w:t>
        </w:r>
        <w:r>
          <w:rPr>
            <w:noProof/>
            <w:webHidden/>
          </w:rPr>
          <w:fldChar w:fldCharType="end"/>
        </w:r>
      </w:hyperlink>
    </w:p>
    <w:p>
      <w:pPr>
        <w:pStyle w:val="TOC2"/>
      </w:pPr>
      <w:hyperlink w:anchor="_Toc261100007" w:history="1">
        <w:r>
          <w:rPr>
            <w:noProof/>
          </w:rPr>
          <w:t xml:space="preserve">Article 2: Definitions and Interpretation</w:t>
        </w:r>
        <w:r>
          <w:rPr>
            <w:noProof/>
            <w:webHidden/>
          </w:rPr>
          <w:tab/>
        </w:r>
        <w:r>
          <w:rPr>
            <w:noProof/>
            <w:webHidden/>
          </w:rPr>
          <w:fldChar w:fldCharType="begin"/>
        </w:r>
        <w:r>
          <w:rPr>
            <w:noProof/>
            <w:webHidden/>
          </w:rPr>
          <w:instrText xml:space="preserve"> PAGEREF _Toc261100007 \h </w:instrText>
        </w:r>
        <w:r>
          <w:rPr>
            <w:noProof/>
            <w:webHidden/>
          </w:rPr>
          <w:fldChar w:fldCharType="separate"/>
        </w:r>
        <w:r>
          <w:rPr>
            <w:noProof/>
            <w:webHidden/>
          </w:rPr>
          <w:t xml:space="preserve">15</w:t>
        </w:r>
        <w:r>
          <w:rPr>
            <w:noProof/>
            <w:webHidden/>
          </w:rPr>
          <w:fldChar w:fldCharType="end"/>
        </w:r>
      </w:hyperlink>
    </w:p>
    <w:p>
      <w:pPr>
        <w:pStyle w:val="TOC2"/>
      </w:pPr>
      <w:hyperlink w:anchor="_Toc261100008" w:history="1">
        <w:r>
          <w:rPr>
            <w:noProof/>
          </w:rPr>
          <w:t xml:space="preserve">Article 3: Core Operating Principles</w:t>
        </w:r>
        <w:r>
          <w:rPr>
            <w:noProof/>
            <w:webHidden/>
          </w:rPr>
          <w:tab/>
        </w:r>
        <w:r>
          <w:rPr>
            <w:noProof/>
            <w:webHidden/>
          </w:rPr>
          <w:fldChar w:fldCharType="begin"/>
        </w:r>
        <w:r>
          <w:rPr>
            <w:noProof/>
            <w:webHidden/>
          </w:rPr>
          <w:instrText xml:space="preserve"> PAGEREF _Toc261100008 \h </w:instrText>
        </w:r>
        <w:r>
          <w:rPr>
            <w:noProof/>
            <w:webHidden/>
          </w:rPr>
          <w:fldChar w:fldCharType="separate"/>
        </w:r>
        <w:r>
          <w:rPr>
            <w:noProof/>
            <w:webHidden/>
          </w:rPr>
          <w:t xml:space="preserve">17</w:t>
        </w:r>
        <w:r>
          <w:rPr>
            <w:noProof/>
            <w:webHidden/>
          </w:rPr>
          <w:fldChar w:fldCharType="end"/>
        </w:r>
      </w:hyperlink>
    </w:p>
    <w:p>
      <w:pPr>
        <w:pStyle w:val="TOC2"/>
      </w:pPr>
      <w:hyperlink w:anchor="_Toc261100009" w:history="1">
        <w:r>
          <w:rPr>
            <w:noProof/>
          </w:rPr>
          <w:t xml:space="preserve">Article 4: The Simplicity Rule and the Five-Step Limit</w:t>
        </w:r>
        <w:r>
          <w:rPr>
            <w:noProof/>
            <w:webHidden/>
          </w:rPr>
          <w:tab/>
        </w:r>
        <w:r>
          <w:rPr>
            <w:noProof/>
            <w:webHidden/>
          </w:rPr>
          <w:fldChar w:fldCharType="begin"/>
        </w:r>
        <w:r>
          <w:rPr>
            <w:noProof/>
            <w:webHidden/>
          </w:rPr>
          <w:instrText xml:space="preserve"> PAGEREF _Toc261100009 \h </w:instrText>
        </w:r>
        <w:r>
          <w:rPr>
            <w:noProof/>
            <w:webHidden/>
          </w:rPr>
          <w:fldChar w:fldCharType="separate"/>
        </w:r>
        <w:r>
          <w:rPr>
            <w:noProof/>
            <w:webHidden/>
          </w:rPr>
          <w:t xml:space="preserve">18</w:t>
        </w:r>
        <w:r>
          <w:rPr>
            <w:noProof/>
            <w:webHidden/>
          </w:rPr>
          <w:fldChar w:fldCharType="end"/>
        </w:r>
      </w:hyperlink>
    </w:p>
    <w:p>
      <w:pPr>
        <w:pStyle w:val="TOC2"/>
      </w:pPr>
      <w:hyperlink w:anchor="_Toc261100010" w:history="1">
        <w:r>
          <w:rPr>
            <w:noProof/>
          </w:rPr>
          <w:t xml:space="preserve">Article 5: The Standing Continuity Guarantee</w:t>
        </w:r>
        <w:r>
          <w:rPr>
            <w:noProof/>
            <w:webHidden/>
          </w:rPr>
          <w:tab/>
        </w:r>
        <w:r>
          <w:rPr>
            <w:noProof/>
            <w:webHidden/>
          </w:rPr>
          <w:fldChar w:fldCharType="begin"/>
        </w:r>
        <w:r>
          <w:rPr>
            <w:noProof/>
            <w:webHidden/>
          </w:rPr>
          <w:instrText xml:space="preserve"> PAGEREF _Toc261100010 \h </w:instrText>
        </w:r>
        <w:r>
          <w:rPr>
            <w:noProof/>
            <w:webHidden/>
          </w:rPr>
          <w:fldChar w:fldCharType="separate"/>
        </w:r>
        <w:r>
          <w:rPr>
            <w:noProof/>
            <w:webHidden/>
          </w:rPr>
          <w:t xml:space="preserve">19</w:t>
        </w:r>
        <w:r>
          <w:rPr>
            <w:noProof/>
            <w:webHidden/>
          </w:rPr>
          <w:fldChar w:fldCharType="end"/>
        </w:r>
      </w:hyperlink>
    </w:p>
    <w:p>
      <w:pPr>
        <w:pStyle w:val="TOC2"/>
      </w:pPr>
      <w:hyperlink w:anchor="_Toc261100011" w:history="1">
        <w:r>
          <w:rPr>
            <w:noProof/>
          </w:rPr>
          <w:t xml:space="preserve">Article 6: The Synchronization Principle in Design</w:t>
        </w:r>
        <w:r>
          <w:rPr>
            <w:noProof/>
            <w:webHidden/>
          </w:rPr>
          <w:tab/>
        </w:r>
        <w:r>
          <w:rPr>
            <w:noProof/>
            <w:webHidden/>
          </w:rPr>
          <w:fldChar w:fldCharType="begin"/>
        </w:r>
        <w:r>
          <w:rPr>
            <w:noProof/>
            <w:webHidden/>
          </w:rPr>
          <w:instrText xml:space="preserve"> PAGEREF _Toc261100011 \h </w:instrText>
        </w:r>
        <w:r>
          <w:rPr>
            <w:noProof/>
            <w:webHidden/>
          </w:rPr>
          <w:fldChar w:fldCharType="separate"/>
        </w:r>
        <w:r>
          <w:rPr>
            <w:noProof/>
            <w:webHidden/>
          </w:rPr>
          <w:t xml:space="preserve">20</w:t>
        </w:r>
        <w:r>
          <w:rPr>
            <w:noProof/>
            <w:webHidden/>
          </w:rPr>
          <w:fldChar w:fldCharType="end"/>
        </w:r>
      </w:hyperlink>
    </w:p>
    <w:p>
      <w:pPr>
        <w:pStyle w:val="TOC1"/>
      </w:pPr>
      <w:hyperlink w:anchor="_Toc261100012" w:history="1">
        <w:r>
          <w:rPr>
            <w:noProof/>
          </w:rPr>
          <w:t xml:space="preserve">Part II: The Corridor Architecture</w:t>
        </w:r>
        <w:r>
          <w:rPr>
            <w:noProof/>
            <w:webHidden/>
          </w:rPr>
          <w:tab/>
        </w:r>
        <w:r>
          <w:rPr>
            <w:noProof/>
            <w:webHidden/>
          </w:rPr>
          <w:fldChar w:fldCharType="begin"/>
        </w:r>
        <w:r>
          <w:rPr>
            <w:noProof/>
            <w:webHidden/>
          </w:rPr>
          <w:instrText xml:space="preserve"> PAGEREF _Toc261100012 \h </w:instrText>
        </w:r>
        <w:r>
          <w:rPr>
            <w:noProof/>
            <w:webHidden/>
          </w:rPr>
          <w:fldChar w:fldCharType="separate"/>
        </w:r>
        <w:r>
          <w:rPr>
            <w:noProof/>
            <w:webHidden/>
          </w:rPr>
          <w:t xml:space="preserve">21</w:t>
        </w:r>
        <w:r>
          <w:rPr>
            <w:noProof/>
            <w:webHidden/>
          </w:rPr>
          <w:fldChar w:fldCharType="end"/>
        </w:r>
      </w:hyperlink>
    </w:p>
    <w:p>
      <w:pPr>
        <w:pStyle w:val="TOC2"/>
      </w:pPr>
      <w:hyperlink w:anchor="_Toc261100013" w:history="1">
        <w:r>
          <w:rPr>
            <w:noProof/>
          </w:rPr>
          <w:t xml:space="preserve">Article 7: The Governance Area</w:t>
        </w:r>
        <w:r>
          <w:rPr>
            <w:noProof/>
            <w:webHidden/>
          </w:rPr>
          <w:tab/>
        </w:r>
        <w:r>
          <w:rPr>
            <w:noProof/>
            <w:webHidden/>
          </w:rPr>
          <w:fldChar w:fldCharType="begin"/>
        </w:r>
        <w:r>
          <w:rPr>
            <w:noProof/>
            <w:webHidden/>
          </w:rPr>
          <w:instrText xml:space="preserve"> PAGEREF _Toc261100013 \h </w:instrText>
        </w:r>
        <w:r>
          <w:rPr>
            <w:noProof/>
            <w:webHidden/>
          </w:rPr>
          <w:fldChar w:fldCharType="separate"/>
        </w:r>
        <w:r>
          <w:rPr>
            <w:noProof/>
            <w:webHidden/>
          </w:rPr>
          <w:t xml:space="preserve">21</w:t>
        </w:r>
        <w:r>
          <w:rPr>
            <w:noProof/>
            <w:webHidden/>
          </w:rPr>
          <w:fldChar w:fldCharType="end"/>
        </w:r>
      </w:hyperlink>
    </w:p>
    <w:p>
      <w:pPr>
        <w:pStyle w:val="TOC2"/>
      </w:pPr>
      <w:hyperlink w:anchor="_Toc261100014" w:history="1">
        <w:r>
          <w:rPr>
            <w:noProof/>
          </w:rPr>
          <w:t xml:space="preserve">Article 8: The Three-Corridor System</w:t>
        </w:r>
        <w:r>
          <w:rPr>
            <w:noProof/>
            <w:webHidden/>
          </w:rPr>
          <w:tab/>
        </w:r>
        <w:r>
          <w:rPr>
            <w:noProof/>
            <w:webHidden/>
          </w:rPr>
          <w:fldChar w:fldCharType="begin"/>
        </w:r>
        <w:r>
          <w:rPr>
            <w:noProof/>
            <w:webHidden/>
          </w:rPr>
          <w:instrText xml:space="preserve"> PAGEREF _Toc261100014 \h </w:instrText>
        </w:r>
        <w:r>
          <w:rPr>
            <w:noProof/>
            <w:webHidden/>
          </w:rPr>
          <w:fldChar w:fldCharType="separate"/>
        </w:r>
        <w:r>
          <w:rPr>
            <w:noProof/>
            <w:webHidden/>
          </w:rPr>
          <w:t xml:space="preserve">22</w:t>
        </w:r>
        <w:r>
          <w:rPr>
            <w:noProof/>
            <w:webHidden/>
          </w:rPr>
          <w:fldChar w:fldCharType="end"/>
        </w:r>
      </w:hyperlink>
    </w:p>
    <w:p>
      <w:pPr>
        <w:pStyle w:val="TOC2"/>
      </w:pPr>
      <w:hyperlink w:anchor="_Toc261100015" w:history="1">
        <w:r>
          <w:rPr>
            <w:noProof/>
          </w:rPr>
          <w:t xml:space="preserve">Article 9: Vessel Classification</w:t>
        </w:r>
        <w:r>
          <w:rPr>
            <w:noProof/>
            <w:webHidden/>
          </w:rPr>
          <w:tab/>
        </w:r>
        <w:r>
          <w:rPr>
            <w:noProof/>
            <w:webHidden/>
          </w:rPr>
          <w:fldChar w:fldCharType="begin"/>
        </w:r>
        <w:r>
          <w:rPr>
            <w:noProof/>
            <w:webHidden/>
          </w:rPr>
          <w:instrText xml:space="preserve"> PAGEREF _Toc261100015 \h </w:instrText>
        </w:r>
        <w:r>
          <w:rPr>
            <w:noProof/>
            <w:webHidden/>
          </w:rPr>
          <w:fldChar w:fldCharType="separate"/>
        </w:r>
        <w:r>
          <w:rPr>
            <w:noProof/>
            <w:webHidden/>
          </w:rPr>
          <w:t xml:space="preserve">23</w:t>
        </w:r>
        <w:r>
          <w:rPr>
            <w:noProof/>
            <w:webHidden/>
          </w:rPr>
          <w:fldChar w:fldCharType="end"/>
        </w:r>
      </w:hyperlink>
    </w:p>
    <w:p>
      <w:pPr>
        <w:pStyle w:val="TOC2"/>
      </w:pPr>
      <w:hyperlink w:anchor="_Toc261100016" w:history="1">
        <w:r>
          <w:rPr>
            <w:noProof/>
          </w:rPr>
          <w:t xml:space="preserve">Article 10: The Notification Protocol</w:t>
        </w:r>
        <w:r>
          <w:rPr>
            <w:noProof/>
            <w:webHidden/>
          </w:rPr>
          <w:tab/>
        </w:r>
        <w:r>
          <w:rPr>
            <w:noProof/>
            <w:webHidden/>
          </w:rPr>
          <w:fldChar w:fldCharType="begin"/>
        </w:r>
        <w:r>
          <w:rPr>
            <w:noProof/>
            <w:webHidden/>
          </w:rPr>
          <w:instrText xml:space="preserve"> PAGEREF _Toc261100016 \h </w:instrText>
        </w:r>
        <w:r>
          <w:rPr>
            <w:noProof/>
            <w:webHidden/>
          </w:rPr>
          <w:fldChar w:fldCharType="separate"/>
        </w:r>
        <w:r>
          <w:rPr>
            <w:noProof/>
            <w:webHidden/>
          </w:rPr>
          <w:t xml:space="preserve">24</w:t>
        </w:r>
        <w:r>
          <w:rPr>
            <w:noProof/>
            <w:webHidden/>
          </w:rPr>
          <w:fldChar w:fldCharType="end"/>
        </w:r>
      </w:hyperlink>
    </w:p>
    <w:p>
      <w:pPr>
        <w:pStyle w:val="TOC2"/>
      </w:pPr>
      <w:hyperlink w:anchor="_Toc261100017" w:history="1">
        <w:r>
          <w:rPr>
            <w:noProof/>
          </w:rPr>
          <w:t xml:space="preserve">Article 11: The Flow State Doctrine</w:t>
        </w:r>
        <w:r>
          <w:rPr>
            <w:noProof/>
            <w:webHidden/>
          </w:rPr>
          <w:tab/>
        </w:r>
        <w:r>
          <w:rPr>
            <w:noProof/>
            <w:webHidden/>
          </w:rPr>
          <w:fldChar w:fldCharType="begin"/>
        </w:r>
        <w:r>
          <w:rPr>
            <w:noProof/>
            <w:webHidden/>
          </w:rPr>
          <w:instrText xml:space="preserve"> PAGEREF _Toc261100017 \h </w:instrText>
        </w:r>
        <w:r>
          <w:rPr>
            <w:noProof/>
            <w:webHidden/>
          </w:rPr>
          <w:fldChar w:fldCharType="separate"/>
        </w:r>
        <w:r>
          <w:rPr>
            <w:noProof/>
            <w:webHidden/>
          </w:rPr>
          <w:t xml:space="preserve">25</w:t>
        </w:r>
        <w:r>
          <w:rPr>
            <w:noProof/>
            <w:webHidden/>
          </w:rPr>
          <w:fldChar w:fldCharType="end"/>
        </w:r>
      </w:hyperlink>
    </w:p>
    <w:p>
      <w:pPr>
        <w:pStyle w:val="TOC2"/>
      </w:pPr>
      <w:hyperlink w:anchor="_Toc261100018" w:history="1">
        <w:r>
          <w:rPr>
            <w:noProof/>
          </w:rPr>
          <w:t xml:space="preserve">Article 12: Passage Rights and the Absolute Non-Interdiction Protocol</w:t>
        </w:r>
        <w:r>
          <w:rPr>
            <w:noProof/>
            <w:webHidden/>
          </w:rPr>
          <w:tab/>
        </w:r>
        <w:r>
          <w:rPr>
            <w:noProof/>
            <w:webHidden/>
          </w:rPr>
          <w:fldChar w:fldCharType="begin"/>
        </w:r>
        <w:r>
          <w:rPr>
            <w:noProof/>
            <w:webHidden/>
          </w:rPr>
          <w:instrText xml:space="preserve"> PAGEREF _Toc261100018 \h </w:instrText>
        </w:r>
        <w:r>
          <w:rPr>
            <w:noProof/>
            <w:webHidden/>
          </w:rPr>
          <w:fldChar w:fldCharType="separate"/>
        </w:r>
        <w:r>
          <w:rPr>
            <w:noProof/>
            <w:webHidden/>
          </w:rPr>
          <w:t xml:space="preserve">26</w:t>
        </w:r>
        <w:r>
          <w:rPr>
            <w:noProof/>
            <w:webHidden/>
          </w:rPr>
          <w:fldChar w:fldCharType="end"/>
        </w:r>
      </w:hyperlink>
    </w:p>
    <w:p>
      <w:pPr>
        <w:pStyle w:val="TOC1"/>
      </w:pPr>
      <w:hyperlink w:anchor="_Toc261100019" w:history="1">
        <w:r>
          <w:rPr>
            <w:noProof/>
          </w:rPr>
          <w:t xml:space="preserve">Part III: Security Functions and Deconfliction</w:t>
        </w:r>
        <w:r>
          <w:rPr>
            <w:noProof/>
            <w:webHidden/>
          </w:rPr>
          <w:tab/>
        </w:r>
        <w:r>
          <w:rPr>
            <w:noProof/>
            <w:webHidden/>
          </w:rPr>
          <w:fldChar w:fldCharType="begin"/>
        </w:r>
        <w:r>
          <w:rPr>
            <w:noProof/>
            <w:webHidden/>
          </w:rPr>
          <w:instrText xml:space="preserve"> PAGEREF _Toc261100019 \h </w:instrText>
        </w:r>
        <w:r>
          <w:rPr>
            <w:noProof/>
            <w:webHidden/>
          </w:rPr>
          <w:fldChar w:fldCharType="separate"/>
        </w:r>
        <w:r>
          <w:rPr>
            <w:noProof/>
            <w:webHidden/>
          </w:rPr>
          <w:t xml:space="preserve">28</w:t>
        </w:r>
        <w:r>
          <w:rPr>
            <w:noProof/>
            <w:webHidden/>
          </w:rPr>
          <w:fldChar w:fldCharType="end"/>
        </w:r>
      </w:hyperlink>
    </w:p>
    <w:p>
      <w:pPr>
        <w:pStyle w:val="TOC2"/>
      </w:pPr>
      <w:hyperlink w:anchor="_Toc261100020" w:history="1">
        <w:r>
          <w:rPr>
            <w:noProof/>
          </w:rPr>
          <w:t xml:space="preserve">Article 13: Functional Allocation of Security Tasks</w:t>
        </w:r>
        <w:r>
          <w:rPr>
            <w:noProof/>
            <w:webHidden/>
          </w:rPr>
          <w:tab/>
        </w:r>
        <w:r>
          <w:rPr>
            <w:noProof/>
            <w:webHidden/>
          </w:rPr>
          <w:fldChar w:fldCharType="begin"/>
        </w:r>
        <w:r>
          <w:rPr>
            <w:noProof/>
            <w:webHidden/>
          </w:rPr>
          <w:instrText xml:space="preserve"> PAGEREF _Toc261100020 \h </w:instrText>
        </w:r>
        <w:r>
          <w:rPr>
            <w:noProof/>
            <w:webHidden/>
          </w:rPr>
          <w:fldChar w:fldCharType="separate"/>
        </w:r>
        <w:r>
          <w:rPr>
            <w:noProof/>
            <w:webHidden/>
          </w:rPr>
          <w:t xml:space="preserve">28</w:t>
        </w:r>
        <w:r>
          <w:rPr>
            <w:noProof/>
            <w:webHidden/>
          </w:rPr>
          <w:fldChar w:fldCharType="end"/>
        </w:r>
      </w:hyperlink>
    </w:p>
    <w:p>
      <w:pPr>
        <w:pStyle w:val="TOC2"/>
      </w:pPr>
      <w:hyperlink w:anchor="_Toc261100021" w:history="1">
        <w:r>
          <w:rPr>
            <w:noProof/>
          </w:rPr>
          <w:t xml:space="preserve">Article 14: The Twin Key Rule</w:t>
        </w:r>
        <w:r>
          <w:rPr>
            <w:noProof/>
            <w:webHidden/>
          </w:rPr>
          <w:tab/>
        </w:r>
        <w:r>
          <w:rPr>
            <w:noProof/>
            <w:webHidden/>
          </w:rPr>
          <w:fldChar w:fldCharType="begin"/>
        </w:r>
        <w:r>
          <w:rPr>
            <w:noProof/>
            <w:webHidden/>
          </w:rPr>
          <w:instrText xml:space="preserve"> PAGEREF _Toc261100021 \h </w:instrText>
        </w:r>
        <w:r>
          <w:rPr>
            <w:noProof/>
            <w:webHidden/>
          </w:rPr>
          <w:fldChar w:fldCharType="separate"/>
        </w:r>
        <w:r>
          <w:rPr>
            <w:noProof/>
            <w:webHidden/>
          </w:rPr>
          <w:t xml:space="preserve">29</w:t>
        </w:r>
        <w:r>
          <w:rPr>
            <w:noProof/>
            <w:webHidden/>
          </w:rPr>
          <w:fldChar w:fldCharType="end"/>
        </w:r>
      </w:hyperlink>
    </w:p>
    <w:p>
      <w:pPr>
        <w:pStyle w:val="TOC2"/>
      </w:pPr>
      <w:hyperlink w:anchor="_Toc261100022" w:history="1">
        <w:r>
          <w:rPr>
            <w:noProof/>
          </w:rPr>
          <w:t xml:space="preserve">Article 15: Standoff Geometry and Naval Conduct</w:t>
        </w:r>
        <w:r>
          <w:rPr>
            <w:noProof/>
            <w:webHidden/>
          </w:rPr>
          <w:tab/>
        </w:r>
        <w:r>
          <w:rPr>
            <w:noProof/>
            <w:webHidden/>
          </w:rPr>
          <w:fldChar w:fldCharType="begin"/>
        </w:r>
        <w:r>
          <w:rPr>
            <w:noProof/>
            <w:webHidden/>
          </w:rPr>
          <w:instrText xml:space="preserve"> PAGEREF _Toc261100022 \h </w:instrText>
        </w:r>
        <w:r>
          <w:rPr>
            <w:noProof/>
            <w:webHidden/>
          </w:rPr>
          <w:fldChar w:fldCharType="separate"/>
        </w:r>
        <w:r>
          <w:rPr>
            <w:noProof/>
            <w:webHidden/>
          </w:rPr>
          <w:t xml:space="preserve">30</w:t>
        </w:r>
        <w:r>
          <w:rPr>
            <w:noProof/>
            <w:webHidden/>
          </w:rPr>
          <w:fldChar w:fldCharType="end"/>
        </w:r>
      </w:hyperlink>
    </w:p>
    <w:p>
      <w:pPr>
        <w:pStyle w:val="TOC2"/>
      </w:pPr>
      <w:hyperlink w:anchor="_Toc261100023" w:history="1">
        <w:r>
          <w:rPr>
            <w:noProof/>
          </w:rPr>
          <w:t xml:space="preserve">Article 16: The Deconfliction Hotline and Military Liaison</w:t>
        </w:r>
        <w:r>
          <w:rPr>
            <w:noProof/>
            <w:webHidden/>
          </w:rPr>
          <w:tab/>
        </w:r>
        <w:r>
          <w:rPr>
            <w:noProof/>
            <w:webHidden/>
          </w:rPr>
          <w:fldChar w:fldCharType="begin"/>
        </w:r>
        <w:r>
          <w:rPr>
            <w:noProof/>
            <w:webHidden/>
          </w:rPr>
          <w:instrText xml:space="preserve"> PAGEREF _Toc261100023 \h </w:instrText>
        </w:r>
        <w:r>
          <w:rPr>
            <w:noProof/>
            <w:webHidden/>
          </w:rPr>
          <w:fldChar w:fldCharType="separate"/>
        </w:r>
        <w:r>
          <w:rPr>
            <w:noProof/>
            <w:webHidden/>
          </w:rPr>
          <w:t xml:space="preserve">31</w:t>
        </w:r>
        <w:r>
          <w:rPr>
            <w:noProof/>
            <w:webHidden/>
          </w:rPr>
          <w:fldChar w:fldCharType="end"/>
        </w:r>
      </w:hyperlink>
    </w:p>
    <w:p>
      <w:pPr>
        <w:pStyle w:val="TOC2"/>
      </w:pPr>
      <w:hyperlink w:anchor="_Toc261100024" w:history="1">
        <w:r>
          <w:rPr>
            <w:noProof/>
          </w:rPr>
          <w:t xml:space="preserve">Article 17: The Mine Exclusion and the Hazard Survey Sequence</w:t>
        </w:r>
        <w:r>
          <w:rPr>
            <w:noProof/>
            <w:webHidden/>
          </w:rPr>
          <w:tab/>
        </w:r>
        <w:r>
          <w:rPr>
            <w:noProof/>
            <w:webHidden/>
          </w:rPr>
          <w:fldChar w:fldCharType="begin"/>
        </w:r>
        <w:r>
          <w:rPr>
            <w:noProof/>
            <w:webHidden/>
          </w:rPr>
          <w:instrText xml:space="preserve"> PAGEREF _Toc261100024 \h </w:instrText>
        </w:r>
        <w:r>
          <w:rPr>
            <w:noProof/>
            <w:webHidden/>
          </w:rPr>
          <w:fldChar w:fldCharType="separate"/>
        </w:r>
        <w:r>
          <w:rPr>
            <w:noProof/>
            <w:webHidden/>
          </w:rPr>
          <w:t xml:space="preserve">32</w:t>
        </w:r>
        <w:r>
          <w:rPr>
            <w:noProof/>
            <w:webHidden/>
          </w:rPr>
          <w:fldChar w:fldCharType="end"/>
        </w:r>
      </w:hyperlink>
    </w:p>
    <w:p>
      <w:pPr>
        <w:pStyle w:val="TOC1"/>
      </w:pPr>
      <w:hyperlink w:anchor="_Toc261100025" w:history="1">
        <w:r>
          <w:rPr>
            <w:noProof/>
          </w:rPr>
          <w:t xml:space="preserve">Part IV: The Institutional Architecture</w:t>
        </w:r>
        <w:r>
          <w:rPr>
            <w:noProof/>
            <w:webHidden/>
          </w:rPr>
          <w:tab/>
        </w:r>
        <w:r>
          <w:rPr>
            <w:noProof/>
            <w:webHidden/>
          </w:rPr>
          <w:fldChar w:fldCharType="begin"/>
        </w:r>
        <w:r>
          <w:rPr>
            <w:noProof/>
            <w:webHidden/>
          </w:rPr>
          <w:instrText xml:space="preserve"> PAGEREF _Toc261100025 \h </w:instrText>
        </w:r>
        <w:r>
          <w:rPr>
            <w:noProof/>
            <w:webHidden/>
          </w:rPr>
          <w:fldChar w:fldCharType="separate"/>
        </w:r>
        <w:r>
          <w:rPr>
            <w:noProof/>
            <w:webHidden/>
          </w:rPr>
          <w:t xml:space="preserve">34</w:t>
        </w:r>
        <w:r>
          <w:rPr>
            <w:noProof/>
            <w:webHidden/>
          </w:rPr>
          <w:fldChar w:fldCharType="end"/>
        </w:r>
      </w:hyperlink>
    </w:p>
    <w:p>
      <w:pPr>
        <w:pStyle w:val="TOC2"/>
      </w:pPr>
      <w:hyperlink w:anchor="_Toc261100026" w:history="1">
        <w:r>
          <w:rPr>
            <w:noProof/>
          </w:rPr>
          <w:t xml:space="preserve">Article 18: The Horizon Maritime Authority</w:t>
        </w:r>
        <w:r>
          <w:rPr>
            <w:noProof/>
            <w:webHidden/>
          </w:rPr>
          <w:tab/>
        </w:r>
        <w:r>
          <w:rPr>
            <w:noProof/>
            <w:webHidden/>
          </w:rPr>
          <w:fldChar w:fldCharType="begin"/>
        </w:r>
        <w:r>
          <w:rPr>
            <w:noProof/>
            <w:webHidden/>
          </w:rPr>
          <w:instrText xml:space="preserve"> PAGEREF _Toc261100026 \h </w:instrText>
        </w:r>
        <w:r>
          <w:rPr>
            <w:noProof/>
            <w:webHidden/>
          </w:rPr>
          <w:fldChar w:fldCharType="separate"/>
        </w:r>
        <w:r>
          <w:rPr>
            <w:noProof/>
            <w:webHidden/>
          </w:rPr>
          <w:t xml:space="preserve">34</w:t>
        </w:r>
        <w:r>
          <w:rPr>
            <w:noProof/>
            <w:webHidden/>
          </w:rPr>
          <w:fldChar w:fldCharType="end"/>
        </w:r>
      </w:hyperlink>
    </w:p>
    <w:p>
      <w:pPr>
        <w:pStyle w:val="TOC2"/>
      </w:pPr>
      <w:hyperlink w:anchor="_Toc261100027" w:history="1">
        <w:r>
          <w:rPr>
            <w:noProof/>
          </w:rPr>
          <w:t xml:space="preserve">Article 19: The Joint Watch Floors and the Mirror Facility</w:t>
        </w:r>
        <w:r>
          <w:rPr>
            <w:noProof/>
            <w:webHidden/>
          </w:rPr>
          <w:tab/>
        </w:r>
        <w:r>
          <w:rPr>
            <w:noProof/>
            <w:webHidden/>
          </w:rPr>
          <w:fldChar w:fldCharType="begin"/>
        </w:r>
        <w:r>
          <w:rPr>
            <w:noProof/>
            <w:webHidden/>
          </w:rPr>
          <w:instrText xml:space="preserve"> PAGEREF _Toc261100027 \h </w:instrText>
        </w:r>
        <w:r>
          <w:rPr>
            <w:noProof/>
            <w:webHidden/>
          </w:rPr>
          <w:fldChar w:fldCharType="separate"/>
        </w:r>
        <w:r>
          <w:rPr>
            <w:noProof/>
            <w:webHidden/>
          </w:rPr>
          <w:t xml:space="preserve">35</w:t>
        </w:r>
        <w:r>
          <w:rPr>
            <w:noProof/>
            <w:webHidden/>
          </w:rPr>
          <w:fldChar w:fldCharType="end"/>
        </w:r>
      </w:hyperlink>
    </w:p>
    <w:p>
      <w:pPr>
        <w:pStyle w:val="TOC2"/>
      </w:pPr>
      <w:hyperlink w:anchor="_Toc261100028" w:history="1">
        <w:r>
          <w:rPr>
            <w:noProof/>
          </w:rPr>
          <w:t xml:space="preserve">Article 20: The Transit Desk</w:t>
        </w:r>
        <w:r>
          <w:rPr>
            <w:noProof/>
            <w:webHidden/>
          </w:rPr>
          <w:tab/>
        </w:r>
        <w:r>
          <w:rPr>
            <w:noProof/>
            <w:webHidden/>
          </w:rPr>
          <w:fldChar w:fldCharType="begin"/>
        </w:r>
        <w:r>
          <w:rPr>
            <w:noProof/>
            <w:webHidden/>
          </w:rPr>
          <w:instrText xml:space="preserve"> PAGEREF _Toc261100028 \h </w:instrText>
        </w:r>
        <w:r>
          <w:rPr>
            <w:noProof/>
            <w:webHidden/>
          </w:rPr>
          <w:fldChar w:fldCharType="separate"/>
        </w:r>
        <w:r>
          <w:rPr>
            <w:noProof/>
            <w:webHidden/>
          </w:rPr>
          <w:t xml:space="preserve">36</w:t>
        </w:r>
        <w:r>
          <w:rPr>
            <w:noProof/>
            <w:webHidden/>
          </w:rPr>
          <w:fldChar w:fldCharType="end"/>
        </w:r>
      </w:hyperlink>
    </w:p>
    <w:p>
      <w:pPr>
        <w:pStyle w:val="TOC2"/>
      </w:pPr>
      <w:hyperlink w:anchor="_Toc261100029" w:history="1">
        <w:r>
          <w:rPr>
            <w:noProof/>
          </w:rPr>
          <w:t xml:space="preserve">Article 21: The Neutral Verification Office</w:t>
        </w:r>
        <w:r>
          <w:rPr>
            <w:noProof/>
            <w:webHidden/>
          </w:rPr>
          <w:tab/>
        </w:r>
        <w:r>
          <w:rPr>
            <w:noProof/>
            <w:webHidden/>
          </w:rPr>
          <w:fldChar w:fldCharType="begin"/>
        </w:r>
        <w:r>
          <w:rPr>
            <w:noProof/>
            <w:webHidden/>
          </w:rPr>
          <w:instrText xml:space="preserve"> PAGEREF _Toc261100029 \h </w:instrText>
        </w:r>
        <w:r>
          <w:rPr>
            <w:noProof/>
            <w:webHidden/>
          </w:rPr>
          <w:fldChar w:fldCharType="separate"/>
        </w:r>
        <w:r>
          <w:rPr>
            <w:noProof/>
            <w:webHidden/>
          </w:rPr>
          <w:t xml:space="preserve">36</w:t>
        </w:r>
        <w:r>
          <w:rPr>
            <w:noProof/>
            <w:webHidden/>
          </w:rPr>
          <w:fldChar w:fldCharType="end"/>
        </w:r>
      </w:hyperlink>
    </w:p>
    <w:p>
      <w:pPr>
        <w:pStyle w:val="TOC2"/>
      </w:pPr>
      <w:hyperlink w:anchor="_Toc261100030" w:history="1">
        <w:r>
          <w:rPr>
            <w:noProof/>
          </w:rPr>
          <w:t xml:space="preserve">Article 22: The Hormuz Bridge Commission</w:t>
        </w:r>
        <w:r>
          <w:rPr>
            <w:noProof/>
            <w:webHidden/>
          </w:rPr>
          <w:tab/>
        </w:r>
        <w:r>
          <w:rPr>
            <w:noProof/>
            <w:webHidden/>
          </w:rPr>
          <w:fldChar w:fldCharType="begin"/>
        </w:r>
        <w:r>
          <w:rPr>
            <w:noProof/>
            <w:webHidden/>
          </w:rPr>
          <w:instrText xml:space="preserve"> PAGEREF _Toc261100030 \h </w:instrText>
        </w:r>
        <w:r>
          <w:rPr>
            <w:noProof/>
            <w:webHidden/>
          </w:rPr>
          <w:fldChar w:fldCharType="separate"/>
        </w:r>
        <w:r>
          <w:rPr>
            <w:noProof/>
            <w:webHidden/>
          </w:rPr>
          <w:t xml:space="preserve">37</w:t>
        </w:r>
        <w:r>
          <w:rPr>
            <w:noProof/>
            <w:webHidden/>
          </w:rPr>
          <w:fldChar w:fldCharType="end"/>
        </w:r>
      </w:hyperlink>
    </w:p>
    <w:p>
      <w:pPr>
        <w:pStyle w:val="TOC2"/>
      </w:pPr>
      <w:hyperlink w:anchor="_Toc261100031" w:history="1">
        <w:r>
          <w:rPr>
            <w:noProof/>
          </w:rPr>
          <w:t xml:space="preserve">Article 23: The Stakeholder Panel</w:t>
        </w:r>
        <w:r>
          <w:rPr>
            <w:noProof/>
            <w:webHidden/>
          </w:rPr>
          <w:tab/>
        </w:r>
        <w:r>
          <w:rPr>
            <w:noProof/>
            <w:webHidden/>
          </w:rPr>
          <w:fldChar w:fldCharType="begin"/>
        </w:r>
        <w:r>
          <w:rPr>
            <w:noProof/>
            <w:webHidden/>
          </w:rPr>
          <w:instrText xml:space="preserve"> PAGEREF _Toc261100031 \h </w:instrText>
        </w:r>
        <w:r>
          <w:rPr>
            <w:noProof/>
            <w:webHidden/>
          </w:rPr>
          <w:fldChar w:fldCharType="separate"/>
        </w:r>
        <w:r>
          <w:rPr>
            <w:noProof/>
            <w:webHidden/>
          </w:rPr>
          <w:t xml:space="preserve">38</w:t>
        </w:r>
        <w:r>
          <w:rPr>
            <w:noProof/>
            <w:webHidden/>
          </w:rPr>
          <w:fldChar w:fldCharType="end"/>
        </w:r>
      </w:hyperlink>
    </w:p>
    <w:p>
      <w:pPr>
        <w:pStyle w:val="TOC2"/>
      </w:pPr>
      <w:hyperlink w:anchor="_Toc261100032" w:history="1">
        <w:r>
          <w:rPr>
            <w:noProof/>
          </w:rPr>
          <w:t xml:space="preserve">Article 24: Observers, the Accession Path, and the Endorsing Stakeholder Model</w:t>
        </w:r>
        <w:r>
          <w:rPr>
            <w:noProof/>
            <w:webHidden/>
          </w:rPr>
          <w:tab/>
        </w:r>
        <w:r>
          <w:rPr>
            <w:noProof/>
            <w:webHidden/>
          </w:rPr>
          <w:fldChar w:fldCharType="begin"/>
        </w:r>
        <w:r>
          <w:rPr>
            <w:noProof/>
            <w:webHidden/>
          </w:rPr>
          <w:instrText xml:space="preserve"> PAGEREF _Toc261100032 \h </w:instrText>
        </w:r>
        <w:r>
          <w:rPr>
            <w:noProof/>
            <w:webHidden/>
          </w:rPr>
          <w:fldChar w:fldCharType="separate"/>
        </w:r>
        <w:r>
          <w:rPr>
            <w:noProof/>
            <w:webHidden/>
          </w:rPr>
          <w:t xml:space="preserve">39</w:t>
        </w:r>
        <w:r>
          <w:rPr>
            <w:noProof/>
            <w:webHidden/>
          </w:rPr>
          <w:fldChar w:fldCharType="end"/>
        </w:r>
      </w:hyperlink>
    </w:p>
    <w:p>
      <w:pPr>
        <w:pStyle w:val="TOC1"/>
      </w:pPr>
      <w:hyperlink w:anchor="_Toc261100033" w:history="1">
        <w:r>
          <w:rPr>
            <w:noProof/>
          </w:rPr>
          <w:t xml:space="preserve">Part V: The Financial Architecture</w:t>
        </w:r>
        <w:r>
          <w:rPr>
            <w:noProof/>
            <w:webHidden/>
          </w:rPr>
          <w:tab/>
        </w:r>
        <w:r>
          <w:rPr>
            <w:noProof/>
            <w:webHidden/>
          </w:rPr>
          <w:fldChar w:fldCharType="begin"/>
        </w:r>
        <w:r>
          <w:rPr>
            <w:noProof/>
            <w:webHidden/>
          </w:rPr>
          <w:instrText xml:space="preserve"> PAGEREF _Toc261100033 \h </w:instrText>
        </w:r>
        <w:r>
          <w:rPr>
            <w:noProof/>
            <w:webHidden/>
          </w:rPr>
          <w:fldChar w:fldCharType="separate"/>
        </w:r>
        <w:r>
          <w:rPr>
            <w:noProof/>
            <w:webHidden/>
          </w:rPr>
          <w:t xml:space="preserve">41</w:t>
        </w:r>
        <w:r>
          <w:rPr>
            <w:noProof/>
            <w:webHidden/>
          </w:rPr>
          <w:fldChar w:fldCharType="end"/>
        </w:r>
      </w:hyperlink>
    </w:p>
    <w:p>
      <w:pPr>
        <w:pStyle w:val="TOC2"/>
      </w:pPr>
      <w:hyperlink w:anchor="_Toc261100034" w:history="1">
        <w:r>
          <w:rPr>
            <w:noProof/>
          </w:rPr>
          <w:t xml:space="preserve">Article 25: The Zero-Toll Rule</w:t>
        </w:r>
        <w:r>
          <w:rPr>
            <w:noProof/>
            <w:webHidden/>
          </w:rPr>
          <w:tab/>
        </w:r>
        <w:r>
          <w:rPr>
            <w:noProof/>
            <w:webHidden/>
          </w:rPr>
          <w:fldChar w:fldCharType="begin"/>
        </w:r>
        <w:r>
          <w:rPr>
            <w:noProof/>
            <w:webHidden/>
          </w:rPr>
          <w:instrText xml:space="preserve"> PAGEREF _Toc261100034 \h </w:instrText>
        </w:r>
        <w:r>
          <w:rPr>
            <w:noProof/>
            <w:webHidden/>
          </w:rPr>
          <w:fldChar w:fldCharType="separate"/>
        </w:r>
        <w:r>
          <w:rPr>
            <w:noProof/>
            <w:webHidden/>
          </w:rPr>
          <w:t xml:space="preserve">41</w:t>
        </w:r>
        <w:r>
          <w:rPr>
            <w:noProof/>
            <w:webHidden/>
          </w:rPr>
          <w:fldChar w:fldCharType="end"/>
        </w:r>
      </w:hyperlink>
    </w:p>
    <w:p>
      <w:pPr>
        <w:pStyle w:val="TOC2"/>
      </w:pPr>
      <w:hyperlink w:anchor="_Toc261100035" w:history="1">
        <w:r>
          <w:rPr>
            <w:noProof/>
          </w:rPr>
          <w:t xml:space="preserve">Article 26: The Verified Services Catalog</w:t>
        </w:r>
        <w:r>
          <w:rPr>
            <w:noProof/>
            <w:webHidden/>
          </w:rPr>
          <w:tab/>
        </w:r>
        <w:r>
          <w:rPr>
            <w:noProof/>
            <w:webHidden/>
          </w:rPr>
          <w:fldChar w:fldCharType="begin"/>
        </w:r>
        <w:r>
          <w:rPr>
            <w:noProof/>
            <w:webHidden/>
          </w:rPr>
          <w:instrText xml:space="preserve"> PAGEREF _Toc261100035 \h </w:instrText>
        </w:r>
        <w:r>
          <w:rPr>
            <w:noProof/>
            <w:webHidden/>
          </w:rPr>
          <w:fldChar w:fldCharType="separate"/>
        </w:r>
        <w:r>
          <w:rPr>
            <w:noProof/>
            <w:webHidden/>
          </w:rPr>
          <w:t xml:space="preserve">42</w:t>
        </w:r>
        <w:r>
          <w:rPr>
            <w:noProof/>
            <w:webHidden/>
          </w:rPr>
          <w:fldChar w:fldCharType="end"/>
        </w:r>
      </w:hyperlink>
    </w:p>
    <w:p>
      <w:pPr>
        <w:pStyle w:val="TOC2"/>
      </w:pPr>
      <w:hyperlink w:anchor="_Toc261100036" w:history="1">
        <w:r>
          <w:rPr>
            <w:noProof/>
          </w:rPr>
          <w:t xml:space="preserve">Article 27: The Voluntary Contribution Facility</w:t>
        </w:r>
        <w:r>
          <w:rPr>
            <w:noProof/>
            <w:webHidden/>
          </w:rPr>
          <w:tab/>
        </w:r>
        <w:r>
          <w:rPr>
            <w:noProof/>
            <w:webHidden/>
          </w:rPr>
          <w:fldChar w:fldCharType="begin"/>
        </w:r>
        <w:r>
          <w:rPr>
            <w:noProof/>
            <w:webHidden/>
          </w:rPr>
          <w:instrText xml:space="preserve"> PAGEREF _Toc261100036 \h </w:instrText>
        </w:r>
        <w:r>
          <w:rPr>
            <w:noProof/>
            <w:webHidden/>
          </w:rPr>
          <w:fldChar w:fldCharType="separate"/>
        </w:r>
        <w:r>
          <w:rPr>
            <w:noProof/>
            <w:webHidden/>
          </w:rPr>
          <w:t xml:space="preserve">43</w:t>
        </w:r>
        <w:r>
          <w:rPr>
            <w:noProof/>
            <w:webHidden/>
          </w:rPr>
          <w:fldChar w:fldCharType="end"/>
        </w:r>
      </w:hyperlink>
    </w:p>
    <w:p>
      <w:pPr>
        <w:pStyle w:val="TOC2"/>
      </w:pPr>
      <w:hyperlink w:anchor="_Toc261100037" w:history="1">
        <w:r>
          <w:rPr>
            <w:noProof/>
          </w:rPr>
          <w:t xml:space="preserve">Article 28: The Sanctions-Compliance Firewall</w:t>
        </w:r>
        <w:r>
          <w:rPr>
            <w:noProof/>
            <w:webHidden/>
          </w:rPr>
          <w:tab/>
        </w:r>
        <w:r>
          <w:rPr>
            <w:noProof/>
            <w:webHidden/>
          </w:rPr>
          <w:fldChar w:fldCharType="begin"/>
        </w:r>
        <w:r>
          <w:rPr>
            <w:noProof/>
            <w:webHidden/>
          </w:rPr>
          <w:instrText xml:space="preserve"> PAGEREF _Toc261100037 \h </w:instrText>
        </w:r>
        <w:r>
          <w:rPr>
            <w:noProof/>
            <w:webHidden/>
          </w:rPr>
          <w:fldChar w:fldCharType="separate"/>
        </w:r>
        <w:r>
          <w:rPr>
            <w:noProof/>
            <w:webHidden/>
          </w:rPr>
          <w:t xml:space="preserve">44</w:t>
        </w:r>
        <w:r>
          <w:rPr>
            <w:noProof/>
            <w:webHidden/>
          </w:rPr>
          <w:fldChar w:fldCharType="end"/>
        </w:r>
      </w:hyperlink>
    </w:p>
    <w:p>
      <w:pPr>
        <w:pStyle w:val="TOC2"/>
      </w:pPr>
      <w:hyperlink w:anchor="_Toc261100038" w:history="1">
        <w:r>
          <w:rPr>
            <w:noProof/>
          </w:rPr>
          <w:t xml:space="preserve">Article 29: Audit, the Port Processing Add-On, and Anti-Circumvention</w:t>
        </w:r>
        <w:r>
          <w:rPr>
            <w:noProof/>
            <w:webHidden/>
          </w:rPr>
          <w:tab/>
        </w:r>
        <w:r>
          <w:rPr>
            <w:noProof/>
            <w:webHidden/>
          </w:rPr>
          <w:fldChar w:fldCharType="begin"/>
        </w:r>
        <w:r>
          <w:rPr>
            <w:noProof/>
            <w:webHidden/>
          </w:rPr>
          <w:instrText xml:space="preserve"> PAGEREF _Toc261100038 \h </w:instrText>
        </w:r>
        <w:r>
          <w:rPr>
            <w:noProof/>
            <w:webHidden/>
          </w:rPr>
          <w:fldChar w:fldCharType="separate"/>
        </w:r>
        <w:r>
          <w:rPr>
            <w:noProof/>
            <w:webHidden/>
          </w:rPr>
          <w:t xml:space="preserve">45</w:t>
        </w:r>
        <w:r>
          <w:rPr>
            <w:noProof/>
            <w:webHidden/>
          </w:rPr>
          <w:fldChar w:fldCharType="end"/>
        </w:r>
      </w:hyperlink>
    </w:p>
    <w:p>
      <w:pPr>
        <w:pStyle w:val="TOC1"/>
      </w:pPr>
      <w:hyperlink w:anchor="_Toc261100039" w:history="1">
        <w:r>
          <w:rPr>
            <w:noProof/>
          </w:rPr>
          <w:t xml:space="preserve">Part VI: Verification and the Compliance Engine</w:t>
        </w:r>
        <w:r>
          <w:rPr>
            <w:noProof/>
            <w:webHidden/>
          </w:rPr>
          <w:tab/>
        </w:r>
        <w:r>
          <w:rPr>
            <w:noProof/>
            <w:webHidden/>
          </w:rPr>
          <w:fldChar w:fldCharType="begin"/>
        </w:r>
        <w:r>
          <w:rPr>
            <w:noProof/>
            <w:webHidden/>
          </w:rPr>
          <w:instrText xml:space="preserve"> PAGEREF _Toc261100039 \h </w:instrText>
        </w:r>
        <w:r>
          <w:rPr>
            <w:noProof/>
            <w:webHidden/>
          </w:rPr>
          <w:fldChar w:fldCharType="separate"/>
        </w:r>
        <w:r>
          <w:rPr>
            <w:noProof/>
            <w:webHidden/>
          </w:rPr>
          <w:t xml:space="preserve">47</w:t>
        </w:r>
        <w:r>
          <w:rPr>
            <w:noProof/>
            <w:webHidden/>
          </w:rPr>
          <w:fldChar w:fldCharType="end"/>
        </w:r>
      </w:hyperlink>
    </w:p>
    <w:p>
      <w:pPr>
        <w:pStyle w:val="TOC2"/>
      </w:pPr>
      <w:hyperlink w:anchor="_Toc261100040" w:history="1">
        <w:r>
          <w:rPr>
            <w:noProof/>
          </w:rPr>
          <w:t xml:space="preserve">Article 30: The Human Anchor Method and the Convergence Standard</w:t>
        </w:r>
        <w:r>
          <w:rPr>
            <w:noProof/>
            <w:webHidden/>
          </w:rPr>
          <w:tab/>
        </w:r>
        <w:r>
          <w:rPr>
            <w:noProof/>
            <w:webHidden/>
          </w:rPr>
          <w:fldChar w:fldCharType="begin"/>
        </w:r>
        <w:r>
          <w:rPr>
            <w:noProof/>
            <w:webHidden/>
          </w:rPr>
          <w:instrText xml:space="preserve"> PAGEREF _Toc261100040 \h </w:instrText>
        </w:r>
        <w:r>
          <w:rPr>
            <w:noProof/>
            <w:webHidden/>
          </w:rPr>
          <w:fldChar w:fldCharType="separate"/>
        </w:r>
        <w:r>
          <w:rPr>
            <w:noProof/>
            <w:webHidden/>
          </w:rPr>
          <w:t xml:space="preserve">47</w:t>
        </w:r>
        <w:r>
          <w:rPr>
            <w:noProof/>
            <w:webHidden/>
          </w:rPr>
          <w:fldChar w:fldCharType="end"/>
        </w:r>
      </w:hyperlink>
    </w:p>
    <w:p>
      <w:pPr>
        <w:pStyle w:val="TOC2"/>
      </w:pPr>
      <w:hyperlink w:anchor="_Toc261100041" w:history="1">
        <w:r>
          <w:rPr>
            <w:noProof/>
          </w:rPr>
          <w:t xml:space="preserve">Article 31: The Integrity Cell</w:t>
        </w:r>
        <w:r>
          <w:rPr>
            <w:noProof/>
            <w:webHidden/>
          </w:rPr>
          <w:tab/>
        </w:r>
        <w:r>
          <w:rPr>
            <w:noProof/>
            <w:webHidden/>
          </w:rPr>
          <w:fldChar w:fldCharType="begin"/>
        </w:r>
        <w:r>
          <w:rPr>
            <w:noProof/>
            <w:webHidden/>
          </w:rPr>
          <w:instrText xml:space="preserve"> PAGEREF _Toc261100041 \h </w:instrText>
        </w:r>
        <w:r>
          <w:rPr>
            <w:noProof/>
            <w:webHidden/>
          </w:rPr>
          <w:fldChar w:fldCharType="separate"/>
        </w:r>
        <w:r>
          <w:rPr>
            <w:noProof/>
            <w:webHidden/>
          </w:rPr>
          <w:t xml:space="preserve">48</w:t>
        </w:r>
        <w:r>
          <w:rPr>
            <w:noProof/>
            <w:webHidden/>
          </w:rPr>
          <w:fldChar w:fldCharType="end"/>
        </w:r>
      </w:hyperlink>
    </w:p>
    <w:p>
      <w:pPr>
        <w:pStyle w:val="TOC2"/>
      </w:pPr>
      <w:hyperlink w:anchor="_Toc261100042" w:history="1">
        <w:r>
          <w:rPr>
            <w:noProof/>
          </w:rPr>
          <w:t xml:space="preserve">Article 32: The Three-Tier Breach Classification</w:t>
        </w:r>
        <w:r>
          <w:rPr>
            <w:noProof/>
            <w:webHidden/>
          </w:rPr>
          <w:tab/>
        </w:r>
        <w:r>
          <w:rPr>
            <w:noProof/>
            <w:webHidden/>
          </w:rPr>
          <w:fldChar w:fldCharType="begin"/>
        </w:r>
        <w:r>
          <w:rPr>
            <w:noProof/>
            <w:webHidden/>
          </w:rPr>
          <w:instrText xml:space="preserve"> PAGEREF _Toc261100042 \h </w:instrText>
        </w:r>
        <w:r>
          <w:rPr>
            <w:noProof/>
            <w:webHidden/>
          </w:rPr>
          <w:fldChar w:fldCharType="separate"/>
        </w:r>
        <w:r>
          <w:rPr>
            <w:noProof/>
            <w:webHidden/>
          </w:rPr>
          <w:t xml:space="preserve">48</w:t>
        </w:r>
        <w:r>
          <w:rPr>
            <w:noProof/>
            <w:webHidden/>
          </w:rPr>
          <w:fldChar w:fldCharType="end"/>
        </w:r>
      </w:hyperlink>
    </w:p>
    <w:p>
      <w:pPr>
        <w:pStyle w:val="TOC2"/>
      </w:pPr>
      <w:hyperlink w:anchor="_Toc261100043" w:history="1">
        <w:r>
          <w:rPr>
            <w:noProof/>
          </w:rPr>
          <w:t xml:space="preserve">Article 33: The Step-Back and Earn-Back Engine</w:t>
        </w:r>
        <w:r>
          <w:rPr>
            <w:noProof/>
            <w:webHidden/>
          </w:rPr>
          <w:tab/>
        </w:r>
        <w:r>
          <w:rPr>
            <w:noProof/>
            <w:webHidden/>
          </w:rPr>
          <w:fldChar w:fldCharType="begin"/>
        </w:r>
        <w:r>
          <w:rPr>
            <w:noProof/>
            <w:webHidden/>
          </w:rPr>
          <w:instrText xml:space="preserve"> PAGEREF _Toc261100043 \h </w:instrText>
        </w:r>
        <w:r>
          <w:rPr>
            <w:noProof/>
            <w:webHidden/>
          </w:rPr>
          <w:fldChar w:fldCharType="separate"/>
        </w:r>
        <w:r>
          <w:rPr>
            <w:noProof/>
            <w:webHidden/>
          </w:rPr>
          <w:t xml:space="preserve">49</w:t>
        </w:r>
        <w:r>
          <w:rPr>
            <w:noProof/>
            <w:webHidden/>
          </w:rPr>
          <w:fldChar w:fldCharType="end"/>
        </w:r>
      </w:hyperlink>
    </w:p>
    <w:p>
      <w:pPr>
        <w:pStyle w:val="TOC2"/>
      </w:pPr>
      <w:hyperlink w:anchor="_Toc261100044" w:history="1">
        <w:r>
          <w:rPr>
            <w:noProof/>
          </w:rPr>
          <w:t xml:space="preserve">Article 34: The Good Behavior Escalator</w:t>
        </w:r>
        <w:r>
          <w:rPr>
            <w:noProof/>
            <w:webHidden/>
          </w:rPr>
          <w:tab/>
        </w:r>
        <w:r>
          <w:rPr>
            <w:noProof/>
            <w:webHidden/>
          </w:rPr>
          <w:fldChar w:fldCharType="begin"/>
        </w:r>
        <w:r>
          <w:rPr>
            <w:noProof/>
            <w:webHidden/>
          </w:rPr>
          <w:instrText xml:space="preserve"> PAGEREF _Toc261100044 \h </w:instrText>
        </w:r>
        <w:r>
          <w:rPr>
            <w:noProof/>
            <w:webHidden/>
          </w:rPr>
          <w:fldChar w:fldCharType="separate"/>
        </w:r>
        <w:r>
          <w:rPr>
            <w:noProof/>
            <w:webHidden/>
          </w:rPr>
          <w:t xml:space="preserve">50</w:t>
        </w:r>
        <w:r>
          <w:rPr>
            <w:noProof/>
            <w:webHidden/>
          </w:rPr>
          <w:fldChar w:fldCharType="end"/>
        </w:r>
      </w:hyperlink>
    </w:p>
    <w:p>
      <w:pPr>
        <w:pStyle w:val="TOC2"/>
      </w:pPr>
      <w:hyperlink w:anchor="_Toc261100045" w:history="1">
        <w:r>
          <w:rPr>
            <w:noProof/>
          </w:rPr>
          <w:t xml:space="preserve">Article 35: The Stillwater Watch</w:t>
        </w:r>
        <w:r>
          <w:rPr>
            <w:noProof/>
            <w:webHidden/>
          </w:rPr>
          <w:tab/>
        </w:r>
        <w:r>
          <w:rPr>
            <w:noProof/>
            <w:webHidden/>
          </w:rPr>
          <w:fldChar w:fldCharType="begin"/>
        </w:r>
        <w:r>
          <w:rPr>
            <w:noProof/>
            <w:webHidden/>
          </w:rPr>
          <w:instrText xml:space="preserve"> PAGEREF _Toc261100045 \h </w:instrText>
        </w:r>
        <w:r>
          <w:rPr>
            <w:noProof/>
            <w:webHidden/>
          </w:rPr>
          <w:fldChar w:fldCharType="separate"/>
        </w:r>
        <w:r>
          <w:rPr>
            <w:noProof/>
            <w:webHidden/>
          </w:rPr>
          <w:t xml:space="preserve">52</w:t>
        </w:r>
        <w:r>
          <w:rPr>
            <w:noProof/>
            <w:webHidden/>
          </w:rPr>
          <w:fldChar w:fldCharType="end"/>
        </w:r>
      </w:hyperlink>
    </w:p>
    <w:p>
      <w:pPr>
        <w:pStyle w:val="TOC1"/>
      </w:pPr>
      <w:hyperlink w:anchor="_Toc261100046" w:history="1">
        <w:r>
          <w:rPr>
            <w:noProof/>
          </w:rPr>
          <w:t xml:space="preserve">Part VII: Activation and Transition</w:t>
        </w:r>
        <w:r>
          <w:rPr>
            <w:noProof/>
            <w:webHidden/>
          </w:rPr>
          <w:tab/>
        </w:r>
        <w:r>
          <w:rPr>
            <w:noProof/>
            <w:webHidden/>
          </w:rPr>
          <w:fldChar w:fldCharType="begin"/>
        </w:r>
        <w:r>
          <w:rPr>
            <w:noProof/>
            <w:webHidden/>
          </w:rPr>
          <w:instrText xml:space="preserve"> PAGEREF _Toc261100046 \h </w:instrText>
        </w:r>
        <w:r>
          <w:rPr>
            <w:noProof/>
            <w:webHidden/>
          </w:rPr>
          <w:fldChar w:fldCharType="separate"/>
        </w:r>
        <w:r>
          <w:rPr>
            <w:noProof/>
            <w:webHidden/>
          </w:rPr>
          <w:t xml:space="preserve">53</w:t>
        </w:r>
        <w:r>
          <w:rPr>
            <w:noProof/>
            <w:webHidden/>
          </w:rPr>
          <w:fldChar w:fldCharType="end"/>
        </w:r>
      </w:hyperlink>
    </w:p>
    <w:p>
      <w:pPr>
        <w:pStyle w:val="TOC2"/>
      </w:pPr>
      <w:hyperlink w:anchor="_Toc261100047" w:history="1">
        <w:r>
          <w:rPr>
            <w:noProof/>
          </w:rPr>
          <w:t xml:space="preserve">Article 36: The Synchronized Indivisible Event</w:t>
        </w:r>
        <w:r>
          <w:rPr>
            <w:noProof/>
            <w:webHidden/>
          </w:rPr>
          <w:tab/>
        </w:r>
        <w:r>
          <w:rPr>
            <w:noProof/>
            <w:webHidden/>
          </w:rPr>
          <w:fldChar w:fldCharType="begin"/>
        </w:r>
        <w:r>
          <w:rPr>
            <w:noProof/>
            <w:webHidden/>
          </w:rPr>
          <w:instrText xml:space="preserve"> PAGEREF _Toc261100047 \h </w:instrText>
        </w:r>
        <w:r>
          <w:rPr>
            <w:noProof/>
            <w:webHidden/>
          </w:rPr>
          <w:fldChar w:fldCharType="separate"/>
        </w:r>
        <w:r>
          <w:rPr>
            <w:noProof/>
            <w:webHidden/>
          </w:rPr>
          <w:t xml:space="preserve">53</w:t>
        </w:r>
        <w:r>
          <w:rPr>
            <w:noProof/>
            <w:webHidden/>
          </w:rPr>
          <w:fldChar w:fldCharType="end"/>
        </w:r>
      </w:hyperlink>
    </w:p>
    <w:p>
      <w:pPr>
        <w:pStyle w:val="TOC2"/>
      </w:pPr>
      <w:hyperlink w:anchor="_Toc261100048" w:history="1">
        <w:r>
          <w:rPr>
            <w:noProof/>
          </w:rPr>
          <w:t xml:space="preserve">Article 37: The Phased Activation Timeline</w:t>
        </w:r>
        <w:r>
          <w:rPr>
            <w:noProof/>
            <w:webHidden/>
          </w:rPr>
          <w:tab/>
        </w:r>
        <w:r>
          <w:rPr>
            <w:noProof/>
            <w:webHidden/>
          </w:rPr>
          <w:fldChar w:fldCharType="begin"/>
        </w:r>
        <w:r>
          <w:rPr>
            <w:noProof/>
            <w:webHidden/>
          </w:rPr>
          <w:instrText xml:space="preserve"> PAGEREF _Toc261100048 \h </w:instrText>
        </w:r>
        <w:r>
          <w:rPr>
            <w:noProof/>
            <w:webHidden/>
          </w:rPr>
          <w:fldChar w:fldCharType="separate"/>
        </w:r>
        <w:r>
          <w:rPr>
            <w:noProof/>
            <w:webHidden/>
          </w:rPr>
          <w:t xml:space="preserve">54</w:t>
        </w:r>
        <w:r>
          <w:rPr>
            <w:noProof/>
            <w:webHidden/>
          </w:rPr>
          <w:fldChar w:fldCharType="end"/>
        </w:r>
      </w:hyperlink>
    </w:p>
    <w:p>
      <w:pPr>
        <w:pStyle w:val="TOC2"/>
      </w:pPr>
      <w:hyperlink w:anchor="_Toc261100049" w:history="1">
        <w:r>
          <w:rPr>
            <w:noProof/>
          </w:rPr>
          <w:t xml:space="preserve">Article 38: The Pilot Phase and the Stability Audit</w:t>
        </w:r>
        <w:r>
          <w:rPr>
            <w:noProof/>
            <w:webHidden/>
          </w:rPr>
          <w:tab/>
        </w:r>
        <w:r>
          <w:rPr>
            <w:noProof/>
            <w:webHidden/>
          </w:rPr>
          <w:fldChar w:fldCharType="begin"/>
        </w:r>
        <w:r>
          <w:rPr>
            <w:noProof/>
            <w:webHidden/>
          </w:rPr>
          <w:instrText xml:space="preserve"> PAGEREF _Toc261100049 \h </w:instrText>
        </w:r>
        <w:r>
          <w:rPr>
            <w:noProof/>
            <w:webHidden/>
          </w:rPr>
          <w:fldChar w:fldCharType="separate"/>
        </w:r>
        <w:r>
          <w:rPr>
            <w:noProof/>
            <w:webHidden/>
          </w:rPr>
          <w:t xml:space="preserve">55</w:t>
        </w:r>
        <w:r>
          <w:rPr>
            <w:noProof/>
            <w:webHidden/>
          </w:rPr>
          <w:fldChar w:fldCharType="end"/>
        </w:r>
      </w:hyperlink>
    </w:p>
    <w:p>
      <w:pPr>
        <w:pStyle w:val="TOC1"/>
      </w:pPr>
      <w:hyperlink w:anchor="_Toc261100050" w:history="1">
        <w:r>
          <w:rPr>
            <w:noProof/>
          </w:rPr>
          <w:t xml:space="preserve">Part VIII: Disputes, Continuity, and Final Provisions</w:t>
        </w:r>
        <w:r>
          <w:rPr>
            <w:noProof/>
            <w:webHidden/>
          </w:rPr>
          <w:tab/>
        </w:r>
        <w:r>
          <w:rPr>
            <w:noProof/>
            <w:webHidden/>
          </w:rPr>
          <w:fldChar w:fldCharType="begin"/>
        </w:r>
        <w:r>
          <w:rPr>
            <w:noProof/>
            <w:webHidden/>
          </w:rPr>
          <w:instrText xml:space="preserve"> PAGEREF _Toc261100050 \h </w:instrText>
        </w:r>
        <w:r>
          <w:rPr>
            <w:noProof/>
            <w:webHidden/>
          </w:rPr>
          <w:fldChar w:fldCharType="separate"/>
        </w:r>
        <w:r>
          <w:rPr>
            <w:noProof/>
            <w:webHidden/>
          </w:rPr>
          <w:t xml:space="preserve">57</w:t>
        </w:r>
        <w:r>
          <w:rPr>
            <w:noProof/>
            <w:webHidden/>
          </w:rPr>
          <w:fldChar w:fldCharType="end"/>
        </w:r>
      </w:hyperlink>
    </w:p>
    <w:p>
      <w:pPr>
        <w:pStyle w:val="TOC2"/>
      </w:pPr>
      <w:hyperlink w:anchor="_Toc261100051" w:history="1">
        <w:r>
          <w:rPr>
            <w:noProof/>
          </w:rPr>
          <w:t xml:space="preserve">Article 39: The Dispute Resolution Ladder</w:t>
        </w:r>
        <w:r>
          <w:rPr>
            <w:noProof/>
            <w:webHidden/>
          </w:rPr>
          <w:tab/>
        </w:r>
        <w:r>
          <w:rPr>
            <w:noProof/>
            <w:webHidden/>
          </w:rPr>
          <w:fldChar w:fldCharType="begin"/>
        </w:r>
        <w:r>
          <w:rPr>
            <w:noProof/>
            <w:webHidden/>
          </w:rPr>
          <w:instrText xml:space="preserve"> PAGEREF _Toc261100051 \h </w:instrText>
        </w:r>
        <w:r>
          <w:rPr>
            <w:noProof/>
            <w:webHidden/>
          </w:rPr>
          <w:fldChar w:fldCharType="separate"/>
        </w:r>
        <w:r>
          <w:rPr>
            <w:noProof/>
            <w:webHidden/>
          </w:rPr>
          <w:t xml:space="preserve">57</w:t>
        </w:r>
        <w:r>
          <w:rPr>
            <w:noProof/>
            <w:webHidden/>
          </w:rPr>
          <w:fldChar w:fldCharType="end"/>
        </w:r>
      </w:hyperlink>
    </w:p>
    <w:p>
      <w:pPr>
        <w:pStyle w:val="TOC2"/>
      </w:pPr>
      <w:hyperlink w:anchor="_Toc261100052" w:history="1">
        <w:r>
          <w:rPr>
            <w:noProof/>
          </w:rPr>
          <w:t xml:space="preserve">Article 40: The Hormuz Maritime Tribunal</w:t>
        </w:r>
        <w:r>
          <w:rPr>
            <w:noProof/>
            <w:webHidden/>
          </w:rPr>
          <w:tab/>
        </w:r>
        <w:r>
          <w:rPr>
            <w:noProof/>
            <w:webHidden/>
          </w:rPr>
          <w:fldChar w:fldCharType="begin"/>
        </w:r>
        <w:r>
          <w:rPr>
            <w:noProof/>
            <w:webHidden/>
          </w:rPr>
          <w:instrText xml:space="preserve"> PAGEREF _Toc261100052 \h </w:instrText>
        </w:r>
        <w:r>
          <w:rPr>
            <w:noProof/>
            <w:webHidden/>
          </w:rPr>
          <w:fldChar w:fldCharType="separate"/>
        </w:r>
        <w:r>
          <w:rPr>
            <w:noProof/>
            <w:webHidden/>
          </w:rPr>
          <w:t xml:space="preserve">57</w:t>
        </w:r>
        <w:r>
          <w:rPr>
            <w:noProof/>
            <w:webHidden/>
          </w:rPr>
          <w:fldChar w:fldCharType="end"/>
        </w:r>
      </w:hyperlink>
    </w:p>
    <w:p>
      <w:pPr>
        <w:pStyle w:val="TOC2"/>
      </w:pPr>
      <w:hyperlink w:anchor="_Toc261100053" w:history="1">
        <w:r>
          <w:rPr>
            <w:noProof/>
          </w:rPr>
          <w:t xml:space="preserve">Article 41: Amendment and Annex Updating</w:t>
        </w:r>
        <w:r>
          <w:rPr>
            <w:noProof/>
            <w:webHidden/>
          </w:rPr>
          <w:tab/>
        </w:r>
        <w:r>
          <w:rPr>
            <w:noProof/>
            <w:webHidden/>
          </w:rPr>
          <w:fldChar w:fldCharType="begin"/>
        </w:r>
        <w:r>
          <w:rPr>
            <w:noProof/>
            <w:webHidden/>
          </w:rPr>
          <w:instrText xml:space="preserve"> PAGEREF _Toc261100053 \h </w:instrText>
        </w:r>
        <w:r>
          <w:rPr>
            <w:noProof/>
            <w:webHidden/>
          </w:rPr>
          <w:fldChar w:fldCharType="separate"/>
        </w:r>
        <w:r>
          <w:rPr>
            <w:noProof/>
            <w:webHidden/>
          </w:rPr>
          <w:t xml:space="preserve">58</w:t>
        </w:r>
        <w:r>
          <w:rPr>
            <w:noProof/>
            <w:webHidden/>
          </w:rPr>
          <w:fldChar w:fldCharType="end"/>
        </w:r>
      </w:hyperlink>
    </w:p>
    <w:p>
      <w:pPr>
        <w:pStyle w:val="TOC2"/>
      </w:pPr>
      <w:hyperlink w:anchor="_Toc261100054" w:history="1">
        <w:r>
          <w:rPr>
            <w:noProof/>
          </w:rPr>
          <w:t xml:space="preserve">Article 42: Default Continuity, Dormancy, and Reconstitution</w:t>
        </w:r>
        <w:r>
          <w:rPr>
            <w:noProof/>
            <w:webHidden/>
          </w:rPr>
          <w:tab/>
        </w:r>
        <w:r>
          <w:rPr>
            <w:noProof/>
            <w:webHidden/>
          </w:rPr>
          <w:fldChar w:fldCharType="begin"/>
        </w:r>
        <w:r>
          <w:rPr>
            <w:noProof/>
            <w:webHidden/>
          </w:rPr>
          <w:instrText xml:space="preserve"> PAGEREF _Toc261100054 \h </w:instrText>
        </w:r>
        <w:r>
          <w:rPr>
            <w:noProof/>
            <w:webHidden/>
          </w:rPr>
          <w:fldChar w:fldCharType="separate"/>
        </w:r>
        <w:r>
          <w:rPr>
            <w:noProof/>
            <w:webHidden/>
          </w:rPr>
          <w:t xml:space="preserve">59</w:t>
        </w:r>
        <w:r>
          <w:rPr>
            <w:noProof/>
            <w:webHidden/>
          </w:rPr>
          <w:fldChar w:fldCharType="end"/>
        </w:r>
      </w:hyperlink>
    </w:p>
    <w:p>
      <w:pPr>
        <w:pStyle w:val="TOC2"/>
      </w:pPr>
      <w:hyperlink w:anchor="_Toc261100055" w:history="1">
        <w:r>
          <w:rPr>
            <w:noProof/>
          </w:rPr>
          <w:t xml:space="preserve">Article 43: Accession and Withdrawal</w:t>
        </w:r>
        <w:r>
          <w:rPr>
            <w:noProof/>
            <w:webHidden/>
          </w:rPr>
          <w:tab/>
        </w:r>
        <w:r>
          <w:rPr>
            <w:noProof/>
            <w:webHidden/>
          </w:rPr>
          <w:fldChar w:fldCharType="begin"/>
        </w:r>
        <w:r>
          <w:rPr>
            <w:noProof/>
            <w:webHidden/>
          </w:rPr>
          <w:instrText xml:space="preserve"> PAGEREF _Toc261100055 \h </w:instrText>
        </w:r>
        <w:r>
          <w:rPr>
            <w:noProof/>
            <w:webHidden/>
          </w:rPr>
          <w:fldChar w:fldCharType="separate"/>
        </w:r>
        <w:r>
          <w:rPr>
            <w:noProof/>
            <w:webHidden/>
          </w:rPr>
          <w:t xml:space="preserve">59</w:t>
        </w:r>
        <w:r>
          <w:rPr>
            <w:noProof/>
            <w:webHidden/>
          </w:rPr>
          <w:fldChar w:fldCharType="end"/>
        </w:r>
      </w:hyperlink>
    </w:p>
    <w:p>
      <w:pPr>
        <w:pStyle w:val="TOC2"/>
      </w:pPr>
      <w:hyperlink w:anchor="_Toc261100056" w:history="1">
        <w:r>
          <w:rPr>
            <w:noProof/>
          </w:rPr>
          <w:t xml:space="preserve">Article 44: Domestic Framing Autonomy and Communications</w:t>
        </w:r>
        <w:r>
          <w:rPr>
            <w:noProof/>
            <w:webHidden/>
          </w:rPr>
          <w:tab/>
        </w:r>
        <w:r>
          <w:rPr>
            <w:noProof/>
            <w:webHidden/>
          </w:rPr>
          <w:fldChar w:fldCharType="begin"/>
        </w:r>
        <w:r>
          <w:rPr>
            <w:noProof/>
            <w:webHidden/>
          </w:rPr>
          <w:instrText xml:space="preserve"> PAGEREF _Toc261100056 \h </w:instrText>
        </w:r>
        <w:r>
          <w:rPr>
            <w:noProof/>
            <w:webHidden/>
          </w:rPr>
          <w:fldChar w:fldCharType="separate"/>
        </w:r>
        <w:r>
          <w:rPr>
            <w:noProof/>
            <w:webHidden/>
          </w:rPr>
          <w:t xml:space="preserve">60</w:t>
        </w:r>
        <w:r>
          <w:rPr>
            <w:noProof/>
            <w:webHidden/>
          </w:rPr>
          <w:fldChar w:fldCharType="end"/>
        </w:r>
      </w:hyperlink>
    </w:p>
    <w:p>
      <w:pPr>
        <w:pStyle w:val="TOC2"/>
      </w:pPr>
      <w:hyperlink w:anchor="_Toc261100057" w:history="1">
        <w:r>
          <w:rPr>
            <w:noProof/>
          </w:rPr>
          <w:t xml:space="preserve">Article 45: Depositary, Languages, and Entry into Force</w:t>
        </w:r>
        <w:r>
          <w:rPr>
            <w:noProof/>
            <w:webHidden/>
          </w:rPr>
          <w:tab/>
        </w:r>
        <w:r>
          <w:rPr>
            <w:noProof/>
            <w:webHidden/>
          </w:rPr>
          <w:fldChar w:fldCharType="begin"/>
        </w:r>
        <w:r>
          <w:rPr>
            <w:noProof/>
            <w:webHidden/>
          </w:rPr>
          <w:instrText xml:space="preserve"> PAGEREF _Toc261100057 \h </w:instrText>
        </w:r>
        <w:r>
          <w:rPr>
            <w:noProof/>
            <w:webHidden/>
          </w:rPr>
          <w:fldChar w:fldCharType="separate"/>
        </w:r>
        <w:r>
          <w:rPr>
            <w:noProof/>
            <w:webHidden/>
          </w:rPr>
          <w:t xml:space="preserve">60</w:t>
        </w:r>
        <w:r>
          <w:rPr>
            <w:noProof/>
            <w:webHidden/>
          </w:rPr>
          <w:fldChar w:fldCharType="end"/>
        </w:r>
      </w:hyperlink>
    </w:p>
    <w:p>
      <w:pPr>
        <w:pStyle w:val="TOC1"/>
      </w:pPr>
      <w:hyperlink w:anchor="_Toc261100058" w:history="1">
        <w:r>
          <w:rPr>
            <w:noProof/>
          </w:rPr>
          <w:t xml:space="preserve">Annex A: Corridor Coordinates and Geometry Registry</w:t>
        </w:r>
        <w:r>
          <w:rPr>
            <w:noProof/>
            <w:webHidden/>
          </w:rPr>
          <w:tab/>
        </w:r>
        <w:r>
          <w:rPr>
            <w:noProof/>
            <w:webHidden/>
          </w:rPr>
          <w:fldChar w:fldCharType="begin"/>
        </w:r>
        <w:r>
          <w:rPr>
            <w:noProof/>
            <w:webHidden/>
          </w:rPr>
          <w:instrText xml:space="preserve"> PAGEREF _Toc261100058 \h </w:instrText>
        </w:r>
        <w:r>
          <w:rPr>
            <w:noProof/>
            <w:webHidden/>
          </w:rPr>
          <w:fldChar w:fldCharType="separate"/>
        </w:r>
        <w:r>
          <w:rPr>
            <w:noProof/>
            <w:webHidden/>
          </w:rPr>
          <w:t xml:space="preserve">62</w:t>
        </w:r>
        <w:r>
          <w:rPr>
            <w:noProof/>
            <w:webHidden/>
          </w:rPr>
          <w:fldChar w:fldCharType="end"/>
        </w:r>
      </w:hyperlink>
    </w:p>
    <w:p>
      <w:pPr>
        <w:pStyle w:val="TOC2"/>
      </w:pPr>
      <w:hyperlink w:anchor="_Toc261100059" w:history="1">
        <w:r>
          <w:rPr>
            <w:noProof/>
          </w:rPr>
          <w:t xml:space="preserve">A.1 Table A.1: The Governance Area Polygon</w:t>
        </w:r>
        <w:r>
          <w:rPr>
            <w:noProof/>
            <w:webHidden/>
          </w:rPr>
          <w:tab/>
        </w:r>
        <w:r>
          <w:rPr>
            <w:noProof/>
            <w:webHidden/>
          </w:rPr>
          <w:fldChar w:fldCharType="begin"/>
        </w:r>
        <w:r>
          <w:rPr>
            <w:noProof/>
            <w:webHidden/>
          </w:rPr>
          <w:instrText xml:space="preserve"> PAGEREF _Toc261100059 \h </w:instrText>
        </w:r>
        <w:r>
          <w:rPr>
            <w:noProof/>
            <w:webHidden/>
          </w:rPr>
          <w:fldChar w:fldCharType="separate"/>
        </w:r>
        <w:r>
          <w:rPr>
            <w:noProof/>
            <w:webHidden/>
          </w:rPr>
          <w:t xml:space="preserve">62</w:t>
        </w:r>
        <w:r>
          <w:rPr>
            <w:noProof/>
            <w:webHidden/>
          </w:rPr>
          <w:fldChar w:fldCharType="end"/>
        </w:r>
      </w:hyperlink>
    </w:p>
    <w:p>
      <w:pPr>
        <w:pStyle w:val="TOC2"/>
      </w:pPr>
      <w:hyperlink w:anchor="_Toc261100060" w:history="1">
        <w:r>
          <w:rPr>
            <w:noProof/>
          </w:rPr>
          <w:t xml:space="preserve">A.2 Table A.2: Northern Inbound Corridor Centerline</w:t>
        </w:r>
        <w:r>
          <w:rPr>
            <w:noProof/>
            <w:webHidden/>
          </w:rPr>
          <w:tab/>
        </w:r>
        <w:r>
          <w:rPr>
            <w:noProof/>
            <w:webHidden/>
          </w:rPr>
          <w:fldChar w:fldCharType="begin"/>
        </w:r>
        <w:r>
          <w:rPr>
            <w:noProof/>
            <w:webHidden/>
          </w:rPr>
          <w:instrText xml:space="preserve"> PAGEREF _Toc261100060 \h </w:instrText>
        </w:r>
        <w:r>
          <w:rPr>
            <w:noProof/>
            <w:webHidden/>
          </w:rPr>
          <w:fldChar w:fldCharType="separate"/>
        </w:r>
        <w:r>
          <w:rPr>
            <w:noProof/>
            <w:webHidden/>
          </w:rPr>
          <w:t xml:space="preserve">63</w:t>
        </w:r>
        <w:r>
          <w:rPr>
            <w:noProof/>
            <w:webHidden/>
          </w:rPr>
          <w:fldChar w:fldCharType="end"/>
        </w:r>
      </w:hyperlink>
    </w:p>
    <w:p>
      <w:pPr>
        <w:pStyle w:val="TOC2"/>
      </w:pPr>
      <w:hyperlink w:anchor="_Toc261100061" w:history="1">
        <w:r>
          <w:rPr>
            <w:noProof/>
          </w:rPr>
          <w:t xml:space="preserve">A.3 Table A.3: Southern Outbound Corridor Centerline</w:t>
        </w:r>
        <w:r>
          <w:rPr>
            <w:noProof/>
            <w:webHidden/>
          </w:rPr>
          <w:tab/>
        </w:r>
        <w:r>
          <w:rPr>
            <w:noProof/>
            <w:webHidden/>
          </w:rPr>
          <w:fldChar w:fldCharType="begin"/>
        </w:r>
        <w:r>
          <w:rPr>
            <w:noProof/>
            <w:webHidden/>
          </w:rPr>
          <w:instrText xml:space="preserve"> PAGEREF _Toc261100061 \h </w:instrText>
        </w:r>
        <w:r>
          <w:rPr>
            <w:noProof/>
            <w:webHidden/>
          </w:rPr>
          <w:fldChar w:fldCharType="separate"/>
        </w:r>
        <w:r>
          <w:rPr>
            <w:noProof/>
            <w:webHidden/>
          </w:rPr>
          <w:t xml:space="preserve">63</w:t>
        </w:r>
        <w:r>
          <w:rPr>
            <w:noProof/>
            <w:webHidden/>
          </w:rPr>
          <w:fldChar w:fldCharType="end"/>
        </w:r>
      </w:hyperlink>
    </w:p>
    <w:p>
      <w:pPr>
        <w:pStyle w:val="TOC2"/>
      </w:pPr>
      <w:hyperlink w:anchor="_Toc261100062" w:history="1">
        <w:r>
          <w:rPr>
            <w:noProof/>
          </w:rPr>
          <w:t xml:space="preserve">A.4 Table A.4: Central Assurance Corridor Centerline</w:t>
        </w:r>
        <w:r>
          <w:rPr>
            <w:noProof/>
            <w:webHidden/>
          </w:rPr>
          <w:tab/>
        </w:r>
        <w:r>
          <w:rPr>
            <w:noProof/>
            <w:webHidden/>
          </w:rPr>
          <w:fldChar w:fldCharType="begin"/>
        </w:r>
        <w:r>
          <w:rPr>
            <w:noProof/>
            <w:webHidden/>
          </w:rPr>
          <w:instrText xml:space="preserve"> PAGEREF _Toc261100062 \h </w:instrText>
        </w:r>
        <w:r>
          <w:rPr>
            <w:noProof/>
            <w:webHidden/>
          </w:rPr>
          <w:fldChar w:fldCharType="separate"/>
        </w:r>
        <w:r>
          <w:rPr>
            <w:noProof/>
            <w:webHidden/>
          </w:rPr>
          <w:t xml:space="preserve">64</w:t>
        </w:r>
        <w:r>
          <w:rPr>
            <w:noProof/>
            <w:webHidden/>
          </w:rPr>
          <w:fldChar w:fldCharType="end"/>
        </w:r>
      </w:hyperlink>
    </w:p>
    <w:p>
      <w:pPr>
        <w:pStyle w:val="TOC2"/>
      </w:pPr>
      <w:hyperlink w:anchor="_Toc261100063" w:history="1">
        <w:r>
          <w:rPr>
            <w:noProof/>
          </w:rPr>
          <w:t xml:space="preserve">A.5 Survey and Certification Standard</w:t>
        </w:r>
        <w:r>
          <w:rPr>
            <w:noProof/>
            <w:webHidden/>
          </w:rPr>
          <w:tab/>
        </w:r>
        <w:r>
          <w:rPr>
            <w:noProof/>
            <w:webHidden/>
          </w:rPr>
          <w:fldChar w:fldCharType="begin"/>
        </w:r>
        <w:r>
          <w:rPr>
            <w:noProof/>
            <w:webHidden/>
          </w:rPr>
          <w:instrText xml:space="preserve"> PAGEREF _Toc261100063 \h </w:instrText>
        </w:r>
        <w:r>
          <w:rPr>
            <w:noProof/>
            <w:webHidden/>
          </w:rPr>
          <w:fldChar w:fldCharType="separate"/>
        </w:r>
        <w:r>
          <w:rPr>
            <w:noProof/>
            <w:webHidden/>
          </w:rPr>
          <w:t xml:space="preserve">64</w:t>
        </w:r>
        <w:r>
          <w:rPr>
            <w:noProof/>
            <w:webHidden/>
          </w:rPr>
          <w:fldChar w:fldCharType="end"/>
        </w:r>
      </w:hyperlink>
    </w:p>
    <w:p>
      <w:pPr>
        <w:pStyle w:val="TOC2"/>
      </w:pPr>
      <w:hyperlink w:anchor="_Toc261100064" w:history="1">
        <w:r>
          <w:rPr>
            <w:noProof/>
          </w:rPr>
          <w:t xml:space="preserve">A.6 Table A.6: Anchorages, Waiting Areas, and Inshore Bands</w:t>
        </w:r>
        <w:r>
          <w:rPr>
            <w:noProof/>
            <w:webHidden/>
          </w:rPr>
          <w:tab/>
        </w:r>
        <w:r>
          <w:rPr>
            <w:noProof/>
            <w:webHidden/>
          </w:rPr>
          <w:fldChar w:fldCharType="begin"/>
        </w:r>
        <w:r>
          <w:rPr>
            <w:noProof/>
            <w:webHidden/>
          </w:rPr>
          <w:instrText xml:space="preserve"> PAGEREF _Toc261100064 \h </w:instrText>
        </w:r>
        <w:r>
          <w:rPr>
            <w:noProof/>
            <w:webHidden/>
          </w:rPr>
          <w:fldChar w:fldCharType="separate"/>
        </w:r>
        <w:r>
          <w:rPr>
            <w:noProof/>
            <w:webHidden/>
          </w:rPr>
          <w:t xml:space="preserve">65</w:t>
        </w:r>
        <w:r>
          <w:rPr>
            <w:noProof/>
            <w:webHidden/>
          </w:rPr>
          <w:fldChar w:fldCharType="end"/>
        </w:r>
      </w:hyperlink>
    </w:p>
    <w:p>
      <w:pPr>
        <w:pStyle w:val="TOC2"/>
      </w:pPr>
      <w:hyperlink w:anchor="_Toc261100065" w:history="1">
        <w:r>
          <w:rPr>
            <w:noProof/>
          </w:rPr>
          <w:t xml:space="preserve">A.7 Table A.7: The Hazard Registry Format</w:t>
        </w:r>
        <w:r>
          <w:rPr>
            <w:noProof/>
            <w:webHidden/>
          </w:rPr>
          <w:tab/>
        </w:r>
        <w:r>
          <w:rPr>
            <w:noProof/>
            <w:webHidden/>
          </w:rPr>
          <w:fldChar w:fldCharType="begin"/>
        </w:r>
        <w:r>
          <w:rPr>
            <w:noProof/>
            <w:webHidden/>
          </w:rPr>
          <w:instrText xml:space="preserve"> PAGEREF _Toc261100065 \h </w:instrText>
        </w:r>
        <w:r>
          <w:rPr>
            <w:noProof/>
            <w:webHidden/>
          </w:rPr>
          <w:fldChar w:fldCharType="separate"/>
        </w:r>
        <w:r>
          <w:rPr>
            <w:noProof/>
            <w:webHidden/>
          </w:rPr>
          <w:t xml:space="preserve">65</w:t>
        </w:r>
        <w:r>
          <w:rPr>
            <w:noProof/>
            <w:webHidden/>
          </w:rPr>
          <w:fldChar w:fldCharType="end"/>
        </w:r>
      </w:hyperlink>
    </w:p>
    <w:p>
      <w:pPr>
        <w:pStyle w:val="TOC1"/>
      </w:pPr>
      <w:hyperlink w:anchor="_Toc261100066" w:history="1">
        <w:r>
          <w:rPr>
            <w:noProof/>
          </w:rPr>
          <w:t xml:space="preserve">Annex B: The Verified Services Catalog and Rate Card</w:t>
        </w:r>
        <w:r>
          <w:rPr>
            <w:noProof/>
            <w:webHidden/>
          </w:rPr>
          <w:tab/>
        </w:r>
        <w:r>
          <w:rPr>
            <w:noProof/>
            <w:webHidden/>
          </w:rPr>
          <w:fldChar w:fldCharType="begin"/>
        </w:r>
        <w:r>
          <w:rPr>
            <w:noProof/>
            <w:webHidden/>
          </w:rPr>
          <w:instrText xml:space="preserve"> PAGEREF _Toc261100066 \h </w:instrText>
        </w:r>
        <w:r>
          <w:rPr>
            <w:noProof/>
            <w:webHidden/>
          </w:rPr>
          <w:fldChar w:fldCharType="separate"/>
        </w:r>
        <w:r>
          <w:rPr>
            <w:noProof/>
            <w:webHidden/>
          </w:rPr>
          <w:t xml:space="preserve">67</w:t>
        </w:r>
        <w:r>
          <w:rPr>
            <w:noProof/>
            <w:webHidden/>
          </w:rPr>
          <w:fldChar w:fldCharType="end"/>
        </w:r>
      </w:hyperlink>
    </w:p>
    <w:p>
      <w:pPr>
        <w:pStyle w:val="TOC2"/>
      </w:pPr>
      <w:hyperlink w:anchor="_Toc261100067" w:history="1">
        <w:r>
          <w:rPr>
            <w:noProof/>
          </w:rPr>
          <w:t xml:space="preserve">B.1 The Catalog at a Glance</w:t>
        </w:r>
        <w:r>
          <w:rPr>
            <w:noProof/>
            <w:webHidden/>
          </w:rPr>
          <w:tab/>
        </w:r>
        <w:r>
          <w:rPr>
            <w:noProof/>
            <w:webHidden/>
          </w:rPr>
          <w:fldChar w:fldCharType="begin"/>
        </w:r>
        <w:r>
          <w:rPr>
            <w:noProof/>
            <w:webHidden/>
          </w:rPr>
          <w:instrText xml:space="preserve"> PAGEREF _Toc261100067 \h </w:instrText>
        </w:r>
        <w:r>
          <w:rPr>
            <w:noProof/>
            <w:webHidden/>
          </w:rPr>
          <w:fldChar w:fldCharType="separate"/>
        </w:r>
        <w:r>
          <w:rPr>
            <w:noProof/>
            <w:webHidden/>
          </w:rPr>
          <w:t xml:space="preserve">67</w:t>
        </w:r>
        <w:r>
          <w:rPr>
            <w:noProof/>
            <w:webHidden/>
          </w:rPr>
          <w:fldChar w:fldCharType="end"/>
        </w:r>
      </w:hyperlink>
    </w:p>
    <w:p>
      <w:pPr>
        <w:pStyle w:val="TOC2"/>
      </w:pPr>
      <w:hyperlink w:anchor="_Toc261100068" w:history="1">
        <w:r>
          <w:rPr>
            <w:noProof/>
          </w:rPr>
          <w:t xml:space="preserve">B.2 Service Line Definitions</w:t>
        </w:r>
        <w:r>
          <w:rPr>
            <w:noProof/>
            <w:webHidden/>
          </w:rPr>
          <w:tab/>
        </w:r>
        <w:r>
          <w:rPr>
            <w:noProof/>
            <w:webHidden/>
          </w:rPr>
          <w:fldChar w:fldCharType="begin"/>
        </w:r>
        <w:r>
          <w:rPr>
            <w:noProof/>
            <w:webHidden/>
          </w:rPr>
          <w:instrText xml:space="preserve"> PAGEREF _Toc261100068 \h </w:instrText>
        </w:r>
        <w:r>
          <w:rPr>
            <w:noProof/>
            <w:webHidden/>
          </w:rPr>
          <w:fldChar w:fldCharType="separate"/>
        </w:r>
        <w:r>
          <w:rPr>
            <w:noProof/>
            <w:webHidden/>
          </w:rPr>
          <w:t xml:space="preserve">67</w:t>
        </w:r>
        <w:r>
          <w:rPr>
            <w:noProof/>
            <w:webHidden/>
          </w:rPr>
          <w:fldChar w:fldCharType="end"/>
        </w:r>
      </w:hyperlink>
    </w:p>
    <w:p>
      <w:pPr>
        <w:pStyle w:val="TOC2"/>
      </w:pPr>
      <w:hyperlink w:anchor="_Toc261100069" w:history="1">
        <w:r>
          <w:rPr>
            <w:noProof/>
          </w:rPr>
          <w:t xml:space="preserve">B.3 The Rate Card (Steady State)</w:t>
        </w:r>
        <w:r>
          <w:rPr>
            <w:noProof/>
            <w:webHidden/>
          </w:rPr>
          <w:tab/>
        </w:r>
        <w:r>
          <w:rPr>
            <w:noProof/>
            <w:webHidden/>
          </w:rPr>
          <w:fldChar w:fldCharType="begin"/>
        </w:r>
        <w:r>
          <w:rPr>
            <w:noProof/>
            <w:webHidden/>
          </w:rPr>
          <w:instrText xml:space="preserve"> PAGEREF _Toc261100069 \h </w:instrText>
        </w:r>
        <w:r>
          <w:rPr>
            <w:noProof/>
            <w:webHidden/>
          </w:rPr>
          <w:fldChar w:fldCharType="separate"/>
        </w:r>
        <w:r>
          <w:rPr>
            <w:noProof/>
            <w:webHidden/>
          </w:rPr>
          <w:t xml:space="preserve">69</w:t>
        </w:r>
        <w:r>
          <w:rPr>
            <w:noProof/>
            <w:webHidden/>
          </w:rPr>
          <w:fldChar w:fldCharType="end"/>
        </w:r>
      </w:hyperlink>
    </w:p>
    <w:p>
      <w:pPr>
        <w:pStyle w:val="TOC2"/>
      </w:pPr>
      <w:hyperlink w:anchor="_Toc261100070" w:history="1">
        <w:r>
          <w:rPr>
            <w:noProof/>
          </w:rPr>
          <w:t xml:space="preserve">B.4 Cost Basis and Annual Review</w:t>
        </w:r>
        <w:r>
          <w:rPr>
            <w:noProof/>
            <w:webHidden/>
          </w:rPr>
          <w:tab/>
        </w:r>
        <w:r>
          <w:rPr>
            <w:noProof/>
            <w:webHidden/>
          </w:rPr>
          <w:fldChar w:fldCharType="begin"/>
        </w:r>
        <w:r>
          <w:rPr>
            <w:noProof/>
            <w:webHidden/>
          </w:rPr>
          <w:instrText xml:space="preserve"> PAGEREF _Toc261100070 \h </w:instrText>
        </w:r>
        <w:r>
          <w:rPr>
            <w:noProof/>
            <w:webHidden/>
          </w:rPr>
          <w:fldChar w:fldCharType="separate"/>
        </w:r>
        <w:r>
          <w:rPr>
            <w:noProof/>
            <w:webHidden/>
          </w:rPr>
          <w:t xml:space="preserve">69</w:t>
        </w:r>
        <w:r>
          <w:rPr>
            <w:noProof/>
            <w:webHidden/>
          </w:rPr>
          <w:fldChar w:fldCharType="end"/>
        </w:r>
      </w:hyperlink>
    </w:p>
    <w:p>
      <w:pPr>
        <w:pStyle w:val="TOC2"/>
      </w:pPr>
      <w:hyperlink w:anchor="_Toc261100071" w:history="1">
        <w:r>
          <w:rPr>
            <w:noProof/>
          </w:rPr>
          <w:t xml:space="preserve">B.5 The Route Assurance Data Service</w:t>
        </w:r>
        <w:r>
          <w:rPr>
            <w:noProof/>
            <w:webHidden/>
          </w:rPr>
          <w:tab/>
        </w:r>
        <w:r>
          <w:rPr>
            <w:noProof/>
            <w:webHidden/>
          </w:rPr>
          <w:fldChar w:fldCharType="begin"/>
        </w:r>
        <w:r>
          <w:rPr>
            <w:noProof/>
            <w:webHidden/>
          </w:rPr>
          <w:instrText xml:space="preserve"> PAGEREF _Toc261100071 \h </w:instrText>
        </w:r>
        <w:r>
          <w:rPr>
            <w:noProof/>
            <w:webHidden/>
          </w:rPr>
          <w:fldChar w:fldCharType="separate"/>
        </w:r>
        <w:r>
          <w:rPr>
            <w:noProof/>
            <w:webHidden/>
          </w:rPr>
          <w:t xml:space="preserve">70</w:t>
        </w:r>
        <w:r>
          <w:rPr>
            <w:noProof/>
            <w:webHidden/>
          </w:rPr>
          <w:fldChar w:fldCharType="end"/>
        </w:r>
      </w:hyperlink>
    </w:p>
    <w:p>
      <w:pPr>
        <w:pStyle w:val="TOC2"/>
      </w:pPr>
      <w:hyperlink w:anchor="_Toc261100072" w:history="1">
        <w:r>
          <w:rPr>
            <w:noProof/>
          </w:rPr>
          <w:t xml:space="preserve">B.6 The Development Windows</w:t>
        </w:r>
        <w:r>
          <w:rPr>
            <w:noProof/>
            <w:webHidden/>
          </w:rPr>
          <w:tab/>
        </w:r>
        <w:r>
          <w:rPr>
            <w:noProof/>
            <w:webHidden/>
          </w:rPr>
          <w:fldChar w:fldCharType="begin"/>
        </w:r>
        <w:r>
          <w:rPr>
            <w:noProof/>
            <w:webHidden/>
          </w:rPr>
          <w:instrText xml:space="preserve"> PAGEREF _Toc261100072 \h </w:instrText>
        </w:r>
        <w:r>
          <w:rPr>
            <w:noProof/>
            <w:webHidden/>
          </w:rPr>
          <w:fldChar w:fldCharType="separate"/>
        </w:r>
        <w:r>
          <w:rPr>
            <w:noProof/>
            <w:webHidden/>
          </w:rPr>
          <w:t xml:space="preserve">70</w:t>
        </w:r>
        <w:r>
          <w:rPr>
            <w:noProof/>
            <w:webHidden/>
          </w:rPr>
          <w:fldChar w:fldCharType="end"/>
        </w:r>
      </w:hyperlink>
    </w:p>
    <w:p>
      <w:pPr>
        <w:pStyle w:val="TOC2"/>
      </w:pPr>
      <w:hyperlink w:anchor="_Toc261100073" w:history="1">
        <w:r>
          <w:rPr>
            <w:noProof/>
          </w:rPr>
          <w:t xml:space="preserve">B.7 Pilot Rate Schedule</w:t>
        </w:r>
        <w:r>
          <w:rPr>
            <w:noProof/>
            <w:webHidden/>
          </w:rPr>
          <w:tab/>
        </w:r>
        <w:r>
          <w:rPr>
            <w:noProof/>
            <w:webHidden/>
          </w:rPr>
          <w:fldChar w:fldCharType="begin"/>
        </w:r>
        <w:r>
          <w:rPr>
            <w:noProof/>
            <w:webHidden/>
          </w:rPr>
          <w:instrText xml:space="preserve"> PAGEREF _Toc261100073 \h </w:instrText>
        </w:r>
        <w:r>
          <w:rPr>
            <w:noProof/>
            <w:webHidden/>
          </w:rPr>
          <w:fldChar w:fldCharType="separate"/>
        </w:r>
        <w:r>
          <w:rPr>
            <w:noProof/>
            <w:webHidden/>
          </w:rPr>
          <w:t xml:space="preserve">71</w:t>
        </w:r>
        <w:r>
          <w:rPr>
            <w:noProof/>
            <w:webHidden/>
          </w:rPr>
          <w:fldChar w:fldCharType="end"/>
        </w:r>
      </w:hyperlink>
    </w:p>
    <w:p>
      <w:pPr>
        <w:pStyle w:val="TOC1"/>
      </w:pPr>
      <w:hyperlink w:anchor="_Toc261100074" w:history="1">
        <w:r>
          <w:rPr>
            <w:noProof/>
          </w:rPr>
          <w:t xml:space="preserve">Annex C: The Voluntary Contribution Facility Charter</w:t>
        </w:r>
        <w:r>
          <w:rPr>
            <w:noProof/>
            <w:webHidden/>
          </w:rPr>
          <w:tab/>
        </w:r>
        <w:r>
          <w:rPr>
            <w:noProof/>
            <w:webHidden/>
          </w:rPr>
          <w:fldChar w:fldCharType="begin"/>
        </w:r>
        <w:r>
          <w:rPr>
            <w:noProof/>
            <w:webHidden/>
          </w:rPr>
          <w:instrText xml:space="preserve"> PAGEREF _Toc261100074 \h </w:instrText>
        </w:r>
        <w:r>
          <w:rPr>
            <w:noProof/>
            <w:webHidden/>
          </w:rPr>
          <w:fldChar w:fldCharType="separate"/>
        </w:r>
        <w:r>
          <w:rPr>
            <w:noProof/>
            <w:webHidden/>
          </w:rPr>
          <w:t xml:space="preserve">72</w:t>
        </w:r>
        <w:r>
          <w:rPr>
            <w:noProof/>
            <w:webHidden/>
          </w:rPr>
          <w:fldChar w:fldCharType="end"/>
        </w:r>
      </w:hyperlink>
    </w:p>
    <w:p>
      <w:pPr>
        <w:pStyle w:val="TOC2"/>
      </w:pPr>
      <w:hyperlink w:anchor="_Toc261100075" w:history="1">
        <w:r>
          <w:rPr>
            <w:noProof/>
          </w:rPr>
          <w:t xml:space="preserve">C.1 Legal Form and Administration</w:t>
        </w:r>
        <w:r>
          <w:rPr>
            <w:noProof/>
            <w:webHidden/>
          </w:rPr>
          <w:tab/>
        </w:r>
        <w:r>
          <w:rPr>
            <w:noProof/>
            <w:webHidden/>
          </w:rPr>
          <w:fldChar w:fldCharType="begin"/>
        </w:r>
        <w:r>
          <w:rPr>
            <w:noProof/>
            <w:webHidden/>
          </w:rPr>
          <w:instrText xml:space="preserve"> PAGEREF _Toc261100075 \h </w:instrText>
        </w:r>
        <w:r>
          <w:rPr>
            <w:noProof/>
            <w:webHidden/>
          </w:rPr>
          <w:fldChar w:fldCharType="separate"/>
        </w:r>
        <w:r>
          <w:rPr>
            <w:noProof/>
            <w:webHidden/>
          </w:rPr>
          <w:t xml:space="preserve">72</w:t>
        </w:r>
        <w:r>
          <w:rPr>
            <w:noProof/>
            <w:webHidden/>
          </w:rPr>
          <w:fldChar w:fldCharType="end"/>
        </w:r>
      </w:hyperlink>
    </w:p>
    <w:p>
      <w:pPr>
        <w:pStyle w:val="TOC2"/>
      </w:pPr>
      <w:hyperlink w:anchor="_Toc261100076" w:history="1">
        <w:r>
          <w:rPr>
            <w:noProof/>
          </w:rPr>
          <w:t xml:space="preserve">C.2 The Fund's Annual Requirement</w:t>
        </w:r>
        <w:r>
          <w:rPr>
            <w:noProof/>
            <w:webHidden/>
          </w:rPr>
          <w:tab/>
        </w:r>
        <w:r>
          <w:rPr>
            <w:noProof/>
            <w:webHidden/>
          </w:rPr>
          <w:fldChar w:fldCharType="begin"/>
        </w:r>
        <w:r>
          <w:rPr>
            <w:noProof/>
            <w:webHidden/>
          </w:rPr>
          <w:instrText xml:space="preserve"> PAGEREF _Toc261100076 \h </w:instrText>
        </w:r>
        <w:r>
          <w:rPr>
            <w:noProof/>
            <w:webHidden/>
          </w:rPr>
          <w:fldChar w:fldCharType="separate"/>
        </w:r>
        <w:r>
          <w:rPr>
            <w:noProof/>
            <w:webHidden/>
          </w:rPr>
          <w:t xml:space="preserve">72</w:t>
        </w:r>
        <w:r>
          <w:rPr>
            <w:noProof/>
            <w:webHidden/>
          </w:rPr>
          <w:fldChar w:fldCharType="end"/>
        </w:r>
      </w:hyperlink>
    </w:p>
    <w:p>
      <w:pPr>
        <w:pStyle w:val="TOC2"/>
      </w:pPr>
      <w:hyperlink w:anchor="_Toc261100077" w:history="1">
        <w:r>
          <w:rPr>
            <w:noProof/>
          </w:rPr>
          <w:t xml:space="preserve">C.3 The Suggested Contribution Schedule</w:t>
        </w:r>
        <w:r>
          <w:rPr>
            <w:noProof/>
            <w:webHidden/>
          </w:rPr>
          <w:tab/>
        </w:r>
        <w:r>
          <w:rPr>
            <w:noProof/>
            <w:webHidden/>
          </w:rPr>
          <w:fldChar w:fldCharType="begin"/>
        </w:r>
        <w:r>
          <w:rPr>
            <w:noProof/>
            <w:webHidden/>
          </w:rPr>
          <w:instrText xml:space="preserve"> PAGEREF _Toc261100077 \h </w:instrText>
        </w:r>
        <w:r>
          <w:rPr>
            <w:noProof/>
            <w:webHidden/>
          </w:rPr>
          <w:fldChar w:fldCharType="separate"/>
        </w:r>
        <w:r>
          <w:rPr>
            <w:noProof/>
            <w:webHidden/>
          </w:rPr>
          <w:t xml:space="preserve">72</w:t>
        </w:r>
        <w:r>
          <w:rPr>
            <w:noProof/>
            <w:webHidden/>
          </w:rPr>
          <w:fldChar w:fldCharType="end"/>
        </w:r>
      </w:hyperlink>
    </w:p>
    <w:p>
      <w:pPr>
        <w:pStyle w:val="TOC2"/>
      </w:pPr>
      <w:hyperlink w:anchor="_Toc261100078" w:history="1">
        <w:r>
          <w:rPr>
            <w:noProof/>
          </w:rPr>
          <w:t xml:space="preserve">C.4 The Heavy-User Cap</w:t>
        </w:r>
        <w:r>
          <w:rPr>
            <w:noProof/>
            <w:webHidden/>
          </w:rPr>
          <w:tab/>
        </w:r>
        <w:r>
          <w:rPr>
            <w:noProof/>
            <w:webHidden/>
          </w:rPr>
          <w:fldChar w:fldCharType="begin"/>
        </w:r>
        <w:r>
          <w:rPr>
            <w:noProof/>
            <w:webHidden/>
          </w:rPr>
          <w:instrText xml:space="preserve"> PAGEREF _Toc261100078 \h </w:instrText>
        </w:r>
        <w:r>
          <w:rPr>
            <w:noProof/>
            <w:webHidden/>
          </w:rPr>
          <w:fldChar w:fldCharType="separate"/>
        </w:r>
        <w:r>
          <w:rPr>
            <w:noProof/>
            <w:webHidden/>
          </w:rPr>
          <w:t xml:space="preserve">73</w:t>
        </w:r>
        <w:r>
          <w:rPr>
            <w:noProof/>
            <w:webHidden/>
          </w:rPr>
          <w:fldChar w:fldCharType="end"/>
        </w:r>
      </w:hyperlink>
    </w:p>
    <w:p>
      <w:pPr>
        <w:pStyle w:val="TOC2"/>
      </w:pPr>
      <w:hyperlink w:anchor="_Toc261100079" w:history="1">
        <w:r>
          <w:rPr>
            <w:noProof/>
          </w:rPr>
          <w:t xml:space="preserve">C.5 The Green Discount and the Early-Adopter Credit</w:t>
        </w:r>
        <w:r>
          <w:rPr>
            <w:noProof/>
            <w:webHidden/>
          </w:rPr>
          <w:tab/>
        </w:r>
        <w:r>
          <w:rPr>
            <w:noProof/>
            <w:webHidden/>
          </w:rPr>
          <w:fldChar w:fldCharType="begin"/>
        </w:r>
        <w:r>
          <w:rPr>
            <w:noProof/>
            <w:webHidden/>
          </w:rPr>
          <w:instrText xml:space="preserve"> PAGEREF _Toc261100079 \h </w:instrText>
        </w:r>
        <w:r>
          <w:rPr>
            <w:noProof/>
            <w:webHidden/>
          </w:rPr>
          <w:fldChar w:fldCharType="separate"/>
        </w:r>
        <w:r>
          <w:rPr>
            <w:noProof/>
            <w:webHidden/>
          </w:rPr>
          <w:t xml:space="preserve">73</w:t>
        </w:r>
        <w:r>
          <w:rPr>
            <w:noProof/>
            <w:webHidden/>
          </w:rPr>
          <w:fldChar w:fldCharType="end"/>
        </w:r>
      </w:hyperlink>
    </w:p>
    <w:p>
      <w:pPr>
        <w:pStyle w:val="TOC2"/>
      </w:pPr>
      <w:hyperlink w:anchor="_Toc261100080" w:history="1">
        <w:r>
          <w:rPr>
            <w:noProof/>
          </w:rPr>
          <w:t xml:space="preserve">C.6 The Authority Budget</w:t>
        </w:r>
        <w:r>
          <w:rPr>
            <w:noProof/>
            <w:webHidden/>
          </w:rPr>
          <w:tab/>
        </w:r>
        <w:r>
          <w:rPr>
            <w:noProof/>
            <w:webHidden/>
          </w:rPr>
          <w:fldChar w:fldCharType="begin"/>
        </w:r>
        <w:r>
          <w:rPr>
            <w:noProof/>
            <w:webHidden/>
          </w:rPr>
          <w:instrText xml:space="preserve"> PAGEREF _Toc261100080 \h </w:instrText>
        </w:r>
        <w:r>
          <w:rPr>
            <w:noProof/>
            <w:webHidden/>
          </w:rPr>
          <w:fldChar w:fldCharType="separate"/>
        </w:r>
        <w:r>
          <w:rPr>
            <w:noProof/>
            <w:webHidden/>
          </w:rPr>
          <w:t xml:space="preserve">74</w:t>
        </w:r>
        <w:r>
          <w:rPr>
            <w:noProof/>
            <w:webHidden/>
          </w:rPr>
          <w:fldChar w:fldCharType="end"/>
        </w:r>
      </w:hyperlink>
    </w:p>
    <w:p>
      <w:pPr>
        <w:pStyle w:val="TOC2"/>
      </w:pPr>
      <w:hyperlink w:anchor="_Toc261100081" w:history="1">
        <w:r>
          <w:rPr>
            <w:noProof/>
          </w:rPr>
          <w:t xml:space="preserve">C.7 Fund Governance and Reporting</w:t>
        </w:r>
        <w:r>
          <w:rPr>
            <w:noProof/>
            <w:webHidden/>
          </w:rPr>
          <w:tab/>
        </w:r>
        <w:r>
          <w:rPr>
            <w:noProof/>
            <w:webHidden/>
          </w:rPr>
          <w:fldChar w:fldCharType="begin"/>
        </w:r>
        <w:r>
          <w:rPr>
            <w:noProof/>
            <w:webHidden/>
          </w:rPr>
          <w:instrText xml:space="preserve"> PAGEREF _Toc261100081 \h </w:instrText>
        </w:r>
        <w:r>
          <w:rPr>
            <w:noProof/>
            <w:webHidden/>
          </w:rPr>
          <w:fldChar w:fldCharType="separate"/>
        </w:r>
        <w:r>
          <w:rPr>
            <w:noProof/>
            <w:webHidden/>
          </w:rPr>
          <w:t xml:space="preserve">74</w:t>
        </w:r>
        <w:r>
          <w:rPr>
            <w:noProof/>
            <w:webHidden/>
          </w:rPr>
          <w:fldChar w:fldCharType="end"/>
        </w:r>
      </w:hyperlink>
    </w:p>
    <w:p>
      <w:pPr>
        <w:pStyle w:val="TOC2"/>
      </w:pPr>
      <w:hyperlink w:anchor="_Toc261100082" w:history="1">
        <w:r>
          <w:rPr>
            <w:noProof/>
          </w:rPr>
          <w:t xml:space="preserve">C.8 The Participation Ledger</w:t>
        </w:r>
        <w:r>
          <w:rPr>
            <w:noProof/>
            <w:webHidden/>
          </w:rPr>
          <w:tab/>
        </w:r>
        <w:r>
          <w:rPr>
            <w:noProof/>
            <w:webHidden/>
          </w:rPr>
          <w:fldChar w:fldCharType="begin"/>
        </w:r>
        <w:r>
          <w:rPr>
            <w:noProof/>
            <w:webHidden/>
          </w:rPr>
          <w:instrText xml:space="preserve"> PAGEREF _Toc261100082 \h </w:instrText>
        </w:r>
        <w:r>
          <w:rPr>
            <w:noProof/>
            <w:webHidden/>
          </w:rPr>
          <w:fldChar w:fldCharType="separate"/>
        </w:r>
        <w:r>
          <w:rPr>
            <w:noProof/>
            <w:webHidden/>
          </w:rPr>
          <w:t xml:space="preserve">75</w:t>
        </w:r>
        <w:r>
          <w:rPr>
            <w:noProof/>
            <w:webHidden/>
          </w:rPr>
          <w:fldChar w:fldCharType="end"/>
        </w:r>
      </w:hyperlink>
    </w:p>
    <w:p>
      <w:pPr>
        <w:pStyle w:val="TOC1"/>
      </w:pPr>
      <w:hyperlink w:anchor="_Toc261100083" w:history="1">
        <w:r>
          <w:rPr>
            <w:noProof/>
          </w:rPr>
          <w:t xml:space="preserve">Annex D: The Sanctions-Compliance Firewall and Payment Protocol</w:t>
        </w:r>
        <w:r>
          <w:rPr>
            <w:noProof/>
            <w:webHidden/>
          </w:rPr>
          <w:tab/>
        </w:r>
        <w:r>
          <w:rPr>
            <w:noProof/>
            <w:webHidden/>
          </w:rPr>
          <w:fldChar w:fldCharType="begin"/>
        </w:r>
        <w:r>
          <w:rPr>
            <w:noProof/>
            <w:webHidden/>
          </w:rPr>
          <w:instrText xml:space="preserve"> PAGEREF _Toc261100083 \h </w:instrText>
        </w:r>
        <w:r>
          <w:rPr>
            <w:noProof/>
            <w:webHidden/>
          </w:rPr>
          <w:fldChar w:fldCharType="separate"/>
        </w:r>
        <w:r>
          <w:rPr>
            <w:noProof/>
            <w:webHidden/>
          </w:rPr>
          <w:t xml:space="preserve">76</w:t>
        </w:r>
        <w:r>
          <w:rPr>
            <w:noProof/>
            <w:webHidden/>
          </w:rPr>
          <w:fldChar w:fldCharType="end"/>
        </w:r>
      </w:hyperlink>
    </w:p>
    <w:p>
      <w:pPr>
        <w:pStyle w:val="TOC2"/>
      </w:pPr>
      <w:hyperlink w:anchor="_Toc261100084" w:history="1">
        <w:r>
          <w:rPr>
            <w:noProof/>
          </w:rPr>
          <w:t xml:space="preserve">D.1 The Hormuz Account Structure</w:t>
        </w:r>
        <w:r>
          <w:rPr>
            <w:noProof/>
            <w:webHidden/>
          </w:rPr>
          <w:tab/>
        </w:r>
        <w:r>
          <w:rPr>
            <w:noProof/>
            <w:webHidden/>
          </w:rPr>
          <w:fldChar w:fldCharType="begin"/>
        </w:r>
        <w:r>
          <w:rPr>
            <w:noProof/>
            <w:webHidden/>
          </w:rPr>
          <w:instrText xml:space="preserve"> PAGEREF _Toc261100084 \h </w:instrText>
        </w:r>
        <w:r>
          <w:rPr>
            <w:noProof/>
            <w:webHidden/>
          </w:rPr>
          <w:fldChar w:fldCharType="separate"/>
        </w:r>
        <w:r>
          <w:rPr>
            <w:noProof/>
            <w:webHidden/>
          </w:rPr>
          <w:t xml:space="preserve">76</w:t>
        </w:r>
        <w:r>
          <w:rPr>
            <w:noProof/>
            <w:webHidden/>
          </w:rPr>
          <w:fldChar w:fldCharType="end"/>
        </w:r>
      </w:hyperlink>
    </w:p>
    <w:p>
      <w:pPr>
        <w:pStyle w:val="TOC2"/>
      </w:pPr>
      <w:hyperlink w:anchor="_Toc261100085" w:history="1">
        <w:r>
          <w:rPr>
            <w:noProof/>
          </w:rPr>
          <w:t xml:space="preserve">D.2 The Transaction Flows</w:t>
        </w:r>
        <w:r>
          <w:rPr>
            <w:noProof/>
            <w:webHidden/>
          </w:rPr>
          <w:tab/>
        </w:r>
        <w:r>
          <w:rPr>
            <w:noProof/>
            <w:webHidden/>
          </w:rPr>
          <w:fldChar w:fldCharType="begin"/>
        </w:r>
        <w:r>
          <w:rPr>
            <w:noProof/>
            <w:webHidden/>
          </w:rPr>
          <w:instrText xml:space="preserve"> PAGEREF _Toc261100085 \h </w:instrText>
        </w:r>
        <w:r>
          <w:rPr>
            <w:noProof/>
            <w:webHidden/>
          </w:rPr>
          <w:fldChar w:fldCharType="separate"/>
        </w:r>
        <w:r>
          <w:rPr>
            <w:noProof/>
            <w:webHidden/>
          </w:rPr>
          <w:t xml:space="preserve">76</w:t>
        </w:r>
        <w:r>
          <w:rPr>
            <w:noProof/>
            <w:webHidden/>
          </w:rPr>
          <w:fldChar w:fldCharType="end"/>
        </w:r>
      </w:hyperlink>
    </w:p>
    <w:p>
      <w:pPr>
        <w:pStyle w:val="TOC2"/>
      </w:pPr>
      <w:hyperlink w:anchor="_Toc261100086" w:history="1">
        <w:r>
          <w:rPr>
            <w:noProof/>
          </w:rPr>
          <w:t xml:space="preserve">D.3 Disbursement to the Performing Parties</w:t>
        </w:r>
        <w:r>
          <w:rPr>
            <w:noProof/>
            <w:webHidden/>
          </w:rPr>
          <w:tab/>
        </w:r>
        <w:r>
          <w:rPr>
            <w:noProof/>
            <w:webHidden/>
          </w:rPr>
          <w:fldChar w:fldCharType="begin"/>
        </w:r>
        <w:r>
          <w:rPr>
            <w:noProof/>
            <w:webHidden/>
          </w:rPr>
          <w:instrText xml:space="preserve"> PAGEREF _Toc261100086 \h </w:instrText>
        </w:r>
        <w:r>
          <w:rPr>
            <w:noProof/>
            <w:webHidden/>
          </w:rPr>
          <w:fldChar w:fldCharType="separate"/>
        </w:r>
        <w:r>
          <w:rPr>
            <w:noProof/>
            <w:webHidden/>
          </w:rPr>
          <w:t xml:space="preserve">77</w:t>
        </w:r>
        <w:r>
          <w:rPr>
            <w:noProof/>
            <w:webHidden/>
          </w:rPr>
          <w:fldChar w:fldCharType="end"/>
        </w:r>
      </w:hyperlink>
    </w:p>
    <w:p>
      <w:pPr>
        <w:pStyle w:val="TOC2"/>
      </w:pPr>
      <w:hyperlink w:anchor="_Toc261100087" w:history="1">
        <w:r>
          <w:rPr>
            <w:noProof/>
          </w:rPr>
          <w:t xml:space="preserve">D.4 The Payment Surety Bond</w:t>
        </w:r>
        <w:r>
          <w:rPr>
            <w:noProof/>
            <w:webHidden/>
          </w:rPr>
          <w:tab/>
        </w:r>
        <w:r>
          <w:rPr>
            <w:noProof/>
            <w:webHidden/>
          </w:rPr>
          <w:fldChar w:fldCharType="begin"/>
        </w:r>
        <w:r>
          <w:rPr>
            <w:noProof/>
            <w:webHidden/>
          </w:rPr>
          <w:instrText xml:space="preserve"> PAGEREF _Toc261100087 \h </w:instrText>
        </w:r>
        <w:r>
          <w:rPr>
            <w:noProof/>
            <w:webHidden/>
          </w:rPr>
          <w:fldChar w:fldCharType="separate"/>
        </w:r>
        <w:r>
          <w:rPr>
            <w:noProof/>
            <w:webHidden/>
          </w:rPr>
          <w:t xml:space="preserve">77</w:t>
        </w:r>
        <w:r>
          <w:rPr>
            <w:noProof/>
            <w:webHidden/>
          </w:rPr>
          <w:fldChar w:fldCharType="end"/>
        </w:r>
      </w:hyperlink>
    </w:p>
    <w:p>
      <w:pPr>
        <w:pStyle w:val="TOC2"/>
      </w:pPr>
      <w:hyperlink w:anchor="_Toc261100088" w:history="1">
        <w:r>
          <w:rPr>
            <w:noProof/>
          </w:rPr>
          <w:t xml:space="preserve">D.5 The Escrow Rule</w:t>
        </w:r>
        <w:r>
          <w:rPr>
            <w:noProof/>
            <w:webHidden/>
          </w:rPr>
          <w:tab/>
        </w:r>
        <w:r>
          <w:rPr>
            <w:noProof/>
            <w:webHidden/>
          </w:rPr>
          <w:fldChar w:fldCharType="begin"/>
        </w:r>
        <w:r>
          <w:rPr>
            <w:noProof/>
            <w:webHidden/>
          </w:rPr>
          <w:instrText xml:space="preserve"> PAGEREF _Toc261100088 \h </w:instrText>
        </w:r>
        <w:r>
          <w:rPr>
            <w:noProof/>
            <w:webHidden/>
          </w:rPr>
          <w:fldChar w:fldCharType="separate"/>
        </w:r>
        <w:r>
          <w:rPr>
            <w:noProof/>
            <w:webHidden/>
          </w:rPr>
          <w:t xml:space="preserve">78</w:t>
        </w:r>
        <w:r>
          <w:rPr>
            <w:noProof/>
            <w:webHidden/>
          </w:rPr>
          <w:fldChar w:fldCharType="end"/>
        </w:r>
      </w:hyperlink>
    </w:p>
    <w:p>
      <w:pPr>
        <w:pStyle w:val="TOC2"/>
      </w:pPr>
      <w:hyperlink w:anchor="_Toc261100089" w:history="1">
        <w:r>
          <w:rPr>
            <w:noProof/>
          </w:rPr>
          <w:t xml:space="preserve">D.6 The Substance Test</w:t>
        </w:r>
        <w:r>
          <w:rPr>
            <w:noProof/>
            <w:webHidden/>
          </w:rPr>
          <w:tab/>
        </w:r>
        <w:r>
          <w:rPr>
            <w:noProof/>
            <w:webHidden/>
          </w:rPr>
          <w:fldChar w:fldCharType="begin"/>
        </w:r>
        <w:r>
          <w:rPr>
            <w:noProof/>
            <w:webHidden/>
          </w:rPr>
          <w:instrText xml:space="preserve"> PAGEREF _Toc261100089 \h </w:instrText>
        </w:r>
        <w:r>
          <w:rPr>
            <w:noProof/>
            <w:webHidden/>
          </w:rPr>
          <w:fldChar w:fldCharType="separate"/>
        </w:r>
        <w:r>
          <w:rPr>
            <w:noProof/>
            <w:webHidden/>
          </w:rPr>
          <w:t xml:space="preserve">78</w:t>
        </w:r>
        <w:r>
          <w:rPr>
            <w:noProof/>
            <w:webHidden/>
          </w:rPr>
          <w:fldChar w:fldCharType="end"/>
        </w:r>
      </w:hyperlink>
    </w:p>
    <w:p>
      <w:pPr>
        <w:pStyle w:val="TOC2"/>
      </w:pPr>
      <w:hyperlink w:anchor="_Toc261100090" w:history="1">
        <w:r>
          <w:rPr>
            <w:noProof/>
          </w:rPr>
          <w:t xml:space="preserve">D.7 The Compliance Calendar</w:t>
        </w:r>
        <w:r>
          <w:rPr>
            <w:noProof/>
            <w:webHidden/>
          </w:rPr>
          <w:tab/>
        </w:r>
        <w:r>
          <w:rPr>
            <w:noProof/>
            <w:webHidden/>
          </w:rPr>
          <w:fldChar w:fldCharType="begin"/>
        </w:r>
        <w:r>
          <w:rPr>
            <w:noProof/>
            <w:webHidden/>
          </w:rPr>
          <w:instrText xml:space="preserve"> PAGEREF _Toc261100090 \h </w:instrText>
        </w:r>
        <w:r>
          <w:rPr>
            <w:noProof/>
            <w:webHidden/>
          </w:rPr>
          <w:fldChar w:fldCharType="separate"/>
        </w:r>
        <w:r>
          <w:rPr>
            <w:noProof/>
            <w:webHidden/>
          </w:rPr>
          <w:t xml:space="preserve">78</w:t>
        </w:r>
        <w:r>
          <w:rPr>
            <w:noProof/>
            <w:webHidden/>
          </w:rPr>
          <w:fldChar w:fldCharType="end"/>
        </w:r>
      </w:hyperlink>
    </w:p>
    <w:p>
      <w:pPr>
        <w:pStyle w:val="TOC2"/>
      </w:pPr>
      <w:hyperlink w:anchor="_Toc261100091" w:history="1">
        <w:r>
          <w:rPr>
            <w:noProof/>
          </w:rPr>
          <w:t xml:space="preserve">D.8 Data and Privacy</w:t>
        </w:r>
        <w:r>
          <w:rPr>
            <w:noProof/>
            <w:webHidden/>
          </w:rPr>
          <w:tab/>
        </w:r>
        <w:r>
          <w:rPr>
            <w:noProof/>
            <w:webHidden/>
          </w:rPr>
          <w:fldChar w:fldCharType="begin"/>
        </w:r>
        <w:r>
          <w:rPr>
            <w:noProof/>
            <w:webHidden/>
          </w:rPr>
          <w:instrText xml:space="preserve"> PAGEREF _Toc261100091 \h </w:instrText>
        </w:r>
        <w:r>
          <w:rPr>
            <w:noProof/>
            <w:webHidden/>
          </w:rPr>
          <w:fldChar w:fldCharType="separate"/>
        </w:r>
        <w:r>
          <w:rPr>
            <w:noProof/>
            <w:webHidden/>
          </w:rPr>
          <w:t xml:space="preserve">79</w:t>
        </w:r>
        <w:r>
          <w:rPr>
            <w:noProof/>
            <w:webHidden/>
          </w:rPr>
          <w:fldChar w:fldCharType="end"/>
        </w:r>
      </w:hyperlink>
    </w:p>
    <w:p>
      <w:pPr>
        <w:pStyle w:val="TOC1"/>
      </w:pPr>
      <w:hyperlink w:anchor="_Toc261100092" w:history="1">
        <w:r>
          <w:rPr>
            <w:noProof/>
          </w:rPr>
          <w:t xml:space="preserve">Annex E: The Functional Allocation Table and the Twin Key Schedule</w:t>
        </w:r>
        <w:r>
          <w:rPr>
            <w:noProof/>
            <w:webHidden/>
          </w:rPr>
          <w:tab/>
        </w:r>
        <w:r>
          <w:rPr>
            <w:noProof/>
            <w:webHidden/>
          </w:rPr>
          <w:fldChar w:fldCharType="begin"/>
        </w:r>
        <w:r>
          <w:rPr>
            <w:noProof/>
            <w:webHidden/>
          </w:rPr>
          <w:instrText xml:space="preserve"> PAGEREF _Toc261100092 \h </w:instrText>
        </w:r>
        <w:r>
          <w:rPr>
            <w:noProof/>
            <w:webHidden/>
          </w:rPr>
          <w:fldChar w:fldCharType="separate"/>
        </w:r>
        <w:r>
          <w:rPr>
            <w:noProof/>
            <w:webHidden/>
          </w:rPr>
          <w:t xml:space="preserve">80</w:t>
        </w:r>
        <w:r>
          <w:rPr>
            <w:noProof/>
            <w:webHidden/>
          </w:rPr>
          <w:fldChar w:fldCharType="end"/>
        </w:r>
      </w:hyperlink>
    </w:p>
    <w:p>
      <w:pPr>
        <w:pStyle w:val="TOC2"/>
      </w:pPr>
      <w:hyperlink w:anchor="_Toc261100093" w:history="1">
        <w:r>
          <w:rPr>
            <w:noProof/>
          </w:rPr>
          <w:t xml:space="preserve">E.1 Reading the Table</w:t>
        </w:r>
        <w:r>
          <w:rPr>
            <w:noProof/>
            <w:webHidden/>
          </w:rPr>
          <w:tab/>
        </w:r>
        <w:r>
          <w:rPr>
            <w:noProof/>
            <w:webHidden/>
          </w:rPr>
          <w:fldChar w:fldCharType="begin"/>
        </w:r>
        <w:r>
          <w:rPr>
            <w:noProof/>
            <w:webHidden/>
          </w:rPr>
          <w:instrText xml:space="preserve"> PAGEREF _Toc261100093 \h </w:instrText>
        </w:r>
        <w:r>
          <w:rPr>
            <w:noProof/>
            <w:webHidden/>
          </w:rPr>
          <w:fldChar w:fldCharType="separate"/>
        </w:r>
        <w:r>
          <w:rPr>
            <w:noProof/>
            <w:webHidden/>
          </w:rPr>
          <w:t xml:space="preserve">80</w:t>
        </w:r>
        <w:r>
          <w:rPr>
            <w:noProof/>
            <w:webHidden/>
          </w:rPr>
          <w:fldChar w:fldCharType="end"/>
        </w:r>
      </w:hyperlink>
    </w:p>
    <w:p>
      <w:pPr>
        <w:pStyle w:val="TOC2"/>
      </w:pPr>
      <w:hyperlink w:anchor="_Toc261100094" w:history="1">
        <w:r>
          <w:rPr>
            <w:noProof/>
          </w:rPr>
          <w:t xml:space="preserve">E.2 Table E.2: Baseline Functional Allocation</w:t>
        </w:r>
        <w:r>
          <w:rPr>
            <w:noProof/>
            <w:webHidden/>
          </w:rPr>
          <w:tab/>
        </w:r>
        <w:r>
          <w:rPr>
            <w:noProof/>
            <w:webHidden/>
          </w:rPr>
          <w:fldChar w:fldCharType="begin"/>
        </w:r>
        <w:r>
          <w:rPr>
            <w:noProof/>
            <w:webHidden/>
          </w:rPr>
          <w:instrText xml:space="preserve"> PAGEREF _Toc261100094 \h </w:instrText>
        </w:r>
        <w:r>
          <w:rPr>
            <w:noProof/>
            <w:webHidden/>
          </w:rPr>
          <w:fldChar w:fldCharType="separate"/>
        </w:r>
        <w:r>
          <w:rPr>
            <w:noProof/>
            <w:webHidden/>
          </w:rPr>
          <w:t xml:space="preserve">80</w:t>
        </w:r>
        <w:r>
          <w:rPr>
            <w:noProof/>
            <w:webHidden/>
          </w:rPr>
          <w:fldChar w:fldCharType="end"/>
        </w:r>
      </w:hyperlink>
    </w:p>
    <w:p>
      <w:pPr>
        <w:pStyle w:val="TOC2"/>
      </w:pPr>
      <w:hyperlink w:anchor="_Toc261100095" w:history="1">
        <w:r>
          <w:rPr>
            <w:noProof/>
          </w:rPr>
          <w:t xml:space="preserve">E.3 Table E.3: The Twin Key Schedule</w:t>
        </w:r>
        <w:r>
          <w:rPr>
            <w:noProof/>
            <w:webHidden/>
          </w:rPr>
          <w:tab/>
        </w:r>
        <w:r>
          <w:rPr>
            <w:noProof/>
            <w:webHidden/>
          </w:rPr>
          <w:fldChar w:fldCharType="begin"/>
        </w:r>
        <w:r>
          <w:rPr>
            <w:noProof/>
            <w:webHidden/>
          </w:rPr>
          <w:instrText xml:space="preserve"> PAGEREF _Toc261100095 \h </w:instrText>
        </w:r>
        <w:r>
          <w:rPr>
            <w:noProof/>
            <w:webHidden/>
          </w:rPr>
          <w:fldChar w:fldCharType="separate"/>
        </w:r>
        <w:r>
          <w:rPr>
            <w:noProof/>
            <w:webHidden/>
          </w:rPr>
          <w:t xml:space="preserve">81</w:t>
        </w:r>
        <w:r>
          <w:rPr>
            <w:noProof/>
            <w:webHidden/>
          </w:rPr>
          <w:fldChar w:fldCharType="end"/>
        </w:r>
      </w:hyperlink>
    </w:p>
    <w:p>
      <w:pPr>
        <w:pStyle w:val="TOC2"/>
      </w:pPr>
      <w:hyperlink w:anchor="_Toc261100096" w:history="1">
        <w:r>
          <w:rPr>
            <w:noProof/>
          </w:rPr>
          <w:t xml:space="preserve">E.4 The Pairing Staffing Rule</w:t>
        </w:r>
        <w:r>
          <w:rPr>
            <w:noProof/>
            <w:webHidden/>
          </w:rPr>
          <w:tab/>
        </w:r>
        <w:r>
          <w:rPr>
            <w:noProof/>
            <w:webHidden/>
          </w:rPr>
          <w:fldChar w:fldCharType="begin"/>
        </w:r>
        <w:r>
          <w:rPr>
            <w:noProof/>
            <w:webHidden/>
          </w:rPr>
          <w:instrText xml:space="preserve"> PAGEREF _Toc261100096 \h </w:instrText>
        </w:r>
        <w:r>
          <w:rPr>
            <w:noProof/>
            <w:webHidden/>
          </w:rPr>
          <w:fldChar w:fldCharType="separate"/>
        </w:r>
        <w:r>
          <w:rPr>
            <w:noProof/>
            <w:webHidden/>
          </w:rPr>
          <w:t xml:space="preserve">82</w:t>
        </w:r>
        <w:r>
          <w:rPr>
            <w:noProof/>
            <w:webHidden/>
          </w:rPr>
          <w:fldChar w:fldCharType="end"/>
        </w:r>
      </w:hyperlink>
    </w:p>
    <w:p>
      <w:pPr>
        <w:pStyle w:val="TOC2"/>
      </w:pPr>
      <w:hyperlink w:anchor="_Toc261100097" w:history="1">
        <w:r>
          <w:rPr>
            <w:noProof/>
          </w:rPr>
          <w:t xml:space="preserve">E.5 Functional Weighting for the Escalator</w:t>
        </w:r>
        <w:r>
          <w:rPr>
            <w:noProof/>
            <w:webHidden/>
          </w:rPr>
          <w:tab/>
        </w:r>
        <w:r>
          <w:rPr>
            <w:noProof/>
            <w:webHidden/>
          </w:rPr>
          <w:fldChar w:fldCharType="begin"/>
        </w:r>
        <w:r>
          <w:rPr>
            <w:noProof/>
            <w:webHidden/>
          </w:rPr>
          <w:instrText xml:space="preserve"> PAGEREF _Toc261100097 \h </w:instrText>
        </w:r>
        <w:r>
          <w:rPr>
            <w:noProof/>
            <w:webHidden/>
          </w:rPr>
          <w:fldChar w:fldCharType="separate"/>
        </w:r>
        <w:r>
          <w:rPr>
            <w:noProof/>
            <w:webHidden/>
          </w:rPr>
          <w:t xml:space="preserve">82</w:t>
        </w:r>
        <w:r>
          <w:rPr>
            <w:noProof/>
            <w:webHidden/>
          </w:rPr>
          <w:fldChar w:fldCharType="end"/>
        </w:r>
      </w:hyperlink>
    </w:p>
    <w:p>
      <w:pPr>
        <w:pStyle w:val="TOC2"/>
      </w:pPr>
      <w:hyperlink w:anchor="_Toc261100098" w:history="1">
        <w:r>
          <w:rPr>
            <w:noProof/>
          </w:rPr>
          <w:t xml:space="preserve">E.6 Functions the Table Never Contains</w:t>
        </w:r>
        <w:r>
          <w:rPr>
            <w:noProof/>
            <w:webHidden/>
          </w:rPr>
          <w:tab/>
        </w:r>
        <w:r>
          <w:rPr>
            <w:noProof/>
            <w:webHidden/>
          </w:rPr>
          <w:fldChar w:fldCharType="begin"/>
        </w:r>
        <w:r>
          <w:rPr>
            <w:noProof/>
            <w:webHidden/>
          </w:rPr>
          <w:instrText xml:space="preserve"> PAGEREF _Toc261100098 \h </w:instrText>
        </w:r>
        <w:r>
          <w:rPr>
            <w:noProof/>
            <w:webHidden/>
          </w:rPr>
          <w:fldChar w:fldCharType="separate"/>
        </w:r>
        <w:r>
          <w:rPr>
            <w:noProof/>
            <w:webHidden/>
          </w:rPr>
          <w:t xml:space="preserve">82</w:t>
        </w:r>
        <w:r>
          <w:rPr>
            <w:noProof/>
            <w:webHidden/>
          </w:rPr>
          <w:fldChar w:fldCharType="end"/>
        </w:r>
      </w:hyperlink>
    </w:p>
    <w:p>
      <w:pPr>
        <w:pStyle w:val="TOC1"/>
      </w:pPr>
      <w:hyperlink w:anchor="_Toc261100099" w:history="1">
        <w:r>
          <w:rPr>
            <w:noProof/>
          </w:rPr>
          <w:t xml:space="preserve">Annex F: Communications Formats and the Mariners' Handbook</w:t>
        </w:r>
        <w:r>
          <w:rPr>
            <w:noProof/>
            <w:webHidden/>
          </w:rPr>
          <w:tab/>
        </w:r>
        <w:r>
          <w:rPr>
            <w:noProof/>
            <w:webHidden/>
          </w:rPr>
          <w:fldChar w:fldCharType="begin"/>
        </w:r>
        <w:r>
          <w:rPr>
            <w:noProof/>
            <w:webHidden/>
          </w:rPr>
          <w:instrText xml:space="preserve"> PAGEREF _Toc261100099 \h </w:instrText>
        </w:r>
        <w:r>
          <w:rPr>
            <w:noProof/>
            <w:webHidden/>
          </w:rPr>
          <w:fldChar w:fldCharType="separate"/>
        </w:r>
        <w:r>
          <w:rPr>
            <w:noProof/>
            <w:webHidden/>
          </w:rPr>
          <w:t xml:space="preserve">83</w:t>
        </w:r>
        <w:r>
          <w:rPr>
            <w:noProof/>
            <w:webHidden/>
          </w:rPr>
          <w:fldChar w:fldCharType="end"/>
        </w:r>
      </w:hyperlink>
    </w:p>
    <w:p>
      <w:pPr>
        <w:pStyle w:val="TOC2"/>
      </w:pPr>
      <w:hyperlink w:anchor="_Toc261100100" w:history="1">
        <w:r>
          <w:rPr>
            <w:noProof/>
          </w:rPr>
          <w:t xml:space="preserve">F.1 General Rules</w:t>
        </w:r>
        <w:r>
          <w:rPr>
            <w:noProof/>
            <w:webHidden/>
          </w:rPr>
          <w:tab/>
        </w:r>
        <w:r>
          <w:rPr>
            <w:noProof/>
            <w:webHidden/>
          </w:rPr>
          <w:fldChar w:fldCharType="begin"/>
        </w:r>
        <w:r>
          <w:rPr>
            <w:noProof/>
            <w:webHidden/>
          </w:rPr>
          <w:instrText xml:space="preserve"> PAGEREF _Toc261100100 \h </w:instrText>
        </w:r>
        <w:r>
          <w:rPr>
            <w:noProof/>
            <w:webHidden/>
          </w:rPr>
          <w:fldChar w:fldCharType="separate"/>
        </w:r>
        <w:r>
          <w:rPr>
            <w:noProof/>
            <w:webHidden/>
          </w:rPr>
          <w:t xml:space="preserve">83</w:t>
        </w:r>
        <w:r>
          <w:rPr>
            <w:noProof/>
            <w:webHidden/>
          </w:rPr>
          <w:fldChar w:fldCharType="end"/>
        </w:r>
      </w:hyperlink>
    </w:p>
    <w:p>
      <w:pPr>
        <w:pStyle w:val="TOC2"/>
      </w:pPr>
      <w:hyperlink w:anchor="_Toc261100101" w:history="1">
        <w:r>
          <w:rPr>
            <w:noProof/>
          </w:rPr>
          <w:t xml:space="preserve">F.2 The Transit Notice (Northern Inbound Corridor)</w:t>
        </w:r>
        <w:r>
          <w:rPr>
            <w:noProof/>
            <w:webHidden/>
          </w:rPr>
          <w:tab/>
        </w:r>
        <w:r>
          <w:rPr>
            <w:noProof/>
            <w:webHidden/>
          </w:rPr>
          <w:fldChar w:fldCharType="begin"/>
        </w:r>
        <w:r>
          <w:rPr>
            <w:noProof/>
            <w:webHidden/>
          </w:rPr>
          <w:instrText xml:space="preserve"> PAGEREF _Toc261100101 \h </w:instrText>
        </w:r>
        <w:r>
          <w:rPr>
            <w:noProof/>
            <w:webHidden/>
          </w:rPr>
          <w:fldChar w:fldCharType="separate"/>
        </w:r>
        <w:r>
          <w:rPr>
            <w:noProof/>
            <w:webHidden/>
          </w:rPr>
          <w:t xml:space="preserve">83</w:t>
        </w:r>
        <w:r>
          <w:rPr>
            <w:noProof/>
            <w:webHidden/>
          </w:rPr>
          <w:fldChar w:fldCharType="end"/>
        </w:r>
      </w:hyperlink>
    </w:p>
    <w:p>
      <w:pPr>
        <w:pStyle w:val="TOC2"/>
      </w:pPr>
      <w:hyperlink w:anchor="_Toc261100102" w:history="1">
        <w:r>
          <w:rPr>
            <w:noProof/>
          </w:rPr>
          <w:t xml:space="preserve">F.3 The Acknowledgment</w:t>
        </w:r>
        <w:r>
          <w:rPr>
            <w:noProof/>
            <w:webHidden/>
          </w:rPr>
          <w:tab/>
        </w:r>
        <w:r>
          <w:rPr>
            <w:noProof/>
            <w:webHidden/>
          </w:rPr>
          <w:fldChar w:fldCharType="begin"/>
        </w:r>
        <w:r>
          <w:rPr>
            <w:noProof/>
            <w:webHidden/>
          </w:rPr>
          <w:instrText xml:space="preserve"> PAGEREF _Toc261100102 \h </w:instrText>
        </w:r>
        <w:r>
          <w:rPr>
            <w:noProof/>
            <w:webHidden/>
          </w:rPr>
          <w:fldChar w:fldCharType="separate"/>
        </w:r>
        <w:r>
          <w:rPr>
            <w:noProof/>
            <w:webHidden/>
          </w:rPr>
          <w:t xml:space="preserve">84</w:t>
        </w:r>
        <w:r>
          <w:rPr>
            <w:noProof/>
            <w:webHidden/>
          </w:rPr>
          <w:fldChar w:fldCharType="end"/>
        </w:r>
      </w:hyperlink>
    </w:p>
    <w:p>
      <w:pPr>
        <w:pStyle w:val="TOC2"/>
      </w:pPr>
      <w:hyperlink w:anchor="_Toc261100103" w:history="1">
        <w:r>
          <w:rPr>
            <w:noProof/>
          </w:rPr>
          <w:t xml:space="preserve">F.4 The Open Water Bulletin</w:t>
        </w:r>
        <w:r>
          <w:rPr>
            <w:noProof/>
            <w:webHidden/>
          </w:rPr>
          <w:tab/>
        </w:r>
        <w:r>
          <w:rPr>
            <w:noProof/>
            <w:webHidden/>
          </w:rPr>
          <w:fldChar w:fldCharType="begin"/>
        </w:r>
        <w:r>
          <w:rPr>
            <w:noProof/>
            <w:webHidden/>
          </w:rPr>
          <w:instrText xml:space="preserve"> PAGEREF _Toc261100103 \h </w:instrText>
        </w:r>
        <w:r>
          <w:rPr>
            <w:noProof/>
            <w:webHidden/>
          </w:rPr>
          <w:fldChar w:fldCharType="separate"/>
        </w:r>
        <w:r>
          <w:rPr>
            <w:noProof/>
            <w:webHidden/>
          </w:rPr>
          <w:t xml:space="preserve">84</w:t>
        </w:r>
        <w:r>
          <w:rPr>
            <w:noProof/>
            <w:webHidden/>
          </w:rPr>
          <w:fldChar w:fldCharType="end"/>
        </w:r>
      </w:hyperlink>
    </w:p>
    <w:p>
      <w:pPr>
        <w:pStyle w:val="TOC2"/>
      </w:pPr>
      <w:hyperlink w:anchor="_Toc261100104" w:history="1">
        <w:r>
          <w:rPr>
            <w:noProof/>
          </w:rPr>
          <w:t xml:space="preserve">F.5 The Incident Report Form</w:t>
        </w:r>
        <w:r>
          <w:rPr>
            <w:noProof/>
            <w:webHidden/>
          </w:rPr>
          <w:tab/>
        </w:r>
        <w:r>
          <w:rPr>
            <w:noProof/>
            <w:webHidden/>
          </w:rPr>
          <w:fldChar w:fldCharType="begin"/>
        </w:r>
        <w:r>
          <w:rPr>
            <w:noProof/>
            <w:webHidden/>
          </w:rPr>
          <w:instrText xml:space="preserve"> PAGEREF _Toc261100104 \h </w:instrText>
        </w:r>
        <w:r>
          <w:rPr>
            <w:noProof/>
            <w:webHidden/>
          </w:rPr>
          <w:fldChar w:fldCharType="separate"/>
        </w:r>
        <w:r>
          <w:rPr>
            <w:noProof/>
            <w:webHidden/>
          </w:rPr>
          <w:t xml:space="preserve">84</w:t>
        </w:r>
        <w:r>
          <w:rPr>
            <w:noProof/>
            <w:webHidden/>
          </w:rPr>
          <w:fldChar w:fldCharType="end"/>
        </w:r>
      </w:hyperlink>
    </w:p>
    <w:p>
      <w:pPr>
        <w:pStyle w:val="TOC2"/>
      </w:pPr>
      <w:hyperlink w:anchor="_Toc261100105" w:history="1">
        <w:r>
          <w:rPr>
            <w:noProof/>
          </w:rPr>
          <w:t xml:space="preserve">F.6 The Mariners' Handbook</w:t>
        </w:r>
        <w:r>
          <w:rPr>
            <w:noProof/>
            <w:webHidden/>
          </w:rPr>
          <w:tab/>
        </w:r>
        <w:r>
          <w:rPr>
            <w:noProof/>
            <w:webHidden/>
          </w:rPr>
          <w:fldChar w:fldCharType="begin"/>
        </w:r>
        <w:r>
          <w:rPr>
            <w:noProof/>
            <w:webHidden/>
          </w:rPr>
          <w:instrText xml:space="preserve"> PAGEREF _Toc261100105 \h </w:instrText>
        </w:r>
        <w:r>
          <w:rPr>
            <w:noProof/>
            <w:webHidden/>
          </w:rPr>
          <w:fldChar w:fldCharType="separate"/>
        </w:r>
        <w:r>
          <w:rPr>
            <w:noProof/>
            <w:webHidden/>
          </w:rPr>
          <w:t xml:space="preserve">85</w:t>
        </w:r>
        <w:r>
          <w:rPr>
            <w:noProof/>
            <w:webHidden/>
          </w:rPr>
          <w:fldChar w:fldCharType="end"/>
        </w:r>
      </w:hyperlink>
    </w:p>
    <w:p>
      <w:pPr>
        <w:pStyle w:val="TOC2"/>
      </w:pPr>
      <w:hyperlink w:anchor="_Toc261100106" w:history="1">
        <w:r>
          <w:rPr>
            <w:noProof/>
          </w:rPr>
          <w:t xml:space="preserve">F.7 The Agent Portal</w:t>
        </w:r>
        <w:r>
          <w:rPr>
            <w:noProof/>
            <w:webHidden/>
          </w:rPr>
          <w:tab/>
        </w:r>
        <w:r>
          <w:rPr>
            <w:noProof/>
            <w:webHidden/>
          </w:rPr>
          <w:fldChar w:fldCharType="begin"/>
        </w:r>
        <w:r>
          <w:rPr>
            <w:noProof/>
            <w:webHidden/>
          </w:rPr>
          <w:instrText xml:space="preserve"> PAGEREF _Toc261100106 \h </w:instrText>
        </w:r>
        <w:r>
          <w:rPr>
            <w:noProof/>
            <w:webHidden/>
          </w:rPr>
          <w:fldChar w:fldCharType="separate"/>
        </w:r>
        <w:r>
          <w:rPr>
            <w:noProof/>
            <w:webHidden/>
          </w:rPr>
          <w:t xml:space="preserve">85</w:t>
        </w:r>
        <w:r>
          <w:rPr>
            <w:noProof/>
            <w:webHidden/>
          </w:rPr>
          <w:fldChar w:fldCharType="end"/>
        </w:r>
      </w:hyperlink>
    </w:p>
    <w:p>
      <w:pPr>
        <w:pStyle w:val="TOC1"/>
      </w:pPr>
      <w:hyperlink w:anchor="_Toc261100107" w:history="1">
        <w:r>
          <w:rPr>
            <w:noProof/>
          </w:rPr>
          <w:t xml:space="preserve">Annex G: The Inviolable Principles Register (Full Operative Text)</w:t>
        </w:r>
        <w:r>
          <w:rPr>
            <w:noProof/>
            <w:webHidden/>
          </w:rPr>
          <w:tab/>
        </w:r>
        <w:r>
          <w:rPr>
            <w:noProof/>
            <w:webHidden/>
          </w:rPr>
          <w:fldChar w:fldCharType="begin"/>
        </w:r>
        <w:r>
          <w:rPr>
            <w:noProof/>
            <w:webHidden/>
          </w:rPr>
          <w:instrText xml:space="preserve"> PAGEREF _Toc261100107 \h </w:instrText>
        </w:r>
        <w:r>
          <w:rPr>
            <w:noProof/>
            <w:webHidden/>
          </w:rPr>
          <w:fldChar w:fldCharType="separate"/>
        </w:r>
        <w:r>
          <w:rPr>
            <w:noProof/>
            <w:webHidden/>
          </w:rPr>
          <w:t xml:space="preserve">86</w:t>
        </w:r>
        <w:r>
          <w:rPr>
            <w:noProof/>
            <w:webHidden/>
          </w:rPr>
          <w:fldChar w:fldCharType="end"/>
        </w:r>
      </w:hyperlink>
    </w:p>
    <w:p>
      <w:pPr>
        <w:pStyle w:val="TOC2"/>
      </w:pPr>
      <w:hyperlink w:anchor="_Toc261100108" w:history="1">
        <w:r>
          <w:rPr>
            <w:noProof/>
          </w:rPr>
          <w:t xml:space="preserve">IPR-1: The Zero-Toll Principle</w:t>
        </w:r>
        <w:r>
          <w:rPr>
            <w:noProof/>
            <w:webHidden/>
          </w:rPr>
          <w:tab/>
        </w:r>
        <w:r>
          <w:rPr>
            <w:noProof/>
            <w:webHidden/>
          </w:rPr>
          <w:fldChar w:fldCharType="begin"/>
        </w:r>
        <w:r>
          <w:rPr>
            <w:noProof/>
            <w:webHidden/>
          </w:rPr>
          <w:instrText xml:space="preserve"> PAGEREF _Toc261100108 \h </w:instrText>
        </w:r>
        <w:r>
          <w:rPr>
            <w:noProof/>
            <w:webHidden/>
          </w:rPr>
          <w:fldChar w:fldCharType="separate"/>
        </w:r>
        <w:r>
          <w:rPr>
            <w:noProof/>
            <w:webHidden/>
          </w:rPr>
          <w:t xml:space="preserve">86</w:t>
        </w:r>
        <w:r>
          <w:rPr>
            <w:noProof/>
            <w:webHidden/>
          </w:rPr>
          <w:fldChar w:fldCharType="end"/>
        </w:r>
      </w:hyperlink>
    </w:p>
    <w:p>
      <w:pPr>
        <w:pStyle w:val="TOC2"/>
      </w:pPr>
      <w:hyperlink w:anchor="_Toc261100109" w:history="1">
        <w:r>
          <w:rPr>
            <w:noProof/>
          </w:rPr>
          <w:t xml:space="preserve">IPR-2: The No-Permission Principle</w:t>
        </w:r>
        <w:r>
          <w:rPr>
            <w:noProof/>
            <w:webHidden/>
          </w:rPr>
          <w:tab/>
        </w:r>
        <w:r>
          <w:rPr>
            <w:noProof/>
            <w:webHidden/>
          </w:rPr>
          <w:fldChar w:fldCharType="begin"/>
        </w:r>
        <w:r>
          <w:rPr>
            <w:noProof/>
            <w:webHidden/>
          </w:rPr>
          <w:instrText xml:space="preserve"> PAGEREF _Toc261100109 \h </w:instrText>
        </w:r>
        <w:r>
          <w:rPr>
            <w:noProof/>
            <w:webHidden/>
          </w:rPr>
          <w:fldChar w:fldCharType="separate"/>
        </w:r>
        <w:r>
          <w:rPr>
            <w:noProof/>
            <w:webHidden/>
          </w:rPr>
          <w:t xml:space="preserve">86</w:t>
        </w:r>
        <w:r>
          <w:rPr>
            <w:noProof/>
            <w:webHidden/>
          </w:rPr>
          <w:fldChar w:fldCharType="end"/>
        </w:r>
      </w:hyperlink>
    </w:p>
    <w:p>
      <w:pPr>
        <w:pStyle w:val="TOC2"/>
      </w:pPr>
      <w:hyperlink w:anchor="_Toc261100110" w:history="1">
        <w:r>
          <w:rPr>
            <w:noProof/>
          </w:rPr>
          <w:t xml:space="preserve">IPR-3: The Northern Function Principle</w:t>
        </w:r>
        <w:r>
          <w:rPr>
            <w:noProof/>
            <w:webHidden/>
          </w:rPr>
          <w:tab/>
        </w:r>
        <w:r>
          <w:rPr>
            <w:noProof/>
            <w:webHidden/>
          </w:rPr>
          <w:fldChar w:fldCharType="begin"/>
        </w:r>
        <w:r>
          <w:rPr>
            <w:noProof/>
            <w:webHidden/>
          </w:rPr>
          <w:instrText xml:space="preserve"> PAGEREF _Toc261100110 \h </w:instrText>
        </w:r>
        <w:r>
          <w:rPr>
            <w:noProof/>
            <w:webHidden/>
          </w:rPr>
          <w:fldChar w:fldCharType="separate"/>
        </w:r>
        <w:r>
          <w:rPr>
            <w:noProof/>
            <w:webHidden/>
          </w:rPr>
          <w:t xml:space="preserve">87</w:t>
        </w:r>
        <w:r>
          <w:rPr>
            <w:noProof/>
            <w:webHidden/>
          </w:rPr>
          <w:fldChar w:fldCharType="end"/>
        </w:r>
      </w:hyperlink>
    </w:p>
    <w:p>
      <w:pPr>
        <w:pStyle w:val="TOC2"/>
      </w:pPr>
      <w:hyperlink w:anchor="_Toc261100111" w:history="1">
        <w:r>
          <w:rPr>
            <w:noProof/>
          </w:rPr>
          <w:t xml:space="preserve">IPR-4: The Southern Function Principle</w:t>
        </w:r>
        <w:r>
          <w:rPr>
            <w:noProof/>
            <w:webHidden/>
          </w:rPr>
          <w:tab/>
        </w:r>
        <w:r>
          <w:rPr>
            <w:noProof/>
            <w:webHidden/>
          </w:rPr>
          <w:fldChar w:fldCharType="begin"/>
        </w:r>
        <w:r>
          <w:rPr>
            <w:noProof/>
            <w:webHidden/>
          </w:rPr>
          <w:instrText xml:space="preserve"> PAGEREF _Toc261100111 \h </w:instrText>
        </w:r>
        <w:r>
          <w:rPr>
            <w:noProof/>
            <w:webHidden/>
          </w:rPr>
          <w:fldChar w:fldCharType="separate"/>
        </w:r>
        <w:r>
          <w:rPr>
            <w:noProof/>
            <w:webHidden/>
          </w:rPr>
          <w:t xml:space="preserve">87</w:t>
        </w:r>
        <w:r>
          <w:rPr>
            <w:noProof/>
            <w:webHidden/>
          </w:rPr>
          <w:fldChar w:fldCharType="end"/>
        </w:r>
      </w:hyperlink>
    </w:p>
    <w:p>
      <w:pPr>
        <w:pStyle w:val="TOC2"/>
      </w:pPr>
      <w:hyperlink w:anchor="_Toc261100112" w:history="1">
        <w:r>
          <w:rPr>
            <w:noProof/>
          </w:rPr>
          <w:t xml:space="preserve">IPR-5: The Non-Interdiction Principle</w:t>
        </w:r>
        <w:r>
          <w:rPr>
            <w:noProof/>
            <w:webHidden/>
          </w:rPr>
          <w:tab/>
        </w:r>
        <w:r>
          <w:rPr>
            <w:noProof/>
            <w:webHidden/>
          </w:rPr>
          <w:fldChar w:fldCharType="begin"/>
        </w:r>
        <w:r>
          <w:rPr>
            <w:noProof/>
            <w:webHidden/>
          </w:rPr>
          <w:instrText xml:space="preserve"> PAGEREF _Toc261100112 \h </w:instrText>
        </w:r>
        <w:r>
          <w:rPr>
            <w:noProof/>
            <w:webHidden/>
          </w:rPr>
          <w:fldChar w:fldCharType="separate"/>
        </w:r>
        <w:r>
          <w:rPr>
            <w:noProof/>
            <w:webHidden/>
          </w:rPr>
          <w:t xml:space="preserve">87</w:t>
        </w:r>
        <w:r>
          <w:rPr>
            <w:noProof/>
            <w:webHidden/>
          </w:rPr>
          <w:fldChar w:fldCharType="end"/>
        </w:r>
      </w:hyperlink>
    </w:p>
    <w:p>
      <w:pPr>
        <w:pStyle w:val="TOC2"/>
      </w:pPr>
      <w:hyperlink w:anchor="_Toc261100113" w:history="1">
        <w:r>
          <w:rPr>
            <w:noProof/>
          </w:rPr>
          <w:t xml:space="preserve">IPR-6: The Civilian Character Principle</w:t>
        </w:r>
        <w:r>
          <w:rPr>
            <w:noProof/>
            <w:webHidden/>
          </w:rPr>
          <w:tab/>
        </w:r>
        <w:r>
          <w:rPr>
            <w:noProof/>
            <w:webHidden/>
          </w:rPr>
          <w:fldChar w:fldCharType="begin"/>
        </w:r>
        <w:r>
          <w:rPr>
            <w:noProof/>
            <w:webHidden/>
          </w:rPr>
          <w:instrText xml:space="preserve"> PAGEREF _Toc261100113 \h </w:instrText>
        </w:r>
        <w:r>
          <w:rPr>
            <w:noProof/>
            <w:webHidden/>
          </w:rPr>
          <w:fldChar w:fldCharType="separate"/>
        </w:r>
        <w:r>
          <w:rPr>
            <w:noProof/>
            <w:webHidden/>
          </w:rPr>
          <w:t xml:space="preserve">87</w:t>
        </w:r>
        <w:r>
          <w:rPr>
            <w:noProof/>
            <w:webHidden/>
          </w:rPr>
          <w:fldChar w:fldCharType="end"/>
        </w:r>
      </w:hyperlink>
    </w:p>
    <w:p>
      <w:pPr>
        <w:pStyle w:val="TOC2"/>
      </w:pPr>
      <w:hyperlink w:anchor="_Toc261100114" w:history="1">
        <w:r>
          <w:rPr>
            <w:noProof/>
          </w:rPr>
          <w:t xml:space="preserve">IPR-7: The No-Direct-Payment Principle</w:t>
        </w:r>
        <w:r>
          <w:rPr>
            <w:noProof/>
            <w:webHidden/>
          </w:rPr>
          <w:tab/>
        </w:r>
        <w:r>
          <w:rPr>
            <w:noProof/>
            <w:webHidden/>
          </w:rPr>
          <w:fldChar w:fldCharType="begin"/>
        </w:r>
        <w:r>
          <w:rPr>
            <w:noProof/>
            <w:webHidden/>
          </w:rPr>
          <w:instrText xml:space="preserve"> PAGEREF _Toc261100114 \h </w:instrText>
        </w:r>
        <w:r>
          <w:rPr>
            <w:noProof/>
            <w:webHidden/>
          </w:rPr>
          <w:fldChar w:fldCharType="separate"/>
        </w:r>
        <w:r>
          <w:rPr>
            <w:noProof/>
            <w:webHidden/>
          </w:rPr>
          <w:t xml:space="preserve">88</w:t>
        </w:r>
        <w:r>
          <w:rPr>
            <w:noProof/>
            <w:webHidden/>
          </w:rPr>
          <w:fldChar w:fldCharType="end"/>
        </w:r>
      </w:hyperlink>
    </w:p>
    <w:p>
      <w:pPr>
        <w:pStyle w:val="TOC2"/>
      </w:pPr>
      <w:hyperlink w:anchor="_Toc261100115" w:history="1">
        <w:r>
          <w:rPr>
            <w:noProof/>
          </w:rPr>
          <w:t xml:space="preserve">IPR-8: The Sovereignty Principle</w:t>
        </w:r>
        <w:r>
          <w:rPr>
            <w:noProof/>
            <w:webHidden/>
          </w:rPr>
          <w:tab/>
        </w:r>
        <w:r>
          <w:rPr>
            <w:noProof/>
            <w:webHidden/>
          </w:rPr>
          <w:fldChar w:fldCharType="begin"/>
        </w:r>
        <w:r>
          <w:rPr>
            <w:noProof/>
            <w:webHidden/>
          </w:rPr>
          <w:instrText xml:space="preserve"> PAGEREF _Toc261100115 \h </w:instrText>
        </w:r>
        <w:r>
          <w:rPr>
            <w:noProof/>
            <w:webHidden/>
          </w:rPr>
          <w:fldChar w:fldCharType="separate"/>
        </w:r>
        <w:r>
          <w:rPr>
            <w:noProof/>
            <w:webHidden/>
          </w:rPr>
          <w:t xml:space="preserve">88</w:t>
        </w:r>
        <w:r>
          <w:rPr>
            <w:noProof/>
            <w:webHidden/>
          </w:rPr>
          <w:fldChar w:fldCharType="end"/>
        </w:r>
      </w:hyperlink>
    </w:p>
    <w:p>
      <w:pPr>
        <w:pStyle w:val="TOC2"/>
      </w:pPr>
      <w:hyperlink w:anchor="_Toc261100116" w:history="1">
        <w:r>
          <w:rPr>
            <w:noProof/>
          </w:rPr>
          <w:t xml:space="preserve">IPR-9: The Continuity Principle</w:t>
        </w:r>
        <w:r>
          <w:rPr>
            <w:noProof/>
            <w:webHidden/>
          </w:rPr>
          <w:tab/>
        </w:r>
        <w:r>
          <w:rPr>
            <w:noProof/>
            <w:webHidden/>
          </w:rPr>
          <w:fldChar w:fldCharType="begin"/>
        </w:r>
        <w:r>
          <w:rPr>
            <w:noProof/>
            <w:webHidden/>
          </w:rPr>
          <w:instrText xml:space="preserve"> PAGEREF _Toc261100116 \h </w:instrText>
        </w:r>
        <w:r>
          <w:rPr>
            <w:noProof/>
            <w:webHidden/>
          </w:rPr>
          <w:fldChar w:fldCharType="separate"/>
        </w:r>
        <w:r>
          <w:rPr>
            <w:noProof/>
            <w:webHidden/>
          </w:rPr>
          <w:t xml:space="preserve">88</w:t>
        </w:r>
        <w:r>
          <w:rPr>
            <w:noProof/>
            <w:webHidden/>
          </w:rPr>
          <w:fldChar w:fldCharType="end"/>
        </w:r>
      </w:hyperlink>
    </w:p>
    <w:p>
      <w:pPr>
        <w:pStyle w:val="TOC2"/>
      </w:pPr>
      <w:hyperlink w:anchor="_Toc261100117" w:history="1">
        <w:r>
          <w:rPr>
            <w:noProof/>
          </w:rPr>
          <w:t xml:space="preserve">IPR-10: The Humanitarian Absolute</w:t>
        </w:r>
        <w:r>
          <w:rPr>
            <w:noProof/>
            <w:webHidden/>
          </w:rPr>
          <w:tab/>
        </w:r>
        <w:r>
          <w:rPr>
            <w:noProof/>
            <w:webHidden/>
          </w:rPr>
          <w:fldChar w:fldCharType="begin"/>
        </w:r>
        <w:r>
          <w:rPr>
            <w:noProof/>
            <w:webHidden/>
          </w:rPr>
          <w:instrText xml:space="preserve"> PAGEREF _Toc261100117 \h </w:instrText>
        </w:r>
        <w:r>
          <w:rPr>
            <w:noProof/>
            <w:webHidden/>
          </w:rPr>
          <w:fldChar w:fldCharType="separate"/>
        </w:r>
        <w:r>
          <w:rPr>
            <w:noProof/>
            <w:webHidden/>
          </w:rPr>
          <w:t xml:space="preserve">88</w:t>
        </w:r>
        <w:r>
          <w:rPr>
            <w:noProof/>
            <w:webHidden/>
          </w:rPr>
          <w:fldChar w:fldCharType="end"/>
        </w:r>
      </w:hyperlink>
    </w:p>
    <w:p>
      <w:pPr>
        <w:pStyle w:val="TOC2"/>
      </w:pPr>
      <w:hyperlink w:anchor="_Toc261100118" w:history="1">
        <w:r>
          <w:rPr>
            <w:noProof/>
          </w:rPr>
          <w:t xml:space="preserve">IPR-11: The Convergence Principle</w:t>
        </w:r>
        <w:r>
          <w:rPr>
            <w:noProof/>
            <w:webHidden/>
          </w:rPr>
          <w:tab/>
        </w:r>
        <w:r>
          <w:rPr>
            <w:noProof/>
            <w:webHidden/>
          </w:rPr>
          <w:fldChar w:fldCharType="begin"/>
        </w:r>
        <w:r>
          <w:rPr>
            <w:noProof/>
            <w:webHidden/>
          </w:rPr>
          <w:instrText xml:space="preserve"> PAGEREF _Toc261100118 \h </w:instrText>
        </w:r>
        <w:r>
          <w:rPr>
            <w:noProof/>
            <w:webHidden/>
          </w:rPr>
          <w:fldChar w:fldCharType="separate"/>
        </w:r>
        <w:r>
          <w:rPr>
            <w:noProof/>
            <w:webHidden/>
          </w:rPr>
          <w:t xml:space="preserve">89</w:t>
        </w:r>
        <w:r>
          <w:rPr>
            <w:noProof/>
            <w:webHidden/>
          </w:rPr>
          <w:fldChar w:fldCharType="end"/>
        </w:r>
      </w:hyperlink>
    </w:p>
    <w:p>
      <w:pPr>
        <w:pStyle w:val="TOC2"/>
      </w:pPr>
      <w:hyperlink w:anchor="_Toc261100119" w:history="1">
        <w:r>
          <w:rPr>
            <w:noProof/>
          </w:rPr>
          <w:t xml:space="preserve">IPR-12: The Data Sanctity Principle</w:t>
        </w:r>
        <w:r>
          <w:rPr>
            <w:noProof/>
            <w:webHidden/>
          </w:rPr>
          <w:tab/>
        </w:r>
        <w:r>
          <w:rPr>
            <w:noProof/>
            <w:webHidden/>
          </w:rPr>
          <w:fldChar w:fldCharType="begin"/>
        </w:r>
        <w:r>
          <w:rPr>
            <w:noProof/>
            <w:webHidden/>
          </w:rPr>
          <w:instrText xml:space="preserve"> PAGEREF _Toc261100119 \h </w:instrText>
        </w:r>
        <w:r>
          <w:rPr>
            <w:noProof/>
            <w:webHidden/>
          </w:rPr>
          <w:fldChar w:fldCharType="separate"/>
        </w:r>
        <w:r>
          <w:rPr>
            <w:noProof/>
            <w:webHidden/>
          </w:rPr>
          <w:t xml:space="preserve">89</w:t>
        </w:r>
        <w:r>
          <w:rPr>
            <w:noProof/>
            <w:webHidden/>
          </w:rPr>
          <w:fldChar w:fldCharType="end"/>
        </w:r>
      </w:hyperlink>
    </w:p>
    <w:p>
      <w:pPr>
        <w:pStyle w:val="TOC2"/>
      </w:pPr>
      <w:hyperlink w:anchor="_Toc261100120" w:history="1">
        <w:r>
          <w:rPr>
            <w:noProof/>
          </w:rPr>
          <w:t xml:space="preserve">IPR-13: The Shared Governance Principle</w:t>
        </w:r>
        <w:r>
          <w:rPr>
            <w:noProof/>
            <w:webHidden/>
          </w:rPr>
          <w:tab/>
        </w:r>
        <w:r>
          <w:rPr>
            <w:noProof/>
            <w:webHidden/>
          </w:rPr>
          <w:fldChar w:fldCharType="begin"/>
        </w:r>
        <w:r>
          <w:rPr>
            <w:noProof/>
            <w:webHidden/>
          </w:rPr>
          <w:instrText xml:space="preserve"> PAGEREF _Toc261100120 \h </w:instrText>
        </w:r>
        <w:r>
          <w:rPr>
            <w:noProof/>
            <w:webHidden/>
          </w:rPr>
          <w:fldChar w:fldCharType="separate"/>
        </w:r>
        <w:r>
          <w:rPr>
            <w:noProof/>
            <w:webHidden/>
          </w:rPr>
          <w:t xml:space="preserve">89</w:t>
        </w:r>
        <w:r>
          <w:rPr>
            <w:noProof/>
            <w:webHidden/>
          </w:rPr>
          <w:fldChar w:fldCharType="end"/>
        </w:r>
      </w:hyperlink>
    </w:p>
    <w:p>
      <w:pPr>
        <w:pStyle w:val="TOC2"/>
      </w:pPr>
      <w:hyperlink w:anchor="_Toc261100121" w:history="1">
        <w:r>
          <w:rPr>
            <w:noProof/>
          </w:rPr>
          <w:t xml:space="preserve">IPR-14: The No External Command Principle</w:t>
        </w:r>
        <w:r>
          <w:rPr>
            <w:noProof/>
            <w:webHidden/>
          </w:rPr>
          <w:tab/>
        </w:r>
        <w:r>
          <w:rPr>
            <w:noProof/>
            <w:webHidden/>
          </w:rPr>
          <w:fldChar w:fldCharType="begin"/>
        </w:r>
        <w:r>
          <w:rPr>
            <w:noProof/>
            <w:webHidden/>
          </w:rPr>
          <w:instrText xml:space="preserve"> PAGEREF _Toc261100121 \h </w:instrText>
        </w:r>
        <w:r>
          <w:rPr>
            <w:noProof/>
            <w:webHidden/>
          </w:rPr>
          <w:fldChar w:fldCharType="separate"/>
        </w:r>
        <w:r>
          <w:rPr>
            <w:noProof/>
            <w:webHidden/>
          </w:rPr>
          <w:t xml:space="preserve">90</w:t>
        </w:r>
        <w:r>
          <w:rPr>
            <w:noProof/>
            <w:webHidden/>
          </w:rPr>
          <w:fldChar w:fldCharType="end"/>
        </w:r>
      </w:hyperlink>
    </w:p>
    <w:p>
      <w:pPr>
        <w:pStyle w:val="TOC2"/>
      </w:pPr>
      <w:hyperlink w:anchor="_Toc261100122" w:history="1">
        <w:r>
          <w:rPr>
            <w:noProof/>
          </w:rPr>
          <w:t xml:space="preserve">IPR-15: The Geometry Stability Principle</w:t>
        </w:r>
        <w:r>
          <w:rPr>
            <w:noProof/>
            <w:webHidden/>
          </w:rPr>
          <w:tab/>
        </w:r>
        <w:r>
          <w:rPr>
            <w:noProof/>
            <w:webHidden/>
          </w:rPr>
          <w:fldChar w:fldCharType="begin"/>
        </w:r>
        <w:r>
          <w:rPr>
            <w:noProof/>
            <w:webHidden/>
          </w:rPr>
          <w:instrText xml:space="preserve"> PAGEREF _Toc261100122 \h </w:instrText>
        </w:r>
        <w:r>
          <w:rPr>
            <w:noProof/>
            <w:webHidden/>
          </w:rPr>
          <w:fldChar w:fldCharType="separate"/>
        </w:r>
        <w:r>
          <w:rPr>
            <w:noProof/>
            <w:webHidden/>
          </w:rPr>
          <w:t xml:space="preserve">90</w:t>
        </w:r>
        <w:r>
          <w:rPr>
            <w:noProof/>
            <w:webHidden/>
          </w:rPr>
          <w:fldChar w:fldCharType="end"/>
        </w:r>
      </w:hyperlink>
    </w:p>
    <w:p>
      <w:pPr>
        <w:pStyle w:val="TOC2"/>
      </w:pPr>
      <w:hyperlink w:anchor="_Toc261100123" w:history="1">
        <w:r>
          <w:rPr>
            <w:noProof/>
          </w:rPr>
          <w:t xml:space="preserve">IPR-16: The Synchronization Principle</w:t>
        </w:r>
        <w:r>
          <w:rPr>
            <w:noProof/>
            <w:webHidden/>
          </w:rPr>
          <w:tab/>
        </w:r>
        <w:r>
          <w:rPr>
            <w:noProof/>
            <w:webHidden/>
          </w:rPr>
          <w:fldChar w:fldCharType="begin"/>
        </w:r>
        <w:r>
          <w:rPr>
            <w:noProof/>
            <w:webHidden/>
          </w:rPr>
          <w:instrText xml:space="preserve"> PAGEREF _Toc261100123 \h </w:instrText>
        </w:r>
        <w:r>
          <w:rPr>
            <w:noProof/>
            <w:webHidden/>
          </w:rPr>
          <w:fldChar w:fldCharType="separate"/>
        </w:r>
        <w:r>
          <w:rPr>
            <w:noProof/>
            <w:webHidden/>
          </w:rPr>
          <w:t xml:space="preserve">90</w:t>
        </w:r>
        <w:r>
          <w:rPr>
            <w:noProof/>
            <w:webHidden/>
          </w:rPr>
          <w:fldChar w:fldCharType="end"/>
        </w:r>
      </w:hyperlink>
    </w:p>
    <w:p>
      <w:pPr>
        <w:pStyle w:val="TOC2"/>
      </w:pPr>
      <w:hyperlink w:anchor="_Toc261100124" w:history="1">
        <w:r>
          <w:rPr>
            <w:noProof/>
          </w:rPr>
          <w:t xml:space="preserve">IPR-17: The Reversibility Principle</w:t>
        </w:r>
        <w:r>
          <w:rPr>
            <w:noProof/>
            <w:webHidden/>
          </w:rPr>
          <w:tab/>
        </w:r>
        <w:r>
          <w:rPr>
            <w:noProof/>
            <w:webHidden/>
          </w:rPr>
          <w:fldChar w:fldCharType="begin"/>
        </w:r>
        <w:r>
          <w:rPr>
            <w:noProof/>
            <w:webHidden/>
          </w:rPr>
          <w:instrText xml:space="preserve"> PAGEREF _Toc261100124 \h </w:instrText>
        </w:r>
        <w:r>
          <w:rPr>
            <w:noProof/>
            <w:webHidden/>
          </w:rPr>
          <w:fldChar w:fldCharType="separate"/>
        </w:r>
        <w:r>
          <w:rPr>
            <w:noProof/>
            <w:webHidden/>
          </w:rPr>
          <w:t xml:space="preserve">90</w:t>
        </w:r>
        <w:r>
          <w:rPr>
            <w:noProof/>
            <w:webHidden/>
          </w:rPr>
          <w:fldChar w:fldCharType="end"/>
        </w:r>
      </w:hyperlink>
    </w:p>
    <w:p>
      <w:pPr>
        <w:pStyle w:val="TOC2"/>
      </w:pPr>
      <w:hyperlink w:anchor="_Toc261100125" w:history="1">
        <w:r>
          <w:rPr>
            <w:noProof/>
          </w:rPr>
          <w:t xml:space="preserve">IPR-18: The Environmental Principle</w:t>
        </w:r>
        <w:r>
          <w:rPr>
            <w:noProof/>
            <w:webHidden/>
          </w:rPr>
          <w:tab/>
        </w:r>
        <w:r>
          <w:rPr>
            <w:noProof/>
            <w:webHidden/>
          </w:rPr>
          <w:fldChar w:fldCharType="begin"/>
        </w:r>
        <w:r>
          <w:rPr>
            <w:noProof/>
            <w:webHidden/>
          </w:rPr>
          <w:instrText xml:space="preserve"> PAGEREF _Toc261100125 \h </w:instrText>
        </w:r>
        <w:r>
          <w:rPr>
            <w:noProof/>
            <w:webHidden/>
          </w:rPr>
          <w:fldChar w:fldCharType="separate"/>
        </w:r>
        <w:r>
          <w:rPr>
            <w:noProof/>
            <w:webHidden/>
          </w:rPr>
          <w:t xml:space="preserve">91</w:t>
        </w:r>
        <w:r>
          <w:rPr>
            <w:noProof/>
            <w:webHidden/>
          </w:rPr>
          <w:fldChar w:fldCharType="end"/>
        </w:r>
      </w:hyperlink>
    </w:p>
    <w:p>
      <w:pPr>
        <w:pStyle w:val="TOC2"/>
      </w:pPr>
      <w:hyperlink w:anchor="_Toc261100126" w:history="1">
        <w:r>
          <w:rPr>
            <w:noProof/>
          </w:rPr>
          <w:t xml:space="preserve">IPR-19: The Framing Autonomy Principle</w:t>
        </w:r>
        <w:r>
          <w:rPr>
            <w:noProof/>
            <w:webHidden/>
          </w:rPr>
          <w:tab/>
        </w:r>
        <w:r>
          <w:rPr>
            <w:noProof/>
            <w:webHidden/>
          </w:rPr>
          <w:fldChar w:fldCharType="begin"/>
        </w:r>
        <w:r>
          <w:rPr>
            <w:noProof/>
            <w:webHidden/>
          </w:rPr>
          <w:instrText xml:space="preserve"> PAGEREF _Toc261100126 \h </w:instrText>
        </w:r>
        <w:r>
          <w:rPr>
            <w:noProof/>
            <w:webHidden/>
          </w:rPr>
          <w:fldChar w:fldCharType="separate"/>
        </w:r>
        <w:r>
          <w:rPr>
            <w:noProof/>
            <w:webHidden/>
          </w:rPr>
          <w:t xml:space="preserve">91</w:t>
        </w:r>
        <w:r>
          <w:rPr>
            <w:noProof/>
            <w:webHidden/>
          </w:rPr>
          <w:fldChar w:fldCharType="end"/>
        </w:r>
      </w:hyperlink>
    </w:p>
    <w:p>
      <w:pPr>
        <w:pStyle w:val="TOC2"/>
      </w:pPr>
      <w:hyperlink w:anchor="_Toc261100127" w:history="1">
        <w:r>
          <w:rPr>
            <w:noProof/>
          </w:rPr>
          <w:t xml:space="preserve">IPR-20: The Balanced Benefit Principle</w:t>
        </w:r>
        <w:r>
          <w:rPr>
            <w:noProof/>
            <w:webHidden/>
          </w:rPr>
          <w:tab/>
        </w:r>
        <w:r>
          <w:rPr>
            <w:noProof/>
            <w:webHidden/>
          </w:rPr>
          <w:fldChar w:fldCharType="begin"/>
        </w:r>
        <w:r>
          <w:rPr>
            <w:noProof/>
            <w:webHidden/>
          </w:rPr>
          <w:instrText xml:space="preserve"> PAGEREF _Toc261100127 \h </w:instrText>
        </w:r>
        <w:r>
          <w:rPr>
            <w:noProof/>
            <w:webHidden/>
          </w:rPr>
          <w:fldChar w:fldCharType="separate"/>
        </w:r>
        <w:r>
          <w:rPr>
            <w:noProof/>
            <w:webHidden/>
          </w:rPr>
          <w:t xml:space="preserve">91</w:t>
        </w:r>
        <w:r>
          <w:rPr>
            <w:noProof/>
            <w:webHidden/>
          </w:rPr>
          <w:fldChar w:fldCharType="end"/>
        </w:r>
      </w:hyperlink>
    </w:p>
    <w:p>
      <w:pPr>
        <w:pStyle w:val="TOC2"/>
      </w:pPr>
      <w:hyperlink w:anchor="_Toc261100128" w:history="1">
        <w:r>
          <w:rPr>
            <w:noProof/>
          </w:rPr>
          <w:t xml:space="preserve">The Register as a Whole</w:t>
        </w:r>
        <w:r>
          <w:rPr>
            <w:noProof/>
            <w:webHidden/>
          </w:rPr>
          <w:tab/>
        </w:r>
        <w:r>
          <w:rPr>
            <w:noProof/>
            <w:webHidden/>
          </w:rPr>
          <w:fldChar w:fldCharType="begin"/>
        </w:r>
        <w:r>
          <w:rPr>
            <w:noProof/>
            <w:webHidden/>
          </w:rPr>
          <w:instrText xml:space="preserve"> PAGEREF _Toc261100128 \h </w:instrText>
        </w:r>
        <w:r>
          <w:rPr>
            <w:noProof/>
            <w:webHidden/>
          </w:rPr>
          <w:fldChar w:fldCharType="separate"/>
        </w:r>
        <w:r>
          <w:rPr>
            <w:noProof/>
            <w:webHidden/>
          </w:rPr>
          <w:t xml:space="preserve">92</w:t>
        </w:r>
        <w:r>
          <w:rPr>
            <w:noProof/>
            <w:webHidden/>
          </w:rPr>
          <w:fldChar w:fldCharType="end"/>
        </w:r>
      </w:hyperlink>
    </w:p>
    <w:p>
      <w:pPr>
        <w:pStyle w:val="TOC1"/>
      </w:pPr>
      <w:hyperlink w:anchor="_Toc261100129" w:history="1">
        <w:r>
          <w:rPr>
            <w:noProof/>
          </w:rPr>
          <w:t xml:space="preserve">Annex H: The Good Behavior Escalator Schedule</w:t>
        </w:r>
        <w:r>
          <w:rPr>
            <w:noProof/>
            <w:webHidden/>
          </w:rPr>
          <w:tab/>
        </w:r>
        <w:r>
          <w:rPr>
            <w:noProof/>
            <w:webHidden/>
          </w:rPr>
          <w:fldChar w:fldCharType="begin"/>
        </w:r>
        <w:r>
          <w:rPr>
            <w:noProof/>
            <w:webHidden/>
          </w:rPr>
          <w:instrText xml:space="preserve"> PAGEREF _Toc261100129 \h </w:instrText>
        </w:r>
        <w:r>
          <w:rPr>
            <w:noProof/>
            <w:webHidden/>
          </w:rPr>
          <w:fldChar w:fldCharType="separate"/>
        </w:r>
        <w:r>
          <w:rPr>
            <w:noProof/>
            <w:webHidden/>
          </w:rPr>
          <w:t xml:space="preserve">93</w:t>
        </w:r>
        <w:r>
          <w:rPr>
            <w:noProof/>
            <w:webHidden/>
          </w:rPr>
          <w:fldChar w:fldCharType="end"/>
        </w:r>
      </w:hyperlink>
    </w:p>
    <w:p>
      <w:pPr>
        <w:pStyle w:val="TOC2"/>
      </w:pPr>
      <w:hyperlink w:anchor="_Toc261100130" w:history="1">
        <w:r>
          <w:rPr>
            <w:noProof/>
          </w:rPr>
          <w:t xml:space="preserve">H.1 The Clean Week Standard</w:t>
        </w:r>
        <w:r>
          <w:rPr>
            <w:noProof/>
            <w:webHidden/>
          </w:rPr>
          <w:tab/>
        </w:r>
        <w:r>
          <w:rPr>
            <w:noProof/>
            <w:webHidden/>
          </w:rPr>
          <w:fldChar w:fldCharType="begin"/>
        </w:r>
        <w:r>
          <w:rPr>
            <w:noProof/>
            <w:webHidden/>
          </w:rPr>
          <w:instrText xml:space="preserve"> PAGEREF _Toc261100130 \h </w:instrText>
        </w:r>
        <w:r>
          <w:rPr>
            <w:noProof/>
            <w:webHidden/>
          </w:rPr>
          <w:fldChar w:fldCharType="separate"/>
        </w:r>
        <w:r>
          <w:rPr>
            <w:noProof/>
            <w:webHidden/>
          </w:rPr>
          <w:t xml:space="preserve">93</w:t>
        </w:r>
        <w:r>
          <w:rPr>
            <w:noProof/>
            <w:webHidden/>
          </w:rPr>
          <w:fldChar w:fldCharType="end"/>
        </w:r>
      </w:hyperlink>
    </w:p>
    <w:p>
      <w:pPr>
        <w:pStyle w:val="TOC2"/>
      </w:pPr>
      <w:hyperlink w:anchor="_Toc261100131" w:history="1">
        <w:r>
          <w:rPr>
            <w:noProof/>
          </w:rPr>
          <w:t xml:space="preserve">H.2 The Share Schedule</w:t>
        </w:r>
        <w:r>
          <w:rPr>
            <w:noProof/>
            <w:webHidden/>
          </w:rPr>
          <w:tab/>
        </w:r>
        <w:r>
          <w:rPr>
            <w:noProof/>
            <w:webHidden/>
          </w:rPr>
          <w:fldChar w:fldCharType="begin"/>
        </w:r>
        <w:r>
          <w:rPr>
            <w:noProof/>
            <w:webHidden/>
          </w:rPr>
          <w:instrText xml:space="preserve"> PAGEREF _Toc261100131 \h </w:instrText>
        </w:r>
        <w:r>
          <w:rPr>
            <w:noProof/>
            <w:webHidden/>
          </w:rPr>
          <w:fldChar w:fldCharType="separate"/>
        </w:r>
        <w:r>
          <w:rPr>
            <w:noProof/>
            <w:webHidden/>
          </w:rPr>
          <w:t xml:space="preserve">93</w:t>
        </w:r>
        <w:r>
          <w:rPr>
            <w:noProof/>
            <w:webHidden/>
          </w:rPr>
          <w:fldChar w:fldCharType="end"/>
        </w:r>
      </w:hyperlink>
    </w:p>
    <w:p>
      <w:pPr>
        <w:pStyle w:val="TOC2"/>
      </w:pPr>
      <w:hyperlink w:anchor="_Toc261100132" w:history="1">
        <w:r>
          <w:rPr>
            <w:noProof/>
          </w:rPr>
          <w:t xml:space="preserve">H.3 What Each Stage Adds</w:t>
        </w:r>
        <w:r>
          <w:rPr>
            <w:noProof/>
            <w:webHidden/>
          </w:rPr>
          <w:tab/>
        </w:r>
        <w:r>
          <w:rPr>
            <w:noProof/>
            <w:webHidden/>
          </w:rPr>
          <w:fldChar w:fldCharType="begin"/>
        </w:r>
        <w:r>
          <w:rPr>
            <w:noProof/>
            <w:webHidden/>
          </w:rPr>
          <w:instrText xml:space="preserve"> PAGEREF _Toc261100132 \h </w:instrText>
        </w:r>
        <w:r>
          <w:rPr>
            <w:noProof/>
            <w:webHidden/>
          </w:rPr>
          <w:fldChar w:fldCharType="separate"/>
        </w:r>
        <w:r>
          <w:rPr>
            <w:noProof/>
            <w:webHidden/>
          </w:rPr>
          <w:t xml:space="preserve">94</w:t>
        </w:r>
        <w:r>
          <w:rPr>
            <w:noProof/>
            <w:webHidden/>
          </w:rPr>
          <w:fldChar w:fldCharType="end"/>
        </w:r>
      </w:hyperlink>
    </w:p>
    <w:p>
      <w:pPr>
        <w:pStyle w:val="TOC2"/>
      </w:pPr>
      <w:hyperlink w:anchor="_Toc261100133" w:history="1">
        <w:r>
          <w:rPr>
            <w:noProof/>
          </w:rPr>
          <w:t xml:space="preserve">H.4 The Step-Back Table</w:t>
        </w:r>
        <w:r>
          <w:rPr>
            <w:noProof/>
            <w:webHidden/>
          </w:rPr>
          <w:tab/>
        </w:r>
        <w:r>
          <w:rPr>
            <w:noProof/>
            <w:webHidden/>
          </w:rPr>
          <w:fldChar w:fldCharType="begin"/>
        </w:r>
        <w:r>
          <w:rPr>
            <w:noProof/>
            <w:webHidden/>
          </w:rPr>
          <w:instrText xml:space="preserve"> PAGEREF _Toc261100133 \h </w:instrText>
        </w:r>
        <w:r>
          <w:rPr>
            <w:noProof/>
            <w:webHidden/>
          </w:rPr>
          <w:fldChar w:fldCharType="separate"/>
        </w:r>
        <w:r>
          <w:rPr>
            <w:noProof/>
            <w:webHidden/>
          </w:rPr>
          <w:t xml:space="preserve">94</w:t>
        </w:r>
        <w:r>
          <w:rPr>
            <w:noProof/>
            <w:webHidden/>
          </w:rPr>
          <w:fldChar w:fldCharType="end"/>
        </w:r>
      </w:hyperlink>
    </w:p>
    <w:p>
      <w:pPr>
        <w:pStyle w:val="TOC2"/>
      </w:pPr>
      <w:hyperlink w:anchor="_Toc261100134" w:history="1">
        <w:r>
          <w:rPr>
            <w:noProof/>
          </w:rPr>
          <w:t xml:space="preserve">H.5 The Earn-Back Schedule</w:t>
        </w:r>
        <w:r>
          <w:rPr>
            <w:noProof/>
            <w:webHidden/>
          </w:rPr>
          <w:tab/>
        </w:r>
        <w:r>
          <w:rPr>
            <w:noProof/>
            <w:webHidden/>
          </w:rPr>
          <w:fldChar w:fldCharType="begin"/>
        </w:r>
        <w:r>
          <w:rPr>
            <w:noProof/>
            <w:webHidden/>
          </w:rPr>
          <w:instrText xml:space="preserve"> PAGEREF _Toc261100134 \h </w:instrText>
        </w:r>
        <w:r>
          <w:rPr>
            <w:noProof/>
            <w:webHidden/>
          </w:rPr>
          <w:fldChar w:fldCharType="separate"/>
        </w:r>
        <w:r>
          <w:rPr>
            <w:noProof/>
            <w:webHidden/>
          </w:rPr>
          <w:t xml:space="preserve">95</w:t>
        </w:r>
        <w:r>
          <w:rPr>
            <w:noProof/>
            <w:webHidden/>
          </w:rPr>
          <w:fldChar w:fldCharType="end"/>
        </w:r>
      </w:hyperlink>
    </w:p>
    <w:p>
      <w:pPr>
        <w:pStyle w:val="TOC2"/>
      </w:pPr>
      <w:hyperlink w:anchor="_Toc261100135" w:history="1">
        <w:r>
          <w:rPr>
            <w:noProof/>
          </w:rPr>
          <w:t xml:space="preserve">H.6 The Input Custody Map</w:t>
        </w:r>
        <w:r>
          <w:rPr>
            <w:noProof/>
            <w:webHidden/>
          </w:rPr>
          <w:tab/>
        </w:r>
        <w:r>
          <w:rPr>
            <w:noProof/>
            <w:webHidden/>
          </w:rPr>
          <w:fldChar w:fldCharType="begin"/>
        </w:r>
        <w:r>
          <w:rPr>
            <w:noProof/>
            <w:webHidden/>
          </w:rPr>
          <w:instrText xml:space="preserve"> PAGEREF _Toc261100135 \h </w:instrText>
        </w:r>
        <w:r>
          <w:rPr>
            <w:noProof/>
            <w:webHidden/>
          </w:rPr>
          <w:fldChar w:fldCharType="separate"/>
        </w:r>
        <w:r>
          <w:rPr>
            <w:noProof/>
            <w:webHidden/>
          </w:rPr>
          <w:t xml:space="preserve">95</w:t>
        </w:r>
        <w:r>
          <w:rPr>
            <w:noProof/>
            <w:webHidden/>
          </w:rPr>
          <w:fldChar w:fldCharType="end"/>
        </w:r>
      </w:hyperlink>
    </w:p>
    <w:p>
      <w:pPr>
        <w:pStyle w:val="TOC2"/>
      </w:pPr>
      <w:hyperlink w:anchor="_Toc261100136" w:history="1">
        <w:r>
          <w:rPr>
            <w:noProof/>
          </w:rPr>
          <w:t xml:space="preserve">H.7 The Weighting Tables</w:t>
        </w:r>
        <w:r>
          <w:rPr>
            <w:noProof/>
            <w:webHidden/>
          </w:rPr>
          <w:tab/>
        </w:r>
        <w:r>
          <w:rPr>
            <w:noProof/>
            <w:webHidden/>
          </w:rPr>
          <w:fldChar w:fldCharType="begin"/>
        </w:r>
        <w:r>
          <w:rPr>
            <w:noProof/>
            <w:webHidden/>
          </w:rPr>
          <w:instrText xml:space="preserve"> PAGEREF _Toc261100136 \h </w:instrText>
        </w:r>
        <w:r>
          <w:rPr>
            <w:noProof/>
            <w:webHidden/>
          </w:rPr>
          <w:fldChar w:fldCharType="separate"/>
        </w:r>
        <w:r>
          <w:rPr>
            <w:noProof/>
            <w:webHidden/>
          </w:rPr>
          <w:t xml:space="preserve">95</w:t>
        </w:r>
        <w:r>
          <w:rPr>
            <w:noProof/>
            <w:webHidden/>
          </w:rPr>
          <w:fldChar w:fldCharType="end"/>
        </w:r>
      </w:hyperlink>
    </w:p>
    <w:p>
      <w:pPr>
        <w:pStyle w:val="TOC2"/>
      </w:pPr>
      <w:hyperlink w:anchor="_Toc261100137" w:history="1">
        <w:r>
          <w:rPr>
            <w:noProof/>
          </w:rPr>
          <w:t xml:space="preserve">H.8 The Escalator in One Paragraph</w:t>
        </w:r>
        <w:r>
          <w:rPr>
            <w:noProof/>
            <w:webHidden/>
          </w:rPr>
          <w:tab/>
        </w:r>
        <w:r>
          <w:rPr>
            <w:noProof/>
            <w:webHidden/>
          </w:rPr>
          <w:fldChar w:fldCharType="begin"/>
        </w:r>
        <w:r>
          <w:rPr>
            <w:noProof/>
            <w:webHidden/>
          </w:rPr>
          <w:instrText xml:space="preserve"> PAGEREF _Toc261100137 \h </w:instrText>
        </w:r>
        <w:r>
          <w:rPr>
            <w:noProof/>
            <w:webHidden/>
          </w:rPr>
          <w:fldChar w:fldCharType="separate"/>
        </w:r>
        <w:r>
          <w:rPr>
            <w:noProof/>
            <w:webHidden/>
          </w:rPr>
          <w:t xml:space="preserve">96</w:t>
        </w:r>
        <w:r>
          <w:rPr>
            <w:noProof/>
            <w:webHidden/>
          </w:rPr>
          <w:fldChar w:fldCharType="end"/>
        </w:r>
      </w:hyperlink>
    </w:p>
    <w:p>
      <w:pPr>
        <w:pStyle w:val="TOC1"/>
      </w:pPr>
      <w:hyperlink w:anchor="_Toc261100138" w:history="1">
        <w:r>
          <w:rPr>
            <w:noProof/>
          </w:rPr>
          <w:t xml:space="preserve">Annex I: The Stability Audit: Metrics, Thresholds, and Method</w:t>
        </w:r>
        <w:r>
          <w:rPr>
            <w:noProof/>
            <w:webHidden/>
          </w:rPr>
          <w:tab/>
        </w:r>
        <w:r>
          <w:rPr>
            <w:noProof/>
            <w:webHidden/>
          </w:rPr>
          <w:fldChar w:fldCharType="begin"/>
        </w:r>
        <w:r>
          <w:rPr>
            <w:noProof/>
            <w:webHidden/>
          </w:rPr>
          <w:instrText xml:space="preserve"> PAGEREF _Toc261100138 \h </w:instrText>
        </w:r>
        <w:r>
          <w:rPr>
            <w:noProof/>
            <w:webHidden/>
          </w:rPr>
          <w:fldChar w:fldCharType="separate"/>
        </w:r>
        <w:r>
          <w:rPr>
            <w:noProof/>
            <w:webHidden/>
          </w:rPr>
          <w:t xml:space="preserve">97</w:t>
        </w:r>
        <w:r>
          <w:rPr>
            <w:noProof/>
            <w:webHidden/>
          </w:rPr>
          <w:fldChar w:fldCharType="end"/>
        </w:r>
      </w:hyperlink>
    </w:p>
    <w:p>
      <w:pPr>
        <w:pStyle w:val="TOC2"/>
      </w:pPr>
      <w:hyperlink w:anchor="_Toc261100139" w:history="1">
        <w:r>
          <w:rPr>
            <w:noProof/>
          </w:rPr>
          <w:t xml:space="preserve">I.1 Method</w:t>
        </w:r>
        <w:r>
          <w:rPr>
            <w:noProof/>
            <w:webHidden/>
          </w:rPr>
          <w:tab/>
        </w:r>
        <w:r>
          <w:rPr>
            <w:noProof/>
            <w:webHidden/>
          </w:rPr>
          <w:fldChar w:fldCharType="begin"/>
        </w:r>
        <w:r>
          <w:rPr>
            <w:noProof/>
            <w:webHidden/>
          </w:rPr>
          <w:instrText xml:space="preserve"> PAGEREF _Toc261100139 \h </w:instrText>
        </w:r>
        <w:r>
          <w:rPr>
            <w:noProof/>
            <w:webHidden/>
          </w:rPr>
          <w:fldChar w:fldCharType="separate"/>
        </w:r>
        <w:r>
          <w:rPr>
            <w:noProof/>
            <w:webHidden/>
          </w:rPr>
          <w:t xml:space="preserve">97</w:t>
        </w:r>
        <w:r>
          <w:rPr>
            <w:noProof/>
            <w:webHidden/>
          </w:rPr>
          <w:fldChar w:fldCharType="end"/>
        </w:r>
      </w:hyperlink>
    </w:p>
    <w:p>
      <w:pPr>
        <w:pStyle w:val="TOC2"/>
      </w:pPr>
      <w:hyperlink w:anchor="_Toc261100140" w:history="1">
        <w:r>
          <w:rPr>
            <w:noProof/>
          </w:rPr>
          <w:t xml:space="preserve">I.2 Domain 1: Navigation and Corridor Compliance</w:t>
        </w:r>
        <w:r>
          <w:rPr>
            <w:noProof/>
            <w:webHidden/>
          </w:rPr>
          <w:tab/>
        </w:r>
        <w:r>
          <w:rPr>
            <w:noProof/>
            <w:webHidden/>
          </w:rPr>
          <w:fldChar w:fldCharType="begin"/>
        </w:r>
        <w:r>
          <w:rPr>
            <w:noProof/>
            <w:webHidden/>
          </w:rPr>
          <w:instrText xml:space="preserve"> PAGEREF _Toc261100140 \h </w:instrText>
        </w:r>
        <w:r>
          <w:rPr>
            <w:noProof/>
            <w:webHidden/>
          </w:rPr>
          <w:fldChar w:fldCharType="separate"/>
        </w:r>
        <w:r>
          <w:rPr>
            <w:noProof/>
            <w:webHidden/>
          </w:rPr>
          <w:t xml:space="preserve">97</w:t>
        </w:r>
        <w:r>
          <w:rPr>
            <w:noProof/>
            <w:webHidden/>
          </w:rPr>
          <w:fldChar w:fldCharType="end"/>
        </w:r>
      </w:hyperlink>
    </w:p>
    <w:p>
      <w:pPr>
        <w:pStyle w:val="TOC2"/>
      </w:pPr>
      <w:hyperlink w:anchor="_Toc261100141" w:history="1">
        <w:r>
          <w:rPr>
            <w:noProof/>
          </w:rPr>
          <w:t xml:space="preserve">I.3 Domain 2: Security and Deconfliction</w:t>
        </w:r>
        <w:r>
          <w:rPr>
            <w:noProof/>
            <w:webHidden/>
          </w:rPr>
          <w:tab/>
        </w:r>
        <w:r>
          <w:rPr>
            <w:noProof/>
            <w:webHidden/>
          </w:rPr>
          <w:fldChar w:fldCharType="begin"/>
        </w:r>
        <w:r>
          <w:rPr>
            <w:noProof/>
            <w:webHidden/>
          </w:rPr>
          <w:instrText xml:space="preserve"> PAGEREF _Toc261100141 \h </w:instrText>
        </w:r>
        <w:r>
          <w:rPr>
            <w:noProof/>
            <w:webHidden/>
          </w:rPr>
          <w:fldChar w:fldCharType="separate"/>
        </w:r>
        <w:r>
          <w:rPr>
            <w:noProof/>
            <w:webHidden/>
          </w:rPr>
          <w:t xml:space="preserve">98</w:t>
        </w:r>
        <w:r>
          <w:rPr>
            <w:noProof/>
            <w:webHidden/>
          </w:rPr>
          <w:fldChar w:fldCharType="end"/>
        </w:r>
      </w:hyperlink>
    </w:p>
    <w:p>
      <w:pPr>
        <w:pStyle w:val="TOC2"/>
      </w:pPr>
      <w:hyperlink w:anchor="_Toc261100142" w:history="1">
        <w:r>
          <w:rPr>
            <w:noProof/>
          </w:rPr>
          <w:t xml:space="preserve">I.4 Domain 3: Monitoring and Transparency</w:t>
        </w:r>
        <w:r>
          <w:rPr>
            <w:noProof/>
            <w:webHidden/>
          </w:rPr>
          <w:tab/>
        </w:r>
        <w:r>
          <w:rPr>
            <w:noProof/>
            <w:webHidden/>
          </w:rPr>
          <w:fldChar w:fldCharType="begin"/>
        </w:r>
        <w:r>
          <w:rPr>
            <w:noProof/>
            <w:webHidden/>
          </w:rPr>
          <w:instrText xml:space="preserve"> PAGEREF _Toc261100142 \h </w:instrText>
        </w:r>
        <w:r>
          <w:rPr>
            <w:noProof/>
            <w:webHidden/>
          </w:rPr>
          <w:fldChar w:fldCharType="separate"/>
        </w:r>
        <w:r>
          <w:rPr>
            <w:noProof/>
            <w:webHidden/>
          </w:rPr>
          <w:t xml:space="preserve">98</w:t>
        </w:r>
        <w:r>
          <w:rPr>
            <w:noProof/>
            <w:webHidden/>
          </w:rPr>
          <w:fldChar w:fldCharType="end"/>
        </w:r>
      </w:hyperlink>
    </w:p>
    <w:p>
      <w:pPr>
        <w:pStyle w:val="TOC2"/>
      </w:pPr>
      <w:hyperlink w:anchor="_Toc261100143" w:history="1">
        <w:r>
          <w:rPr>
            <w:noProof/>
          </w:rPr>
          <w:t xml:space="preserve">I.5 Domain 4: Environment and Safety</w:t>
        </w:r>
        <w:r>
          <w:rPr>
            <w:noProof/>
            <w:webHidden/>
          </w:rPr>
          <w:tab/>
        </w:r>
        <w:r>
          <w:rPr>
            <w:noProof/>
            <w:webHidden/>
          </w:rPr>
          <w:fldChar w:fldCharType="begin"/>
        </w:r>
        <w:r>
          <w:rPr>
            <w:noProof/>
            <w:webHidden/>
          </w:rPr>
          <w:instrText xml:space="preserve"> PAGEREF _Toc261100143 \h </w:instrText>
        </w:r>
        <w:r>
          <w:rPr>
            <w:noProof/>
            <w:webHidden/>
          </w:rPr>
          <w:fldChar w:fldCharType="separate"/>
        </w:r>
        <w:r>
          <w:rPr>
            <w:noProof/>
            <w:webHidden/>
          </w:rPr>
          <w:t xml:space="preserve">98</w:t>
        </w:r>
        <w:r>
          <w:rPr>
            <w:noProof/>
            <w:webHidden/>
          </w:rPr>
          <w:fldChar w:fldCharType="end"/>
        </w:r>
      </w:hyperlink>
    </w:p>
    <w:p>
      <w:pPr>
        <w:pStyle w:val="TOC2"/>
      </w:pPr>
      <w:hyperlink w:anchor="_Toc261100144" w:history="1">
        <w:r>
          <w:rPr>
            <w:noProof/>
          </w:rPr>
          <w:t xml:space="preserve">I.6 Domain 5: Finance and Payments</w:t>
        </w:r>
        <w:r>
          <w:rPr>
            <w:noProof/>
            <w:webHidden/>
          </w:rPr>
          <w:tab/>
        </w:r>
        <w:r>
          <w:rPr>
            <w:noProof/>
            <w:webHidden/>
          </w:rPr>
          <w:fldChar w:fldCharType="begin"/>
        </w:r>
        <w:r>
          <w:rPr>
            <w:noProof/>
            <w:webHidden/>
          </w:rPr>
          <w:instrText xml:space="preserve"> PAGEREF _Toc261100144 \h </w:instrText>
        </w:r>
        <w:r>
          <w:rPr>
            <w:noProof/>
            <w:webHidden/>
          </w:rPr>
          <w:fldChar w:fldCharType="separate"/>
        </w:r>
        <w:r>
          <w:rPr>
            <w:noProof/>
            <w:webHidden/>
          </w:rPr>
          <w:t xml:space="preserve">99</w:t>
        </w:r>
        <w:r>
          <w:rPr>
            <w:noProof/>
            <w:webHidden/>
          </w:rPr>
          <w:fldChar w:fldCharType="end"/>
        </w:r>
      </w:hyperlink>
    </w:p>
    <w:p>
      <w:pPr>
        <w:pStyle w:val="TOC2"/>
      </w:pPr>
      <w:hyperlink w:anchor="_Toc261100145" w:history="1">
        <w:r>
          <w:rPr>
            <w:noProof/>
          </w:rPr>
          <w:t xml:space="preserve">I.7 The Industry Panel Assessment</w:t>
        </w:r>
        <w:r>
          <w:rPr>
            <w:noProof/>
            <w:webHidden/>
          </w:rPr>
          <w:tab/>
        </w:r>
        <w:r>
          <w:rPr>
            <w:noProof/>
            <w:webHidden/>
          </w:rPr>
          <w:fldChar w:fldCharType="begin"/>
        </w:r>
        <w:r>
          <w:rPr>
            <w:noProof/>
            <w:webHidden/>
          </w:rPr>
          <w:instrText xml:space="preserve"> PAGEREF _Toc261100145 \h </w:instrText>
        </w:r>
        <w:r>
          <w:rPr>
            <w:noProof/>
            <w:webHidden/>
          </w:rPr>
          <w:fldChar w:fldCharType="separate"/>
        </w:r>
        <w:r>
          <w:rPr>
            <w:noProof/>
            <w:webHidden/>
          </w:rPr>
          <w:t xml:space="preserve">99</w:t>
        </w:r>
        <w:r>
          <w:rPr>
            <w:noProof/>
            <w:webHidden/>
          </w:rPr>
          <w:fldChar w:fldCharType="end"/>
        </w:r>
      </w:hyperlink>
    </w:p>
    <w:p>
      <w:pPr>
        <w:pStyle w:val="TOC2"/>
      </w:pPr>
      <w:hyperlink w:anchor="_Toc261100146" w:history="1">
        <w:r>
          <w:rPr>
            <w:noProof/>
          </w:rPr>
          <w:t xml:space="preserve">I.8 Extend Handling</w:t>
        </w:r>
        <w:r>
          <w:rPr>
            <w:noProof/>
            <w:webHidden/>
          </w:rPr>
          <w:tab/>
        </w:r>
        <w:r>
          <w:rPr>
            <w:noProof/>
            <w:webHidden/>
          </w:rPr>
          <w:fldChar w:fldCharType="begin"/>
        </w:r>
        <w:r>
          <w:rPr>
            <w:noProof/>
            <w:webHidden/>
          </w:rPr>
          <w:instrText xml:space="preserve"> PAGEREF _Toc261100146 \h </w:instrText>
        </w:r>
        <w:r>
          <w:rPr>
            <w:noProof/>
            <w:webHidden/>
          </w:rPr>
          <w:fldChar w:fldCharType="separate"/>
        </w:r>
        <w:r>
          <w:rPr>
            <w:noProof/>
            <w:webHidden/>
          </w:rPr>
          <w:t xml:space="preserve">99</w:t>
        </w:r>
        <w:r>
          <w:rPr>
            <w:noProof/>
            <w:webHidden/>
          </w:rPr>
          <w:fldChar w:fldCharType="end"/>
        </w:r>
      </w:hyperlink>
    </w:p>
    <w:p>
      <w:pPr>
        <w:pStyle w:val="TOC2"/>
      </w:pPr>
      <w:hyperlink w:anchor="_Toc261100147" w:history="1">
        <w:r>
          <w:rPr>
            <w:noProof/>
          </w:rPr>
          <w:t xml:space="preserve">I.9 Audit Publication</w:t>
        </w:r>
        <w:r>
          <w:rPr>
            <w:noProof/>
            <w:webHidden/>
          </w:rPr>
          <w:tab/>
        </w:r>
        <w:r>
          <w:rPr>
            <w:noProof/>
            <w:webHidden/>
          </w:rPr>
          <w:fldChar w:fldCharType="begin"/>
        </w:r>
        <w:r>
          <w:rPr>
            <w:noProof/>
            <w:webHidden/>
          </w:rPr>
          <w:instrText xml:space="preserve"> PAGEREF _Toc261100147 \h </w:instrText>
        </w:r>
        <w:r>
          <w:rPr>
            <w:noProof/>
            <w:webHidden/>
          </w:rPr>
          <w:fldChar w:fldCharType="separate"/>
        </w:r>
        <w:r>
          <w:rPr>
            <w:noProof/>
            <w:webHidden/>
          </w:rPr>
          <w:t xml:space="preserve">99</w:t>
        </w:r>
        <w:r>
          <w:rPr>
            <w:noProof/>
            <w:webHidden/>
          </w:rPr>
          <w:fldChar w:fldCharType="end"/>
        </w:r>
      </w:hyperlink>
    </w:p>
    <w:p>
      <w:pPr>
        <w:pStyle w:val="TOC1"/>
      </w:pPr>
      <w:hyperlink w:anchor="_Toc261100148" w:history="1">
        <w:r>
          <w:rPr>
            <w:noProof/>
          </w:rPr>
          <w:t xml:space="preserve">Annex J: The Activation Timeline, Checklists, and the Master Synchronization Calendar</w:t>
        </w:r>
        <w:r>
          <w:rPr>
            <w:noProof/>
            <w:webHidden/>
          </w:rPr>
          <w:tab/>
        </w:r>
        <w:r>
          <w:rPr>
            <w:noProof/>
            <w:webHidden/>
          </w:rPr>
          <w:fldChar w:fldCharType="begin"/>
        </w:r>
        <w:r>
          <w:rPr>
            <w:noProof/>
            <w:webHidden/>
          </w:rPr>
          <w:instrText xml:space="preserve"> PAGEREF _Toc261100148 \h </w:instrText>
        </w:r>
        <w:r>
          <w:rPr>
            <w:noProof/>
            <w:webHidden/>
          </w:rPr>
          <w:fldChar w:fldCharType="separate"/>
        </w:r>
        <w:r>
          <w:rPr>
            <w:noProof/>
            <w:webHidden/>
          </w:rPr>
          <w:t xml:space="preserve">101</w:t>
        </w:r>
        <w:r>
          <w:rPr>
            <w:noProof/>
            <w:webHidden/>
          </w:rPr>
          <w:fldChar w:fldCharType="end"/>
        </w:r>
      </w:hyperlink>
    </w:p>
    <w:p>
      <w:pPr>
        <w:pStyle w:val="TOC2"/>
      </w:pPr>
      <w:hyperlink w:anchor="_Toc261100149" w:history="1">
        <w:r>
          <w:rPr>
            <w:noProof/>
          </w:rPr>
          <w:t xml:space="preserve">J.1 Phase Checklists</w:t>
        </w:r>
        <w:r>
          <w:rPr>
            <w:noProof/>
            <w:webHidden/>
          </w:rPr>
          <w:tab/>
        </w:r>
        <w:r>
          <w:rPr>
            <w:noProof/>
            <w:webHidden/>
          </w:rPr>
          <w:fldChar w:fldCharType="begin"/>
        </w:r>
        <w:r>
          <w:rPr>
            <w:noProof/>
            <w:webHidden/>
          </w:rPr>
          <w:instrText xml:space="preserve"> PAGEREF _Toc261100149 \h </w:instrText>
        </w:r>
        <w:r>
          <w:rPr>
            <w:noProof/>
            <w:webHidden/>
          </w:rPr>
          <w:fldChar w:fldCharType="separate"/>
        </w:r>
        <w:r>
          <w:rPr>
            <w:noProof/>
            <w:webHidden/>
          </w:rPr>
          <w:t xml:space="preserve">101</w:t>
        </w:r>
        <w:r>
          <w:rPr>
            <w:noProof/>
            <w:webHidden/>
          </w:rPr>
          <w:fldChar w:fldCharType="end"/>
        </w:r>
      </w:hyperlink>
    </w:p>
    <w:p>
      <w:pPr>
        <w:pStyle w:val="TOC2"/>
      </w:pPr>
      <w:hyperlink w:anchor="_Toc261100150" w:history="1">
        <w:r>
          <w:rPr>
            <w:noProof/>
          </w:rPr>
          <w:t xml:space="preserve">J.2 The Script of the Indivisible Hour</w:t>
        </w:r>
        <w:r>
          <w:rPr>
            <w:noProof/>
            <w:webHidden/>
          </w:rPr>
          <w:tab/>
        </w:r>
        <w:r>
          <w:rPr>
            <w:noProof/>
            <w:webHidden/>
          </w:rPr>
          <w:fldChar w:fldCharType="begin"/>
        </w:r>
        <w:r>
          <w:rPr>
            <w:noProof/>
            <w:webHidden/>
          </w:rPr>
          <w:instrText xml:space="preserve"> PAGEREF _Toc261100150 \h </w:instrText>
        </w:r>
        <w:r>
          <w:rPr>
            <w:noProof/>
            <w:webHidden/>
          </w:rPr>
          <w:fldChar w:fldCharType="separate"/>
        </w:r>
        <w:r>
          <w:rPr>
            <w:noProof/>
            <w:webHidden/>
          </w:rPr>
          <w:t xml:space="preserve">102</w:t>
        </w:r>
        <w:r>
          <w:rPr>
            <w:noProof/>
            <w:webHidden/>
          </w:rPr>
          <w:fldChar w:fldCharType="end"/>
        </w:r>
      </w:hyperlink>
    </w:p>
    <w:p>
      <w:pPr>
        <w:pStyle w:val="TOC2"/>
      </w:pPr>
      <w:hyperlink w:anchor="_Toc261100151" w:history="1">
        <w:r>
          <w:rPr>
            <w:noProof/>
          </w:rPr>
          <w:t xml:space="preserve">J.3 The Pairing Register</w:t>
        </w:r>
        <w:r>
          <w:rPr>
            <w:noProof/>
            <w:webHidden/>
          </w:rPr>
          <w:tab/>
        </w:r>
        <w:r>
          <w:rPr>
            <w:noProof/>
            <w:webHidden/>
          </w:rPr>
          <w:fldChar w:fldCharType="begin"/>
        </w:r>
        <w:r>
          <w:rPr>
            <w:noProof/>
            <w:webHidden/>
          </w:rPr>
          <w:instrText xml:space="preserve"> PAGEREF _Toc261100151 \h </w:instrText>
        </w:r>
        <w:r>
          <w:rPr>
            <w:noProof/>
            <w:webHidden/>
          </w:rPr>
          <w:fldChar w:fldCharType="separate"/>
        </w:r>
        <w:r>
          <w:rPr>
            <w:noProof/>
            <w:webHidden/>
          </w:rPr>
          <w:t xml:space="preserve">103</w:t>
        </w:r>
        <w:r>
          <w:rPr>
            <w:noProof/>
            <w:webHidden/>
          </w:rPr>
          <w:fldChar w:fldCharType="end"/>
        </w:r>
      </w:hyperlink>
    </w:p>
    <w:p>
      <w:pPr>
        <w:pStyle w:val="TOC2"/>
      </w:pPr>
      <w:hyperlink w:anchor="_Toc261100152" w:history="1">
        <w:r>
          <w:rPr>
            <w:noProof/>
          </w:rPr>
          <w:t xml:space="preserve">J.4 The Wartime Lane Sunset</w:t>
        </w:r>
        <w:r>
          <w:rPr>
            <w:noProof/>
            <w:webHidden/>
          </w:rPr>
          <w:tab/>
        </w:r>
        <w:r>
          <w:rPr>
            <w:noProof/>
            <w:webHidden/>
          </w:rPr>
          <w:fldChar w:fldCharType="begin"/>
        </w:r>
        <w:r>
          <w:rPr>
            <w:noProof/>
            <w:webHidden/>
          </w:rPr>
          <w:instrText xml:space="preserve"> PAGEREF _Toc261100152 \h </w:instrText>
        </w:r>
        <w:r>
          <w:rPr>
            <w:noProof/>
            <w:webHidden/>
          </w:rPr>
          <w:fldChar w:fldCharType="separate"/>
        </w:r>
        <w:r>
          <w:rPr>
            <w:noProof/>
            <w:webHidden/>
          </w:rPr>
          <w:t xml:space="preserve">103</w:t>
        </w:r>
        <w:r>
          <w:rPr>
            <w:noProof/>
            <w:webHidden/>
          </w:rPr>
          <w:fldChar w:fldCharType="end"/>
        </w:r>
      </w:hyperlink>
    </w:p>
    <w:p>
      <w:pPr>
        <w:pStyle w:val="TOC2"/>
      </w:pPr>
      <w:hyperlink w:anchor="_Toc261100153" w:history="1">
        <w:r>
          <w:rPr>
            <w:noProof/>
          </w:rPr>
          <w:t xml:space="preserve">J.5 The Master Synchronization Calendar</w:t>
        </w:r>
        <w:r>
          <w:rPr>
            <w:noProof/>
            <w:webHidden/>
          </w:rPr>
          <w:tab/>
        </w:r>
        <w:r>
          <w:rPr>
            <w:noProof/>
            <w:webHidden/>
          </w:rPr>
          <w:fldChar w:fldCharType="begin"/>
        </w:r>
        <w:r>
          <w:rPr>
            <w:noProof/>
            <w:webHidden/>
          </w:rPr>
          <w:instrText xml:space="preserve"> PAGEREF _Toc261100153 \h </w:instrText>
        </w:r>
        <w:r>
          <w:rPr>
            <w:noProof/>
            <w:webHidden/>
          </w:rPr>
          <w:fldChar w:fldCharType="separate"/>
        </w:r>
        <w:r>
          <w:rPr>
            <w:noProof/>
            <w:webHidden/>
          </w:rPr>
          <w:t xml:space="preserve">104</w:t>
        </w:r>
        <w:r>
          <w:rPr>
            <w:noProof/>
            <w:webHidden/>
          </w:rPr>
          <w:fldChar w:fldCharType="end"/>
        </w:r>
      </w:hyperlink>
    </w:p>
    <w:p>
      <w:pPr>
        <w:pStyle w:val="TOC2"/>
      </w:pPr>
      <w:hyperlink w:anchor="_Toc261100154" w:history="1">
        <w:r>
          <w:rPr>
            <w:noProof/>
          </w:rPr>
          <w:t xml:space="preserve">J.6 The Rehearsal Record</w:t>
        </w:r>
        <w:r>
          <w:rPr>
            <w:noProof/>
            <w:webHidden/>
          </w:rPr>
          <w:tab/>
        </w:r>
        <w:r>
          <w:rPr>
            <w:noProof/>
            <w:webHidden/>
          </w:rPr>
          <w:fldChar w:fldCharType="begin"/>
        </w:r>
        <w:r>
          <w:rPr>
            <w:noProof/>
            <w:webHidden/>
          </w:rPr>
          <w:instrText xml:space="preserve"> PAGEREF _Toc261100154 \h </w:instrText>
        </w:r>
        <w:r>
          <w:rPr>
            <w:noProof/>
            <w:webHidden/>
          </w:rPr>
          <w:fldChar w:fldCharType="separate"/>
        </w:r>
        <w:r>
          <w:rPr>
            <w:noProof/>
            <w:webHidden/>
          </w:rPr>
          <w:t xml:space="preserve">104</w:t>
        </w:r>
        <w:r>
          <w:rPr>
            <w:noProof/>
            <w:webHidden/>
          </w:rPr>
          <w:fldChar w:fldCharType="end"/>
        </w:r>
      </w:hyperlink>
    </w:p>
    <w:p>
      <w:pPr>
        <w:pStyle w:val="TOC2"/>
      </w:pPr>
      <w:hyperlink w:anchor="_Toc261100155" w:history="1">
        <w:r>
          <w:rPr>
            <w:noProof/>
          </w:rPr>
          <w:t xml:space="preserve">J.7 The Communications Calendar</w:t>
        </w:r>
        <w:r>
          <w:rPr>
            <w:noProof/>
            <w:webHidden/>
          </w:rPr>
          <w:tab/>
        </w:r>
        <w:r>
          <w:rPr>
            <w:noProof/>
            <w:webHidden/>
          </w:rPr>
          <w:fldChar w:fldCharType="begin"/>
        </w:r>
        <w:r>
          <w:rPr>
            <w:noProof/>
            <w:webHidden/>
          </w:rPr>
          <w:instrText xml:space="preserve"> PAGEREF _Toc261100155 \h </w:instrText>
        </w:r>
        <w:r>
          <w:rPr>
            <w:noProof/>
            <w:webHidden/>
          </w:rPr>
          <w:fldChar w:fldCharType="separate"/>
        </w:r>
        <w:r>
          <w:rPr>
            <w:noProof/>
            <w:webHidden/>
          </w:rPr>
          <w:t xml:space="preserve">104</w:t>
        </w:r>
        <w:r>
          <w:rPr>
            <w:noProof/>
            <w:webHidden/>
          </w:rPr>
          <w:fldChar w:fldCharType="end"/>
        </w:r>
      </w:hyperlink>
    </w:p>
    <w:p>
      <w:pPr>
        <w:pStyle w:val="TOC1"/>
      </w:pPr>
      <w:hyperlink w:anchor="_Toc261100156" w:history="1">
        <w:r>
          <w:rPr>
            <w:noProof/>
          </w:rPr>
          <w:t xml:space="preserve">Annex K: The Demand Reconciliation Register</w:t>
        </w:r>
        <w:r>
          <w:rPr>
            <w:noProof/>
            <w:webHidden/>
          </w:rPr>
          <w:tab/>
        </w:r>
        <w:r>
          <w:rPr>
            <w:noProof/>
            <w:webHidden/>
          </w:rPr>
          <w:fldChar w:fldCharType="begin"/>
        </w:r>
        <w:r>
          <w:rPr>
            <w:noProof/>
            <w:webHidden/>
          </w:rPr>
          <w:instrText xml:space="preserve"> PAGEREF _Toc261100156 \h </w:instrText>
        </w:r>
        <w:r>
          <w:rPr>
            <w:noProof/>
            <w:webHidden/>
          </w:rPr>
          <w:fldChar w:fldCharType="separate"/>
        </w:r>
        <w:r>
          <w:rPr>
            <w:noProof/>
            <w:webHidden/>
          </w:rPr>
          <w:t xml:space="preserve">105</w:t>
        </w:r>
        <w:r>
          <w:rPr>
            <w:noProof/>
            <w:webHidden/>
          </w:rPr>
          <w:fldChar w:fldCharType="end"/>
        </w:r>
      </w:hyperlink>
    </w:p>
    <w:p>
      <w:pPr>
        <w:pStyle w:val="TOC2"/>
      </w:pPr>
      <w:hyperlink w:anchor="_Toc261100157" w:history="1">
        <w:r>
          <w:rPr>
            <w:noProof/>
          </w:rPr>
          <w:t xml:space="preserve">K.1 The United States</w:t>
        </w:r>
        <w:r>
          <w:rPr>
            <w:noProof/>
            <w:webHidden/>
          </w:rPr>
          <w:tab/>
        </w:r>
        <w:r>
          <w:rPr>
            <w:noProof/>
            <w:webHidden/>
          </w:rPr>
          <w:fldChar w:fldCharType="begin"/>
        </w:r>
        <w:r>
          <w:rPr>
            <w:noProof/>
            <w:webHidden/>
          </w:rPr>
          <w:instrText xml:space="preserve"> PAGEREF _Toc261100157 \h </w:instrText>
        </w:r>
        <w:r>
          <w:rPr>
            <w:noProof/>
            <w:webHidden/>
          </w:rPr>
          <w:fldChar w:fldCharType="separate"/>
        </w:r>
        <w:r>
          <w:rPr>
            <w:noProof/>
            <w:webHidden/>
          </w:rPr>
          <w:t xml:space="preserve">105</w:t>
        </w:r>
        <w:r>
          <w:rPr>
            <w:noProof/>
            <w:webHidden/>
          </w:rPr>
          <w:fldChar w:fldCharType="end"/>
        </w:r>
      </w:hyperlink>
    </w:p>
    <w:p>
      <w:pPr>
        <w:pStyle w:val="TOC2"/>
      </w:pPr>
      <w:hyperlink w:anchor="_Toc261100158" w:history="1">
        <w:r>
          <w:rPr>
            <w:noProof/>
          </w:rPr>
          <w:t xml:space="preserve">K.2 The Islamic Republic of Iran</w:t>
        </w:r>
        <w:r>
          <w:rPr>
            <w:noProof/>
            <w:webHidden/>
          </w:rPr>
          <w:tab/>
        </w:r>
        <w:r>
          <w:rPr>
            <w:noProof/>
            <w:webHidden/>
          </w:rPr>
          <w:fldChar w:fldCharType="begin"/>
        </w:r>
        <w:r>
          <w:rPr>
            <w:noProof/>
            <w:webHidden/>
          </w:rPr>
          <w:instrText xml:space="preserve"> PAGEREF _Toc261100158 \h </w:instrText>
        </w:r>
        <w:r>
          <w:rPr>
            <w:noProof/>
            <w:webHidden/>
          </w:rPr>
          <w:fldChar w:fldCharType="separate"/>
        </w:r>
        <w:r>
          <w:rPr>
            <w:noProof/>
            <w:webHidden/>
          </w:rPr>
          <w:t xml:space="preserve">106</w:t>
        </w:r>
        <w:r>
          <w:rPr>
            <w:noProof/>
            <w:webHidden/>
          </w:rPr>
          <w:fldChar w:fldCharType="end"/>
        </w:r>
      </w:hyperlink>
    </w:p>
    <w:p>
      <w:pPr>
        <w:pStyle w:val="TOC2"/>
      </w:pPr>
      <w:hyperlink w:anchor="_Toc261100159" w:history="1">
        <w:r>
          <w:rPr>
            <w:noProof/>
          </w:rPr>
          <w:t xml:space="preserve">K.3 The Sultanate of Oman</w:t>
        </w:r>
        <w:r>
          <w:rPr>
            <w:noProof/>
            <w:webHidden/>
          </w:rPr>
          <w:tab/>
        </w:r>
        <w:r>
          <w:rPr>
            <w:noProof/>
            <w:webHidden/>
          </w:rPr>
          <w:fldChar w:fldCharType="begin"/>
        </w:r>
        <w:r>
          <w:rPr>
            <w:noProof/>
            <w:webHidden/>
          </w:rPr>
          <w:instrText xml:space="preserve"> PAGEREF _Toc261100159 \h </w:instrText>
        </w:r>
        <w:r>
          <w:rPr>
            <w:noProof/>
            <w:webHidden/>
          </w:rPr>
          <w:fldChar w:fldCharType="separate"/>
        </w:r>
        <w:r>
          <w:rPr>
            <w:noProof/>
            <w:webHidden/>
          </w:rPr>
          <w:t xml:space="preserve">107</w:t>
        </w:r>
        <w:r>
          <w:rPr>
            <w:noProof/>
            <w:webHidden/>
          </w:rPr>
          <w:fldChar w:fldCharType="end"/>
        </w:r>
      </w:hyperlink>
    </w:p>
    <w:p>
      <w:pPr>
        <w:pStyle w:val="TOC2"/>
      </w:pPr>
      <w:hyperlink w:anchor="_Toc261100160" w:history="1">
        <w:r>
          <w:rPr>
            <w:noProof/>
          </w:rPr>
          <w:t xml:space="preserve">K.4 The Gulf Cooperation Council States</w:t>
        </w:r>
        <w:r>
          <w:rPr>
            <w:noProof/>
            <w:webHidden/>
          </w:rPr>
          <w:tab/>
        </w:r>
        <w:r>
          <w:rPr>
            <w:noProof/>
            <w:webHidden/>
          </w:rPr>
          <w:fldChar w:fldCharType="begin"/>
        </w:r>
        <w:r>
          <w:rPr>
            <w:noProof/>
            <w:webHidden/>
          </w:rPr>
          <w:instrText xml:space="preserve"> PAGEREF _Toc261100160 \h </w:instrText>
        </w:r>
        <w:r>
          <w:rPr>
            <w:noProof/>
            <w:webHidden/>
          </w:rPr>
          <w:fldChar w:fldCharType="separate"/>
        </w:r>
        <w:r>
          <w:rPr>
            <w:noProof/>
            <w:webHidden/>
          </w:rPr>
          <w:t xml:space="preserve">107</w:t>
        </w:r>
        <w:r>
          <w:rPr>
            <w:noProof/>
            <w:webHidden/>
          </w:rPr>
          <w:fldChar w:fldCharType="end"/>
        </w:r>
      </w:hyperlink>
    </w:p>
    <w:p>
      <w:pPr>
        <w:pStyle w:val="TOC2"/>
      </w:pPr>
      <w:hyperlink w:anchor="_Toc261100161" w:history="1">
        <w:r>
          <w:rPr>
            <w:noProof/>
          </w:rPr>
          <w:t xml:space="preserve">K.5 The European States and Maritime Bodies</w:t>
        </w:r>
        <w:r>
          <w:rPr>
            <w:noProof/>
            <w:webHidden/>
          </w:rPr>
          <w:tab/>
        </w:r>
        <w:r>
          <w:rPr>
            <w:noProof/>
            <w:webHidden/>
          </w:rPr>
          <w:fldChar w:fldCharType="begin"/>
        </w:r>
        <w:r>
          <w:rPr>
            <w:noProof/>
            <w:webHidden/>
          </w:rPr>
          <w:instrText xml:space="preserve"> PAGEREF _Toc261100161 \h </w:instrText>
        </w:r>
        <w:r>
          <w:rPr>
            <w:noProof/>
            <w:webHidden/>
          </w:rPr>
          <w:fldChar w:fldCharType="separate"/>
        </w:r>
        <w:r>
          <w:rPr>
            <w:noProof/>
            <w:webHidden/>
          </w:rPr>
          <w:t xml:space="preserve">108</w:t>
        </w:r>
        <w:r>
          <w:rPr>
            <w:noProof/>
            <w:webHidden/>
          </w:rPr>
          <w:fldChar w:fldCharType="end"/>
        </w:r>
      </w:hyperlink>
    </w:p>
    <w:p>
      <w:pPr>
        <w:pStyle w:val="TOC2"/>
      </w:pPr>
      <w:hyperlink w:anchor="_Toc261100162" w:history="1">
        <w:r>
          <w:rPr>
            <w:noProof/>
          </w:rPr>
          <w:t xml:space="preserve">K.6 The Shipping and Insurance Industries</w:t>
        </w:r>
        <w:r>
          <w:rPr>
            <w:noProof/>
            <w:webHidden/>
          </w:rPr>
          <w:tab/>
        </w:r>
        <w:r>
          <w:rPr>
            <w:noProof/>
            <w:webHidden/>
          </w:rPr>
          <w:fldChar w:fldCharType="begin"/>
        </w:r>
        <w:r>
          <w:rPr>
            <w:noProof/>
            <w:webHidden/>
          </w:rPr>
          <w:instrText xml:space="preserve"> PAGEREF _Toc261100162 \h </w:instrText>
        </w:r>
        <w:r>
          <w:rPr>
            <w:noProof/>
            <w:webHidden/>
          </w:rPr>
          <w:fldChar w:fldCharType="separate"/>
        </w:r>
        <w:r>
          <w:rPr>
            <w:noProof/>
            <w:webHidden/>
          </w:rPr>
          <w:t xml:space="preserve">109</w:t>
        </w:r>
        <w:r>
          <w:rPr>
            <w:noProof/>
            <w:webHidden/>
          </w:rPr>
          <w:fldChar w:fldCharType="end"/>
        </w:r>
      </w:hyperlink>
    </w:p>
    <w:p>
      <w:pPr>
        <w:pStyle w:val="TOC2"/>
      </w:pPr>
      <w:hyperlink w:anchor="_Toc261100163" w:history="1">
        <w:r>
          <w:rPr>
            <w:noProof/>
          </w:rPr>
          <w:t xml:space="preserve">K.7 The Register's Use</w:t>
        </w:r>
        <w:r>
          <w:rPr>
            <w:noProof/>
            <w:webHidden/>
          </w:rPr>
          <w:tab/>
        </w:r>
        <w:r>
          <w:rPr>
            <w:noProof/>
            <w:webHidden/>
          </w:rPr>
          <w:fldChar w:fldCharType="begin"/>
        </w:r>
        <w:r>
          <w:rPr>
            <w:noProof/>
            <w:webHidden/>
          </w:rPr>
          <w:instrText xml:space="preserve"> PAGEREF _Toc261100163 \h </w:instrText>
        </w:r>
        <w:r>
          <w:rPr>
            <w:noProof/>
            <w:webHidden/>
          </w:rPr>
          <w:fldChar w:fldCharType="separate"/>
        </w:r>
        <w:r>
          <w:rPr>
            <w:noProof/>
            <w:webHidden/>
          </w:rPr>
          <w:t xml:space="preserve">109</w:t>
        </w:r>
        <w:r>
          <w:rPr>
            <w:noProof/>
            <w:webHidden/>
          </w:rPr>
          <w:fldChar w:fldCharType="end"/>
        </w:r>
      </w:hyperlink>
    </w:p>
    <w:p>
      <w:pPr>
        <w:pStyle w:val="TOC1"/>
      </w:pPr>
      <w:hyperlink w:anchor="_Toc261100164" w:history="1">
        <w:r>
          <w:rPr>
            <w:noProof/>
          </w:rPr>
          <w:t xml:space="preserve">Annex L: Deconfliction and Hotline Protocols</w:t>
        </w:r>
        <w:r>
          <w:rPr>
            <w:noProof/>
            <w:webHidden/>
          </w:rPr>
          <w:tab/>
        </w:r>
        <w:r>
          <w:rPr>
            <w:noProof/>
            <w:webHidden/>
          </w:rPr>
          <w:fldChar w:fldCharType="begin"/>
        </w:r>
        <w:r>
          <w:rPr>
            <w:noProof/>
            <w:webHidden/>
          </w:rPr>
          <w:instrText xml:space="preserve"> PAGEREF _Toc261100164 \h </w:instrText>
        </w:r>
        <w:r>
          <w:rPr>
            <w:noProof/>
            <w:webHidden/>
          </w:rPr>
          <w:fldChar w:fldCharType="separate"/>
        </w:r>
        <w:r>
          <w:rPr>
            <w:noProof/>
            <w:webHidden/>
          </w:rPr>
          <w:t xml:space="preserve">111</w:t>
        </w:r>
        <w:r>
          <w:rPr>
            <w:noProof/>
            <w:webHidden/>
          </w:rPr>
          <w:fldChar w:fldCharType="end"/>
        </w:r>
      </w:hyperlink>
    </w:p>
    <w:p>
      <w:pPr>
        <w:pStyle w:val="TOC2"/>
      </w:pPr>
      <w:hyperlink w:anchor="_Toc261100165" w:history="1">
        <w:r>
          <w:rPr>
            <w:noProof/>
          </w:rPr>
          <w:t xml:space="preserve">L.1 Hotline Operating Procedures</w:t>
        </w:r>
        <w:r>
          <w:rPr>
            <w:noProof/>
            <w:webHidden/>
          </w:rPr>
          <w:tab/>
        </w:r>
        <w:r>
          <w:rPr>
            <w:noProof/>
            <w:webHidden/>
          </w:rPr>
          <w:fldChar w:fldCharType="begin"/>
        </w:r>
        <w:r>
          <w:rPr>
            <w:noProof/>
            <w:webHidden/>
          </w:rPr>
          <w:instrText xml:space="preserve"> PAGEREF _Toc261100165 \h </w:instrText>
        </w:r>
        <w:r>
          <w:rPr>
            <w:noProof/>
            <w:webHidden/>
          </w:rPr>
          <w:fldChar w:fldCharType="separate"/>
        </w:r>
        <w:r>
          <w:rPr>
            <w:noProof/>
            <w:webHidden/>
          </w:rPr>
          <w:t xml:space="preserve">111</w:t>
        </w:r>
        <w:r>
          <w:rPr>
            <w:noProof/>
            <w:webHidden/>
          </w:rPr>
          <w:fldChar w:fldCharType="end"/>
        </w:r>
      </w:hyperlink>
    </w:p>
    <w:p>
      <w:pPr>
        <w:pStyle w:val="TOC2"/>
      </w:pPr>
      <w:hyperlink w:anchor="_Toc261100166" w:history="1">
        <w:r>
          <w:rPr>
            <w:noProof/>
          </w:rPr>
          <w:t xml:space="preserve">L.2 Message Formats</w:t>
        </w:r>
        <w:r>
          <w:rPr>
            <w:noProof/>
            <w:webHidden/>
          </w:rPr>
          <w:tab/>
        </w:r>
        <w:r>
          <w:rPr>
            <w:noProof/>
            <w:webHidden/>
          </w:rPr>
          <w:fldChar w:fldCharType="begin"/>
        </w:r>
        <w:r>
          <w:rPr>
            <w:noProof/>
            <w:webHidden/>
          </w:rPr>
          <w:instrText xml:space="preserve"> PAGEREF _Toc261100166 \h </w:instrText>
        </w:r>
        <w:r>
          <w:rPr>
            <w:noProof/>
            <w:webHidden/>
          </w:rPr>
          <w:fldChar w:fldCharType="separate"/>
        </w:r>
        <w:r>
          <w:rPr>
            <w:noProof/>
            <w:webHidden/>
          </w:rPr>
          <w:t xml:space="preserve">111</w:t>
        </w:r>
        <w:r>
          <w:rPr>
            <w:noProof/>
            <w:webHidden/>
          </w:rPr>
          <w:fldChar w:fldCharType="end"/>
        </w:r>
      </w:hyperlink>
    </w:p>
    <w:p>
      <w:pPr>
        <w:pStyle w:val="TOC2"/>
      </w:pPr>
      <w:hyperlink w:anchor="_Toc261100167" w:history="1">
        <w:r>
          <w:rPr>
            <w:noProof/>
          </w:rPr>
          <w:t xml:space="preserve">L.3 Naval Transit Notification</w:t>
        </w:r>
        <w:r>
          <w:rPr>
            <w:noProof/>
            <w:webHidden/>
          </w:rPr>
          <w:tab/>
        </w:r>
        <w:r>
          <w:rPr>
            <w:noProof/>
            <w:webHidden/>
          </w:rPr>
          <w:fldChar w:fldCharType="begin"/>
        </w:r>
        <w:r>
          <w:rPr>
            <w:noProof/>
            <w:webHidden/>
          </w:rPr>
          <w:instrText xml:space="preserve"> PAGEREF _Toc261100167 \h </w:instrText>
        </w:r>
        <w:r>
          <w:rPr>
            <w:noProof/>
            <w:webHidden/>
          </w:rPr>
          <w:fldChar w:fldCharType="separate"/>
        </w:r>
        <w:r>
          <w:rPr>
            <w:noProof/>
            <w:webHidden/>
          </w:rPr>
          <w:t xml:space="preserve">111</w:t>
        </w:r>
        <w:r>
          <w:rPr>
            <w:noProof/>
            <w:webHidden/>
          </w:rPr>
          <w:fldChar w:fldCharType="end"/>
        </w:r>
      </w:hyperlink>
    </w:p>
    <w:p>
      <w:pPr>
        <w:pStyle w:val="TOC2"/>
      </w:pPr>
      <w:hyperlink w:anchor="_Toc261100168" w:history="1">
        <w:r>
          <w:rPr>
            <w:noProof/>
          </w:rPr>
          <w:t xml:space="preserve">L.4 The Standoff Escalation Ladder</w:t>
        </w:r>
        <w:r>
          <w:rPr>
            <w:noProof/>
            <w:webHidden/>
          </w:rPr>
          <w:tab/>
        </w:r>
        <w:r>
          <w:rPr>
            <w:noProof/>
            <w:webHidden/>
          </w:rPr>
          <w:fldChar w:fldCharType="begin"/>
        </w:r>
        <w:r>
          <w:rPr>
            <w:noProof/>
            <w:webHidden/>
          </w:rPr>
          <w:instrText xml:space="preserve"> PAGEREF _Toc261100168 \h </w:instrText>
        </w:r>
        <w:r>
          <w:rPr>
            <w:noProof/>
            <w:webHidden/>
          </w:rPr>
          <w:fldChar w:fldCharType="separate"/>
        </w:r>
        <w:r>
          <w:rPr>
            <w:noProof/>
            <w:webHidden/>
          </w:rPr>
          <w:t xml:space="preserve">112</w:t>
        </w:r>
        <w:r>
          <w:rPr>
            <w:noProof/>
            <w:webHidden/>
          </w:rPr>
          <w:fldChar w:fldCharType="end"/>
        </w:r>
      </w:hyperlink>
    </w:p>
    <w:p>
      <w:pPr>
        <w:pStyle w:val="TOC2"/>
      </w:pPr>
      <w:hyperlink w:anchor="_Toc261100169" w:history="1">
        <w:r>
          <w:rPr>
            <w:noProof/>
          </w:rPr>
          <w:t xml:space="preserve">L.5 The Convoy Window Protocol</w:t>
        </w:r>
        <w:r>
          <w:rPr>
            <w:noProof/>
            <w:webHidden/>
          </w:rPr>
          <w:tab/>
        </w:r>
        <w:r>
          <w:rPr>
            <w:noProof/>
            <w:webHidden/>
          </w:rPr>
          <w:fldChar w:fldCharType="begin"/>
        </w:r>
        <w:r>
          <w:rPr>
            <w:noProof/>
            <w:webHidden/>
          </w:rPr>
          <w:instrText xml:space="preserve"> PAGEREF _Toc261100169 \h </w:instrText>
        </w:r>
        <w:r>
          <w:rPr>
            <w:noProof/>
            <w:webHidden/>
          </w:rPr>
          <w:fldChar w:fldCharType="separate"/>
        </w:r>
        <w:r>
          <w:rPr>
            <w:noProof/>
            <w:webHidden/>
          </w:rPr>
          <w:t xml:space="preserve">112</w:t>
        </w:r>
        <w:r>
          <w:rPr>
            <w:noProof/>
            <w:webHidden/>
          </w:rPr>
          <w:fldChar w:fldCharType="end"/>
        </w:r>
      </w:hyperlink>
    </w:p>
    <w:p>
      <w:pPr>
        <w:pStyle w:val="TOC2"/>
      </w:pPr>
      <w:hyperlink w:anchor="_Toc261100170" w:history="1">
        <w:r>
          <w:rPr>
            <w:noProof/>
          </w:rPr>
          <w:t xml:space="preserve">L.6 Contributed Assets of Endorsing Stakeholders</w:t>
        </w:r>
        <w:r>
          <w:rPr>
            <w:noProof/>
            <w:webHidden/>
          </w:rPr>
          <w:tab/>
        </w:r>
        <w:r>
          <w:rPr>
            <w:noProof/>
            <w:webHidden/>
          </w:rPr>
          <w:fldChar w:fldCharType="begin"/>
        </w:r>
        <w:r>
          <w:rPr>
            <w:noProof/>
            <w:webHidden/>
          </w:rPr>
          <w:instrText xml:space="preserve"> PAGEREF _Toc261100170 \h </w:instrText>
        </w:r>
        <w:r>
          <w:rPr>
            <w:noProof/>
            <w:webHidden/>
          </w:rPr>
          <w:fldChar w:fldCharType="separate"/>
        </w:r>
        <w:r>
          <w:rPr>
            <w:noProof/>
            <w:webHidden/>
          </w:rPr>
          <w:t xml:space="preserve">112</w:t>
        </w:r>
        <w:r>
          <w:rPr>
            <w:noProof/>
            <w:webHidden/>
          </w:rPr>
          <w:fldChar w:fldCharType="end"/>
        </w:r>
      </w:hyperlink>
    </w:p>
    <w:p>
      <w:pPr>
        <w:pStyle w:val="TOC2"/>
      </w:pPr>
      <w:hyperlink w:anchor="_Toc261100171" w:history="1">
        <w:r>
          <w:rPr>
            <w:noProof/>
          </w:rPr>
          <w:t xml:space="preserve">L.7 The Group Response Drill</w:t>
        </w:r>
        <w:r>
          <w:rPr>
            <w:noProof/>
            <w:webHidden/>
          </w:rPr>
          <w:tab/>
        </w:r>
        <w:r>
          <w:rPr>
            <w:noProof/>
            <w:webHidden/>
          </w:rPr>
          <w:fldChar w:fldCharType="begin"/>
        </w:r>
        <w:r>
          <w:rPr>
            <w:noProof/>
            <w:webHidden/>
          </w:rPr>
          <w:instrText xml:space="preserve"> PAGEREF _Toc261100171 \h </w:instrText>
        </w:r>
        <w:r>
          <w:rPr>
            <w:noProof/>
            <w:webHidden/>
          </w:rPr>
          <w:fldChar w:fldCharType="separate"/>
        </w:r>
        <w:r>
          <w:rPr>
            <w:noProof/>
            <w:webHidden/>
          </w:rPr>
          <w:t xml:space="preserve">113</w:t>
        </w:r>
        <w:r>
          <w:rPr>
            <w:noProof/>
            <w:webHidden/>
          </w:rPr>
          <w:fldChar w:fldCharType="end"/>
        </w:r>
      </w:hyperlink>
    </w:p>
    <w:p>
      <w:pPr>
        <w:pStyle w:val="TOC2"/>
      </w:pPr>
      <w:hyperlink w:anchor="_Toc261100172" w:history="1">
        <w:r>
          <w:rPr>
            <w:noProof/>
          </w:rPr>
          <w:t xml:space="preserve">L.8 Signal Integrity Protocol</w:t>
        </w:r>
        <w:r>
          <w:rPr>
            <w:noProof/>
            <w:webHidden/>
          </w:rPr>
          <w:tab/>
        </w:r>
        <w:r>
          <w:rPr>
            <w:noProof/>
            <w:webHidden/>
          </w:rPr>
          <w:fldChar w:fldCharType="begin"/>
        </w:r>
        <w:r>
          <w:rPr>
            <w:noProof/>
            <w:webHidden/>
          </w:rPr>
          <w:instrText xml:space="preserve"> PAGEREF _Toc261100172 \h </w:instrText>
        </w:r>
        <w:r>
          <w:rPr>
            <w:noProof/>
            <w:webHidden/>
          </w:rPr>
          <w:fldChar w:fldCharType="separate"/>
        </w:r>
        <w:r>
          <w:rPr>
            <w:noProof/>
            <w:webHidden/>
          </w:rPr>
          <w:t xml:space="preserve">113</w:t>
        </w:r>
        <w:r>
          <w:rPr>
            <w:noProof/>
            <w:webHidden/>
          </w:rPr>
          <w:fldChar w:fldCharType="end"/>
        </w:r>
      </w:hyperlink>
    </w:p>
    <w:p>
      <w:pPr>
        <w:pStyle w:val="TOC1"/>
      </w:pPr>
      <w:hyperlink w:anchor="_Toc261100173" w:history="1">
        <w:r>
          <w:rPr>
            <w:noProof/>
          </w:rPr>
          <w:t xml:space="preserve">Annex M: Accession, Adherence, and Participation Instruments</w:t>
        </w:r>
        <w:r>
          <w:rPr>
            <w:noProof/>
            <w:webHidden/>
          </w:rPr>
          <w:tab/>
        </w:r>
        <w:r>
          <w:rPr>
            <w:noProof/>
            <w:webHidden/>
          </w:rPr>
          <w:fldChar w:fldCharType="begin"/>
        </w:r>
        <w:r>
          <w:rPr>
            <w:noProof/>
            <w:webHidden/>
          </w:rPr>
          <w:instrText xml:space="preserve"> PAGEREF _Toc261100173 \h </w:instrText>
        </w:r>
        <w:r>
          <w:rPr>
            <w:noProof/>
            <w:webHidden/>
          </w:rPr>
          <w:fldChar w:fldCharType="separate"/>
        </w:r>
        <w:r>
          <w:rPr>
            <w:noProof/>
            <w:webHidden/>
          </w:rPr>
          <w:t xml:space="preserve">114</w:t>
        </w:r>
        <w:r>
          <w:rPr>
            <w:noProof/>
            <w:webHidden/>
          </w:rPr>
          <w:fldChar w:fldCharType="end"/>
        </w:r>
      </w:hyperlink>
    </w:p>
    <w:p>
      <w:pPr>
        <w:pStyle w:val="TOC2"/>
      </w:pPr>
      <w:hyperlink w:anchor="_Toc261100174" w:history="1">
        <w:r>
          <w:rPr>
            <w:noProof/>
          </w:rPr>
          <w:t xml:space="preserve">M.1 Participation Levels</w:t>
        </w:r>
        <w:r>
          <w:rPr>
            <w:noProof/>
            <w:webHidden/>
          </w:rPr>
          <w:tab/>
        </w:r>
        <w:r>
          <w:rPr>
            <w:noProof/>
            <w:webHidden/>
          </w:rPr>
          <w:fldChar w:fldCharType="begin"/>
        </w:r>
        <w:r>
          <w:rPr>
            <w:noProof/>
            <w:webHidden/>
          </w:rPr>
          <w:instrText xml:space="preserve"> PAGEREF _Toc261100174 \h </w:instrText>
        </w:r>
        <w:r>
          <w:rPr>
            <w:noProof/>
            <w:webHidden/>
          </w:rPr>
          <w:fldChar w:fldCharType="separate"/>
        </w:r>
        <w:r>
          <w:rPr>
            <w:noProof/>
            <w:webHidden/>
          </w:rPr>
          <w:t xml:space="preserve">114</w:t>
        </w:r>
        <w:r>
          <w:rPr>
            <w:noProof/>
            <w:webHidden/>
          </w:rPr>
          <w:fldChar w:fldCharType="end"/>
        </w:r>
      </w:hyperlink>
    </w:p>
    <w:p>
      <w:pPr>
        <w:pStyle w:val="TOC2"/>
      </w:pPr>
      <w:hyperlink w:anchor="_Toc261100175" w:history="1">
        <w:r>
          <w:rPr>
            <w:noProof/>
          </w:rPr>
          <w:t xml:space="preserve">M.2 Model Accession Instrument (Gulf Littoral States)</w:t>
        </w:r>
        <w:r>
          <w:rPr>
            <w:noProof/>
            <w:webHidden/>
          </w:rPr>
          <w:tab/>
        </w:r>
        <w:r>
          <w:rPr>
            <w:noProof/>
            <w:webHidden/>
          </w:rPr>
          <w:fldChar w:fldCharType="begin"/>
        </w:r>
        <w:r>
          <w:rPr>
            <w:noProof/>
            <w:webHidden/>
          </w:rPr>
          <w:instrText xml:space="preserve"> PAGEREF _Toc261100175 \h </w:instrText>
        </w:r>
        <w:r>
          <w:rPr>
            <w:noProof/>
            <w:webHidden/>
          </w:rPr>
          <w:fldChar w:fldCharType="separate"/>
        </w:r>
        <w:r>
          <w:rPr>
            <w:noProof/>
            <w:webHidden/>
          </w:rPr>
          <w:t xml:space="preserve">114</w:t>
        </w:r>
        <w:r>
          <w:rPr>
            <w:noProof/>
            <w:webHidden/>
          </w:rPr>
          <w:fldChar w:fldCharType="end"/>
        </w:r>
      </w:hyperlink>
    </w:p>
    <w:p>
      <w:pPr>
        <w:pStyle w:val="TOC2"/>
      </w:pPr>
      <w:hyperlink w:anchor="_Toc261100176" w:history="1">
        <w:r>
          <w:rPr>
            <w:noProof/>
          </w:rPr>
          <w:t xml:space="preserve">M.3 Model Endorsement Instrument (Endorsing Stakeholders)</w:t>
        </w:r>
        <w:r>
          <w:rPr>
            <w:noProof/>
            <w:webHidden/>
          </w:rPr>
          <w:tab/>
        </w:r>
        <w:r>
          <w:rPr>
            <w:noProof/>
            <w:webHidden/>
          </w:rPr>
          <w:fldChar w:fldCharType="begin"/>
        </w:r>
        <w:r>
          <w:rPr>
            <w:noProof/>
            <w:webHidden/>
          </w:rPr>
          <w:instrText xml:space="preserve"> PAGEREF _Toc261100176 \h </w:instrText>
        </w:r>
        <w:r>
          <w:rPr>
            <w:noProof/>
            <w:webHidden/>
          </w:rPr>
          <w:fldChar w:fldCharType="separate"/>
        </w:r>
        <w:r>
          <w:rPr>
            <w:noProof/>
            <w:webHidden/>
          </w:rPr>
          <w:t xml:space="preserve">115</w:t>
        </w:r>
        <w:r>
          <w:rPr>
            <w:noProof/>
            <w:webHidden/>
          </w:rPr>
          <w:fldChar w:fldCharType="end"/>
        </w:r>
      </w:hyperlink>
    </w:p>
    <w:p>
      <w:pPr>
        <w:pStyle w:val="TOC2"/>
      </w:pPr>
      <w:hyperlink w:anchor="_Toc261100177" w:history="1">
        <w:r>
          <w:rPr>
            <w:noProof/>
          </w:rPr>
          <w:t xml:space="preserve">M.4 The United States Instrument</w:t>
        </w:r>
        <w:r>
          <w:rPr>
            <w:noProof/>
            <w:webHidden/>
          </w:rPr>
          <w:tab/>
        </w:r>
        <w:r>
          <w:rPr>
            <w:noProof/>
            <w:webHidden/>
          </w:rPr>
          <w:fldChar w:fldCharType="begin"/>
        </w:r>
        <w:r>
          <w:rPr>
            <w:noProof/>
            <w:webHidden/>
          </w:rPr>
          <w:instrText xml:space="preserve"> PAGEREF _Toc261100177 \h </w:instrText>
        </w:r>
        <w:r>
          <w:rPr>
            <w:noProof/>
            <w:webHidden/>
          </w:rPr>
          <w:fldChar w:fldCharType="separate"/>
        </w:r>
        <w:r>
          <w:rPr>
            <w:noProof/>
            <w:webHidden/>
          </w:rPr>
          <w:t xml:space="preserve">115</w:t>
        </w:r>
        <w:r>
          <w:rPr>
            <w:noProof/>
            <w:webHidden/>
          </w:rPr>
          <w:fldChar w:fldCharType="end"/>
        </w:r>
      </w:hyperlink>
    </w:p>
    <w:p>
      <w:pPr>
        <w:pStyle w:val="TOC2"/>
      </w:pPr>
      <w:hyperlink w:anchor="_Toc261100178" w:history="1">
        <w:r>
          <w:rPr>
            <w:noProof/>
          </w:rPr>
          <w:t xml:space="preserve">M.5 The France-United Kingdom Mission Instrument</w:t>
        </w:r>
        <w:r>
          <w:rPr>
            <w:noProof/>
            <w:webHidden/>
          </w:rPr>
          <w:tab/>
        </w:r>
        <w:r>
          <w:rPr>
            <w:noProof/>
            <w:webHidden/>
          </w:rPr>
          <w:fldChar w:fldCharType="begin"/>
        </w:r>
        <w:r>
          <w:rPr>
            <w:noProof/>
            <w:webHidden/>
          </w:rPr>
          <w:instrText xml:space="preserve"> PAGEREF _Toc261100178 \h </w:instrText>
        </w:r>
        <w:r>
          <w:rPr>
            <w:noProof/>
            <w:webHidden/>
          </w:rPr>
          <w:fldChar w:fldCharType="separate"/>
        </w:r>
        <w:r>
          <w:rPr>
            <w:noProof/>
            <w:webHidden/>
          </w:rPr>
          <w:t xml:space="preserve">115</w:t>
        </w:r>
        <w:r>
          <w:rPr>
            <w:noProof/>
            <w:webHidden/>
          </w:rPr>
          <w:fldChar w:fldCharType="end"/>
        </w:r>
      </w:hyperlink>
    </w:p>
    <w:p>
      <w:pPr>
        <w:pStyle w:val="TOC2"/>
      </w:pPr>
      <w:hyperlink w:anchor="_Toc261100179" w:history="1">
        <w:r>
          <w:rPr>
            <w:noProof/>
          </w:rPr>
          <w:t xml:space="preserve">M.6 Observer Instruments</w:t>
        </w:r>
        <w:r>
          <w:rPr>
            <w:noProof/>
            <w:webHidden/>
          </w:rPr>
          <w:tab/>
        </w:r>
        <w:r>
          <w:rPr>
            <w:noProof/>
            <w:webHidden/>
          </w:rPr>
          <w:fldChar w:fldCharType="begin"/>
        </w:r>
        <w:r>
          <w:rPr>
            <w:noProof/>
            <w:webHidden/>
          </w:rPr>
          <w:instrText xml:space="preserve"> PAGEREF _Toc261100179 \h </w:instrText>
        </w:r>
        <w:r>
          <w:rPr>
            <w:noProof/>
            <w:webHidden/>
          </w:rPr>
          <w:fldChar w:fldCharType="separate"/>
        </w:r>
        <w:r>
          <w:rPr>
            <w:noProof/>
            <w:webHidden/>
          </w:rPr>
          <w:t xml:space="preserve">116</w:t>
        </w:r>
        <w:r>
          <w:rPr>
            <w:noProof/>
            <w:webHidden/>
          </w:rPr>
          <w:fldChar w:fldCharType="end"/>
        </w:r>
      </w:hyperlink>
    </w:p>
    <w:p>
      <w:pPr>
        <w:pStyle w:val="TOC2"/>
      </w:pPr>
      <w:hyperlink w:anchor="_Toc261100180" w:history="1">
        <w:r>
          <w:rPr>
            <w:noProof/>
          </w:rPr>
          <w:t xml:space="preserve">M.7 Signature and Deposit Procedure</w:t>
        </w:r>
        <w:r>
          <w:rPr>
            <w:noProof/>
            <w:webHidden/>
          </w:rPr>
          <w:tab/>
        </w:r>
        <w:r>
          <w:rPr>
            <w:noProof/>
            <w:webHidden/>
          </w:rPr>
          <w:fldChar w:fldCharType="begin"/>
        </w:r>
        <w:r>
          <w:rPr>
            <w:noProof/>
            <w:webHidden/>
          </w:rPr>
          <w:instrText xml:space="preserve"> PAGEREF _Toc261100180 \h </w:instrText>
        </w:r>
        <w:r>
          <w:rPr>
            <w:noProof/>
            <w:webHidden/>
          </w:rPr>
          <w:fldChar w:fldCharType="separate"/>
        </w:r>
        <w:r>
          <w:rPr>
            <w:noProof/>
            <w:webHidden/>
          </w:rPr>
          <w:t xml:space="preserve">116</w:t>
        </w:r>
        <w:r>
          <w:rPr>
            <w:noProof/>
            <w:webHidden/>
          </w:rPr>
          <w:fldChar w:fldCharType="end"/>
        </w:r>
      </w:hyperlink>
    </w:p>
    <w:p>
      <w:pPr>
        <w:pStyle w:val="TOC1"/>
      </w:pPr>
      <w:hyperlink w:anchor="_Toc261100181" w:history="1">
        <w:r>
          <w:rPr>
            <w:noProof/>
          </w:rPr>
          <w:t xml:space="preserve">Annex N: Glossary and Definitions</w:t>
        </w:r>
        <w:r>
          <w:rPr>
            <w:noProof/>
            <w:webHidden/>
          </w:rPr>
          <w:tab/>
        </w:r>
        <w:r>
          <w:rPr>
            <w:noProof/>
            <w:webHidden/>
          </w:rPr>
          <w:fldChar w:fldCharType="begin"/>
        </w:r>
        <w:r>
          <w:rPr>
            <w:noProof/>
            <w:webHidden/>
          </w:rPr>
          <w:instrText xml:space="preserve"> PAGEREF _Toc261100181 \h </w:instrText>
        </w:r>
        <w:r>
          <w:rPr>
            <w:noProof/>
            <w:webHidden/>
          </w:rPr>
          <w:fldChar w:fldCharType="separate"/>
        </w:r>
        <w:r>
          <w:rPr>
            <w:noProof/>
            <w:webHidden/>
          </w:rPr>
          <w:t xml:space="preserve">117</w:t>
        </w:r>
        <w:r>
          <w:rPr>
            <w:noProof/>
            <w:webHidden/>
          </w:rPr>
          <w:fldChar w:fldCharType="end"/>
        </w:r>
      </w:hyperlink>
    </w:p>
    <w:p>
      <w:pPr>
        <w:pStyle w:val="TOC2"/>
      </w:pPr>
      <w:hyperlink w:anchor="_Toc261100182" w:history="1">
        <w:r>
          <w:rPr>
            <w:noProof/>
          </w:rPr>
          <w:t xml:space="preserve">N.1 Terms</w:t>
        </w:r>
        <w:r>
          <w:rPr>
            <w:noProof/>
            <w:webHidden/>
          </w:rPr>
          <w:tab/>
        </w:r>
        <w:r>
          <w:rPr>
            <w:noProof/>
            <w:webHidden/>
          </w:rPr>
          <w:fldChar w:fldCharType="begin"/>
        </w:r>
        <w:r>
          <w:rPr>
            <w:noProof/>
            <w:webHidden/>
          </w:rPr>
          <w:instrText xml:space="preserve"> PAGEREF _Toc261100182 \h </w:instrText>
        </w:r>
        <w:r>
          <w:rPr>
            <w:noProof/>
            <w:webHidden/>
          </w:rPr>
          <w:fldChar w:fldCharType="separate"/>
        </w:r>
        <w:r>
          <w:rPr>
            <w:noProof/>
            <w:webHidden/>
          </w:rPr>
          <w:t xml:space="preserve">117</w:t>
        </w:r>
        <w:r>
          <w:rPr>
            <w:noProof/>
            <w:webHidden/>
          </w:rPr>
          <w:fldChar w:fldCharType="end"/>
        </w:r>
      </w:hyperlink>
    </w:p>
    <w:p>
      <w:pPr>
        <w:pStyle w:val="TOC2"/>
      </w:pPr>
      <w:hyperlink w:anchor="_Toc261100183" w:history="1">
        <w:r>
          <w:rPr>
            <w:noProof/>
          </w:rPr>
          <w:t xml:space="preserve">N.2 Abbreviations</w:t>
        </w:r>
        <w:r>
          <w:rPr>
            <w:noProof/>
            <w:webHidden/>
          </w:rPr>
          <w:tab/>
        </w:r>
        <w:r>
          <w:rPr>
            <w:noProof/>
            <w:webHidden/>
          </w:rPr>
          <w:fldChar w:fldCharType="begin"/>
        </w:r>
        <w:r>
          <w:rPr>
            <w:noProof/>
            <w:webHidden/>
          </w:rPr>
          <w:instrText xml:space="preserve"> PAGEREF _Toc261100183 \h </w:instrText>
        </w:r>
        <w:r>
          <w:rPr>
            <w:noProof/>
            <w:webHidden/>
          </w:rPr>
          <w:fldChar w:fldCharType="separate"/>
        </w:r>
        <w:r>
          <w:rPr>
            <w:noProof/>
            <w:webHidden/>
          </w:rPr>
          <w:t xml:space="preserve">119</w:t>
        </w:r>
        <w:r>
          <w:rPr>
            <w:noProof/>
            <w:webHidden/>
          </w:rPr>
          <w:fldChar w:fldCharType="end"/>
        </w:r>
      </w:hyperlink>
    </w:p>
    <w:p>
      <w:pPr>
        <w:pStyle w:val="TOC2"/>
      </w:pPr>
      <w:hyperlink w:anchor="_Toc261100184" w:history="1">
        <w:r>
          <w:rPr>
            <w:noProof/>
          </w:rPr>
          <w:t xml:space="preserve">N.3 Interpretation Note</w:t>
        </w:r>
        <w:r>
          <w:rPr>
            <w:noProof/>
            <w:webHidden/>
          </w:rPr>
          <w:tab/>
        </w:r>
        <w:r>
          <w:rPr>
            <w:noProof/>
            <w:webHidden/>
          </w:rPr>
          <w:fldChar w:fldCharType="begin"/>
        </w:r>
        <w:r>
          <w:rPr>
            <w:noProof/>
            <w:webHidden/>
          </w:rPr>
          <w:instrText xml:space="preserve"> PAGEREF _Toc261100184 \h </w:instrText>
        </w:r>
        <w:r>
          <w:rPr>
            <w:noProof/>
            <w:webHidden/>
          </w:rPr>
          <w:fldChar w:fldCharType="separate"/>
        </w:r>
        <w:r>
          <w:rPr>
            <w:rFonts w:ascii="Calibri" w:hAnsi="Calibri" w:eastAsia="Microsoft YaHei"/>
            <w:color w:val="263238"/>
            <w:sz w:val="20"/>
            <w:noProof/>
            <w:webHidden/>
          </w:rPr>
          <w:t xml:space="preserve">119</w:t>
        </w:r>
        <w:r>
          <w:rPr>
            <w:noProof/>
            <w:webHidden/>
          </w:rPr>
          <w:fldChar w:fldCharType="end"/>
        </w:r>
      </w:hyperlink>
      <w:r>
        <w:rPr>
          <w:noProof/>
          <w:webHidden/>
        </w:rPr>
        <w:fldChar w:fldCharType="end"/>
      </w:r>
    </w:p>
    <w:p>
      <w:r>
        <w:br w:type="page"/>
      </w:r>
    </w:p>
    <w:p>
      <w:pPr>
        <w:pStyle w:val="Heading1"/>
        <w:pageBreakBefore/>
        <w:pBdr>
          <w:bottom w:val="single" w:color="B9C6CF" w:sz="6" w:space="4"/>
        </w:pBdr>
      </w:pPr>
      <w:bookmarkStart w:id="103" w:name="_Toc261100003"/>
      <w:r>
        <w:rPr>
          <w:rFonts w:ascii="Calibri" w:hAnsi="Calibri"/>
        </w:rPr>
        <w:t xml:space="preserve">The Hormuz Declaration of Inviolable Principles</w:t>
      </w:r>
      <w:bookmarkEnd w:id="103"/>
    </w:p>
    <w:p>
      <w:pPr>
        <w:jc w:val="both"/>
      </w:pPr>
      <w:r>
        <w:rPr/>
        <w:t xml:space="preserve">Before the preamble and before the Articles, the Parties state what this Understanding protects, in one place and in plain terms. The twenty lines below constitute the Inviolable Principles Register of Annex G in summary form. Every organ, every officer, and every reader of this Understanding holds this page as the measure of the system: a measure that touches one of these lines proceeds only in the exact form the corresponding safeguard permits, and a measure that crosses one of these lines fails.</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1200"/>
        <w:gridCol w:w="8300"/>
      </w:tblGrid>
      <w:tr>
        <w:trPr>
          <w:tblHeader/>
        </w:trPr>
        <w:tc>
          <w:tcPr>
            <w:tcW w:w="1200" w:type="dxa"/>
            <w:shd w:val="clear" w:fill="E8EDF1"/>
          </w:tcPr>
          <w:p>
            <w:pPr>
              <w:spacing w:after="20" w:line="264" w:lineRule="auto"/>
            </w:pPr>
            <w:r>
              <w:rPr>
                <w:rFonts w:ascii="Calibri" w:hAnsi="Calibri"/>
                <w:b/>
                <w:color w:val="2E4A62"/>
                <w:sz w:val="18"/>
              </w:rPr>
              <w:t xml:space="preserve">Ref</w:t>
            </w:r>
          </w:p>
        </w:tc>
        <w:tc>
          <w:tcPr>
            <w:tcW w:w="8300" w:type="dxa"/>
            <w:shd w:val="clear" w:fill="E8EDF1"/>
          </w:tcPr>
          <w:p>
            <w:pPr>
              <w:spacing w:after="20" w:line="264" w:lineRule="auto"/>
            </w:pPr>
            <w:r>
              <w:rPr>
                <w:rFonts w:ascii="Calibri" w:hAnsi="Calibri"/>
                <w:b/>
                <w:color w:val="2E4A62"/>
                <w:sz w:val="18"/>
              </w:rPr>
              <w:t xml:space="preserve">Principle</w:t>
            </w:r>
          </w:p>
        </w:tc>
      </w:tr>
      <w:tr>
        <w:tc>
          <w:tcPr>
            <w:tcW w:w="1200" w:type="dxa"/>
          </w:tcPr>
          <w:p>
            <w:pPr>
              <w:spacing w:after="20" w:line="264" w:lineRule="auto"/>
            </w:pPr>
            <w:r>
              <w:rPr>
                <w:rFonts w:ascii="Calibri" w:hAnsi="Calibri"/>
                <w:color w:val="263238"/>
                <w:sz w:val="18"/>
              </w:rPr>
              <w:t xml:space="preserve">IPR-1</w:t>
            </w:r>
          </w:p>
        </w:tc>
        <w:tc>
          <w:tcPr>
            <w:tcW w:w="8300" w:type="dxa"/>
          </w:tcPr>
          <w:p>
            <w:pPr>
              <w:spacing w:after="20" w:line="264" w:lineRule="auto"/>
            </w:pPr>
            <w:r>
              <w:rPr>
                <w:rFonts w:ascii="Calibri" w:hAnsi="Calibri"/>
                <w:color w:val="263238"/>
                <w:sz w:val="18"/>
              </w:rPr>
              <w:t xml:space="preserve">Transit carries no charge, in any corridor, for any vessel, ever. No charge of any kind attaches to the act of transit.</w:t>
            </w:r>
          </w:p>
        </w:tc>
      </w:tr>
      <w:tr>
        <w:tc>
          <w:tcPr>
            <w:tcW w:w="1200" w:type="dxa"/>
          </w:tcPr>
          <w:p>
            <w:pPr>
              <w:spacing w:after="20" w:line="264" w:lineRule="auto"/>
            </w:pPr>
            <w:r>
              <w:rPr>
                <w:rFonts w:ascii="Calibri" w:hAnsi="Calibri"/>
                <w:color w:val="263238"/>
                <w:sz w:val="18"/>
              </w:rPr>
              <w:t xml:space="preserve">IPR-2</w:t>
            </w:r>
          </w:p>
        </w:tc>
        <w:tc>
          <w:tcPr>
            <w:tcW w:w="8300" w:type="dxa"/>
          </w:tcPr>
          <w:p>
            <w:pPr>
              <w:spacing w:after="20" w:line="264" w:lineRule="auto"/>
            </w:pPr>
            <w:r>
              <w:rPr>
                <w:rFonts w:ascii="Calibri" w:hAnsi="Calibri"/>
                <w:color w:val="263238"/>
                <w:sz w:val="18"/>
              </w:rPr>
              <w:t xml:space="preserve">No permission regime operates anywhere in this Understanding. Notification produces acknowledgment, never approval.</w:t>
            </w:r>
          </w:p>
        </w:tc>
      </w:tr>
      <w:tr>
        <w:tc>
          <w:tcPr>
            <w:tcW w:w="1200" w:type="dxa"/>
          </w:tcPr>
          <w:p>
            <w:pPr>
              <w:spacing w:after="20" w:line="264" w:lineRule="auto"/>
            </w:pPr>
            <w:r>
              <w:rPr>
                <w:rFonts w:ascii="Calibri" w:hAnsi="Calibri"/>
                <w:color w:val="263238"/>
                <w:sz w:val="18"/>
              </w:rPr>
              <w:t xml:space="preserve">IPR-3</w:t>
            </w:r>
          </w:p>
        </w:tc>
        <w:tc>
          <w:tcPr>
            <w:tcW w:w="8300" w:type="dxa"/>
          </w:tcPr>
          <w:p>
            <w:pPr>
              <w:spacing w:after="20" w:line="264" w:lineRule="auto"/>
            </w:pPr>
            <w:r>
              <w:rPr>
                <w:rFonts w:ascii="Calibri" w:hAnsi="Calibri"/>
                <w:color w:val="263238"/>
                <w:sz w:val="18"/>
              </w:rPr>
              <w:t xml:space="preserve">The northern littoral holds a recognized, formal, continuous management function in its own waters.</w:t>
            </w:r>
          </w:p>
        </w:tc>
      </w:tr>
      <w:tr>
        <w:tc>
          <w:tcPr>
            <w:tcW w:w="1200" w:type="dxa"/>
          </w:tcPr>
          <w:p>
            <w:pPr>
              <w:spacing w:after="20" w:line="264" w:lineRule="auto"/>
            </w:pPr>
            <w:r>
              <w:rPr>
                <w:rFonts w:ascii="Calibri" w:hAnsi="Calibri"/>
                <w:color w:val="263238"/>
                <w:sz w:val="18"/>
              </w:rPr>
              <w:t xml:space="preserve">IPR-4</w:t>
            </w:r>
          </w:p>
        </w:tc>
        <w:tc>
          <w:tcPr>
            <w:tcW w:w="8300" w:type="dxa"/>
          </w:tcPr>
          <w:p>
            <w:pPr>
              <w:spacing w:after="20" w:line="264" w:lineRule="auto"/>
            </w:pPr>
            <w:r>
              <w:rPr>
                <w:rFonts w:ascii="Calibri" w:hAnsi="Calibri"/>
                <w:color w:val="263238"/>
                <w:sz w:val="18"/>
              </w:rPr>
              <w:t xml:space="preserve">The southern littoral holds a recognized, formal, continuous management function in its own waters.</w:t>
            </w:r>
          </w:p>
        </w:tc>
      </w:tr>
      <w:tr>
        <w:tc>
          <w:tcPr>
            <w:tcW w:w="1200" w:type="dxa"/>
          </w:tcPr>
          <w:p>
            <w:pPr>
              <w:spacing w:after="20" w:line="264" w:lineRule="auto"/>
            </w:pPr>
            <w:r>
              <w:rPr>
                <w:rFonts w:ascii="Calibri" w:hAnsi="Calibri"/>
                <w:color w:val="263238"/>
                <w:sz w:val="18"/>
              </w:rPr>
              <w:t xml:space="preserve">IPR-5</w:t>
            </w:r>
          </w:p>
        </w:tc>
        <w:tc>
          <w:tcPr>
            <w:tcW w:w="8300" w:type="dxa"/>
          </w:tcPr>
          <w:p>
            <w:pPr>
              <w:spacing w:after="20" w:line="264" w:lineRule="auto"/>
            </w:pPr>
            <w:r>
              <w:rPr>
                <w:rFonts w:ascii="Calibri" w:hAnsi="Calibri"/>
                <w:color w:val="263238"/>
                <w:sz w:val="18"/>
              </w:rPr>
              <w:t xml:space="preserve">No boarding, diversion, seizure, or inspection occurs inside a passage. Commercial transit operates under an absolute non-interdiction protocol within the framework.</w:t>
            </w:r>
          </w:p>
        </w:tc>
      </w:tr>
      <w:tr>
        <w:tc>
          <w:tcPr>
            <w:tcW w:w="1200" w:type="dxa"/>
          </w:tcPr>
          <w:p>
            <w:pPr>
              <w:spacing w:after="20" w:line="264" w:lineRule="auto"/>
            </w:pPr>
            <w:r>
              <w:rPr>
                <w:rFonts w:ascii="Calibri" w:hAnsi="Calibri"/>
                <w:color w:val="263238"/>
                <w:sz w:val="18"/>
              </w:rPr>
              <w:t xml:space="preserve">IPR-6</w:t>
            </w:r>
          </w:p>
        </w:tc>
        <w:tc>
          <w:tcPr>
            <w:tcW w:w="8300" w:type="dxa"/>
          </w:tcPr>
          <w:p>
            <w:pPr>
              <w:spacing w:after="20" w:line="264" w:lineRule="auto"/>
            </w:pPr>
            <w:r>
              <w:rPr>
                <w:rFonts w:ascii="Calibri" w:hAnsi="Calibri"/>
                <w:color w:val="263238"/>
                <w:sz w:val="18"/>
              </w:rPr>
              <w:t xml:space="preserve">The operational bodies of this Understanding remain civilian, always. Military liaison flows through dedicated deconfliction channels, never through the watch floor.</w:t>
            </w:r>
          </w:p>
        </w:tc>
      </w:tr>
      <w:tr>
        <w:tc>
          <w:tcPr>
            <w:tcW w:w="1200" w:type="dxa"/>
          </w:tcPr>
          <w:p>
            <w:pPr>
              <w:spacing w:after="20" w:line="264" w:lineRule="auto"/>
            </w:pPr>
            <w:r>
              <w:rPr>
                <w:rFonts w:ascii="Calibri" w:hAnsi="Calibri"/>
                <w:color w:val="263238"/>
                <w:sz w:val="18"/>
              </w:rPr>
              <w:t xml:space="preserve">IPR-7</w:t>
            </w:r>
          </w:p>
        </w:tc>
        <w:tc>
          <w:tcPr>
            <w:tcW w:w="8300" w:type="dxa"/>
          </w:tcPr>
          <w:p>
            <w:pPr>
              <w:spacing w:after="20" w:line="264" w:lineRule="auto"/>
            </w:pPr>
            <w:r>
              <w:rPr>
                <w:rFonts w:ascii="Calibri" w:hAnsi="Calibri"/>
                <w:color w:val="263238"/>
                <w:sz w:val="18"/>
              </w:rPr>
              <w:t xml:space="preserve">No shipper, operator, insurer, or flag state pays any Party directly for anything. Every payment flows through the Neutral Administrator.</w:t>
            </w:r>
          </w:p>
        </w:tc>
      </w:tr>
      <w:tr>
        <w:tc>
          <w:tcPr>
            <w:tcW w:w="1200" w:type="dxa"/>
          </w:tcPr>
          <w:p>
            <w:pPr>
              <w:spacing w:after="20" w:line="264" w:lineRule="auto"/>
            </w:pPr>
            <w:r>
              <w:rPr>
                <w:rFonts w:ascii="Calibri" w:hAnsi="Calibri"/>
                <w:color w:val="263238"/>
                <w:sz w:val="18"/>
              </w:rPr>
              <w:t xml:space="preserve">IPR-8</w:t>
            </w:r>
          </w:p>
        </w:tc>
        <w:tc>
          <w:tcPr>
            <w:tcW w:w="8300" w:type="dxa"/>
          </w:tcPr>
          <w:p>
            <w:pPr>
              <w:spacing w:after="20" w:line="264" w:lineRule="auto"/>
            </w:pPr>
            <w:r>
              <w:rPr>
                <w:rFonts w:ascii="Calibri" w:hAnsi="Calibri"/>
                <w:color w:val="263238"/>
                <w:sz w:val="18"/>
              </w:rPr>
              <w:t xml:space="preserve">Each Party's sovereignty over its own waters stands intact. This Understanding allocates functions, never sovereignty.</w:t>
            </w:r>
          </w:p>
        </w:tc>
      </w:tr>
      <w:tr>
        <w:tc>
          <w:tcPr>
            <w:tcW w:w="1200" w:type="dxa"/>
          </w:tcPr>
          <w:p>
            <w:pPr>
              <w:spacing w:after="20" w:line="264" w:lineRule="auto"/>
            </w:pPr>
            <w:r>
              <w:rPr>
                <w:rFonts w:ascii="Calibri" w:hAnsi="Calibri"/>
                <w:color w:val="263238"/>
                <w:sz w:val="18"/>
              </w:rPr>
              <w:t xml:space="preserve">IPR-9</w:t>
            </w:r>
          </w:p>
        </w:tc>
        <w:tc>
          <w:tcPr>
            <w:tcW w:w="8300" w:type="dxa"/>
          </w:tcPr>
          <w:p>
            <w:pPr>
              <w:spacing w:after="20" w:line="264" w:lineRule="auto"/>
            </w:pPr>
            <w:r>
              <w:rPr>
                <w:rFonts w:ascii="Calibri" w:hAnsi="Calibri"/>
                <w:color w:val="263238"/>
                <w:sz w:val="18"/>
              </w:rPr>
              <w:t xml:space="preserve">No commitment expires, lapses, or dilutes by time, silence, or routine. Renewal occurs by silence; change occurs by joint written instrument.</w:t>
            </w:r>
          </w:p>
        </w:tc>
      </w:tr>
      <w:tr>
        <w:tc>
          <w:tcPr>
            <w:tcW w:w="1200" w:type="dxa"/>
          </w:tcPr>
          <w:p>
            <w:pPr>
              <w:spacing w:after="20" w:line="264" w:lineRule="auto"/>
            </w:pPr>
            <w:r>
              <w:rPr>
                <w:rFonts w:ascii="Calibri" w:hAnsi="Calibri"/>
                <w:color w:val="263238"/>
                <w:sz w:val="18"/>
              </w:rPr>
              <w:t xml:space="preserve">IPR-10</w:t>
            </w:r>
          </w:p>
        </w:tc>
        <w:tc>
          <w:tcPr>
            <w:tcW w:w="8300" w:type="dxa"/>
          </w:tcPr>
          <w:p>
            <w:pPr>
              <w:spacing w:after="20" w:line="264" w:lineRule="auto"/>
            </w:pPr>
            <w:r>
              <w:rPr>
                <w:rFonts w:ascii="Calibri" w:hAnsi="Calibri"/>
                <w:color w:val="263238"/>
                <w:sz w:val="18"/>
              </w:rPr>
              <w:t xml:space="preserve">Humanitarian traffic moves in every flow state, dispute, pause, and transition. No mechanism in this Understanding delays food, medicine, or medical personnel.</w:t>
            </w:r>
          </w:p>
        </w:tc>
      </w:tr>
      <w:tr>
        <w:tc>
          <w:tcPr>
            <w:tcW w:w="1200" w:type="dxa"/>
          </w:tcPr>
          <w:p>
            <w:pPr>
              <w:spacing w:after="20" w:line="264" w:lineRule="auto"/>
            </w:pPr>
            <w:r>
              <w:rPr>
                <w:rFonts w:ascii="Calibri" w:hAnsi="Calibri"/>
                <w:color w:val="263238"/>
                <w:sz w:val="18"/>
              </w:rPr>
              <w:t xml:space="preserve">IPR-11</w:t>
            </w:r>
          </w:p>
        </w:tc>
        <w:tc>
          <w:tcPr>
            <w:tcW w:w="8300" w:type="dxa"/>
          </w:tcPr>
          <w:p>
            <w:pPr>
              <w:spacing w:after="20" w:line="264" w:lineRule="auto"/>
            </w:pPr>
            <w:r>
              <w:rPr>
                <w:rFonts w:ascii="Calibri" w:hAnsi="Calibri"/>
                <w:color w:val="263238"/>
                <w:sz w:val="18"/>
              </w:rPr>
              <w:t xml:space="preserve">No finding of fact rests on a single input. Every consequential finding carries at least two independent convergent inputs and a named human certifier.</w:t>
            </w:r>
          </w:p>
        </w:tc>
      </w:tr>
      <w:tr>
        <w:tc>
          <w:tcPr>
            <w:tcW w:w="1200" w:type="dxa"/>
          </w:tcPr>
          <w:p>
            <w:pPr>
              <w:spacing w:after="20" w:line="264" w:lineRule="auto"/>
            </w:pPr>
            <w:r>
              <w:rPr>
                <w:rFonts w:ascii="Calibri" w:hAnsi="Calibri"/>
                <w:color w:val="263238"/>
                <w:sz w:val="18"/>
              </w:rPr>
              <w:t xml:space="preserve">IPR-12</w:t>
            </w:r>
          </w:p>
        </w:tc>
        <w:tc>
          <w:tcPr>
            <w:tcW w:w="8300" w:type="dxa"/>
          </w:tcPr>
          <w:p>
            <w:pPr>
              <w:spacing w:after="20" w:line="264" w:lineRule="auto"/>
            </w:pPr>
            <w:r>
              <w:rPr>
                <w:rFonts w:ascii="Calibri" w:hAnsi="Calibri"/>
                <w:color w:val="263238"/>
                <w:sz w:val="18"/>
              </w:rPr>
              <w:t xml:space="preserve">The assets, data, and channels of this Understanding never support kinetic action, targeting, or sanctions enforcement by any actor. Data serves verification, never intelligence.</w:t>
            </w:r>
          </w:p>
        </w:tc>
      </w:tr>
      <w:tr>
        <w:tc>
          <w:tcPr>
            <w:tcW w:w="1200" w:type="dxa"/>
          </w:tcPr>
          <w:p>
            <w:pPr>
              <w:spacing w:after="20" w:line="264" w:lineRule="auto"/>
            </w:pPr>
            <w:r>
              <w:rPr>
                <w:rFonts w:ascii="Calibri" w:hAnsi="Calibri"/>
                <w:color w:val="263238"/>
                <w:sz w:val="18"/>
              </w:rPr>
              <w:t xml:space="preserve">IPR-13</w:t>
            </w:r>
          </w:p>
        </w:tc>
        <w:tc>
          <w:tcPr>
            <w:tcW w:w="8300" w:type="dxa"/>
          </w:tcPr>
          <w:p>
            <w:pPr>
              <w:spacing w:after="20" w:line="264" w:lineRule="auto"/>
            </w:pPr>
            <w:r>
              <w:rPr>
                <w:rFonts w:ascii="Calibri" w:hAnsi="Calibri"/>
                <w:color w:val="263238"/>
                <w:sz w:val="18"/>
              </w:rPr>
              <w:t xml:space="preserve">No single coastal state governs the Strait alone. Every consequential action carries the concurrence of two keys.</w:t>
            </w:r>
          </w:p>
        </w:tc>
      </w:tr>
      <w:tr>
        <w:tc>
          <w:tcPr>
            <w:tcW w:w="1200" w:type="dxa"/>
          </w:tcPr>
          <w:p>
            <w:pPr>
              <w:spacing w:after="20" w:line="264" w:lineRule="auto"/>
            </w:pPr>
            <w:r>
              <w:rPr>
                <w:rFonts w:ascii="Calibri" w:hAnsi="Calibri"/>
                <w:color w:val="263238"/>
                <w:sz w:val="18"/>
              </w:rPr>
              <w:t xml:space="preserve">IPR-14</w:t>
            </w:r>
          </w:p>
        </w:tc>
        <w:tc>
          <w:tcPr>
            <w:tcW w:w="8300" w:type="dxa"/>
          </w:tcPr>
          <w:p>
            <w:pPr>
              <w:spacing w:after="20" w:line="264" w:lineRule="auto"/>
            </w:pPr>
            <w:r>
              <w:rPr>
                <w:rFonts w:ascii="Calibri" w:hAnsi="Calibri"/>
                <w:color w:val="263238"/>
                <w:sz w:val="18"/>
              </w:rPr>
              <w:t xml:space="preserve">No external state or body commands any element of this Understanding. Endorsing Stakeholders observe, monitor, and de-conflict; they never command.</w:t>
            </w:r>
          </w:p>
        </w:tc>
      </w:tr>
      <w:tr>
        <w:tc>
          <w:tcPr>
            <w:tcW w:w="1200" w:type="dxa"/>
          </w:tcPr>
          <w:p>
            <w:pPr>
              <w:spacing w:after="20" w:line="264" w:lineRule="auto"/>
            </w:pPr>
            <w:r>
              <w:rPr>
                <w:rFonts w:ascii="Calibri" w:hAnsi="Calibri"/>
                <w:color w:val="263238"/>
                <w:sz w:val="18"/>
              </w:rPr>
              <w:t xml:space="preserve">IPR-15</w:t>
            </w:r>
          </w:p>
        </w:tc>
        <w:tc>
          <w:tcPr>
            <w:tcW w:w="8300" w:type="dxa"/>
          </w:tcPr>
          <w:p>
            <w:pPr>
              <w:spacing w:after="20" w:line="264" w:lineRule="auto"/>
            </w:pPr>
            <w:r>
              <w:rPr>
                <w:rFonts w:ascii="Calibri" w:hAnsi="Calibri"/>
                <w:color w:val="263238"/>
                <w:sz w:val="18"/>
              </w:rPr>
              <w:t xml:space="preserve">No corridor geometry changes except by joint written instrument of the Founding Parties with notice to all participants and registration with the IMO.</w:t>
            </w:r>
          </w:p>
        </w:tc>
      </w:tr>
      <w:tr>
        <w:tc>
          <w:tcPr>
            <w:tcW w:w="1200" w:type="dxa"/>
          </w:tcPr>
          <w:p>
            <w:pPr>
              <w:spacing w:after="20" w:line="264" w:lineRule="auto"/>
            </w:pPr>
            <w:r>
              <w:rPr>
                <w:rFonts w:ascii="Calibri" w:hAnsi="Calibri"/>
                <w:color w:val="263238"/>
                <w:sz w:val="18"/>
              </w:rPr>
              <w:t xml:space="preserve">IPR-16</w:t>
            </w:r>
          </w:p>
        </w:tc>
        <w:tc>
          <w:tcPr>
            <w:tcW w:w="8300" w:type="dxa"/>
          </w:tcPr>
          <w:p>
            <w:pPr>
              <w:spacing w:after="20" w:line="264" w:lineRule="auto"/>
            </w:pPr>
            <w:r>
              <w:rPr>
                <w:rFonts w:ascii="Calibri" w:hAnsi="Calibri"/>
                <w:color w:val="263238"/>
                <w:sz w:val="18"/>
              </w:rPr>
              <w:t xml:space="preserve">Corridor activation and the termination of all impediments to passage, including every blockade measure, occur as one synchronized indivisible event.</w:t>
            </w:r>
          </w:p>
        </w:tc>
      </w:tr>
      <w:tr>
        <w:tc>
          <w:tcPr>
            <w:tcW w:w="1200" w:type="dxa"/>
          </w:tcPr>
          <w:p>
            <w:pPr>
              <w:spacing w:after="20" w:line="264" w:lineRule="auto"/>
            </w:pPr>
            <w:r>
              <w:rPr>
                <w:rFonts w:ascii="Calibri" w:hAnsi="Calibri"/>
                <w:color w:val="263238"/>
                <w:sz w:val="18"/>
              </w:rPr>
              <w:t xml:space="preserve">IPR-17</w:t>
            </w:r>
          </w:p>
        </w:tc>
        <w:tc>
          <w:tcPr>
            <w:tcW w:w="8300" w:type="dxa"/>
          </w:tcPr>
          <w:p>
            <w:pPr>
              <w:spacing w:after="20" w:line="264" w:lineRule="auto"/>
            </w:pPr>
            <w:r>
              <w:rPr>
                <w:rFonts w:ascii="Calibri" w:hAnsi="Calibri"/>
                <w:color w:val="263238"/>
                <w:sz w:val="18"/>
              </w:rPr>
              <w:t xml:space="preserve">Every consequence under this Understanding reverses. Restoration activates automatically upon verified compliance and carries no admission of fault.</w:t>
            </w:r>
          </w:p>
        </w:tc>
      </w:tr>
      <w:tr>
        <w:tc>
          <w:tcPr>
            <w:tcW w:w="1200" w:type="dxa"/>
          </w:tcPr>
          <w:p>
            <w:pPr>
              <w:spacing w:after="20" w:line="264" w:lineRule="auto"/>
            </w:pPr>
            <w:r>
              <w:rPr>
                <w:rFonts w:ascii="Calibri" w:hAnsi="Calibri"/>
                <w:color w:val="263238"/>
                <w:sz w:val="18"/>
              </w:rPr>
              <w:t xml:space="preserve">IPR-18</w:t>
            </w:r>
          </w:p>
        </w:tc>
        <w:tc>
          <w:tcPr>
            <w:tcW w:w="8300" w:type="dxa"/>
          </w:tcPr>
          <w:p>
            <w:pPr>
              <w:spacing w:after="20" w:line="264" w:lineRule="auto"/>
            </w:pPr>
            <w:r>
              <w:rPr>
                <w:rFonts w:ascii="Calibri" w:hAnsi="Calibri"/>
                <w:color w:val="263238"/>
                <w:sz w:val="18"/>
              </w:rPr>
              <w:t xml:space="preserve">The environmental baseline of the Strait receives continuous measurement, and pollution response follows the polluter-pays principle under joint direction.</w:t>
            </w:r>
          </w:p>
        </w:tc>
      </w:tr>
      <w:tr>
        <w:tc>
          <w:tcPr>
            <w:tcW w:w="1200" w:type="dxa"/>
          </w:tcPr>
          <w:p>
            <w:pPr>
              <w:spacing w:after="20" w:line="264" w:lineRule="auto"/>
            </w:pPr>
            <w:r>
              <w:rPr>
                <w:rFonts w:ascii="Calibri" w:hAnsi="Calibri"/>
                <w:color w:val="263238"/>
                <w:sz w:val="18"/>
              </w:rPr>
              <w:t xml:space="preserve">IPR-19</w:t>
            </w:r>
          </w:p>
        </w:tc>
        <w:tc>
          <w:tcPr>
            <w:tcW w:w="8300" w:type="dxa"/>
          </w:tcPr>
          <w:p>
            <w:pPr>
              <w:spacing w:after="20" w:line="264" w:lineRule="auto"/>
            </w:pPr>
            <w:r>
              <w:rPr>
                <w:rFonts w:ascii="Calibri" w:hAnsi="Calibri"/>
                <w:color w:val="263238"/>
                <w:sz w:val="18"/>
              </w:rPr>
              <w:t xml:space="preserve">Every participant presents this Understanding to its own people in its own words. The architecture evaluates performance, never rhetoric.</w:t>
            </w:r>
          </w:p>
        </w:tc>
      </w:tr>
      <w:tr>
        <w:tc>
          <w:tcPr>
            <w:tcW w:w="1200" w:type="dxa"/>
          </w:tcPr>
          <w:p>
            <w:pPr>
              <w:spacing w:after="20" w:line="264" w:lineRule="auto"/>
            </w:pPr>
            <w:r>
              <w:rPr>
                <w:rFonts w:ascii="Calibri" w:hAnsi="Calibri"/>
                <w:color w:val="263238"/>
                <w:sz w:val="18"/>
              </w:rPr>
              <w:t xml:space="preserve">IPR-20</w:t>
            </w:r>
          </w:p>
        </w:tc>
        <w:tc>
          <w:tcPr>
            <w:tcW w:w="8300" w:type="dxa"/>
          </w:tcPr>
          <w:p>
            <w:pPr>
              <w:spacing w:after="20" w:line="264" w:lineRule="auto"/>
            </w:pPr>
            <w:r>
              <w:rPr>
                <w:rFonts w:ascii="Calibri" w:hAnsi="Calibri"/>
                <w:color w:val="263238"/>
                <w:sz w:val="18"/>
              </w:rPr>
              <w:t xml:space="preserve">The framework's revenue mechanisms fund services, development, and stewardship in visible balance between the two littorals, and no financial mechanism serves as a lever of political pressure.</w:t>
            </w:r>
          </w:p>
        </w:tc>
      </w:tr>
    </w:tbl>
    <w:p>
      <w:pPr>
        <w:spacing w:after="160"/>
      </w:pPr>
    </w:p>
    <w:p>
      <w:pPr>
        <w:jc w:val="both"/>
      </w:pPr>
      <w:r>
        <w:rPr/>
        <w:t xml:space="preserve">The architecture holds every line simultaneously, at all times, without exception, and the Standing Continuity Guarantee holds this Declaration as permanently as it holds every other word of this Understanding. Annex G carries the full operative text of each principle, the safeguard that enforces it, the organ that guards it, and the consequence that activates upon any approach to its boundary.</w:t>
      </w:r>
    </w:p>
    <w:tbl>
      <w:tblPr>
        <w:tblW w:w="5000" w:type="pct"/>
        <w:tblBorders>
          <w:top w:val="single" w:color="B08A3E" w:sz="6"/>
          <w:left w:val="single" w:color="B08A3E" w:sz="6"/>
          <w:bottom w:val="single" w:color="B08A3E" w:sz="6"/>
          <w:right w:val="single" w:color="B08A3E" w:sz="6"/>
          <w:insideH w:val="nil"/>
          <w:insideV w:val="nil"/>
        </w:tblBorders>
        <w:tblCellMar>
          <w:top w:w="140" w:type="dxa"/>
          <w:left w:w="200" w:type="dxa"/>
          <w:bottom w:w="140" w:type="dxa"/>
          <w:right w:w="200" w:type="dxa"/>
        </w:tblCellMar>
      </w:tblPr>
      <w:tblGrid>
        <w:gridCol w:w="9500"/>
      </w:tblGrid>
      <w:tr>
        <w:tc>
          <w:tcPr>
            <w:tcW w:w="9500" w:type="dxa"/>
            <w:shd w:val="clear" w:fill="F3F6F8"/>
          </w:tcPr>
          <w:p>
            <w:pPr>
              <w:jc w:val="both"/>
            </w:pPr>
            <w:r>
              <w:rPr>
                <w:b/>
              </w:rPr>
              <w:t xml:space="preserve">The measure of the system.</w:t>
            </w:r>
            <w:r>
              <w:rPr/>
              <w:t xml:space="preserve"> A negotiator who wishes to test any proposal against this Understanding asks one question: which of the twenty lines does the proposal touch, and does the corresponding safeguard permit the touch? If the answer names no line, the proposal proceeds. If the answer names a line and the safeguard permits the form, the proposal proceeds in that form. If the answer names a line and the safeguard permits no form, the proposal stops. This one-page test replaces a thousand pages of dispute.</w:t>
            </w:r>
          </w:p>
        </w:tc>
      </w:tr>
    </w:tbl>
    <w:p>
      <w:pPr>
        <w:spacing w:after="120"/>
      </w:pPr>
    </w:p>
    <w:p>
      <w:pPr>
        <w:pStyle w:val="Heading1"/>
        <w:pageBreakBefore/>
        <w:pBdr>
          <w:bottom w:val="single" w:color="B9C6CF" w:sz="6" w:space="4"/>
        </w:pBdr>
      </w:pPr>
      <w:bookmarkStart w:id="104" w:name="_Toc261100004"/>
      <w:r>
        <w:rPr>
          <w:rFonts w:ascii="Calibri" w:hAnsi="Calibri"/>
        </w:rPr>
        <w:t xml:space="preserve">Preamble: The Moment of August 2026</w:t>
      </w:r>
      <w:bookmarkEnd w:id="104"/>
    </w:p>
    <w:p>
      <w:pPr>
        <w:jc w:val="both"/>
      </w:pPr>
      <w:r>
        <w:rPr/>
        <w:t xml:space="preserve">The Islamic Republic of Iran and the Sultanate of Oman, together the Founding Parties, joined in this instrument by every Gulf littoral state that accedes under Article 43, and supported by the Mediator of Record, the Neutral Administrator, the facilitating states, and the Endorsing Stakeholders,</w:t>
      </w:r>
    </w:p>
    <w:p>
      <w:pPr>
        <w:jc w:val="both"/>
      </w:pPr>
      <w:r>
        <w:rPr/>
        <w:t xml:space="preserve">Recalling the crisis of 2026, in which the Strait of Hormuz became a theater of military confrontation, commercial transits fell from a pre-crisis norm of roughly ninety vessels per day to a fraction of that figure, war-risk insurance multiples rose several-fold, approximately twenty thousand mariners and hundreds of vessels lay stranded in and around the Gulf, and energy markets absorbed the largest supply shock in the history of the world oil market;</w:t>
      </w:r>
    </w:p>
    <w:p>
      <w:pPr>
        <w:jc w:val="both"/>
      </w:pPr>
      <w:r>
        <w:rPr/>
        <w:t xml:space="preserve">Recalling the Islamabad Memorandum of Understanding of June 2026, which declared the termination of military operations, opened a window toward comprehensive settlement, and tasked the Islamic Republic of Iran and the Sultanate of Oman with defining the future administration and maritime services of the Strait in discussion with the other Persian Gulf littoral states, in line with applicable international law and the sovereign rights of the coastal states;</w:t>
      </w:r>
    </w:p>
    <w:p>
      <w:pPr>
        <w:jc w:val="both"/>
      </w:pPr>
      <w:r>
        <w:rPr/>
        <w:t xml:space="preserve">Recalling further the interruption of that Memorandum in July 2026, in which divergent readings of a single ambiguous clause produced attacks on three commercial vessels, the resumption of strikes, and the reimposition of the naval blockade, demonstrating to every observer that ambiguity in a strait governance text costs lives, ships, and markets within days;</w:t>
      </w:r>
    </w:p>
    <w:p>
      <w:pPr>
        <w:jc w:val="both"/>
      </w:pPr>
      <w:r>
        <w:rPr/>
        <w:t xml:space="preserve">Recalling United Nations Security Council Resolution 2817 of 11 March 2026, presented by the Kingdom of Bahrain on behalf of the Gulf Cooperation Council states and Jordan and supported by one hundred thirty-six states, which affirmed that any attempt to impede lawful transit passage or freedom of navigation in the Strait of Hormuz constitutes a threat to international peace and security;</w:t>
      </w:r>
    </w:p>
    <w:p>
      <w:pPr>
        <w:jc w:val="both"/>
      </w:pPr>
      <w:r>
        <w:rPr/>
        <w:t xml:space="preserve">Noting the Omani regional mechanism proposal of 28 July 2026, carried to Tehran with Gulf backing, which advances a joint regional management mechanism for the Strait funded through voluntary contributions on the model of the cooperative mechanism of the Strait of Malacca, and under which no single state exercises sole control of the waterway;</w:t>
      </w:r>
    </w:p>
    <w:p>
      <w:pPr>
        <w:jc w:val="both"/>
      </w:pPr>
      <w:r>
        <w:rPr/>
        <w:t xml:space="preserve">Noting further the technical understandings reached between Tehran and Muscat in July and August 2026, in which the two coastal states agreed the geographical coordinates of new shipping lanes, aligned the entry and exit points of maritime traffic, and shaped a corridor model in which inbound traffic routes through the northern waters, outbound traffic routes through the southern waters, and a central safety separation stands between them;</w:t>
      </w:r>
    </w:p>
    <w:p>
      <w:pPr>
        <w:jc w:val="both"/>
      </w:pPr>
      <w:r>
        <w:rPr/>
        <w:t xml:space="preserve">Noting further that the corridor geometry stands technically complete while the governance mechanism stands unfinished, and that four components remain open in the public record of the negotiations: the allocation of security functions, the fee and revenue framework, the reopening and activation mechanism, and multilateral acceptance;</w:t>
      </w:r>
    </w:p>
    <w:p>
      <w:pPr>
        <w:jc w:val="both"/>
      </w:pPr>
      <w:r>
        <w:rPr/>
        <w:t xml:space="preserve">Noting further the standing offer of the French Republic and the United Kingdom, joined by more than forty states, to field a strictly defensive multinational maritime mission for the protection of merchant vessels, the reassurance of commercial operators, and the conduct of mine clearance as conditions permit, an offer this Understanding converts into a defined, civilian-supervised certification function rather than a parallel command;</w:t>
      </w:r>
    </w:p>
    <w:p>
      <w:pPr>
        <w:jc w:val="both"/>
      </w:pPr>
      <w:r>
        <w:rPr/>
        <w:t xml:space="preserve">Acknowledging the position of the United States of America that passage through the Strait carries no toll, that no single coastal state controls the waterway, that governance carries multilateral oversight and published coordinates, and that any financial mechanism remains compatible with the sanctions laws of the endorsing states;</w:t>
      </w:r>
    </w:p>
    <w:p>
      <w:pPr>
        <w:jc w:val="both"/>
      </w:pPr>
      <w:r>
        <w:rPr/>
        <w:t xml:space="preserve">Acknowledging the position of the Islamic Republic of Iran that its role in the management of its own waters receives formal recognition, that its services receive lawful compensation, that its people receive visible development benefit, and that no instrument of this architecture serves as a vehicle for foreign command over Iranian waters;</w:t>
      </w:r>
    </w:p>
    <w:p>
      <w:pPr>
        <w:jc w:val="both"/>
      </w:pPr>
      <w:r>
        <w:rPr/>
        <w:t xml:space="preserve">Acknowledging the position of the Sultanate of Oman that neutrality, joint management, and transparent procedure form the only durable basis for the governance of a waterway shared by two sovereigns and used by the entire world;</w:t>
      </w:r>
    </w:p>
    <w:p>
      <w:pPr>
        <w:jc w:val="both"/>
      </w:pPr>
      <w:r>
        <w:rPr/>
        <w:t xml:space="preserve">Acknowledging the positions of the Gulf Cooperation Council states, of the European states and their maritime safety bodies, and of the international shipping and insurance industries, each of which seeks transparency, predictability, environmental protection, and freedom from unilateral interdiction;</w:t>
      </w:r>
    </w:p>
    <w:p>
      <w:pPr>
        <w:jc w:val="both"/>
      </w:pPr>
      <w:r>
        <w:rPr/>
        <w:t xml:space="preserve">Affirming that each Party's participation in this Understanding is an exercise of sovereignty, not a delegation of sovereignty, and that the functions this instrument allocates attach to services and never to sovereign title;</w:t>
      </w:r>
    </w:p>
    <w:p>
      <w:pPr>
        <w:jc w:val="both"/>
      </w:pPr>
      <w:r>
        <w:rPr/>
        <w:t xml:space="preserve">Affirming further that the strength of this architecture lies in its indifference to rhetoric: it measures performance, banks verified compliance, and reverses every consequence, so that no incident, no speech, and no election in any capital collapses the system;</w:t>
      </w:r>
    </w:p>
    <w:p>
      <w:pPr>
        <w:jc w:val="both"/>
      </w:pPr>
      <w:r>
        <w:rPr/>
        <w:t xml:space="preserve">The Founding Parties agree as follows.</w:t>
      </w:r>
    </w:p>
    <w:p>
      <w:pPr>
        <w:pStyle w:val="Heading1"/>
        <w:pageBreakBefore/>
        <w:pBdr>
          <w:bottom w:val="single" w:color="B9C6CF" w:sz="6" w:space="4"/>
        </w:pBdr>
      </w:pPr>
      <w:bookmarkStart w:id="105" w:name="_Toc261100005"/>
      <w:r>
        <w:rPr>
          <w:rFonts w:ascii="Calibri" w:hAnsi="Calibri"/>
        </w:rPr>
        <w:t xml:space="preserve">Part I: Foundations and Operating Principles</w:t>
      </w:r>
      <w:bookmarkEnd w:id="105"/>
    </w:p>
    <w:p>
      <w:pPr>
        <w:pStyle w:val="Heading2"/>
      </w:pPr>
      <w:bookmarkStart w:id="106" w:name="_Toc261100006"/>
      <w:r>
        <w:rPr>
          <w:rFonts w:ascii="Calibri" w:hAnsi="Calibri"/>
        </w:rPr>
        <w:t xml:space="preserve">Article 1: Purpose and Scope</w:t>
      </w:r>
      <w:bookmarkEnd w:id="106"/>
    </w:p>
    <w:p>
      <w:pPr>
        <w:jc w:val="both"/>
      </w:pPr>
      <w:r>
        <w:rPr/>
        <w:t xml:space="preserve">1.1 Purpose. The Parties establish the Hormuz Multilateral Peace Understanding as the standing governance architecture for navigation, safety, environmental protection, and cooperative maritime services in the Strait of Hormuz. The Understanding converts the corridor geometry agreed between Tehran and Muscat into a complete, financed, verified, and self-sustaining operating system, and it closes the four open components of the public negotiating record: security functions, the fee framework, the activation mechanism, and multilateral acceptance.</w:t>
      </w:r>
    </w:p>
    <w:p>
      <w:pPr>
        <w:jc w:val="both"/>
      </w:pPr>
      <w:r>
        <w:rPr/>
        <w:t xml:space="preserve">1.2 Geographic scope. This Understanding applies to the Governance Area defined in Article 7 and registered in Annex A: the waters and superjacent airspace of the Strait of Hormuz between the entry lines in the Gulf of Oman and the exit lines inside the Persian Gulf, together with the designated inshore traffic bands. The Governance Area includes the territorial waters of both Founding Parties within that polygon, and nothing in this Understanding alters the sovereignty of either Party over its own waters.</w:t>
      </w:r>
    </w:p>
    <w:p>
      <w:pPr>
        <w:jc w:val="both"/>
      </w:pPr>
      <w:r>
        <w:rPr/>
        <w:t xml:space="preserve">1.3 Functional scope. This Understanding governs: (a) the geometry, marking, and publication of the three corridors; (b) the classification of vessels and the treatment each class receives; (c) the notification and acknowledgment protocol for the Northern Corridor; (d) the flow states of the system and the transitions among them; (e) the allocation of security and safety functions and the Twin Key rule that governs them; (f) the monitoring architecture, including the fused radar and automatic identification system picture; (g) the environmental baseline and pollution response; (h) the financial architecture, including the Zero-Toll Rule, the Verified Services Catalog, the Voluntary Contribution Facility, and the Sanctions-Compliance Firewall; (i) verification, compliance, and the Good Behavior Escalator; (j) activation, transition, and the Stability Audit; (k) dispute resolution; and (l) continuity, accession, and amendment.</w:t>
      </w:r>
    </w:p>
    <w:p>
      <w:pPr>
        <w:jc w:val="both"/>
      </w:pPr>
      <w:r>
        <w:rPr/>
        <w:t xml:space="preserve">1.4 Exclusions. This Understanding does not address: (a) the nuclear file of any state; (b) the military balance of the region outside the Governance Area; (c) the resolution of any maritime boundary dispute; (d) sanctions policy as such, except insofar as the Sanctions-Compliance Firewall insulates the financial mechanics of this instrument; and (e) any question of sovereignty. The architecture separates the management of the waterway from every other file, and that separation constitutes one of its core safeguards.</w:t>
      </w:r>
    </w:p>
    <w:p>
      <w:pPr>
        <w:jc w:val="both"/>
      </w:pPr>
      <w:r>
        <w:rPr/>
        <w:t xml:space="preserve">1.5 Relation to other instruments. This Understanding implements the maritime administration provisions of the Islamabad Memorandum of Understanding without restating them. Where the Memorandum and this Understanding diverge in wording, this Understanding governs the administration of the Strait, because the Parties draft this instrument precisely to remove the ambiguity that interrupted the Memorandum in July 2026. This Understanding supersedes every provisional wartime routing arrangement upon activation, and it supersedes no other treaty obligation of any Party.</w:t>
      </w:r>
    </w:p>
    <w:p>
      <w:pPr>
        <w:pStyle w:val="Heading2"/>
      </w:pPr>
      <w:bookmarkStart w:id="107" w:name="_Toc261100007"/>
      <w:r>
        <w:rPr>
          <w:rFonts w:ascii="Calibri" w:hAnsi="Calibri"/>
        </w:rPr>
        <w:t xml:space="preserve">Article 2: Definitions and Interpretation</w:t>
      </w:r>
      <w:bookmarkEnd w:id="107"/>
    </w:p>
    <w:p>
      <w:pPr>
        <w:jc w:val="both"/>
      </w:pPr>
      <w:r>
        <w:rPr/>
        <w:t xml:space="preserve">2.1 Definitions. In this Understanding, the following terms carry the following meanings, and Annex N carries the complete glossary:</w:t>
      </w:r>
    </w:p>
    <w:p>
      <w:pPr>
        <w:ind w:left="480" w:hanging="240"/>
        <w:jc w:val="both"/>
      </w:pPr>
      <w:r>
        <w:rPr>
          <w:color w:val="2E4A62"/>
        </w:rPr>
        <w:t>•  </w:t>
      </w:r>
      <w:r>
        <w:rPr>
          <w:b/>
        </w:rPr>
        <w:t xml:space="preserve">Corridor</w:t>
      </w:r>
      <w:r>
        <w:rPr/>
        <w:t xml:space="preserve"> means one of the three navigation channels defined in Article 8: the Northern Inbound Corridor, the Southern Outbound Corridor, or the Central Assurance Corridor.</w:t>
      </w:r>
    </w:p>
    <w:p>
      <w:pPr>
        <w:ind w:left="480" w:hanging="240"/>
        <w:jc w:val="both"/>
      </w:pPr>
      <w:r>
        <w:rPr>
          <w:color w:val="2E4A62"/>
        </w:rPr>
        <w:t>•  </w:t>
      </w:r>
      <w:r>
        <w:rPr>
          <w:b/>
        </w:rPr>
        <w:t xml:space="preserve">Governance Area</w:t>
      </w:r>
      <w:r>
        <w:rPr/>
        <w:t xml:space="preserve"> means the polygon of waters and superjacent airspace registered in Annex A.</w:t>
      </w:r>
    </w:p>
    <w:p>
      <w:pPr>
        <w:ind w:left="480" w:hanging="240"/>
        <w:jc w:val="both"/>
      </w:pPr>
      <w:r>
        <w:rPr>
          <w:color w:val="2E4A62"/>
        </w:rPr>
        <w:t>•  </w:t>
      </w:r>
      <w:r>
        <w:rPr>
          <w:b/>
        </w:rPr>
        <w:t xml:space="preserve">Transit</w:t>
      </w:r>
      <w:r>
        <w:rPr/>
        <w:t xml:space="preserve"> means the continuous, expeditious passage of a vessel through the Governance Area in the ordinary mode of navigation, including entry and exit.</w:t>
      </w:r>
    </w:p>
    <w:p>
      <w:pPr>
        <w:ind w:left="480" w:hanging="240"/>
        <w:jc w:val="both"/>
      </w:pPr>
      <w:r>
        <w:rPr>
          <w:color w:val="2E4A62"/>
        </w:rPr>
        <w:t>•  </w:t>
      </w:r>
      <w:r>
        <w:rPr>
          <w:b/>
        </w:rPr>
        <w:t xml:space="preserve">Service</w:t>
      </w:r>
      <w:r>
        <w:rPr/>
        <w:t xml:space="preserve"> means a specific, verifiable activity listed in the Verified Services Catalog of Annex B, performed by a Party or by the Authority for the benefit of navigation, safety, or the environment.</w:t>
      </w:r>
    </w:p>
    <w:p>
      <w:pPr>
        <w:ind w:left="480" w:hanging="240"/>
        <w:jc w:val="both"/>
      </w:pPr>
      <w:r>
        <w:rPr>
          <w:color w:val="2E4A62"/>
        </w:rPr>
        <w:t>•  </w:t>
      </w:r>
      <w:r>
        <w:rPr>
          <w:b/>
        </w:rPr>
        <w:t xml:space="preserve">Charge</w:t>
      </w:r>
      <w:r>
        <w:rPr/>
        <w:t xml:space="preserve"> means any demand for payment, in money or in kind, directed at a vessel, its owner, its operator, its charterer, its insurer, or its flag state, in connection with passage.</w:t>
      </w:r>
    </w:p>
    <w:p>
      <w:pPr>
        <w:ind w:left="480" w:hanging="240"/>
        <w:jc w:val="both"/>
      </w:pPr>
      <w:r>
        <w:rPr>
          <w:color w:val="2E4A62"/>
        </w:rPr>
        <w:t>•  </w:t>
      </w:r>
      <w:r>
        <w:rPr>
          <w:b/>
        </w:rPr>
        <w:t xml:space="preserve">Contribution</w:t>
      </w:r>
      <w:r>
        <w:rPr/>
        <w:t xml:space="preserve"> means a voluntary payment into the Voluntary Contribution Facility under Article 27, made by a shipping industry participant or a user state, and never a condition of passage.</w:t>
      </w:r>
    </w:p>
    <w:p>
      <w:pPr>
        <w:ind w:left="480" w:hanging="240"/>
        <w:jc w:val="both"/>
      </w:pPr>
      <w:r>
        <w:rPr>
          <w:color w:val="2E4A62"/>
        </w:rPr>
        <w:t>•  </w:t>
      </w:r>
      <w:r>
        <w:rPr>
          <w:b/>
        </w:rPr>
        <w:t xml:space="preserve">Functional administration</w:t>
      </w:r>
      <w:r>
        <w:rPr/>
        <w:t xml:space="preserve"> means the performance of a defined set of operational tasks within a corridor, under the Twin Key rule, without any implication for sovereignty.</w:t>
      </w:r>
    </w:p>
    <w:p>
      <w:pPr>
        <w:ind w:left="480" w:hanging="240"/>
        <w:jc w:val="both"/>
      </w:pPr>
      <w:r>
        <w:rPr>
          <w:color w:val="2E4A62"/>
        </w:rPr>
        <w:t>•  </w:t>
      </w:r>
      <w:r>
        <w:rPr>
          <w:b/>
        </w:rPr>
        <w:t xml:space="preserve">Twin Key</w:t>
      </w:r>
      <w:r>
        <w:rPr/>
        <w:t xml:space="preserve"> means the dual-concurrence rule of Article 14, under which no consequential action proceeds on the authority of one state alone.</w:t>
      </w:r>
    </w:p>
    <w:p>
      <w:pPr>
        <w:ind w:left="480" w:hanging="240"/>
        <w:jc w:val="both"/>
      </w:pPr>
      <w:r>
        <w:rPr>
          <w:color w:val="2E4A62"/>
        </w:rPr>
        <w:t>•  </w:t>
      </w:r>
      <w:r>
        <w:rPr>
          <w:b/>
        </w:rPr>
        <w:t xml:space="preserve">Flow state</w:t>
      </w:r>
      <w:r>
        <w:rPr/>
        <w:t xml:space="preserve"> means one of the three operating states of Article 11: Free Flow, Managed Flow, or Suspended Flow.</w:t>
      </w:r>
    </w:p>
    <w:p>
      <w:pPr>
        <w:ind w:left="480" w:hanging="240"/>
        <w:jc w:val="both"/>
      </w:pPr>
      <w:r>
        <w:rPr>
          <w:color w:val="2E4A62"/>
        </w:rPr>
        <w:t>•  </w:t>
      </w:r>
      <w:r>
        <w:rPr>
          <w:b/>
        </w:rPr>
        <w:t xml:space="preserve">Clean week</w:t>
      </w:r>
      <w:r>
        <w:rPr/>
        <w:t xml:space="preserve"> means a week certified under Annex H in which no Tier 2 or Tier 3 event attaches to a Party's performance record.</w:t>
      </w:r>
    </w:p>
    <w:p>
      <w:pPr>
        <w:ind w:left="480" w:hanging="240"/>
        <w:jc w:val="both"/>
      </w:pPr>
      <w:r>
        <w:rPr>
          <w:color w:val="2E4A62"/>
        </w:rPr>
        <w:t>•  </w:t>
      </w:r>
      <w:r>
        <w:rPr>
          <w:b/>
        </w:rPr>
        <w:t xml:space="preserve">Functional share</w:t>
      </w:r>
      <w:r>
        <w:rPr/>
        <w:t xml:space="preserve"> means the percentage of the corridor function set that a Party performs under the Good Behavior Escalator of Article 34, measured and banked under Annex H.</w:t>
      </w:r>
    </w:p>
    <w:p>
      <w:pPr>
        <w:ind w:left="480" w:hanging="240"/>
        <w:jc w:val="both"/>
      </w:pPr>
      <w:r>
        <w:rPr>
          <w:color w:val="2E4A62"/>
        </w:rPr>
        <w:t>•  </w:t>
      </w:r>
      <w:r>
        <w:rPr>
          <w:b/>
        </w:rPr>
        <w:t xml:space="preserve">Endorsing Stakeholder</w:t>
      </w:r>
      <w:r>
        <w:rPr/>
        <w:t xml:space="preserve"> means a state or coalition admitted under Article 24 that endorses this Understanding, receives monitoring access and deconfliction channels, and holds no command, veto, or enforcement role.</w:t>
      </w:r>
    </w:p>
    <w:p>
      <w:pPr>
        <w:ind w:left="480" w:hanging="240"/>
        <w:jc w:val="both"/>
      </w:pPr>
      <w:r>
        <w:rPr>
          <w:color w:val="2E4A62"/>
        </w:rPr>
        <w:t>•  </w:t>
      </w:r>
      <w:r>
        <w:rPr>
          <w:b/>
        </w:rPr>
        <w:t xml:space="preserve">Neutral Administrator</w:t>
      </w:r>
      <w:r>
        <w:rPr/>
        <w:t xml:space="preserve"> means the Swiss Confederation, acting through the entity it designates, as the administrator of every payment flow under this Understanding.</w:t>
      </w:r>
    </w:p>
    <w:p>
      <w:pPr>
        <w:jc w:val="both"/>
      </w:pPr>
      <w:r>
        <w:rPr/>
        <w:t xml:space="preserve">2.2 Interpretation rules. (a) The Articles and the Annexes form one instrument; a conflict between an Article and an Annex resolves in favor of the Article, and the Parties correct the Annex at the next Technical Standards Committee session. (b) Headings serve navigation only. (c) The singular includes the plural. (d) A reference to a day means a calendar day, and a reference to a week means seven consecutive days measured from a Monday at 00:00 Gulf Standard Time. (e) Every time reference uses Gulf Standard Time unless the text states otherwise. (f) Where this Understanding states a trigger, the trigger executes automatically as stated, without further instrument, decision, or signature.</w:t>
      </w:r>
    </w:p>
    <w:p>
      <w:pPr>
        <w:jc w:val="both"/>
      </w:pPr>
      <w:r>
        <w:rPr/>
        <w:t xml:space="preserve">2.3 The plain-reading rule. Every officer, operator, and adjudicator applies the plain meaning of this text. The drafting deliberately avoids legal terms of art wherever a plain word exists. Where two readings remain after the application of every interpretation rule, the reading that serves the Inviolable Principles prevails, and the reading that produces the lower risk to life, commerce, and the environment prevails between the remainder.</w:t>
      </w:r>
    </w:p>
    <w:p>
      <w:pPr>
        <w:pStyle w:val="Heading2"/>
      </w:pPr>
      <w:bookmarkStart w:id="108" w:name="_Toc261100008"/>
      <w:r>
        <w:rPr>
          <w:rFonts w:ascii="Calibri" w:hAnsi="Calibri"/>
        </w:rPr>
        <w:t xml:space="preserve">Article 3: Core Operating Principles</w:t>
      </w:r>
      <w:bookmarkEnd w:id="108"/>
    </w:p>
    <w:p>
      <w:pPr>
        <w:jc w:val="both"/>
      </w:pPr>
      <w:r>
        <w:rPr/>
        <w:t xml:space="preserve">3.1 The twelve principles. Twelve principles govern the interpretation and operation of every Article and Annex, and the Inviolable Principles Register of Annex G states the untouchable subset of these in full operative form. In every reading of this Understanding, the reading that serves these principles prevails.</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2600"/>
        <w:gridCol w:w="6900"/>
      </w:tblGrid>
      <w:tr>
        <w:trPr>
          <w:tblHeader/>
        </w:trPr>
        <w:tc>
          <w:tcPr>
            <w:tcW w:w="2600" w:type="dxa"/>
            <w:shd w:val="clear" w:fill="E8EDF1"/>
          </w:tcPr>
          <w:p>
            <w:pPr>
              <w:spacing w:after="20" w:line="264" w:lineRule="auto"/>
            </w:pPr>
            <w:r>
              <w:rPr>
                <w:rFonts w:ascii="Calibri" w:hAnsi="Calibri"/>
                <w:b/>
                <w:color w:val="2E4A62"/>
                <w:sz w:val="18"/>
              </w:rPr>
              <w:t xml:space="preserve">Principle</w:t>
            </w:r>
          </w:p>
        </w:tc>
        <w:tc>
          <w:tcPr>
            <w:tcW w:w="6900" w:type="dxa"/>
            <w:shd w:val="clear" w:fill="E8EDF1"/>
          </w:tcPr>
          <w:p>
            <w:pPr>
              <w:spacing w:after="20" w:line="264" w:lineRule="auto"/>
            </w:pPr>
            <w:r>
              <w:rPr>
                <w:rFonts w:ascii="Calibri" w:hAnsi="Calibri"/>
                <w:b/>
                <w:color w:val="2E4A62"/>
                <w:sz w:val="18"/>
              </w:rPr>
              <w:t xml:space="preserve">Operative meaning</w:t>
            </w:r>
          </w:p>
        </w:tc>
      </w:tr>
      <w:tr>
        <w:tc>
          <w:tcPr>
            <w:tcW w:w="2600" w:type="dxa"/>
          </w:tcPr>
          <w:p>
            <w:pPr>
              <w:spacing w:after="20" w:line="264" w:lineRule="auto"/>
            </w:pPr>
            <w:r>
              <w:rPr>
                <w:rFonts w:ascii="Calibri" w:hAnsi="Calibri"/>
                <w:color w:val="263238"/>
                <w:sz w:val="18"/>
              </w:rPr>
              <w:t xml:space="preserve">Continuity</w:t>
            </w:r>
          </w:p>
        </w:tc>
        <w:tc>
          <w:tcPr>
            <w:tcW w:w="6900" w:type="dxa"/>
          </w:tcPr>
          <w:p>
            <w:pPr>
              <w:spacing w:after="20" w:line="264" w:lineRule="auto"/>
            </w:pPr>
            <w:r>
              <w:rPr>
                <w:rFonts w:ascii="Calibri" w:hAnsi="Calibri"/>
                <w:color w:val="263238"/>
                <w:sz w:val="18"/>
              </w:rPr>
              <w:t xml:space="preserve">Nothing fades, lapses, or dissolves by time alone. Verified performance banks permanently. This principle stands first among equals.</w:t>
            </w:r>
          </w:p>
        </w:tc>
      </w:tr>
      <w:tr>
        <w:tc>
          <w:tcPr>
            <w:tcW w:w="2600" w:type="dxa"/>
          </w:tcPr>
          <w:p>
            <w:pPr>
              <w:spacing w:after="20" w:line="264" w:lineRule="auto"/>
            </w:pPr>
            <w:r>
              <w:rPr>
                <w:rFonts w:ascii="Calibri" w:hAnsi="Calibri"/>
                <w:color w:val="263238"/>
                <w:sz w:val="18"/>
              </w:rPr>
              <w:t xml:space="preserve">Functions, not sovereignty</w:t>
            </w:r>
          </w:p>
        </w:tc>
        <w:tc>
          <w:tcPr>
            <w:tcW w:w="6900" w:type="dxa"/>
          </w:tcPr>
          <w:p>
            <w:pPr>
              <w:spacing w:after="20" w:line="264" w:lineRule="auto"/>
            </w:pPr>
            <w:r>
              <w:rPr>
                <w:rFonts w:ascii="Calibri" w:hAnsi="Calibri"/>
                <w:color w:val="263238"/>
                <w:sz w:val="18"/>
              </w:rPr>
              <w:t xml:space="preserve">The architecture allocates tasks, never title. Iran and Oman perform services; neither acquires or loses sovereignty by one inch.</w:t>
            </w:r>
          </w:p>
        </w:tc>
      </w:tr>
      <w:tr>
        <w:tc>
          <w:tcPr>
            <w:tcW w:w="2600" w:type="dxa"/>
          </w:tcPr>
          <w:p>
            <w:pPr>
              <w:spacing w:after="20" w:line="264" w:lineRule="auto"/>
            </w:pPr>
            <w:r>
              <w:rPr>
                <w:rFonts w:ascii="Calibri" w:hAnsi="Calibri"/>
                <w:color w:val="263238"/>
                <w:sz w:val="18"/>
              </w:rPr>
              <w:t xml:space="preserve">Twin Key</w:t>
            </w:r>
          </w:p>
        </w:tc>
        <w:tc>
          <w:tcPr>
            <w:tcW w:w="6900" w:type="dxa"/>
          </w:tcPr>
          <w:p>
            <w:pPr>
              <w:spacing w:after="20" w:line="264" w:lineRule="auto"/>
            </w:pPr>
            <w:r>
              <w:rPr>
                <w:rFonts w:ascii="Calibri" w:hAnsi="Calibri"/>
                <w:color w:val="263238"/>
                <w:sz w:val="18"/>
              </w:rPr>
              <w:t xml:space="preserve">No consequential action proceeds on one signature. Every consequential action carries two concurring keys.</w:t>
            </w:r>
          </w:p>
        </w:tc>
      </w:tr>
      <w:tr>
        <w:tc>
          <w:tcPr>
            <w:tcW w:w="2600" w:type="dxa"/>
          </w:tcPr>
          <w:p>
            <w:pPr>
              <w:spacing w:after="20" w:line="264" w:lineRule="auto"/>
            </w:pPr>
            <w:r>
              <w:rPr>
                <w:rFonts w:ascii="Calibri" w:hAnsi="Calibri"/>
                <w:color w:val="263238"/>
                <w:sz w:val="18"/>
              </w:rPr>
              <w:t xml:space="preserve">Zero toll</w:t>
            </w:r>
          </w:p>
        </w:tc>
        <w:tc>
          <w:tcPr>
            <w:tcW w:w="6900" w:type="dxa"/>
          </w:tcPr>
          <w:p>
            <w:pPr>
              <w:spacing w:after="20" w:line="264" w:lineRule="auto"/>
            </w:pPr>
            <w:r>
              <w:rPr>
                <w:rFonts w:ascii="Calibri" w:hAnsi="Calibri"/>
                <w:color w:val="263238"/>
                <w:sz w:val="18"/>
              </w:rPr>
              <w:t xml:space="preserve">Passage is free. Services carry published, cost-based, audited compensation through neutral channels.</w:t>
            </w:r>
          </w:p>
        </w:tc>
      </w:tr>
      <w:tr>
        <w:tc>
          <w:tcPr>
            <w:tcW w:w="2600" w:type="dxa"/>
          </w:tcPr>
          <w:p>
            <w:pPr>
              <w:spacing w:after="20" w:line="264" w:lineRule="auto"/>
            </w:pPr>
            <w:r>
              <w:rPr>
                <w:rFonts w:ascii="Calibri" w:hAnsi="Calibri"/>
                <w:color w:val="263238"/>
                <w:sz w:val="18"/>
              </w:rPr>
              <w:t xml:space="preserve">Civilian character</w:t>
            </w:r>
          </w:p>
        </w:tc>
        <w:tc>
          <w:tcPr>
            <w:tcW w:w="6900" w:type="dxa"/>
          </w:tcPr>
          <w:p>
            <w:pPr>
              <w:spacing w:after="20" w:line="264" w:lineRule="auto"/>
            </w:pPr>
            <w:r>
              <w:rPr>
                <w:rFonts w:ascii="Calibri" w:hAnsi="Calibri"/>
                <w:color w:val="263238"/>
                <w:sz w:val="18"/>
              </w:rPr>
              <w:t xml:space="preserve">Every operational body is civilian. Military liaison flows through dedicated channels only.</w:t>
            </w:r>
          </w:p>
        </w:tc>
      </w:tr>
      <w:tr>
        <w:tc>
          <w:tcPr>
            <w:tcW w:w="2600" w:type="dxa"/>
          </w:tcPr>
          <w:p>
            <w:pPr>
              <w:spacing w:after="20" w:line="264" w:lineRule="auto"/>
            </w:pPr>
            <w:r>
              <w:rPr>
                <w:rFonts w:ascii="Calibri" w:hAnsi="Calibri"/>
                <w:color w:val="263238"/>
                <w:sz w:val="18"/>
              </w:rPr>
              <w:t xml:space="preserve">Human anchor</w:t>
            </w:r>
          </w:p>
        </w:tc>
        <w:tc>
          <w:tcPr>
            <w:tcW w:w="6900" w:type="dxa"/>
          </w:tcPr>
          <w:p>
            <w:pPr>
              <w:spacing w:after="20" w:line="264" w:lineRule="auto"/>
            </w:pPr>
            <w:r>
              <w:rPr>
                <w:rFonts w:ascii="Calibri" w:hAnsi="Calibri"/>
                <w:color w:val="263238"/>
                <w:sz w:val="18"/>
              </w:rPr>
              <w:t xml:space="preserve">People verify. Sensors inform; named humans certify.</w:t>
            </w:r>
          </w:p>
        </w:tc>
      </w:tr>
      <w:tr>
        <w:tc>
          <w:tcPr>
            <w:tcW w:w="2600" w:type="dxa"/>
          </w:tcPr>
          <w:p>
            <w:pPr>
              <w:spacing w:after="20" w:line="264" w:lineRule="auto"/>
            </w:pPr>
            <w:r>
              <w:rPr>
                <w:rFonts w:ascii="Calibri" w:hAnsi="Calibri"/>
                <w:color w:val="263238"/>
                <w:sz w:val="18"/>
              </w:rPr>
              <w:t xml:space="preserve">Convergence</w:t>
            </w:r>
          </w:p>
        </w:tc>
        <w:tc>
          <w:tcPr>
            <w:tcW w:w="6900" w:type="dxa"/>
          </w:tcPr>
          <w:p>
            <w:pPr>
              <w:spacing w:after="20" w:line="264" w:lineRule="auto"/>
            </w:pPr>
            <w:r>
              <w:rPr>
                <w:rFonts w:ascii="Calibri" w:hAnsi="Calibri"/>
                <w:color w:val="263238"/>
                <w:sz w:val="18"/>
              </w:rPr>
              <w:t xml:space="preserve">No finding rests on one input. Two independent inputs converge before any consequence.</w:t>
            </w:r>
          </w:p>
        </w:tc>
      </w:tr>
      <w:tr>
        <w:tc>
          <w:tcPr>
            <w:tcW w:w="2600" w:type="dxa"/>
          </w:tcPr>
          <w:p>
            <w:pPr>
              <w:spacing w:after="20" w:line="264" w:lineRule="auto"/>
            </w:pPr>
            <w:r>
              <w:rPr>
                <w:rFonts w:ascii="Calibri" w:hAnsi="Calibri"/>
                <w:color w:val="263238"/>
                <w:sz w:val="18"/>
              </w:rPr>
              <w:t xml:space="preserve">Reversibility</w:t>
            </w:r>
          </w:p>
        </w:tc>
        <w:tc>
          <w:tcPr>
            <w:tcW w:w="6900" w:type="dxa"/>
          </w:tcPr>
          <w:p>
            <w:pPr>
              <w:spacing w:after="20" w:line="264" w:lineRule="auto"/>
            </w:pPr>
            <w:r>
              <w:rPr>
                <w:rFonts w:ascii="Calibri" w:hAnsi="Calibri"/>
                <w:color w:val="263238"/>
                <w:sz w:val="18"/>
              </w:rPr>
              <w:t xml:space="preserve">Every consequence reverses. Earn-back activates automatically on verified compliance, without admission of fault.</w:t>
            </w:r>
          </w:p>
        </w:tc>
      </w:tr>
      <w:tr>
        <w:tc>
          <w:tcPr>
            <w:tcW w:w="2600" w:type="dxa"/>
          </w:tcPr>
          <w:p>
            <w:pPr>
              <w:spacing w:after="20" w:line="264" w:lineRule="auto"/>
            </w:pPr>
            <w:r>
              <w:rPr>
                <w:rFonts w:ascii="Calibri" w:hAnsi="Calibri"/>
                <w:color w:val="263238"/>
                <w:sz w:val="18"/>
              </w:rPr>
              <w:t xml:space="preserve">Positive-sum incentive</w:t>
            </w:r>
          </w:p>
        </w:tc>
        <w:tc>
          <w:tcPr>
            <w:tcW w:w="6900" w:type="dxa"/>
          </w:tcPr>
          <w:p>
            <w:pPr>
              <w:spacing w:after="20" w:line="264" w:lineRule="auto"/>
            </w:pPr>
            <w:r>
              <w:rPr>
                <w:rFonts w:ascii="Calibri" w:hAnsi="Calibri"/>
                <w:color w:val="263238"/>
                <w:sz w:val="18"/>
              </w:rPr>
              <w:t xml:space="preserve">Cooperation earns expanded function. The architecture rewards performance rather than threatening punishment.</w:t>
            </w:r>
          </w:p>
        </w:tc>
      </w:tr>
      <w:tr>
        <w:tc>
          <w:tcPr>
            <w:tcW w:w="2600" w:type="dxa"/>
          </w:tcPr>
          <w:p>
            <w:pPr>
              <w:spacing w:after="20" w:line="264" w:lineRule="auto"/>
            </w:pPr>
            <w:r>
              <w:rPr>
                <w:rFonts w:ascii="Calibri" w:hAnsi="Calibri"/>
                <w:color w:val="263238"/>
                <w:sz w:val="18"/>
              </w:rPr>
              <w:t xml:space="preserve">Synchronization</w:t>
            </w:r>
          </w:p>
        </w:tc>
        <w:tc>
          <w:tcPr>
            <w:tcW w:w="6900" w:type="dxa"/>
          </w:tcPr>
          <w:p>
            <w:pPr>
              <w:spacing w:after="20" w:line="264" w:lineRule="auto"/>
            </w:pPr>
            <w:r>
              <w:rPr>
                <w:rFonts w:ascii="Calibri" w:hAnsi="Calibri"/>
                <w:color w:val="263238"/>
                <w:sz w:val="18"/>
              </w:rPr>
              <w:t xml:space="preserve">Interdependent steps execute as one event. The system removes the who-moves-first problem by design.</w:t>
            </w:r>
          </w:p>
        </w:tc>
      </w:tr>
      <w:tr>
        <w:tc>
          <w:tcPr>
            <w:tcW w:w="2600" w:type="dxa"/>
          </w:tcPr>
          <w:p>
            <w:pPr>
              <w:spacing w:after="20" w:line="264" w:lineRule="auto"/>
            </w:pPr>
            <w:r>
              <w:rPr>
                <w:rFonts w:ascii="Calibri" w:hAnsi="Calibri"/>
                <w:color w:val="263238"/>
                <w:sz w:val="18"/>
              </w:rPr>
              <w:t xml:space="preserve">Transparency</w:t>
            </w:r>
          </w:p>
        </w:tc>
        <w:tc>
          <w:tcPr>
            <w:tcW w:w="6900" w:type="dxa"/>
          </w:tcPr>
          <w:p>
            <w:pPr>
              <w:spacing w:after="20" w:line="264" w:lineRule="auto"/>
            </w:pPr>
            <w:r>
              <w:rPr>
                <w:rFonts w:ascii="Calibri" w:hAnsi="Calibri"/>
                <w:color w:val="263238"/>
                <w:sz w:val="18"/>
              </w:rPr>
              <w:t xml:space="preserve">Coordinates, rates, rules, incidents, and audits publish on a fixed rhythm. One publication rhythm serves every observer.</w:t>
            </w:r>
          </w:p>
        </w:tc>
      </w:tr>
      <w:tr>
        <w:tc>
          <w:tcPr>
            <w:tcW w:w="2600" w:type="dxa"/>
          </w:tcPr>
          <w:p>
            <w:pPr>
              <w:spacing w:after="20" w:line="264" w:lineRule="auto"/>
            </w:pPr>
            <w:r>
              <w:rPr>
                <w:rFonts w:ascii="Calibri" w:hAnsi="Calibri"/>
                <w:color w:val="263238"/>
                <w:sz w:val="18"/>
              </w:rPr>
              <w:t xml:space="preserve">Simplicity</w:t>
            </w:r>
          </w:p>
        </w:tc>
        <w:tc>
          <w:tcPr>
            <w:tcW w:w="6900" w:type="dxa"/>
          </w:tcPr>
          <w:p>
            <w:pPr>
              <w:spacing w:after="20" w:line="264" w:lineRule="auto"/>
            </w:pPr>
            <w:r>
              <w:rPr>
                <w:rFonts w:ascii="Calibri" w:hAnsi="Calibri"/>
                <w:color w:val="263238"/>
                <w:sz w:val="18"/>
              </w:rPr>
              <w:t xml:space="preserve">No mechanism exceeds five steps. Every procedure fits on one page for the mariner who uses it.</w:t>
            </w:r>
          </w:p>
        </w:tc>
      </w:tr>
    </w:tbl>
    <w:p>
      <w:pPr>
        <w:spacing w:after="160"/>
      </w:pPr>
    </w:p>
    <w:p>
      <w:pPr>
        <w:jc w:val="both"/>
      </w:pPr>
      <w:r>
        <w:rPr/>
        <w:t xml:space="preserve">3.2 The synchronization principle. Wherever this Understanding links two obligations, the architecture treats them as one event. Corridor activation links to the termination of impediments. Contribution schedules link to service certification. Escalator advancement links to verification outputs. No Party performs first and trusts second; the design performs both at once. This principle resolves the sequencing deadlock that the public record identifies as the core disagreement of the 2026 negotiations.</w:t>
      </w:r>
    </w:p>
    <w:p>
      <w:pPr>
        <w:jc w:val="both"/>
      </w:pPr>
      <w:r>
        <w:rPr/>
        <w:t xml:space="preserve">3.3 The indifference-to-rhetoric principle. The architecture measures what happens on the water and ignores what happens in speeches. A Party's domestic presentation of this Understanding forms no part of compliance. Verification inputs consist of sensor data, logs, observer reports, and certified records, and the Integrity Cell of Article 31 tests those inputs continuously. No statement, claim, or broadcast alters a compliance record.</w:t>
      </w:r>
    </w:p>
    <w:p>
      <w:pPr>
        <w:jc w:val="both"/>
      </w:pPr>
      <w:r>
        <w:rPr/>
        <w:t xml:space="preserve">3.4 The boring-as-success principle. The architecture succeeds when its operation becomes routine, unremarkable, and invisible to markets. The Stability Audit of Article 38 measures boredom directly: incident rates near zero, fee disputes near zero, insurance multiples at the pre-crisis baseline, and traffic at or above the pre-crisis norm. A strait that no longer appears in the news is the deliverable of this Understanding.</w:t>
      </w:r>
    </w:p>
    <w:p>
      <w:pPr>
        <w:pStyle w:val="Heading2"/>
      </w:pPr>
      <w:bookmarkStart w:id="109" w:name="_Toc261100009"/>
      <w:r>
        <w:rPr>
          <w:rFonts w:ascii="Calibri" w:hAnsi="Calibri"/>
        </w:rPr>
        <w:t xml:space="preserve">Article 4: The Simplicity Rule and the Five-Step Limit</w:t>
      </w:r>
      <w:bookmarkEnd w:id="109"/>
    </w:p>
    <w:p>
      <w:pPr>
        <w:jc w:val="both"/>
      </w:pPr>
      <w:r>
        <w:rPr/>
        <w:t xml:space="preserve">4.1 The five-step limit. No mechanism in this Understanding contains more than five operational steps from trigger to completion, and four steps form the design norm. The Technical Standards Committee reviews every procedure annually against this limit and reports any mechanism that drifts above it to the Hormuz Bridge Commission with a simplification proposal.</w:t>
      </w:r>
    </w:p>
    <w:p>
      <w:pPr>
        <w:jc w:val="both"/>
      </w:pPr>
      <w:r>
        <w:rPr/>
        <w:t xml:space="preserve">4.2 The one-page principle. Every procedure that a mariner, a watch officer, or a port agent executes fits on one page in the Mariners' Handbook of Annex F. A procedure that exceeds one page returns to the Technical Standards Committee for redesign. The Handbook publishes in Persian, Arabic, and English, and every update publishes simultaneously in all three languages.</w:t>
      </w:r>
    </w:p>
    <w:p>
      <w:pPr>
        <w:jc w:val="both"/>
      </w:pPr>
      <w:r>
        <w:rPr/>
        <w:t xml:space="preserve">4.3 The cost-effectiveness principle. The architecture reuses existing assets before it creates new ones: existing radar chains feed the fused picture; existing coast guard cutters perform the patrol functions; existing Omani and Iranian hydrographic offices conduct the survey work; existing Swiss financial infrastructure carries the payment flows. The Authority owns no vessels and operates no radar of its own in the steady state. Every budget line of Annex C traces to an existing capability or to a capability the Parties agree to share, and the Voluntary Contribution Facility funds only catalog services, never standing armies or permanent bureaucracies.</w:t>
      </w:r>
    </w:p>
    <w:p>
      <w:pPr>
        <w:jc w:val="both"/>
      </w:pPr>
      <w:r>
        <w:rPr/>
        <w:t xml:space="preserve">4.4 The plain-language standard. The Parties draft every operational document in plain language, avoid technical jargon wherever a plain word exists, and test the Mariners' Handbook annually with serving deck officers nominated by the Stakeholder Panel. A provision that confuses the mariner fails the standard regardless of its legal elegance.</w:t>
      </w:r>
    </w:p>
    <w:p>
      <w:pPr>
        <w:pStyle w:val="Heading2"/>
      </w:pPr>
      <w:bookmarkStart w:id="110" w:name="_Toc261100010"/>
      <w:r>
        <w:rPr>
          <w:rFonts w:ascii="Calibri" w:hAnsi="Calibri"/>
        </w:rPr>
        <w:t xml:space="preserve">Article 5: The Standing Continuity Guarantee</w:t>
      </w:r>
      <w:bookmarkEnd w:id="110"/>
    </w:p>
    <w:p>
      <w:pPr>
        <w:jc w:val="both"/>
      </w:pPr>
      <w:r>
        <w:rPr/>
        <w:t xml:space="preserve">5.1 The guarantee. No provision of this Understanding expires, lapses, terminates, or dilutes by the passage of time, by silence, by routine, by the change of any government, or by the occurrence of any dispute. Every obligation of every Party persists until a joint written instrument changes it or a Party completes the deliberate exit pathway of Article 43.</w:t>
      </w:r>
    </w:p>
    <w:p>
      <w:pPr>
        <w:jc w:val="both"/>
      </w:pPr>
      <w:r>
        <w:rPr/>
        <w:t xml:space="preserve">5.2 Renewal by silence. At every review point in this Understanding, continuation is the default. A review meeting that reaches no decision leaves every mechanism running in its previous state. A stalled budget question runs on the previous budget. A deadlocked vote changes nothing. The system never stops because a committee stops.</w:t>
      </w:r>
    </w:p>
    <w:p>
      <w:pPr>
        <w:jc w:val="both"/>
      </w:pPr>
      <w:r>
        <w:rPr/>
        <w:t xml:space="preserve">5.3 Banked performance. Verified performance banks permanently. A clean week, once certified, never uncertifies. A functional share, once banked at or above the floor of Article 34, never falls below that floor. A corridor certification, once issued and not withdrawn through the verification process, stands. The architecture accumulates trust as a balance, and no single incident zeroes the balance.</w:t>
      </w:r>
    </w:p>
    <w:p>
      <w:pPr>
        <w:jc w:val="both"/>
      </w:pPr>
      <w:r>
        <w:rPr/>
        <w:t xml:space="preserve">5.4 No sunset. This Understanding carries no sunset clause, no review deadline that threatens existence, and no renegotiation trigger. The Parties reject the sunset design because the market value of this architecture lies precisely in its permanence: ships, insurers, and energy buyers price the Strait on the confidence that the rules persist.</w:t>
      </w:r>
    </w:p>
    <w:p>
      <w:pPr>
        <w:jc w:val="both"/>
      </w:pPr>
      <w:r>
        <w:rPr/>
        <w:t xml:space="preserve">5.5 Dormancy, never death. In an extreme political rupture, the operational bodies of this Understanding enter dormancy under Article 42 with their records, obligations, and banked performance intact, and they reconstitute on fourteen days' notice from either Founding Party. The architecture sleeps; it never dies.</w:t>
      </w:r>
    </w:p>
    <w:p>
      <w:pPr>
        <w:pStyle w:val="Heading2"/>
      </w:pPr>
      <w:bookmarkStart w:id="111" w:name="_Toc261100011"/>
      <w:r>
        <w:rPr>
          <w:rFonts w:ascii="Calibri" w:hAnsi="Calibri"/>
        </w:rPr>
        <w:t xml:space="preserve">Article 6: The Synchronization Principle in Design</w:t>
      </w:r>
      <w:bookmarkEnd w:id="111"/>
    </w:p>
    <w:p>
      <w:pPr>
        <w:jc w:val="both"/>
      </w:pPr>
      <w:r>
        <w:rPr/>
        <w:t xml:space="preserve">6.1 One clock. Every organ of this Understanding runs on one clock and one calendar: the Master Synchronization Calendar maintained by the Authority and published in Annex J. Activation steps, survey milestones, contribution cycles, audit windows, escalator measurements, and publication rhythms all appear on this single calendar, and every participant reads the same dates.</w:t>
      </w:r>
    </w:p>
    <w:p>
      <w:pPr>
        <w:jc w:val="both"/>
      </w:pPr>
      <w:r>
        <w:rPr/>
        <w:t xml:space="preserve">6.2 Paired obligations. The drafters pair every obligation that depends on another obligation. The Pairing Register of Annex J lists every pair: the blockade termination pairs with corridor activation; the contribution schedule pairs with service certification; the escalator step pairs with the weekly verification bulletin; the pilot fee rate pairs with the pilot traffic cap. A paired obligation never executes alone; the architecture executes the pair as one event or holds both.</w:t>
      </w:r>
    </w:p>
    <w:p>
      <w:pPr>
        <w:jc w:val="both"/>
      </w:pPr>
      <w:r>
        <w:rPr/>
        <w:t xml:space="preserve">6.3 The indivisible hour. The Synchronized Indivisible Event of Article 36 executes in one hour on one day, and Article 36 and Annex J define the exact minute-by-minute sequence. The design deliberately compresses the riskiest transition of the entire architecture into a single hour, so that no gap exists in which one side has moved and the other has not.</w:t>
      </w:r>
    </w:p>
    <w:p>
      <w:pPr>
        <w:jc w:val="both"/>
      </w:pPr>
      <w:r>
        <w:rPr/>
        <w:t xml:space="preserve">6.4 Synchronized publication. Every publication under this Understanding issues simultaneously in Persian, Arabic, and English, at the same minute, from the Muscat seat and the Bandar Abbas Mirror Facility. No Party reads a rule before another Party reads it, and no market reads a rumor before it reads the rule.</w:t>
      </w:r>
    </w:p>
    <w:p>
      <w:pPr>
        <w:pStyle w:val="Heading1"/>
        <w:pageBreakBefore/>
        <w:pBdr>
          <w:bottom w:val="single" w:color="B9C6CF" w:sz="6" w:space="4"/>
        </w:pBdr>
      </w:pPr>
      <w:bookmarkStart w:id="112" w:name="_Toc261100012"/>
      <w:r>
        <w:rPr>
          <w:rFonts w:ascii="Calibri" w:hAnsi="Calibri"/>
        </w:rPr>
        <w:t xml:space="preserve">Part II: The Corridor Architecture</w:t>
      </w:r>
      <w:bookmarkEnd w:id="112"/>
    </w:p>
    <w:p>
      <w:pPr>
        <w:pStyle w:val="Heading2"/>
      </w:pPr>
      <w:bookmarkStart w:id="113" w:name="_Toc261100013"/>
      <w:r>
        <w:rPr>
          <w:rFonts w:ascii="Calibri" w:hAnsi="Calibri"/>
        </w:rPr>
        <w:t xml:space="preserve">Article 7: The Governance Area</w:t>
      </w:r>
      <w:bookmarkEnd w:id="113"/>
    </w:p>
    <w:p>
      <w:pPr>
        <w:jc w:val="both"/>
      </w:pPr>
      <w:r>
        <w:rPr/>
        <w:t xml:space="preserve">7.1 The polygon. The Governance Area comprises the waters and superjacent airspace bounded by the polygon registered in Annex A, Table A.1, running from the approach lines in the Gulf of Oman at the longitude of Ra's al Kuh, through the narrowest section of the Strait between Larak Island and the Musandam Peninsula, to the exit lines inside the Persian Gulf at the longitude of Ra's Takh. Annex A states the precise coordinates of every vertex, and the Authority deposits the polygon with the International Maritime Organization and the International Hydrographic Organization upon activation.</w:t>
      </w:r>
    </w:p>
    <w:p>
      <w:pPr>
        <w:jc w:val="both"/>
      </w:pPr>
      <w:r>
        <w:rPr/>
        <w:t xml:space="preserve">7.2 Contents of the area. The Governance Area contains: (a) the Northern Inbound Corridor; (b) the Southern Outbound Corridor; (c) the Central Assurance Corridor; (d) the precautionary areas at the eastern and western approaches; (e) the inshore traffic bands reserved for local craft under Article 9; and (f) the designated anchorage and waiting areas listed in Annex A, Table A.6.</w:t>
      </w:r>
    </w:p>
    <w:p>
      <w:pPr>
        <w:jc w:val="both"/>
      </w:pPr>
      <w:r>
        <w:rPr/>
        <w:t xml:space="preserve">7.3 Sovereignty untouched. The Governance Area overlaps the territorial waters of both Founding Parties. This Understanding allocates functions within those waters and changes no boundary, no title, and no jurisdictional claim. Each Founding Party exercises its sovereignty in its own waters in every respect that this Understanding does not specifically govern, and even within the governed functions, the architecture treats each Party's role as the exercise of sovereignty through cooperation, never its limitation.</w:t>
      </w:r>
    </w:p>
    <w:p>
      <w:pPr>
        <w:jc w:val="both"/>
      </w:pPr>
      <w:r>
        <w:rPr/>
        <w:t xml:space="preserve">7.4 Registration. The Authority registers the Governance Area polygon, the corridor centerlines, and every subsequent geometry adjustment with the IMO and the IHO within fourteen days of activation and of each adjustment. Registration satisfies the demand of the European maritime bodies, the GCC states, and the United States for internationally registered coordinates, and it binds no Party's legal position on any boundary question.</w:t>
      </w:r>
    </w:p>
    <w:p>
      <w:pPr>
        <w:pStyle w:val="Heading2"/>
      </w:pPr>
      <w:bookmarkStart w:id="114" w:name="_Toc261100014"/>
      <w:r>
        <w:rPr>
          <w:rFonts w:ascii="Calibri" w:hAnsi="Calibri"/>
        </w:rPr>
        <w:t xml:space="preserve">Article 8: The Three-Corridor System</w:t>
      </w:r>
      <w:bookmarkEnd w:id="114"/>
    </w:p>
    <w:p>
      <w:pPr>
        <w:jc w:val="both"/>
      </w:pPr>
      <w:r>
        <w:rPr/>
        <w:t xml:space="preserve">8.1 The system. The Strait operates under a three-corridor system: an Inbound Corridor in the northern waters, an Outbound Corridor in the southern waters, and a Central Assurance Corridor between them. The phrase "three corridors" always means all three; descriptions of the system as "two lanes" refer only to the two lanes that carry normal commercial traffic and never exclude the Central Assurance Corridor, which keeps the system stable.</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2400"/>
        <w:gridCol w:w="3600"/>
        <w:gridCol w:w="3500"/>
      </w:tblGrid>
      <w:tr>
        <w:trPr>
          <w:tblHeader/>
        </w:trPr>
        <w:tc>
          <w:tcPr>
            <w:tcW w:w="2400" w:type="dxa"/>
            <w:shd w:val="clear" w:fill="E8EDF1"/>
          </w:tcPr>
          <w:p>
            <w:pPr>
              <w:spacing w:after="20" w:line="264" w:lineRule="auto"/>
            </w:pPr>
            <w:r>
              <w:rPr>
                <w:rFonts w:ascii="Calibri" w:hAnsi="Calibri"/>
                <w:b/>
                <w:color w:val="2E4A62"/>
                <w:sz w:val="18"/>
              </w:rPr>
              <w:t xml:space="preserve">Corridor</w:t>
            </w:r>
          </w:p>
        </w:tc>
        <w:tc>
          <w:tcPr>
            <w:tcW w:w="3600" w:type="dxa"/>
            <w:shd w:val="clear" w:fill="E8EDF1"/>
          </w:tcPr>
          <w:p>
            <w:pPr>
              <w:spacing w:after="20" w:line="264" w:lineRule="auto"/>
            </w:pPr>
            <w:r>
              <w:rPr>
                <w:rFonts w:ascii="Calibri" w:hAnsi="Calibri"/>
                <w:b/>
                <w:color w:val="2E4A62"/>
                <w:sz w:val="18"/>
              </w:rPr>
              <w:t xml:space="preserve">Function</w:t>
            </w:r>
          </w:p>
        </w:tc>
        <w:tc>
          <w:tcPr>
            <w:tcW w:w="3500" w:type="dxa"/>
            <w:shd w:val="clear" w:fill="E8EDF1"/>
          </w:tcPr>
          <w:p>
            <w:pPr>
              <w:spacing w:after="20" w:line="264" w:lineRule="auto"/>
            </w:pPr>
            <w:r>
              <w:rPr>
                <w:rFonts w:ascii="Calibri" w:hAnsi="Calibri"/>
                <w:b/>
                <w:color w:val="2E4A62"/>
                <w:sz w:val="18"/>
              </w:rPr>
              <w:t xml:space="preserve">Functional administration</w:t>
            </w:r>
          </w:p>
        </w:tc>
      </w:tr>
      <w:tr>
        <w:tc>
          <w:tcPr>
            <w:tcW w:w="2400" w:type="dxa"/>
          </w:tcPr>
          <w:p>
            <w:pPr>
              <w:spacing w:after="20" w:line="264" w:lineRule="auto"/>
            </w:pPr>
            <w:r>
              <w:rPr>
                <w:rFonts w:ascii="Calibri" w:hAnsi="Calibri"/>
                <w:color w:val="263238"/>
                <w:sz w:val="18"/>
              </w:rPr>
              <w:t xml:space="preserve">Northern Inbound Corridor</w:t>
            </w:r>
          </w:p>
        </w:tc>
        <w:tc>
          <w:tcPr>
            <w:tcW w:w="3600" w:type="dxa"/>
          </w:tcPr>
          <w:p>
            <w:pPr>
              <w:spacing w:after="20" w:line="264" w:lineRule="auto"/>
            </w:pPr>
            <w:r>
              <w:rPr>
                <w:rFonts w:ascii="Calibri" w:hAnsi="Calibri"/>
                <w:color w:val="263238"/>
                <w:sz w:val="18"/>
              </w:rPr>
              <w:t xml:space="preserve">All inbound commercial traffic entering the Persian Gulf</w:t>
            </w:r>
          </w:p>
        </w:tc>
        <w:tc>
          <w:tcPr>
            <w:tcW w:w="3500" w:type="dxa"/>
          </w:tcPr>
          <w:p>
            <w:pPr>
              <w:spacing w:after="20" w:line="264" w:lineRule="auto"/>
            </w:pPr>
            <w:r>
              <w:rPr>
                <w:rFonts w:ascii="Calibri" w:hAnsi="Calibri"/>
                <w:color w:val="263238"/>
                <w:sz w:val="18"/>
              </w:rPr>
              <w:t xml:space="preserve">The Islamic Republic of Iran performs the corridor functions under the Twin Key rule</w:t>
            </w:r>
          </w:p>
        </w:tc>
      </w:tr>
      <w:tr>
        <w:tc>
          <w:tcPr>
            <w:tcW w:w="2400" w:type="dxa"/>
          </w:tcPr>
          <w:p>
            <w:pPr>
              <w:spacing w:after="20" w:line="264" w:lineRule="auto"/>
            </w:pPr>
            <w:r>
              <w:rPr>
                <w:rFonts w:ascii="Calibri" w:hAnsi="Calibri"/>
                <w:color w:val="263238"/>
                <w:sz w:val="18"/>
              </w:rPr>
              <w:t xml:space="preserve">Southern Outbound Corridor</w:t>
            </w:r>
          </w:p>
        </w:tc>
        <w:tc>
          <w:tcPr>
            <w:tcW w:w="3600" w:type="dxa"/>
          </w:tcPr>
          <w:p>
            <w:pPr>
              <w:spacing w:after="20" w:line="264" w:lineRule="auto"/>
            </w:pPr>
            <w:r>
              <w:rPr>
                <w:rFonts w:ascii="Calibri" w:hAnsi="Calibri"/>
                <w:color w:val="263238"/>
                <w:sz w:val="18"/>
              </w:rPr>
              <w:t xml:space="preserve">All outbound commercial traffic departing the Persian Gulf</w:t>
            </w:r>
          </w:p>
        </w:tc>
        <w:tc>
          <w:tcPr>
            <w:tcW w:w="3500" w:type="dxa"/>
          </w:tcPr>
          <w:p>
            <w:pPr>
              <w:spacing w:after="20" w:line="264" w:lineRule="auto"/>
            </w:pPr>
            <w:r>
              <w:rPr>
                <w:rFonts w:ascii="Calibri" w:hAnsi="Calibri"/>
                <w:color w:val="263238"/>
                <w:sz w:val="18"/>
              </w:rPr>
              <w:t xml:space="preserve">The Sultanate of Oman performs the corridor functions under the Twin Key rule</w:t>
            </w:r>
          </w:p>
        </w:tc>
      </w:tr>
      <w:tr>
        <w:tc>
          <w:tcPr>
            <w:tcW w:w="2400" w:type="dxa"/>
          </w:tcPr>
          <w:p>
            <w:pPr>
              <w:spacing w:after="20" w:line="264" w:lineRule="auto"/>
            </w:pPr>
            <w:r>
              <w:rPr>
                <w:rFonts w:ascii="Calibri" w:hAnsi="Calibri"/>
                <w:color w:val="263238"/>
                <w:sz w:val="18"/>
              </w:rPr>
              <w:t xml:space="preserve">Central Assurance Corridor</w:t>
            </w:r>
          </w:p>
        </w:tc>
        <w:tc>
          <w:tcPr>
            <w:tcW w:w="3600" w:type="dxa"/>
          </w:tcPr>
          <w:p>
            <w:pPr>
              <w:spacing w:after="20" w:line="264" w:lineRule="auto"/>
            </w:pPr>
            <w:r>
              <w:rPr>
                <w:rFonts w:ascii="Calibri" w:hAnsi="Calibri"/>
                <w:color w:val="263238"/>
                <w:sz w:val="18"/>
              </w:rPr>
              <w:t xml:space="preserve">Safety separation, emergency diversion, mine-risk avoidance, search and rescue routing, naval deconfliction</w:t>
            </w:r>
          </w:p>
        </w:tc>
        <w:tc>
          <w:tcPr>
            <w:tcW w:w="3500" w:type="dxa"/>
          </w:tcPr>
          <w:p>
            <w:pPr>
              <w:spacing w:after="20" w:line="264" w:lineRule="auto"/>
            </w:pPr>
            <w:r>
              <w:rPr>
                <w:rFonts w:ascii="Calibri" w:hAnsi="Calibri"/>
                <w:color w:val="263238"/>
                <w:sz w:val="18"/>
              </w:rPr>
              <w:t xml:space="preserve">The two Founding Parties co-administer under paired watch teams</w:t>
            </w:r>
          </w:p>
        </w:tc>
      </w:tr>
    </w:tbl>
    <w:p>
      <w:pPr>
        <w:spacing w:after="160"/>
      </w:pPr>
    </w:p>
    <w:p>
      <w:pPr>
        <w:jc w:val="both"/>
      </w:pPr>
      <w:r>
        <w:rPr/>
        <w:t xml:space="preserve">8.2 The Northern Inbound Corridor. The Northern Inbound Corridor carries all inbound commercial traffic through the northern waters of the Strait along the centerline and waypoint schedule of Annex A, Table A.2. Iran performs the corridor functions for this corridor: traffic management, environmental monitoring, aids-to-navigation maintenance, and search and rescue coordination, each as defined in Annex E. The corridor operates on the file-and-acknowledge notification protocol of Article 10: notification produces acknowledgment, never approval, and no permission regime operates anywhere in the corridor.</w:t>
      </w:r>
    </w:p>
    <w:p>
      <w:pPr>
        <w:jc w:val="both"/>
      </w:pPr>
      <w:r>
        <w:rPr/>
        <w:t xml:space="preserve">8.3 The Southern Outbound Corridor. The Southern Outbound Corridor carries all outbound commercial traffic through the southern waters of the Strait along the centerline and waypoint schedule of Annex A, Table A.3. Oman performs the corridor functions for this corridor on the same functional basis as Iran in the north. The Southern Corridor operates on unconditional passage: no notification requirement attaches to transit of this corridor, and vessels transit it under the same freedom they enjoyed before the crisis of 2026.</w:t>
      </w:r>
    </w:p>
    <w:p>
      <w:pPr>
        <w:jc w:val="both"/>
      </w:pPr>
      <w:r>
        <w:rPr/>
        <w:t xml:space="preserve">8.4 The Central Assurance Corridor. The Central Assurance Corridor occupies the band between the inbound and outbound lanes along the centerline of Annex A, Table A.4, roughly centered on the historic traffic separation scheme's median. It serves four functions: (a) safety separation between opposing flows; (b) emergency diversion for any vessel in distress or under threat; (c) routing for search and rescue, survey, and mine countermeasure units; and (d) deconfliction routing for naval units in transit. The two Founding Parties co-administer the corridor through paired watch teams, and no commercial transit uses the corridor except under emergency diversion instructions from the Transit Desk.</w:t>
      </w:r>
    </w:p>
    <w:p>
      <w:pPr>
        <w:jc w:val="both"/>
      </w:pPr>
      <w:r>
        <w:rPr/>
        <w:t xml:space="preserve">8.5 Wartime lanes sunset. The temporary wartime lanes in use during the crisis of 2026 sunset on the schedule of Annex J. The corridor system replaces them in the fixed sequence of Article 37: the Central Assurance Corridor activates first, the Southern Outbound Corridor second, and the Northern Inbound Corridor third. Upon activation of all three, the wartime lanes close to new entries, and Annex J states the sunset completion date.</w:t>
      </w:r>
    </w:p>
    <w:p>
      <w:pPr>
        <w:jc w:val="both"/>
      </w:pPr>
      <w:r>
        <w:rPr/>
        <w:t xml:space="preserve">8.6 Geometry adjustments. Corridor geometry changes only by joint written instrument of the Founding Parties, with thirty days' notice to all participants and registration under Article 7.4. The pilot phase of Article 38 permits provisional adjustments within the bounds of Annex A, and every provisional adjustment either confirms into the registry or reverts at the end of the pilot. IPR-15 guards this article: no unilateral geometry change occurs under any circumstances.</w:t>
      </w:r>
    </w:p>
    <w:p>
      <w:pPr>
        <w:pStyle w:val="Heading2"/>
      </w:pPr>
      <w:bookmarkStart w:id="115" w:name="_Toc261100015"/>
      <w:r>
        <w:rPr>
          <w:rFonts w:ascii="Calibri" w:hAnsi="Calibri"/>
        </w:rPr>
        <w:t xml:space="preserve">Article 9: Vessel Classification</w:t>
      </w:r>
      <w:bookmarkEnd w:id="115"/>
    </w:p>
    <w:p>
      <w:pPr>
        <w:jc w:val="both"/>
      </w:pPr>
      <w:r>
        <w:rPr/>
        <w:t xml:space="preserve">9.1 The five classes. Every vessel in the Governance Area classifies under one of five classes, and the class alone determines treatment. The architecture classifies by purpose and behavior, never by flag, ownership, registry, or destination.</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1600"/>
        <w:gridCol w:w="2800"/>
        <w:gridCol w:w="5100"/>
      </w:tblGrid>
      <w:tr>
        <w:trPr>
          <w:tblHeader/>
        </w:trPr>
        <w:tc>
          <w:tcPr>
            <w:tcW w:w="1600" w:type="dxa"/>
            <w:shd w:val="clear" w:fill="E8EDF1"/>
          </w:tcPr>
          <w:p>
            <w:pPr>
              <w:spacing w:after="20" w:line="264" w:lineRule="auto"/>
            </w:pPr>
            <w:r>
              <w:rPr>
                <w:rFonts w:ascii="Calibri" w:hAnsi="Calibri"/>
                <w:b/>
                <w:color w:val="2E4A62"/>
                <w:sz w:val="18"/>
              </w:rPr>
              <w:t xml:space="preserve">Class</w:t>
            </w:r>
          </w:p>
        </w:tc>
        <w:tc>
          <w:tcPr>
            <w:tcW w:w="2800" w:type="dxa"/>
            <w:shd w:val="clear" w:fill="E8EDF1"/>
          </w:tcPr>
          <w:p>
            <w:pPr>
              <w:spacing w:after="20" w:line="264" w:lineRule="auto"/>
            </w:pPr>
            <w:r>
              <w:rPr>
                <w:rFonts w:ascii="Calibri" w:hAnsi="Calibri"/>
                <w:b/>
                <w:color w:val="2E4A62"/>
                <w:sz w:val="18"/>
              </w:rPr>
              <w:t xml:space="preserve">Name</w:t>
            </w:r>
          </w:p>
        </w:tc>
        <w:tc>
          <w:tcPr>
            <w:tcW w:w="5100" w:type="dxa"/>
            <w:shd w:val="clear" w:fill="E8EDF1"/>
          </w:tcPr>
          <w:p>
            <w:pPr>
              <w:spacing w:after="20" w:line="264" w:lineRule="auto"/>
            </w:pPr>
            <w:r>
              <w:rPr>
                <w:rFonts w:ascii="Calibri" w:hAnsi="Calibri"/>
                <w:b/>
                <w:color w:val="2E4A62"/>
                <w:sz w:val="18"/>
              </w:rPr>
              <w:t xml:space="preserve">Treatment</w:t>
            </w:r>
          </w:p>
        </w:tc>
      </w:tr>
      <w:tr>
        <w:tc>
          <w:tcPr>
            <w:tcW w:w="1600" w:type="dxa"/>
          </w:tcPr>
          <w:p>
            <w:pPr>
              <w:spacing w:after="20" w:line="264" w:lineRule="auto"/>
            </w:pPr>
            <w:r>
              <w:rPr>
                <w:rFonts w:ascii="Calibri" w:hAnsi="Calibri"/>
                <w:color w:val="263238"/>
                <w:sz w:val="18"/>
              </w:rPr>
              <w:t xml:space="preserve">V-1</w:t>
            </w:r>
          </w:p>
        </w:tc>
        <w:tc>
          <w:tcPr>
            <w:tcW w:w="2800" w:type="dxa"/>
          </w:tcPr>
          <w:p>
            <w:pPr>
              <w:spacing w:after="20" w:line="264" w:lineRule="auto"/>
            </w:pPr>
            <w:r>
              <w:rPr>
                <w:rFonts w:ascii="Calibri" w:hAnsi="Calibri"/>
                <w:color w:val="263238"/>
                <w:sz w:val="18"/>
              </w:rPr>
              <w:t xml:space="preserve">Commercial</w:t>
            </w:r>
          </w:p>
        </w:tc>
        <w:tc>
          <w:tcPr>
            <w:tcW w:w="5100" w:type="dxa"/>
          </w:tcPr>
          <w:p>
            <w:pPr>
              <w:spacing w:after="20" w:line="264" w:lineRule="auto"/>
            </w:pPr>
            <w:r>
              <w:rPr>
                <w:rFonts w:ascii="Calibri" w:hAnsi="Calibri"/>
                <w:color w:val="263238"/>
                <w:sz w:val="18"/>
              </w:rPr>
              <w:t xml:space="preserve">Standard corridor transit; notification per Article 10 for the Northern Corridor; no notification for the Southern Corridor</w:t>
            </w:r>
          </w:p>
        </w:tc>
      </w:tr>
      <w:tr>
        <w:tc>
          <w:tcPr>
            <w:tcW w:w="1600" w:type="dxa"/>
          </w:tcPr>
          <w:p>
            <w:pPr>
              <w:spacing w:after="20" w:line="264" w:lineRule="auto"/>
            </w:pPr>
            <w:r>
              <w:rPr>
                <w:rFonts w:ascii="Calibri" w:hAnsi="Calibri"/>
                <w:color w:val="263238"/>
                <w:sz w:val="18"/>
              </w:rPr>
              <w:t xml:space="preserve">V-2</w:t>
            </w:r>
          </w:p>
        </w:tc>
        <w:tc>
          <w:tcPr>
            <w:tcW w:w="2800" w:type="dxa"/>
          </w:tcPr>
          <w:p>
            <w:pPr>
              <w:spacing w:after="20" w:line="264" w:lineRule="auto"/>
            </w:pPr>
            <w:r>
              <w:rPr>
                <w:rFonts w:ascii="Calibri" w:hAnsi="Calibri"/>
                <w:color w:val="263238"/>
                <w:sz w:val="18"/>
              </w:rPr>
              <w:t xml:space="preserve">Energy</w:t>
            </w:r>
          </w:p>
        </w:tc>
        <w:tc>
          <w:tcPr>
            <w:tcW w:w="5100" w:type="dxa"/>
          </w:tcPr>
          <w:p>
            <w:pPr>
              <w:spacing w:after="20" w:line="264" w:lineRule="auto"/>
            </w:pPr>
            <w:r>
              <w:rPr>
                <w:rFonts w:ascii="Calibri" w:hAnsi="Calibri"/>
                <w:color w:val="263238"/>
                <w:sz w:val="18"/>
              </w:rPr>
              <w:t xml:space="preserve">Tankers, LNG and LPG carriers; standard transit plus the convoy window option of Annex B for operators that request scheduled assurance</w:t>
            </w:r>
          </w:p>
        </w:tc>
      </w:tr>
      <w:tr>
        <w:tc>
          <w:tcPr>
            <w:tcW w:w="1600" w:type="dxa"/>
          </w:tcPr>
          <w:p>
            <w:pPr>
              <w:spacing w:after="20" w:line="264" w:lineRule="auto"/>
            </w:pPr>
            <w:r>
              <w:rPr>
                <w:rFonts w:ascii="Calibri" w:hAnsi="Calibri"/>
                <w:color w:val="263238"/>
                <w:sz w:val="18"/>
              </w:rPr>
              <w:t xml:space="preserve">V-3</w:t>
            </w:r>
          </w:p>
        </w:tc>
        <w:tc>
          <w:tcPr>
            <w:tcW w:w="2800" w:type="dxa"/>
          </w:tcPr>
          <w:p>
            <w:pPr>
              <w:spacing w:after="20" w:line="264" w:lineRule="auto"/>
            </w:pPr>
            <w:r>
              <w:rPr>
                <w:rFonts w:ascii="Calibri" w:hAnsi="Calibri"/>
                <w:color w:val="263238"/>
                <w:sz w:val="18"/>
              </w:rPr>
              <w:t xml:space="preserve">Humanitarian</w:t>
            </w:r>
          </w:p>
        </w:tc>
        <w:tc>
          <w:tcPr>
            <w:tcW w:w="5100" w:type="dxa"/>
          </w:tcPr>
          <w:p>
            <w:pPr>
              <w:spacing w:after="20" w:line="264" w:lineRule="auto"/>
            </w:pPr>
            <w:r>
              <w:rPr>
                <w:rFonts w:ascii="Calibri" w:hAnsi="Calibri"/>
                <w:color w:val="263238"/>
                <w:sz w:val="18"/>
              </w:rPr>
              <w:t xml:space="preserve">Vessels carrying food, medicine, medical equipment, or humanitarian personnel; absolute priority in every flow state; no delay, inspection, or interdiction under any circumstances</w:t>
            </w:r>
          </w:p>
        </w:tc>
      </w:tr>
      <w:tr>
        <w:tc>
          <w:tcPr>
            <w:tcW w:w="1600" w:type="dxa"/>
          </w:tcPr>
          <w:p>
            <w:pPr>
              <w:spacing w:after="20" w:line="264" w:lineRule="auto"/>
            </w:pPr>
            <w:r>
              <w:rPr>
                <w:rFonts w:ascii="Calibri" w:hAnsi="Calibri"/>
                <w:color w:val="263238"/>
                <w:sz w:val="18"/>
              </w:rPr>
              <w:t xml:space="preserve">V-4</w:t>
            </w:r>
          </w:p>
        </w:tc>
        <w:tc>
          <w:tcPr>
            <w:tcW w:w="2800" w:type="dxa"/>
          </w:tcPr>
          <w:p>
            <w:pPr>
              <w:spacing w:after="20" w:line="264" w:lineRule="auto"/>
            </w:pPr>
            <w:r>
              <w:rPr>
                <w:rFonts w:ascii="Calibri" w:hAnsi="Calibri"/>
                <w:color w:val="263238"/>
                <w:sz w:val="18"/>
              </w:rPr>
              <w:t xml:space="preserve">State</w:t>
            </w:r>
          </w:p>
        </w:tc>
        <w:tc>
          <w:tcPr>
            <w:tcW w:w="5100" w:type="dxa"/>
          </w:tcPr>
          <w:p>
            <w:pPr>
              <w:spacing w:after="20" w:line="264" w:lineRule="auto"/>
            </w:pPr>
            <w:r>
              <w:rPr>
                <w:rFonts w:ascii="Calibri" w:hAnsi="Calibri"/>
                <w:color w:val="263238"/>
                <w:sz w:val="18"/>
              </w:rPr>
              <w:t xml:space="preserve">Naval and state non-commercial vessels; transit under the deconfliction rules of Annex L, with prior notification to the Deconfliction Desk</w:t>
            </w:r>
          </w:p>
        </w:tc>
      </w:tr>
      <w:tr>
        <w:tc>
          <w:tcPr>
            <w:tcW w:w="1600" w:type="dxa"/>
          </w:tcPr>
          <w:p>
            <w:pPr>
              <w:spacing w:after="20" w:line="264" w:lineRule="auto"/>
            </w:pPr>
            <w:r>
              <w:rPr>
                <w:rFonts w:ascii="Calibri" w:hAnsi="Calibri"/>
                <w:color w:val="263238"/>
                <w:sz w:val="18"/>
              </w:rPr>
              <w:t xml:space="preserve">V-5</w:t>
            </w:r>
          </w:p>
        </w:tc>
        <w:tc>
          <w:tcPr>
            <w:tcW w:w="2800" w:type="dxa"/>
          </w:tcPr>
          <w:p>
            <w:pPr>
              <w:spacing w:after="20" w:line="264" w:lineRule="auto"/>
            </w:pPr>
            <w:r>
              <w:rPr>
                <w:rFonts w:ascii="Calibri" w:hAnsi="Calibri"/>
                <w:color w:val="263238"/>
                <w:sz w:val="18"/>
              </w:rPr>
              <w:t xml:space="preserve">Local craft</w:t>
            </w:r>
          </w:p>
        </w:tc>
        <w:tc>
          <w:tcPr>
            <w:tcW w:w="5100" w:type="dxa"/>
          </w:tcPr>
          <w:p>
            <w:pPr>
              <w:spacing w:after="20" w:line="264" w:lineRule="auto"/>
            </w:pPr>
            <w:r>
              <w:rPr>
                <w:rFonts w:ascii="Calibri" w:hAnsi="Calibri"/>
                <w:color w:val="263238"/>
                <w:sz w:val="18"/>
              </w:rPr>
              <w:t xml:space="preserve">Vessels under 24 meters and traditional craft; the inshore traffic bands of Annex A; outside the commercial corridors except in transit across them at designated crossing points</w:t>
            </w:r>
          </w:p>
        </w:tc>
      </w:tr>
    </w:tbl>
    <w:p>
      <w:pPr>
        <w:spacing w:after="160"/>
      </w:pPr>
    </w:p>
    <w:p>
      <w:pPr>
        <w:jc w:val="both"/>
      </w:pPr>
      <w:r>
        <w:rPr/>
        <w:t xml:space="preserve">9.2 No class of concern. The architecture recognizes no "vessel of concern" class. The crisis-era practice of treating particular flags or cargoes as suspect ends at activation. A vessel's class follows from its declared purpose, and the verification architecture watches behavior rather than identity. This provision implements the indivisibility of freedom of navigation affirmed in Resolution 2817: freedom of navigation attaches to every vessel regardless of flag, destination, or ownership, and attaches to no condition and no payment.</w:t>
      </w:r>
    </w:p>
    <w:p>
      <w:pPr>
        <w:jc w:val="both"/>
      </w:pPr>
      <w:r>
        <w:rPr/>
        <w:t xml:space="preserve">9.3 Classification declaration. A vessel declares its class in its transit notice under Article 10, or, for the Southern Corridor and for V-3 and V-5 vessels, in its automatic identification system message. A misdeclaration of class constitutes a Tier 2 event under Article 32 when detected, and the vessel's operator corrects the record. The architecture treats misdeclaration as a data integrity matter, never as a basis for interdiction.</w:t>
      </w:r>
    </w:p>
    <w:p>
      <w:pPr>
        <w:pStyle w:val="Heading2"/>
      </w:pPr>
      <w:bookmarkStart w:id="116" w:name="_Toc261100016"/>
      <w:r>
        <w:rPr>
          <w:rFonts w:ascii="Calibri" w:hAnsi="Calibri"/>
        </w:rPr>
        <w:t xml:space="preserve">Article 10: The Notification Protocol</w:t>
      </w:r>
      <w:bookmarkEnd w:id="116"/>
    </w:p>
    <w:p>
      <w:pPr>
        <w:jc w:val="both"/>
      </w:pPr>
      <w:r>
        <w:rPr/>
        <w:t xml:space="preserve">10.1 File-and-acknowledge. The Northern Inbound Corridor operates on a file-and-acknowledge protocol. The master or agent of a vessel intending to transit the Northern Corridor files a transit notice with the Transit Desk between 72 hours and 6 hours before entering the corridor, in the format of Annex F, Section F.2. The Transit Desk issues an acknowledgment automatically within 30 minutes of receipt. The acknowledgment confirms receipt and completeness; it confers no approval, because the framework contains no approval power. Silence past 30 minutes constitutes acknowledgment: the silence-is-consent rule operates in favor of the mariner, always.</w:t>
      </w:r>
    </w:p>
    <w:p>
      <w:pPr>
        <w:jc w:val="both"/>
      </w:pPr>
      <w:r>
        <w:rPr/>
        <w:t xml:space="preserve">10.2 The ten fields. The transit notice contains ten fields and no more: (1) vessel name and IMO number; (2) vessel class under Article 9; (3) flag state, for registry verification only; (4) gross tonnage and dimensions; (5) cargo category in plain terms; (6) last port and next port; (7) planned entry time at the first waypoint; (8) planned speed band; (9) the name of the master; and (10) a contact channel. No field asks for cargo value, ownership structure, insurance details, crew nationality, or ultimate destination beyond next port, and no Party adds a field except by the amendment process of Article 41.</w:t>
      </w:r>
    </w:p>
    <w:p>
      <w:pPr>
        <w:jc w:val="both"/>
      </w:pPr>
      <w:r>
        <w:rPr/>
        <w:t xml:space="preserve">10.3 Non-discretionary processing. The Transit Desk processes notices in the order received, applies the completeness check of Annex F mechanically, and records every notice and every acknowledgment in the public log within one hour. The desk holds no discretion to delay, condition, or refuse a notice. A notice that fails the completeness check returns to the sender within 30 minutes with the specific defect named, and the sender cures and refiles without penalty and without loss of place in any queue, because the architecture maintains no queue for transit rights.</w:t>
      </w:r>
    </w:p>
    <w:p>
      <w:pPr>
        <w:jc w:val="both"/>
      </w:pPr>
      <w:r>
        <w:rPr/>
        <w:t xml:space="preserve">10.4 Data custody. Transit notice data serves traffic management and verification exclusively. IPR-12 governs: no Party, observer, or organ uses notice data for intelligence, targeting, or sanctions enforcement, and the Neutral Verification Office audits data custody quarterly. The Authority retains notices for seven years and grants the Stakeholder Panel statistical access in aggregated form only.</w:t>
      </w:r>
    </w:p>
    <w:p>
      <w:pPr>
        <w:jc w:val="both"/>
      </w:pPr>
      <w:r>
        <w:rPr/>
        <w:t xml:space="preserve">10.5 The wartime permit regime dissolves. Upon activation, the permit and preapproval machinery of the crisis period, including every fee, tariff, route-approval, and insurance condition applied to transits during the crisis, dissolves in the Synchronized Indivisible Event of Article 36. The file-and-acknowledge protocol of this Article replaces it in full. No residue of the wartime regime survives in any form: no fees, no preapproval, no route conditioning, and no administrative discretion over passage.</w:t>
      </w:r>
    </w:p>
    <w:p>
      <w:pPr>
        <w:pStyle w:val="Heading2"/>
      </w:pPr>
      <w:bookmarkStart w:id="117" w:name="_Toc261100017"/>
      <w:r>
        <w:rPr>
          <w:rFonts w:ascii="Calibri" w:hAnsi="Calibri"/>
        </w:rPr>
        <w:t xml:space="preserve">Article 11: The Flow State Doctrine</w:t>
      </w:r>
      <w:bookmarkEnd w:id="117"/>
    </w:p>
    <w:p>
      <w:pPr>
        <w:jc w:val="both"/>
      </w:pPr>
      <w:r>
        <w:rPr/>
        <w:t xml:space="preserve">11.1 Three states. The corridor system operates in one of three flow states at any time:</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2200"/>
        <w:gridCol w:w="7300"/>
      </w:tblGrid>
      <w:tr>
        <w:trPr>
          <w:tblHeader/>
        </w:trPr>
        <w:tc>
          <w:tcPr>
            <w:tcW w:w="2200" w:type="dxa"/>
            <w:shd w:val="clear" w:fill="E8EDF1"/>
          </w:tcPr>
          <w:p>
            <w:pPr>
              <w:spacing w:after="20" w:line="264" w:lineRule="auto"/>
            </w:pPr>
            <w:r>
              <w:rPr>
                <w:rFonts w:ascii="Calibri" w:hAnsi="Calibri"/>
                <w:b/>
                <w:color w:val="2E4A62"/>
                <w:sz w:val="18"/>
              </w:rPr>
              <w:t xml:space="preserve">State</w:t>
            </w:r>
          </w:p>
        </w:tc>
        <w:tc>
          <w:tcPr>
            <w:tcW w:w="7300" w:type="dxa"/>
            <w:shd w:val="clear" w:fill="E8EDF1"/>
          </w:tcPr>
          <w:p>
            <w:pPr>
              <w:spacing w:after="20" w:line="264" w:lineRule="auto"/>
            </w:pPr>
            <w:r>
              <w:rPr>
                <w:rFonts w:ascii="Calibri" w:hAnsi="Calibri"/>
                <w:b/>
                <w:color w:val="2E4A62"/>
                <w:sz w:val="18"/>
              </w:rPr>
              <w:t xml:space="preserve">Meaning</w:t>
            </w:r>
          </w:p>
        </w:tc>
      </w:tr>
      <w:tr>
        <w:tc>
          <w:tcPr>
            <w:tcW w:w="2200" w:type="dxa"/>
          </w:tcPr>
          <w:p>
            <w:pPr>
              <w:spacing w:after="20" w:line="264" w:lineRule="auto"/>
            </w:pPr>
            <w:r>
              <w:rPr>
                <w:rFonts w:ascii="Calibri" w:hAnsi="Calibri"/>
                <w:color w:val="263238"/>
                <w:sz w:val="18"/>
              </w:rPr>
              <w:t xml:space="preserve">Free Flow</w:t>
            </w:r>
          </w:p>
        </w:tc>
        <w:tc>
          <w:tcPr>
            <w:tcW w:w="7300" w:type="dxa"/>
          </w:tcPr>
          <w:p>
            <w:pPr>
              <w:spacing w:after="20" w:line="264" w:lineRule="auto"/>
            </w:pPr>
            <w:r>
              <w:rPr>
                <w:rFonts w:ascii="Calibri" w:hAnsi="Calibri"/>
                <w:color w:val="263238"/>
                <w:sz w:val="18"/>
              </w:rPr>
              <w:t xml:space="preserve">Normal operation. All corridors open; no special measures in force.</w:t>
            </w:r>
          </w:p>
        </w:tc>
      </w:tr>
      <w:tr>
        <w:tc>
          <w:tcPr>
            <w:tcW w:w="2200" w:type="dxa"/>
          </w:tcPr>
          <w:p>
            <w:pPr>
              <w:spacing w:after="20" w:line="264" w:lineRule="auto"/>
            </w:pPr>
            <w:r>
              <w:rPr>
                <w:rFonts w:ascii="Calibri" w:hAnsi="Calibri"/>
                <w:color w:val="263238"/>
                <w:sz w:val="18"/>
              </w:rPr>
              <w:t xml:space="preserve">Managed Flow</w:t>
            </w:r>
          </w:p>
        </w:tc>
        <w:tc>
          <w:tcPr>
            <w:tcW w:w="7300" w:type="dxa"/>
          </w:tcPr>
          <w:p>
            <w:pPr>
              <w:spacing w:after="20" w:line="264" w:lineRule="auto"/>
            </w:pPr>
            <w:r>
              <w:rPr>
                <w:rFonts w:ascii="Calibri" w:hAnsi="Calibri"/>
                <w:color w:val="263238"/>
                <w:sz w:val="18"/>
              </w:rPr>
              <w:t xml:space="preserve">Enhanced caution after an incident, hazard report, or verification alert. The Transit Desk issues guidance; transit continues; survey or patrol activity increases in the affected sector.</w:t>
            </w:r>
          </w:p>
        </w:tc>
      </w:tr>
      <w:tr>
        <w:tc>
          <w:tcPr>
            <w:tcW w:w="2200" w:type="dxa"/>
          </w:tcPr>
          <w:p>
            <w:pPr>
              <w:spacing w:after="20" w:line="264" w:lineRule="auto"/>
            </w:pPr>
            <w:r>
              <w:rPr>
                <w:rFonts w:ascii="Calibri" w:hAnsi="Calibri"/>
                <w:color w:val="263238"/>
                <w:sz w:val="18"/>
              </w:rPr>
              <w:t xml:space="preserve">Suspended Flow</w:t>
            </w:r>
          </w:p>
        </w:tc>
        <w:tc>
          <w:tcPr>
            <w:tcW w:w="7300" w:type="dxa"/>
          </w:tcPr>
          <w:p>
            <w:pPr>
              <w:spacing w:after="20" w:line="264" w:lineRule="auto"/>
            </w:pPr>
            <w:r>
              <w:rPr>
                <w:rFonts w:ascii="Calibri" w:hAnsi="Calibri"/>
                <w:color w:val="263238"/>
                <w:sz w:val="18"/>
              </w:rPr>
              <w:t xml:space="preserve">A time-limited, sector-specific pause on new entries into one corridor sector for reasons of safety, never exceeding 72 hours. Humanitarian traffic (V-3) moves in every case. Traffic already inside the sector completes its transit.</w:t>
            </w:r>
          </w:p>
        </w:tc>
      </w:tr>
    </w:tbl>
    <w:p>
      <w:pPr>
        <w:spacing w:after="160"/>
      </w:pPr>
    </w:p>
    <w:p>
      <w:pPr>
        <w:jc w:val="both"/>
      </w:pPr>
      <w:r>
        <w:rPr/>
        <w:t xml:space="preserve">11.2 Transitions. The Authority declares a transition from Free Flow to Managed Flow on the authority of the duty director of the Joint Coordination Center, and the declaration publishes immediately with its reason. A transition to Suspended Flow activates only under the Twin Key rule of Article 14: one Iranian key and one Omani key concur, and the declaration states the affected sector, the reason, and the expiry time, which never exceeds 72 hours from declaration. A Suspended Flow expires automatically at its stated time; renewal requires a fresh Twin Key declaration, and the system logs every renewal for the Stability Audit.</w:t>
      </w:r>
    </w:p>
    <w:p>
      <w:pPr>
        <w:jc w:val="both"/>
      </w:pPr>
      <w:r>
        <w:rPr/>
        <w:t xml:space="preserve">11.3 The humanitarian absolute. V-3 traffic moves in every flow state, in every sector, at every time. No organ, officer, or circumstance suspends, delays, inspects, or diverts humanitarian traffic under this Understanding. IPR-10 states this as an inviolable line, and a breach of it classifies as Tier 3 under Article 32.</w:t>
      </w:r>
    </w:p>
    <w:p>
      <w:pPr>
        <w:jc w:val="both"/>
      </w:pPr>
      <w:r>
        <w:rPr/>
        <w:t xml:space="preserve">11.4 The market signal rule. Every flow state declaration publishes simultaneously to the mariners' channel, the Stakeholder Panel, the Endorsing Stakeholders, and the public log. The architecture treats timely, honest flow state information as a market stability instrument: insurers price what they know, and the system tells them everything, immediately, in one place.</w:t>
      </w:r>
    </w:p>
    <w:p>
      <w:pPr>
        <w:pStyle w:val="Heading2"/>
      </w:pPr>
      <w:bookmarkStart w:id="118" w:name="_Toc261100018"/>
      <w:r>
        <w:rPr>
          <w:rFonts w:ascii="Calibri" w:hAnsi="Calibri"/>
        </w:rPr>
        <w:t xml:space="preserve">Article 12: Passage Rights and the Absolute Non-Interdiction Protocol</w:t>
      </w:r>
      <w:bookmarkEnd w:id="118"/>
    </w:p>
    <w:p>
      <w:pPr>
        <w:jc w:val="both"/>
      </w:pPr>
      <w:r>
        <w:rPr/>
        <w:t xml:space="preserve">12.1 Passage is free and unconditioned. Every vessel of every class transits the corridors of this Understanding freely, continuously, and expeditiously, in the ordinary mode of navigation, without charge, without permission, and without condition. This Understanding restores and codifies the pre-crisis freedom of navigation and adds to it a verified safety architecture that the pre-crisis Strait never possessed.</w:t>
      </w:r>
    </w:p>
    <w:p>
      <w:pPr>
        <w:jc w:val="both"/>
      </w:pPr>
      <w:r>
        <w:rPr/>
        <w:t xml:space="preserve">12.2 The absolute non-interdiction protocol. Commercial transit operates under an absolute non-interdiction protocol within the framework. The protocol excludes boarding, diversion, seizure, detention, harassment, inspection, or interference with any vessel engaged in transit, by any actor, inside a passage, under any circumstances. The protocol binds state and non-state actors alike within the reach of the Parties' authority, and Article 16 and Annex L state the protective measures that activate against third-party interference.</w:t>
      </w:r>
    </w:p>
    <w:p>
      <w:pPr>
        <w:jc w:val="both"/>
      </w:pPr>
      <w:r>
        <w:rPr/>
        <w:t xml:space="preserve">12.3 Distress and safety exceptions. The protocol of Section 12.2 yields only to the law of rescue: a vessel in distress receives assistance; a vessel that requests inspection or assistance receives it; and pollution response under Article 18 proceeds against a vessel that discharges, on convergent evidence, in accordance with the environmental provisions of Annex B. These exceptions serve the vessel and the environment, never the interdictor, and every use of an exception enters the public log with the convergent evidence that supports it.</w:t>
      </w:r>
    </w:p>
    <w:p>
      <w:pPr>
        <w:jc w:val="both"/>
      </w:pPr>
      <w:r>
        <w:rPr/>
        <w:t xml:space="preserve">12.4 Warships. V-4 vessels transit under the deconfliction rules of Annex L: prior notification to the Deconfliction Desk, adherence to corridor or deconfliction routing, submerged submarines on the surface, and no exercises, launches, or overflights inside the Governance Area outside the notified deconfliction plan. The non-interdiction protocol protects warships in transit exactly as it protects merchants.</w:t>
      </w:r>
    </w:p>
    <w:p>
      <w:pPr>
        <w:jc w:val="both"/>
      </w:pPr>
      <w:r>
        <w:rPr/>
        <w:t xml:space="preserve">12.5 The guarantee to Iranian shipping and Gulf shipping. The architecture protects the commercial shipping of every littoral state with identical force. Iranian vessels, Omani vessels, and the vessels of every acceding Gulf state transit under the same freedom, the same non-interdiction protocol, and the same verification protection as every other vessel. This reciprocity forms part of the bargain: the strait that Iran helps manage keeps Iran's own exports moving under the world's strongest anti-interdiction guarantee.</w:t>
      </w:r>
    </w:p>
    <w:p>
      <w:pPr>
        <w:pStyle w:val="Heading1"/>
        <w:pageBreakBefore/>
        <w:pBdr>
          <w:bottom w:val="single" w:color="B9C6CF" w:sz="6" w:space="4"/>
        </w:pBdr>
      </w:pPr>
      <w:bookmarkStart w:id="119" w:name="_Toc261100019"/>
      <w:r>
        <w:rPr>
          <w:rFonts w:ascii="Calibri" w:hAnsi="Calibri"/>
        </w:rPr>
        <w:t xml:space="preserve">Part III: Security Functions and Deconfliction</w:t>
      </w:r>
      <w:bookmarkEnd w:id="119"/>
    </w:p>
    <w:p>
      <w:pPr>
        <w:pStyle w:val="Heading2"/>
      </w:pPr>
      <w:bookmarkStart w:id="120" w:name="_Toc261100020"/>
      <w:r>
        <w:rPr>
          <w:rFonts w:ascii="Calibri" w:hAnsi="Calibri"/>
        </w:rPr>
        <w:t xml:space="preserve">Article 13: Functional Allocation of Security Tasks</w:t>
      </w:r>
      <w:bookmarkEnd w:id="120"/>
    </w:p>
    <w:p>
      <w:pPr>
        <w:jc w:val="both"/>
      </w:pPr>
      <w:r>
        <w:rPr/>
        <w:t xml:space="preserve">13.1 Functions, not sovereignty. The architecture resolves the security-authority question, the single largest unresolved item of the public negotiating record, by allocating functions rather than sovereignty. The question "who controls the Strait" dissolves into a schedule of tasks: who performs traffic management, who conducts environmental monitoring, who coordinates search and rescue, who surveys for hazards, who certifies the corridors, and who concurs when an action becomes consequential. Annex E carries the complete Functional Allocation Table.</w:t>
      </w:r>
    </w:p>
    <w:p>
      <w:pPr>
        <w:jc w:val="both"/>
      </w:pPr>
      <w:r>
        <w:rPr/>
        <w:t xml:space="preserve">13.2 The baseline allocation. At activation, the baseline allocation stands as follows: (a) Iran performs the corridor functions of the Northern Inbound Corridor; (b) Oman performs the corridor functions of the Southern Outbound Corridor; (c) the two Founding Parties co-perform the functions of the Central Assurance Corridor through paired teams; (d) the Neutral Verification Office performs certification, audit, and data-custody functions; (e) the Authority's Transit Desk performs notification processing for the entire system; and (f) the Good Behavior Escalator of Article 34 adjusts the allocation thereafter, on verified performance, within the bounds of Annex H.</w:t>
      </w:r>
    </w:p>
    <w:p>
      <w:pPr>
        <w:jc w:val="both"/>
      </w:pPr>
      <w:r>
        <w:rPr/>
        <w:t xml:space="preserve">13.3 Corridor functions enumerated. The corridor functions consist of exactly ten items: (1) vessel traffic management and routing guidance; (2) maintenance of aids to navigation; (3) hydrographic survey liaison; (4) environmental monitoring and pollution watch; (5) search and rescue coordination; (6) hazard and mine-risk reporting; (7) incident logging and first response; (8) mariner notification and bulletin issuance; (9) data feed custody for the fused picture; and (10) escort and convoy window coordination for operators that request it. No function beyond these ten exists in the corridor system, and no Party adds a function except through Article 41.</w:t>
      </w:r>
    </w:p>
    <w:p>
      <w:pPr>
        <w:jc w:val="both"/>
      </w:pPr>
      <w:r>
        <w:rPr/>
        <w:t xml:space="preserve">13.4 What security functions exclude. The corridor functions exclude, always and in every corridor: interdiction, boarding, inspection, diversion, seizure, weapons employment, blockade, quarantine enforcement, sanctions enforcement, and intelligence collection. The architecture draws a hard line between service and force: corridor functions serve the mariner, and force plays no role in the corridor system. Military matters flow exclusively through the deconfliction architecture of Article 16 and Annex L.</w:t>
      </w:r>
    </w:p>
    <w:p>
      <w:pPr>
        <w:jc w:val="both"/>
      </w:pPr>
      <w:r>
        <w:rPr/>
        <w:t xml:space="preserve">13.5 Patrol presence. Routine safety presence within the corridors consists of the coast guard and maritime police assets of the Founding Parties, operating under Annex E: Iranian assets in the Northern Corridor, Omani assets in the Southern Corridor, paired assets in the Central Assurance Corridor. Patrol vessels transmit automatic identification system signals continuously, carry the liaison communications package of Annex L, and log every approach to a commercial vessel in the public incident log. Patrol presence serves safety and deterrence of third-party interference; it never conducts the excluded acts of Section 13.4.</w:t>
      </w:r>
    </w:p>
    <w:p>
      <w:pPr>
        <w:pStyle w:val="Heading2"/>
      </w:pPr>
      <w:bookmarkStart w:id="121" w:name="_Toc261100021"/>
      <w:r>
        <w:rPr>
          <w:rFonts w:ascii="Calibri" w:hAnsi="Calibri"/>
        </w:rPr>
        <w:t xml:space="preserve">Article 14: The Twin Key Rule</w:t>
      </w:r>
      <w:bookmarkEnd w:id="121"/>
    </w:p>
    <w:p>
      <w:pPr>
        <w:jc w:val="both"/>
      </w:pPr>
      <w:r>
        <w:rPr/>
        <w:t xml:space="preserve">14.1 The rule. No consequential action under this Understanding proceeds on the authority of one state or one officer alone. Every consequential action carries two concurring keys, turned together: this is the Twin Key rule, and it satisfies the red line of the United States and the GCC states against unilateral control while giving each Founding Party a genuine, formal, continuous role.</w:t>
      </w:r>
    </w:p>
    <w:p>
      <w:pPr>
        <w:jc w:val="both"/>
      </w:pPr>
      <w:r>
        <w:rPr/>
        <w:t xml:space="preserve">14.2 Consequential actions enumerated. The consequential actions under this Understanding consist of exactly eight items: (1) a transition to Suspended Flow under Article 11; (2) an emergency diversion instruction affecting more than one vessel; (3) the declaration of a hazard area and the rerouting of traffic around it; (4) the activation of the mine countermeasure coordination sequence of Article 17; (5) a corridor geometry adjustment proposal under Article 8.6; (6) the classification of a Tier 2 or Tier 3 event under Article 32; (7) a step-back measure under Article 33; and (8) any publication that names a Party in connection with a compliance finding. No other action requires two keys; routine operations run on single-signature authority so the system stays fast and cheap.</w:t>
      </w:r>
    </w:p>
    <w:p>
      <w:pPr>
        <w:jc w:val="both"/>
      </w:pPr>
      <w:r>
        <w:rPr/>
        <w:t xml:space="preserve">14.3 The key pairs. The key pairs for each consequential action appear in Annex E, Table E.3, and follow three patterns: (a) for actions inside the Northern Corridor, the Iranian functional director and the Omani functional director hold the keys; (b) for actions inside the Southern Corridor, the Omani functional director and the GCC observer-designated liaison hold the keys; and (c) for actions in the Central Assurance Corridor or spanning the system, the Iranian functional director, the Omani functional director, and the Neutral Verification Office duty certifier hold a three-key rule, with any two of three concurring.</w:t>
      </w:r>
    </w:p>
    <w:p>
      <w:pPr>
        <w:jc w:val="both"/>
      </w:pPr>
      <w:r>
        <w:rPr/>
        <w:t xml:space="preserve">14.4 Turn time. The keys turn fast. A Twin Key request transmits on the dedicated channel of Annex L, and the second key responds within 15 minutes for safety actions and within 2 hours for administrative actions. Silence past the response window in a safety matter operates as concurrence, because safety favors action; silence in an administrative matter operates as non-concurrence, because administration favors caution. The system logs every key turn, every request, and every silence in the public record.</w:t>
      </w:r>
    </w:p>
    <w:p>
      <w:pPr>
        <w:jc w:val="both"/>
      </w:pPr>
      <w:r>
        <w:rPr/>
        <w:t xml:space="preserve">14.5 No pocket veto. A key holder that declines concurrence states its reason in writing within the response window, and the reason enters the record. A pattern of unexplained refusals constitutes a data point for the Stability Audit and for the Compliance Review of Article 32, but no single refusal blocks the system: safety actions proceed on the silence rule of Section 14.4, and administrative deadlocks route to the Hormuz Bridge Commission under Article 22.</w:t>
      </w:r>
    </w:p>
    <w:p>
      <w:pPr>
        <w:pStyle w:val="Heading2"/>
      </w:pPr>
      <w:bookmarkStart w:id="122" w:name="_Toc261100022"/>
      <w:r>
        <w:rPr>
          <w:rFonts w:ascii="Calibri" w:hAnsi="Calibri"/>
        </w:rPr>
        <w:t xml:space="preserve">Article 15: Standoff Geometry and Naval Conduct</w:t>
      </w:r>
      <w:bookmarkEnd w:id="122"/>
    </w:p>
    <w:p>
      <w:pPr>
        <w:jc w:val="both"/>
      </w:pPr>
      <w:r>
        <w:rPr/>
        <w:t xml:space="preserve">15.1 The standoff rule. Naval and state vessels of every state maintain a minimum separation of 15 nautical miles from the commercial corridor centerlines, except: (a) coast guard and maritime police assets performing the patrol functions of Article 13.5; (b) naval units in transit through the notified deconfliction routing of Annex L; (c) survey and mine countermeasure units operating under Article 17 with corridor certification duties; and (d) search and rescue units responding to a distress case.</w:t>
      </w:r>
    </w:p>
    <w:p>
      <w:pPr>
        <w:jc w:val="both"/>
      </w:pPr>
      <w:r>
        <w:rPr/>
        <w:t xml:space="preserve">15.2 The escalation ladder. An approach by a state vessel inside the standoff distance outside the exceptions of Section 15.1 triggers a fixed ladder: (1) the Joint Coordination Center hails the vessel on the common channel and logs the approach; (2) the Deconfliction Desk notifies the vessel's state liaison desk; (3) the Authority publishes the approach in the incident log with track data; and (4) a persistent approach beyond 60 minutes classifies as a Tier 2 event and enters the compliance record of the vessel's state. The ladder contains no rung for force; de-escalation runs on information, transparency, and record.</w:t>
      </w:r>
    </w:p>
    <w:p>
      <w:pPr>
        <w:jc w:val="both"/>
      </w:pPr>
      <w:r>
        <w:rPr/>
        <w:t xml:space="preserve">15.3 Naval transit notification. A V-4 vessel intending to transit the Governance Area notifies the Deconfliction Desk between 48 hours and 6 hours before entry, stating vessel type, course band, speed band, and entry time. The Desk issues deconfliction routing that keeps the vessel clear of commercial traffic peaks, and the vessel follows it. Notification here serves deconfliction, never permission: the Desk holds no power to refuse a naval transit, and its routing instructions serve the safety of all traffic.</w:t>
      </w:r>
    </w:p>
    <w:p>
      <w:pPr>
        <w:jc w:val="both"/>
      </w:pPr>
      <w:r>
        <w:rPr/>
        <w:t xml:space="preserve">15.4 Conduct inside the area. Inside the Governance Area, state vessels of every state conduct no exercises, no weapons tests, no launches of aircraft or unmanned systems except for search and rescue, no jamming, and no interference with the automatic identification system or satellite navigation signals of any vessel. Signal interference of any kind inside the Governance Area classifies as a Tier 3 event under Article 32, because spoofing and jamming kill mariners.</w:t>
      </w:r>
    </w:p>
    <w:p>
      <w:pPr>
        <w:jc w:val="both"/>
      </w:pPr>
      <w:r>
        <w:rPr/>
        <w:t xml:space="preserve">15.5 External forces. The naval forces of Endorsing Stakeholders and of any other state operate outside the corridor system entirely. Their relationship to this Understanding runs through the Deconfliction Desk: they receive the fused picture, they notify transits, and they coordinate with the Joint Coordination Center. No external force performs corridor functions, escorts commercial vessels inside the corridors except under the convoy window protocol of Annex B, or stations itself inside the Governance Area except as Annex L permits for certified mine countermeasure and survey contributions.</w:t>
      </w:r>
    </w:p>
    <w:p>
      <w:pPr>
        <w:pStyle w:val="Heading2"/>
      </w:pPr>
      <w:bookmarkStart w:id="123" w:name="_Toc261100023"/>
      <w:r>
        <w:rPr>
          <w:rFonts w:ascii="Calibri" w:hAnsi="Calibri"/>
        </w:rPr>
        <w:t xml:space="preserve">Article 16: The Deconfliction Hotline and Military Liaison</w:t>
      </w:r>
      <w:bookmarkEnd w:id="123"/>
    </w:p>
    <w:p>
      <w:pPr>
        <w:jc w:val="both"/>
      </w:pPr>
      <w:r>
        <w:rPr/>
        <w:t xml:space="preserve">16.1 The hotline. The Authority operates a dedicated, recorded, 24-hour deconfliction hotline linking: (a) the Joint Coordination Center in Muscat; (b) the Mirror Facility in Bandar Abbas; (c) the military liaison desks of the Founding Parties; (d) the liaison desk of the United States Central Command, as an Endorsing Stakeholder channel; (e) the liaison desk of the France-United Kingdom mission, as an Endorsing Stakeholder channel; and (f) the liaison desks of acceding states that request connection. The hotline carries voice and data, records every exchange, and archives the record under the data custody rules of Article 10.4.</w:t>
      </w:r>
    </w:p>
    <w:p>
      <w:pPr>
        <w:jc w:val="both"/>
      </w:pPr>
      <w:r>
        <w:rPr/>
        <w:t xml:space="preserve">16.2 Response times. The hotline answers in 60 seconds. An incident notification transmits within 15 minutes of detection. A clarification request receives a substantive response within 2 hours. These times bind every desk equally, and the Neutral Verification Office audits hotline performance monthly against the logs.</w:t>
      </w:r>
    </w:p>
    <w:p>
      <w:pPr>
        <w:jc w:val="both"/>
      </w:pPr>
      <w:r>
        <w:rPr/>
        <w:t xml:space="preserve">16.3 The military liaison channel. Military liaison flows through the liaison desks and never through the watch floor, preserving the civilian character of every operational body under IPR-6. Each desk staffs continuously, holds secure communications capacity, and speaks the common operational language of the Mariners' Handbook. Liaison officers exchange no operational military intelligence; the channel exists to prevent accidents, not to share secrets.</w:t>
      </w:r>
    </w:p>
    <w:p>
      <w:pPr>
        <w:jc w:val="both"/>
      </w:pPr>
      <w:r>
        <w:rPr/>
        <w:t xml:space="preserve">16.4 The protective response commitment. In the event of an unattributed attack on any vessel or facility inside the Governance Area, the Parties execute the Group Response Commitment: (1) every Party's patrol assets move to protective positions along the corridors within 2 hours; (2) the Central Assurance Corridor opens for emergency routing; (3) the Joint Survey Cell of Article 17 deploys to the incident area; and (4) the Parties confer within 24 hours on the Twin Key channel. The commitment converts a single-victim calculus into a collective one, and it deters spoiler attacks by denying them their political effect.</w:t>
      </w:r>
    </w:p>
    <w:p>
      <w:pPr>
        <w:jc w:val="both"/>
      </w:pPr>
      <w:r>
        <w:rPr/>
        <w:t xml:space="preserve">16.5 The rogue-actor pathway. An incident attributable to no Party activates the rogue-actor pathway rather than the compliance engine: the Integrity Cell investigates, the Parties share the fused picture of the incident window, and the response targets the perpetrator rather than the relationship. No bilateral penalty attaches to an unattributed incident, and no false-flag attribution proceeds without the convergent evidence standard of Article 30. The architecture remembers July 2026: an ambiguous attribution cycle collapsed a ceasefire in days, and this pathway exists so that no future incident repeats that collapse.</w:t>
      </w:r>
    </w:p>
    <w:p>
      <w:pPr>
        <w:pStyle w:val="Heading2"/>
      </w:pPr>
      <w:bookmarkStart w:id="124" w:name="_Toc261100024"/>
      <w:r>
        <w:rPr>
          <w:rFonts w:ascii="Calibri" w:hAnsi="Calibri"/>
        </w:rPr>
        <w:t xml:space="preserve">Article 17: The Mine Exclusion and the Hazard Survey Sequence</w:t>
      </w:r>
      <w:bookmarkEnd w:id="124"/>
    </w:p>
    <w:p>
      <w:pPr>
        <w:jc w:val="both"/>
      </w:pPr>
      <w:r>
        <w:rPr/>
        <w:t xml:space="preserve">17.1 The mine exclusion. The framework excludes mines and placed hazards from the Governance Area, completely and permanently. The laying of any mine or placed hazard in the Governance Area, by any actor, at any time, constitutes a Tier 3 event and an attack on the architecture itself. The Parties direct their full protective and investigative capacity against any such act, regardless of attribution.</w:t>
      </w:r>
    </w:p>
    <w:p>
      <w:pPr>
        <w:jc w:val="both"/>
      </w:pPr>
      <w:r>
        <w:rPr/>
        <w:t xml:space="preserve">17.2 Hazard declarations. Within 72 hours of activation, each Founding Party declares to the Joint Survey Cell every minefield, wreck, obstruction, and placed hazard known to it within the Governance Area, with positions, dates, and estimated extents. The declarations merge into the Hazard Registry of Annex A, Table A.7, and the registry publishes to all mariners with the corridor charts.</w:t>
      </w:r>
    </w:p>
    <w:p>
      <w:pPr>
        <w:jc w:val="both"/>
      </w:pPr>
      <w:r>
        <w:rPr/>
        <w:t xml:space="preserve">17.3 The Joint Survey Cell. The Parties establish the Joint Survey Cell, co-led by the hydrographic offices of Iran and Oman, with technical interface from the IHO, the United Nations Mine Action Service, and the survey contributions of Endorsing Stakeholders, including the autonomous mine-hunting systems offered by the France-United Kingdom mission. The Cell surveys every corridor sector, certifies each sector free of hazards to the standard of Annex A, Section A.5, and hands each certification to the Neutral Verification Office for confirmation under the Convergence Standard.</w:t>
      </w:r>
    </w:p>
    <w:p>
      <w:pPr>
        <w:jc w:val="both"/>
      </w:pPr>
      <w:r>
        <w:rPr/>
        <w:t xml:space="preserve">17.4 Certification sequence. The survey sequence follows the activation order of Article 37: Central Assurance Corridor first, Southern Outbound Corridor second, Northern Inbound Corridor third. A corridor activates for traffic only after its certification publishes. The sequence targets completion of all three certifications by Day 40 of the activation timeline, and Annex J states the sector-by-sector schedule.</w:t>
      </w:r>
    </w:p>
    <w:p>
      <w:pPr>
        <w:jc w:val="both"/>
      </w:pPr>
      <w:r>
        <w:rPr/>
        <w:t xml:space="preserve">17.5 Standing survey duty. After activation, the Joint Survey Cell maintains a standing survey rhythm: every corridor sector resurveys on a rolling 180-day cycle, every reported hazard receives a survey response within 72 hours, and every certification publishes with its evidence. The standing duty converts mine risk from a strategic threat into a managed maintenance item, and its cost appears as a catalog service in Annex B.</w:t>
      </w:r>
    </w:p>
    <w:p>
      <w:pPr>
        <w:pStyle w:val="Heading1"/>
        <w:pageBreakBefore/>
        <w:pBdr>
          <w:bottom w:val="single" w:color="B9C6CF" w:sz="6" w:space="4"/>
        </w:pBdr>
      </w:pPr>
      <w:bookmarkStart w:id="125" w:name="_Toc261100025"/>
      <w:r>
        <w:rPr>
          <w:rFonts w:ascii="Calibri" w:hAnsi="Calibri"/>
        </w:rPr>
        <w:t xml:space="preserve">Part IV: The Institutional Architecture</w:t>
      </w:r>
      <w:bookmarkEnd w:id="125"/>
    </w:p>
    <w:p>
      <w:pPr>
        <w:pStyle w:val="Heading2"/>
      </w:pPr>
      <w:bookmarkStart w:id="126" w:name="_Toc261100026"/>
      <w:r>
        <w:rPr>
          <w:rFonts w:ascii="Calibri" w:hAnsi="Calibri"/>
        </w:rPr>
        <w:t xml:space="preserve">Article 18: The Horizon Maritime Authority</w:t>
      </w:r>
      <w:bookmarkEnd w:id="126"/>
    </w:p>
    <w:p>
      <w:pPr>
        <w:jc w:val="both"/>
      </w:pPr>
      <w:r>
        <w:rPr/>
        <w:t xml:space="preserve">18.1 Establishment. The Parties establish the Horizon Maritime Authority as the standing civilian institution of this Understanding. The Authority seats in Muscat, with a Mirror Facility of Equal Rank in Bandar Abbas. The Authority is small, professional, and civilian: a secretariat of not more than 60 staff across both facilities, drawn from the maritime administrations of the Founding Parties, the acceding states, and the Neutral Administrator's technical roster.</w:t>
      </w:r>
    </w:p>
    <w:p>
      <w:pPr>
        <w:jc w:val="both"/>
      </w:pPr>
      <w:r>
        <w:rPr/>
        <w:t xml:space="preserve">18.2 Character. The Authority holds no sovereignty, commands no forces, and owns no vessels or radar in the steady state. It coordinates, publishes, audits, and certifies. Its authority over the corridor system flows entirely from this instrument, and its officers act as officials of the architecture, never as agents of their home states, during their service.</w:t>
      </w:r>
    </w:p>
    <w:p>
      <w:pPr>
        <w:jc w:val="both"/>
      </w:pPr>
      <w:r>
        <w:rPr/>
        <w:t xml:space="preserve">18.3 The co-directorship. Two co-directors lead the Authority: one nominated by Iran, one nominated by Oman, each confirmed by the Hormuz Bridge Commission for a four-year term, renewable by silence. The co-directors alternate as chair of the Joint Coordination Center on a monthly rotation. A decision of the Authority on any consequential matter carries both signatures, in application of the Twin Key rule at the institutional level.</w:t>
      </w:r>
    </w:p>
    <w:p>
      <w:pPr>
        <w:jc w:val="both"/>
      </w:pPr>
      <w:r>
        <w:rPr/>
        <w:t xml:space="preserve">18.4 Organs. The Authority comprises: (a) the Joint Coordination Center, the operational watch floor of Article 19; (b) the Transit Desk of Article 20; (c) the Neutral Verification Office of Article 21, which sits inside the Authority's structure but answers to the Bridge Commission directly; (d) the Technical Standards Committee; (e) the Joint Survey Cell of Article 17; (f) the Deconfliction Desk of Article 16; and (g) the Secretariat, which runs administration, budget, and publication.</w:t>
      </w:r>
    </w:p>
    <w:p>
      <w:pPr>
        <w:jc w:val="both"/>
      </w:pPr>
      <w:r>
        <w:rPr/>
        <w:t xml:space="preserve">18.5 Budget and cost discipline. The Authority operates on the budget of Annex C, Section C.6, funded through the Voluntary Contribution Facility and the service accounts of Annex B. The budget follows the cost-effectiveness principle of Article 4.3: shared assets, seconded personnel, existing infrastructure. The baseline annual operating budget of the Authority stands at a level the Parties estimate at 24 million dollars, of which secondments in kind cover more than half, and Annex C publishes every line.</w:t>
      </w:r>
    </w:p>
    <w:p>
      <w:pPr>
        <w:jc w:val="both"/>
      </w:pPr>
      <w:r>
        <w:rPr/>
        <w:t xml:space="preserve">18.6 Premises and status. Oman hosts the Muscat seat and Iran hosts the Bandar Abbas Mirror Facility, each granting the facilities and immunities customary for a small international technical body. The two facilities hold equal rank in every respect: equal information, equal signature authority, equal ceremonial standing, and equal custody of the records. No document, decision, or datum exists at one facility that does not exist at the other at the same minute.</w:t>
      </w:r>
    </w:p>
    <w:p>
      <w:pPr>
        <w:pStyle w:val="Heading2"/>
      </w:pPr>
      <w:bookmarkStart w:id="127" w:name="_Toc261100027"/>
      <w:r>
        <w:rPr>
          <w:rFonts w:ascii="Calibri" w:hAnsi="Calibri"/>
        </w:rPr>
        <w:t xml:space="preserve">Article 19: The Joint Watch Floors and the Mirror Facility</w:t>
      </w:r>
      <w:bookmarkEnd w:id="127"/>
    </w:p>
    <w:p>
      <w:pPr>
        <w:jc w:val="both"/>
      </w:pPr>
      <w:r>
        <w:rPr/>
        <w:t xml:space="preserve">19.1 The watch floor. The Joint Coordination Center operates a continuous watch floor in Muscat, mirrored minute-by-minute at the Bandar Abbas Mirror Facility. Each watch floor displays the fused radar and automatic identification system picture of the entire Governance Area, the flow state of every corridor sector, the hazard registry, the hotline status, and the public incident log.</w:t>
      </w:r>
    </w:p>
    <w:p>
      <w:pPr>
        <w:jc w:val="both"/>
      </w:pPr>
      <w:r>
        <w:rPr/>
        <w:t xml:space="preserve">19.2 Paired staffing. Every operational post on each watch floor staffs with paired officers: one Iranian and one Omani officer on every watch, at every post, at all times. Acceding states contribute watch officers as their participation deepens under Annex M, and the pairing principle extends: no watch post operates under a single national. The pairing embodies the Twin Key rule at the human level and makes every watch decision a joint decision by construction.</w:t>
      </w:r>
    </w:p>
    <w:p>
      <w:pPr>
        <w:jc w:val="both"/>
      </w:pPr>
      <w:r>
        <w:rPr/>
        <w:t xml:space="preserve">19.3 The fused picture. The monitoring architecture fuses the coastal radar chains of Iran and Oman, the automatic identification system receivers of both littorals, the satellite feeds contributed by Endorsing Stakeholders, and the patrol reports of the corridor functions into one common picture. The fused picture displays identically in Muscat and Bandar Abbas, streams to the liaison desks of Article 16, and publishes to the Stakeholder Panel and the public on a five-minute delay, with the data custody rules of Article 10.4 applying to every stream.</w:t>
      </w:r>
    </w:p>
    <w:p>
      <w:pPr>
        <w:jc w:val="both"/>
      </w:pPr>
      <w:r>
        <w:rPr/>
        <w:t xml:space="preserve">19.4 Watch duties. The watch floor: (a) monitors corridor adherence and automatic identification system continuity; (b) issues routing guidance and the Open Water Bulletin; (c) coordinates emergency diversions into the Central Assurance Corridor; (d) triggers the escalation ladder of Article 15.2; (e) initiates Twin Key requests for consequential actions; and (f) logs everything. The watch floor directs no vessel by force; it informs, guides, and coordinates, and mariners follow its guidance because the guidance carries the fused picture's authority and the log's transparency.</w:t>
      </w:r>
    </w:p>
    <w:p>
      <w:pPr>
        <w:jc w:val="both"/>
      </w:pPr>
      <w:r>
        <w:rPr/>
        <w:t xml:space="preserve">19.5 The mirror discipline. The Bandar Abbas Mirror Facility duplicates every capability of the Muscat watch floor. If one facility degrades for any reason, technical or political, the other carries the full function alone, and the degraded facility's personnel relocate their work to the functioning facility's remote access bridge within one hour. The mirror discipline removes every single point of failure from the architecture's nerve center.</w:t>
      </w:r>
    </w:p>
    <w:p>
      <w:pPr>
        <w:pStyle w:val="Heading2"/>
      </w:pPr>
      <w:bookmarkStart w:id="128" w:name="_Toc261100028"/>
      <w:r>
        <w:rPr>
          <w:rFonts w:ascii="Calibri" w:hAnsi="Calibri"/>
        </w:rPr>
        <w:t xml:space="preserve">Article 20: The Transit Desk</w:t>
      </w:r>
      <w:bookmarkEnd w:id="128"/>
    </w:p>
    <w:p>
      <w:pPr>
        <w:jc w:val="both"/>
      </w:pPr>
      <w:r>
        <w:rPr/>
        <w:t xml:space="preserve">20.1 Function. The Transit Desk receives, processes, and acknowledges every transit notice under Article 10, issues the Open Water Bulletin, operates the flow state declarations under Article 11, and maintains the public traffic log. The Desk staffs around the clock with paired officers and publishes its performance statistics monthly: notices received, acknowledgment times, completeness rejections, and flow state declarations.</w:t>
      </w:r>
    </w:p>
    <w:p>
      <w:pPr>
        <w:jc w:val="both"/>
      </w:pPr>
      <w:r>
        <w:rPr/>
        <w:t xml:space="preserve">20.2 The Open Water Bulletin. The Desk issues the Open Water Bulletin every six hours and on every state change. The Bulletin states, in the plain format of Annex F, Section F.4: the flow state of every sector, active hazards and survey activity, convoy windows, weather and visibility notes, and any routing guidance in force. Mariners plan their transits on the Bulletin, insurers price on it, and the Stability Audit reads it as the system's pulse.</w:t>
      </w:r>
    </w:p>
    <w:p>
      <w:pPr>
        <w:jc w:val="both"/>
      </w:pPr>
      <w:r>
        <w:rPr/>
        <w:t xml:space="preserve">20.3 The public traffic log. The Desk maintains the public traffic log: every transit, its class, its corridor, its entry and exit times, and its adherence record, in aggregated and anonymized form. The log publishes daily. The transparency demand of the United States, the GCC, the European bodies, and the insurers finds its answer here: the system's traffic is public knowledge, in near real time, forever.</w:t>
      </w:r>
    </w:p>
    <w:p>
      <w:pPr>
        <w:pStyle w:val="Heading2"/>
      </w:pPr>
      <w:bookmarkStart w:id="129" w:name="_Toc261100029"/>
      <w:r>
        <w:rPr>
          <w:rFonts w:ascii="Calibri" w:hAnsi="Calibri"/>
        </w:rPr>
        <w:t xml:space="preserve">Article 21: The Neutral Verification Office</w:t>
      </w:r>
      <w:bookmarkEnd w:id="129"/>
    </w:p>
    <w:p>
      <w:pPr>
        <w:jc w:val="both"/>
      </w:pPr>
      <w:r>
        <w:rPr/>
        <w:t xml:space="preserve">21.1 Establishment. The Parties establish the Neutral Verification Office as the independent verification organ of this Understanding. The Office staffs with observers and inspectors drawn from states that are not Gulf littoral states, led by a Chief Verifier appointed by the Hormuz Bridge Commission on the joint nomination of the Neutral Administrator and the Mediator of Record. The Office answers to the Bridge Commission directly and holds its own budget line in Annex C.</w:t>
      </w:r>
    </w:p>
    <w:p>
      <w:pPr>
        <w:jc w:val="both"/>
      </w:pPr>
      <w:r>
        <w:rPr/>
        <w:t xml:space="preserve">21.2 Duties. The Office: (a) certifies corridor survey results under Article 17; (b) certifies clean weeks and escalator steps under Article 34 and Annex H; (c) conducts the Stability Audit of Article 38; (d) audits the financial flows of Annexes B, C, and D; (e) audits data custody under Article 10.4; (f) certifies every compliance finding under the Human Anchor method of Article 30; and (g) publishes the Weekly Verification Bulletin.</w:t>
      </w:r>
    </w:p>
    <w:p>
      <w:pPr>
        <w:jc w:val="both"/>
      </w:pPr>
      <w:r>
        <w:rPr/>
        <w:t xml:space="preserve">21.3 Access. The Office holds standing access to: both watch floors, the fused picture without delay, the hotline records, the financial records of the Authority and the Fund, the survey data of the Joint Survey Cell, and the patrol logs. Its observers ride survey vessels, attend convoy windows, and inspect corridor infrastructure on 24 hours' notice. No Party conditions, delays, or denies the Office's access; an obstruction of verification classifies as a Tier 2 event and, if deliberate, as Tier 3.</w:t>
      </w:r>
    </w:p>
    <w:p>
      <w:pPr>
        <w:jc w:val="both"/>
      </w:pPr>
      <w:r>
        <w:rPr/>
        <w:t xml:space="preserve">21.4 The human certifier rule. Every consequential output of the Office carries the signature of a named human certifier: a person, identified by name and office, who stands behind the finding. The architecture trusts people over sensors, and the signature requirement makes trust personal. Annex H and Annex I state the certification standards the certifiers apply.</w:t>
      </w:r>
    </w:p>
    <w:p>
      <w:pPr>
        <w:pStyle w:val="Heading2"/>
      </w:pPr>
      <w:bookmarkStart w:id="130" w:name="_Toc261100030"/>
      <w:r>
        <w:rPr>
          <w:rFonts w:ascii="Calibri" w:hAnsi="Calibri"/>
        </w:rPr>
        <w:t xml:space="preserve">Article 22: The Hormuz Bridge Commission</w:t>
      </w:r>
      <w:bookmarkEnd w:id="130"/>
    </w:p>
    <w:p>
      <w:pPr>
        <w:jc w:val="both"/>
      </w:pPr>
      <w:r>
        <w:rPr/>
        <w:t xml:space="preserve">22.1 Composition. The Hormuz Bridge Commission serves as the political interface and senior organ of this Understanding. It comprises: one ministerial representative of each Founding Party; one ministerial representative of each acceding state; the Mediator of Record; and the Neutral Administrator, the last two without vote. The Commission meets quarterly in Muscat and Bandar Abbas in alternation, and in extraordinary session on the call of any two members.</w:t>
      </w:r>
    </w:p>
    <w:p>
      <w:pPr>
        <w:jc w:val="both"/>
      </w:pPr>
      <w:r>
        <w:rPr/>
        <w:t xml:space="preserve">22.2 Duties. The Commission: (a) resolves deadlocks escalated from the Authority under Article 14.5; (b) approves the budget and the audited accounts; (c) appoints the co-directors and confirms the Chief Verifier; (d) receives the Stability Audit and declares the activation milestones of Article 37; (e) approves accession instruments under Article 43; and (f) refers unresolved disputes to the mechanisms of Article 39. The Commission decides by consensus, and where consensus fails after two readings, by paired vote: one vote per Founding Party and one collective vote for the acceding states, with both votes concurring.</w:t>
      </w:r>
    </w:p>
    <w:p>
      <w:pPr>
        <w:jc w:val="both"/>
      </w:pPr>
      <w:r>
        <w:rPr/>
        <w:t xml:space="preserve">22.3 Limits. The Commission holds no power to suspend the corridor system, to condition transit, to alter the Inviolable Principles, or to direct any military activity. Its remit covers administration, budget, appointments, and dispute referral. The corridor system runs beneath it, indifferent to its quarrels, under the Standing Continuity Guarantee.</w:t>
      </w:r>
    </w:p>
    <w:p>
      <w:pPr>
        <w:pStyle w:val="Heading2"/>
      </w:pPr>
      <w:bookmarkStart w:id="131" w:name="_Toc261100031"/>
      <w:r>
        <w:rPr>
          <w:rFonts w:ascii="Calibri" w:hAnsi="Calibri"/>
        </w:rPr>
        <w:t xml:space="preserve">Article 23: The Stakeholder Panel</w:t>
      </w:r>
      <w:bookmarkEnd w:id="131"/>
    </w:p>
    <w:p>
      <w:pPr>
        <w:jc w:val="both"/>
      </w:pPr>
      <w:r>
        <w:rPr/>
        <w:t xml:space="preserve">23.1 Composition. The Parties establish the Stakeholder Panel as the formal advisory voice of the maritime industry. The Panel seats: four shipowner representatives nominated through the International Chamber of Shipping; two tanker and two gas carrier operator representatives; three insurer representatives nominated through the International Group of P&amp;I Clubs; two seafarer representatives nominated through the international seafarers' organizations; two port authority representatives from Gulf load ports; and one representative of the energy charterers. The Panel elects its chair annually and meets monthly with the Authority, in Muscat or by secure link.</w:t>
      </w:r>
    </w:p>
    <w:p>
      <w:pPr>
        <w:jc w:val="both"/>
      </w:pPr>
      <w:r>
        <w:rPr/>
        <w:t xml:space="preserve">23.2 Functions. The Panel: (a) advises on the Mariners' Handbook and every procedure a mariner executes; (b) reviews the rate card of Annex B and the contribution schedule of Annex C before each annual publication; (c) receives the incident log, the audit outputs, and the flow state history in full; (d) nominates the deck officers who test the Handbook under Article 4.4; (e) reports quarterly on the commercial confidence of the system, including war-risk premium movements and traffic volumes; and (f) raises any operational concern directly with the co-directors, with a guaranteed written response within fourteen days.</w:t>
      </w:r>
    </w:p>
    <w:p>
      <w:pPr>
        <w:jc w:val="both"/>
      </w:pPr>
      <w:r>
        <w:rPr/>
        <w:t xml:space="preserve">23.3 Why the Panel matters. The crisis of 2026 demonstrated that the practical closure of the Strait came from the insurance market and the shipowners, not from any legal closure. Restoring and keeping commercial confidence therefore stands as an architectural function, not a public relations task. The Panel embeds the industry's judgment inside the system, so that the people who price the risk help design the rules that reduce it.</w:t>
      </w:r>
    </w:p>
    <w:p>
      <w:pPr>
        <w:pStyle w:val="Heading2"/>
      </w:pPr>
      <w:bookmarkStart w:id="132" w:name="_Toc261100032"/>
      <w:r>
        <w:rPr>
          <w:rFonts w:ascii="Calibri" w:hAnsi="Calibri"/>
        </w:rPr>
        <w:t xml:space="preserve">Article 24: Observers, the Accession Path, and the Endorsing Stakeholder Model</w:t>
      </w:r>
      <w:bookmarkEnd w:id="132"/>
    </w:p>
    <w:p>
      <w:pPr>
        <w:jc w:val="both"/>
      </w:pPr>
      <w:r>
        <w:rPr/>
        <w:t xml:space="preserve">24.1 GCC standing invitation. Every member state of the Gulf Cooperation Council holds a standing invitation to accede to this Understanding under Article 43 and, pending accession, to sit as a standing observer in the Authority: with access to the fused picture, attendance at the Bridge Commission without vote, a liaison desk connection under Article 16, and the monitoring access of Annex M. The six Gulf littoral states thus stand inside the architecture from Day 1, and the United States never stands as the system's sole external guarantor.</w:t>
      </w:r>
    </w:p>
    <w:p>
      <w:pPr>
        <w:jc w:val="both"/>
      </w:pPr>
      <w:r>
        <w:rPr/>
        <w:t xml:space="preserve">24.2 The Endorsing Stakeholder model. A state or coalition that endorses this Understanding and accepts its terms registers with the Depositary as an Endorsing Stakeholder. An Endorsing Stakeholder receives: (a) the fused picture and the incident log in full; (b) a deconfliction channel under Article 16; (c) a standing observer seat in the Authority without vote; and (d) the right to contribute survey, mine countermeasure, and technical assets under Article 17 and Annex L. An Endorsing Stakeholder holds no command, no veto, and no enforcement role over any element of this Understanding. The model fits the United States precisely: full monitoring access, a deconfliction channel, a standing seat, and no command relationship with Tehran or Muscat.</w:t>
      </w:r>
    </w:p>
    <w:p>
      <w:pPr>
        <w:jc w:val="both"/>
      </w:pPr>
      <w:r>
        <w:rPr/>
        <w:t xml:space="preserve">24.3 The United States. The United States of America registers as an Endorsing Stakeholder upon signature of the adherence instrument of Annex M, Section M.3. The registration carries the synchronized obligation of IPR-16: the termination of every blockade measure and impediment to passage executes in the Synchronized Indivisible Event, and the adherence instrument states this pairing in its text. The protective presence that the United States offers the region thereafter operates outside the corridor system, in consultation with the Deconfliction Desk, under the rules of Article 15.5.</w:t>
      </w:r>
    </w:p>
    <w:p>
      <w:pPr>
        <w:jc w:val="both"/>
      </w:pPr>
      <w:r>
        <w:rPr/>
        <w:t xml:space="preserve">24.4 The European mission. The France-United Kingdom Multinational Maritime Mission, and the states contributing to it, register as Endorsing Stakeholders under the same model. The mission's mine-hunting, survey, and counter-drone capabilities contribute to the Joint Survey Cell under civilian direction, and its escort capacity stands available to the convoy window protocol of Annex B at the request of the Authority. The mission thereby gains a lawful, welcomed, and useful role inside the architecture rather than a contested presence beside it, and its strictly defensive character finds full respect in the civilian design.</w:t>
      </w:r>
    </w:p>
    <w:p>
      <w:pPr>
        <w:jc w:val="both"/>
      </w:pPr>
      <w:r>
        <w:rPr/>
        <w:t xml:space="preserve">24.5 The technical observers. The IMO, the IHO, and the United Nations Mine Action Service hold standing technical observer status, with access to the survey data, the geometry registry, and the audit outputs. The IMO receives every registration of Article 7.4 and reviews the corridor scheme against its traffic separation standards, and the Parties invite its formal notation of the scheme as an additional assurance to the industry.</w:t>
      </w:r>
    </w:p>
    <w:p>
      <w:pPr>
        <w:jc w:val="both"/>
      </w:pPr>
      <w:r>
        <w:rPr/>
        <w:t xml:space="preserve">24.6 No command from outside. IPR-14 governs this Article: no external state or body commands any element of this Understanding. Endorsing Stakeholders observe, monitor, de-conflict, and contribute. The corridor system answers to its own organs, its own verification, and its own two littorals, and that answer satisfies the sovereignty of the Founding Parties and the oversight demand of the international community at once.</w:t>
      </w:r>
    </w:p>
    <w:p>
      <w:pPr>
        <w:pStyle w:val="Heading1"/>
        <w:pageBreakBefore/>
        <w:pBdr>
          <w:bottom w:val="single" w:color="B9C6CF" w:sz="6" w:space="4"/>
        </w:pBdr>
      </w:pPr>
      <w:bookmarkStart w:id="133" w:name="_Toc261100033"/>
      <w:r>
        <w:rPr>
          <w:rFonts w:ascii="Calibri" w:hAnsi="Calibri"/>
        </w:rPr>
        <w:t xml:space="preserve">Part V: The Financial Architecture</w:t>
      </w:r>
      <w:bookmarkEnd w:id="133"/>
    </w:p>
    <w:p>
      <w:pPr>
        <w:pStyle w:val="Heading2"/>
      </w:pPr>
      <w:bookmarkStart w:id="134" w:name="_Toc261100034"/>
      <w:r>
        <w:rPr>
          <w:rFonts w:ascii="Calibri" w:hAnsi="Calibri"/>
        </w:rPr>
        <w:t xml:space="preserve">Article 25: The Zero-Toll Rule</w:t>
      </w:r>
      <w:bookmarkEnd w:id="134"/>
    </w:p>
    <w:p>
      <w:pPr>
        <w:jc w:val="both"/>
      </w:pPr>
      <w:r>
        <w:rPr/>
        <w:t xml:space="preserve">25.1 The rule. Transit carries no charge, in any corridor, for any vessel, ever. No charge of any kind attaches to the act of transit: no toll, no tariff, no levy, no fee, no duty, no contribution requirement, no insurance condition, no bond, and no payment in kind. The framework states this rule in absolute terms because it constitutes a non-negotiable line of the United States, the GCC states, the European states, and the entire maritime industry, and because any ambiguity on this point destroys the architecture at birth.</w:t>
      </w:r>
    </w:p>
    <w:p>
      <w:pPr>
        <w:jc w:val="both"/>
      </w:pPr>
      <w:r>
        <w:rPr/>
        <w:t xml:space="preserve">25.2 What the rule covers. The rule covers every form of extraction at the point of passage: direct collection by a state vessel, shore-based invoicing of transiting ships, charges embedded in transit notices, and any conditioning of passage, speed, routing, or safety on payment. A vessel that pays nothing to anyone transits with exactly the same rights, speed, safety, and service access as a vessel whose operator contributes generously to the Voluntary Contribution Facility. The architecture contains no two-tier passage.</w:t>
      </w:r>
    </w:p>
    <w:p>
      <w:pPr>
        <w:jc w:val="both"/>
      </w:pPr>
      <w:r>
        <w:rPr/>
        <w:t xml:space="preserve">25.3 The service distinction. International maritime practice distinguishes between a charge on passage, which the law of the sea prohibits, and a charge for a specific service actually rendered, which it permits. This Understanding builds its entire financial architecture inside that distinction: passage is free; services carry compensation. The Verified Services Catalog of Annex B defines what counts as a service, and the anti-circumvention rule of Article 29.4 polices the boundary: the substance of a transaction, never its label, governs its character.</w:t>
      </w:r>
    </w:p>
    <w:p>
      <w:pPr>
        <w:jc w:val="both"/>
      </w:pPr>
      <w:r>
        <w:rPr/>
        <w:t xml:space="preserve">25.4 Settlement of the wartime fee question. The crisis period produced two fee claims: the Iranian practice of charging for security, safety, and environmental services during its administration of wartime passage, and the declared intention of the United States to charge a protection fee on cargo. This Understanding settles both claims the same way: both dissolve in the Synchronized Indivisible Event, and neither survives in any form. The architecture then gives each claimant what its claim actually sought: Iran receives lawful, audited service revenue and development benefit through Articles 26 and 27 and the development windows of Annex B, and the United States receives a strait that stays open, toll-free, and verified without costing it a dollar of collection machinery.</w:t>
      </w:r>
    </w:p>
    <w:p>
      <w:pPr>
        <w:jc w:val="both"/>
      </w:pPr>
      <w:r>
        <w:rPr/>
        <w:t xml:space="preserve">25.5 The precedent safeguard. The Parties adopt the Zero-Toll Rule conscious of its global significance: a toll in Hormuz invites tolls in Malacca, Bab el-Mandeb, and beyond. This Understanding protects the worldwide principle that international straits carry no tolls, and it answers Iran's legitimate revenue interest through mechanisms that strengthen rather than weaken that principle.</w:t>
      </w:r>
    </w:p>
    <w:p>
      <w:pPr>
        <w:pStyle w:val="Heading2"/>
      </w:pPr>
      <w:bookmarkStart w:id="135" w:name="_Toc261100035"/>
      <w:r>
        <w:rPr>
          <w:rFonts w:ascii="Calibri" w:hAnsi="Calibri"/>
        </w:rPr>
        <w:t xml:space="preserve">Article 26: The Verified Services Catalog</w:t>
      </w:r>
      <w:bookmarkEnd w:id="135"/>
    </w:p>
    <w:p>
      <w:pPr>
        <w:jc w:val="both"/>
      </w:pPr>
      <w:r>
        <w:rPr/>
        <w:t xml:space="preserve">26.1 The catalog. Annex B carries the Verified Services Catalog: the complete, closed list of services for which compensation flows under this Understanding. A service enters the catalog only if it is: (a) specific and identifiable; (b) actually performed; (c) verifiable by the Neutral Verification Office; (d) priced on a published, cost-based rate; and (e) useful to navigation, safety, or the environment. The catalog lists ten service lines: traffic management; aids-to-navigation maintenance; hydrographic survey; environmental monitoring; search and rescue readiness; hazard reporting and survey response; incident response and logging; mariner information services; escort and convoy window coordination; and pilotage and tug services where a vessel requests them.</w:t>
      </w:r>
    </w:p>
    <w:p>
      <w:pPr>
        <w:jc w:val="both"/>
      </w:pPr>
      <w:r>
        <w:rPr/>
        <w:t xml:space="preserve">26.2 The rate card. Each catalog service carries a published rate in Annex B, Section B.3, computed on the cost-recovery method: the audited cost of performing the service, divided by the audited volume of use, plus a maintenance margin of 10 percent, reviewed annually. Rates publish twelve months at a time, and the Stakeholder Panel reviews them before publication. The rate card makes every charge predictable, auditable, and boring: a charge that behaves like every other maritime service charge in the world.</w:t>
      </w:r>
    </w:p>
    <w:p>
      <w:pPr>
        <w:jc w:val="both"/>
      </w:pPr>
      <w:r>
        <w:rPr/>
        <w:t xml:space="preserve">26.3 Who receives service revenue. The Fund of Article 27 collects service revenue and apportions it to the performing Party monthly, against the Neutral Verification Office's certification of performance. Iran receives the revenue of the Northern Corridor services it performs; Oman receives the revenue of the Southern Corridor services it performs; the Central Assurance Corridor services apportion equally; and the Joint Survey Cell's costs draw directly on the Fund. No shipper pays any Party directly for anything: IPR-7 holds across every transaction.</w:t>
      </w:r>
    </w:p>
    <w:p>
      <w:pPr>
        <w:jc w:val="both"/>
      </w:pPr>
      <w:r>
        <w:rPr/>
        <w:t xml:space="preserve">26.4 The verification gate. Service revenue flows only against certification. The Neutral Verification Office certifies performance of each service line monthly, and uncertified performance earns nothing. This gate ties revenue to delivery, protects contributors from paying for phantom services, and gives the performing Parties a standing financial interest in flawless operation.</w:t>
      </w:r>
    </w:p>
    <w:p>
      <w:pPr>
        <w:pStyle w:val="Heading2"/>
      </w:pPr>
      <w:bookmarkStart w:id="136" w:name="_Toc261100036"/>
      <w:r>
        <w:rPr>
          <w:rFonts w:ascii="Calibri" w:hAnsi="Calibri"/>
        </w:rPr>
        <w:t xml:space="preserve">Article 27: The Voluntary Contribution Facility</w:t>
      </w:r>
      <w:bookmarkEnd w:id="136"/>
    </w:p>
    <w:p>
      <w:pPr>
        <w:jc w:val="both"/>
      </w:pPr>
      <w:r>
        <w:rPr/>
        <w:t xml:space="preserve">27.1 The facility. The Parties establish the Hormuz Maritime Services Fund, administered by the Neutral Administrator, as the single financial vehicle of this Understanding. The Fund receives: (a) voluntary contributions from shipping industry participants; (b) voluntary contributions from user states; (c) service revenue under Article 26; and (d) development window grants under Annex B, Section B.8. The Fund disburses: service revenue to the performing Parties, the Authority budget, the survey program, and the development windows, each under certification and audit.</w:t>
      </w:r>
    </w:p>
    <w:p>
      <w:pPr>
        <w:jc w:val="both"/>
      </w:pPr>
      <w:r>
        <w:rPr/>
        <w:t xml:space="preserve">27.2 The Malacca principle. Contributions to the Fund are voluntary, on the model of the cooperative mechanism of the Strait of Malacca, in which user states and industry contribute to the cost of navigation aids, environmental protection, and search and rescue without any per-transit charge. The Omani proposal of 28 July 2026, carried with Gulf backing, forms the basis of this Article. A contribution is never a condition of passage, never invoiced against a transit, and never collected at the point of passage. A vessel that contributes nothing transits with full rights; a vessel that contributes receives exactly the same passage and the gratitude of the system.</w:t>
      </w:r>
    </w:p>
    <w:p>
      <w:pPr>
        <w:jc w:val="both"/>
      </w:pPr>
      <w:r>
        <w:rPr/>
        <w:t xml:space="preserve">27.3 The suggested contribution schedule. Annex C publishes a suggested contribution schedule: voluntary amounts by vessel class and trade pattern, computed to fund the Fund's annual requirement in the range of 60 to 90 million dollars, a scale comparable to the Malacca mechanism and far below the crisis-era extraction. The schedule guides; it never obliges. Contributions transmit at the port of origin or destination through the port processing channel of Article 29.3, through the digital channel of Annex D, or through annual settlement by operators and charterers.</w:t>
      </w:r>
    </w:p>
    <w:p>
      <w:pPr>
        <w:jc w:val="both"/>
      </w:pPr>
      <w:r>
        <w:rPr/>
        <w:t xml:space="preserve">27.4 The heavy-user cap. No single operator's aggregate contributions and service charges exceed the heavy-user cap of Annex C, Section C.4: a published annual ceiling computed per fleet, set at a level that guarantees predictability for the largest tanker and gas fleets. The cap converts an open-ended exposure into a budgetable line item, and it answers the insurers' and owners' demand for cost certainty.</w:t>
      </w:r>
    </w:p>
    <w:p>
      <w:pPr>
        <w:jc w:val="both"/>
      </w:pPr>
      <w:r>
        <w:rPr/>
        <w:t xml:space="preserve">27.5 The participation dividend. Contributing operators receive: (a) the Route Assurance Data Service, the verified safety and tracking data stream of Annex B, Section B.6; (b) priority access to convoy windows; (c) the green discount of Annex C for vessels meeting the emissions standard; and (d) public recognition in the Fund's annual report. The dividend wraps contribution in commercial value without touching passage rights: the architecture sells data, assurance, and recognition, never access.</w:t>
      </w:r>
    </w:p>
    <w:p>
      <w:pPr>
        <w:jc w:val="both"/>
      </w:pPr>
      <w:r>
        <w:rPr/>
        <w:t xml:space="preserve">27.6 User state contributions. User states, including the energy-importing states of Asia and Europe, contribute to the Fund on the same voluntary basis, and the acceding Gulf states anchor the development windows with the grants of Annex B, Section B.8. State contributions carry no governance rights beyond the observer and stakeholder structures of Part IV: money buys services and development, never votes.</w:t>
      </w:r>
    </w:p>
    <w:p>
      <w:pPr>
        <w:pStyle w:val="Heading2"/>
      </w:pPr>
      <w:bookmarkStart w:id="137" w:name="_Toc261100037"/>
      <w:r>
        <w:rPr>
          <w:rFonts w:ascii="Calibri" w:hAnsi="Calibri"/>
        </w:rPr>
        <w:t xml:space="preserve">Article 28: The Sanctions-Compliance Firewall</w:t>
      </w:r>
      <w:bookmarkEnd w:id="137"/>
    </w:p>
    <w:p>
      <w:pPr>
        <w:jc w:val="both"/>
      </w:pPr>
      <w:r>
        <w:rPr/>
        <w:t xml:space="preserve">28.1 The firewall. Every payment flow under this Understanding routes through the Neutral Administrator and the Hormuz Account structure of Annex D. No shipper, operator, insurer, charterer, or state pays any Party directly. The Neutral Administrator receives all contributions and service revenue, holds them in the Hormuz Account in Bern, certifies their lawful character, and disburses them under the audit rules of Annex D. The channel insulates every participant: a shipping company in any jurisdiction pays a Swiss-administered multilateral fund, never an Iranian entity, and Iran receives its certified revenue from the fund, never from the shipper.</w:t>
      </w:r>
    </w:p>
    <w:p>
      <w:pPr>
        <w:jc w:val="both"/>
      </w:pPr>
      <w:r>
        <w:rPr/>
        <w:t xml:space="preserve">28.2 The Payment Surety Bond. The Neutral Administrator backs every disbursement with the Payment Surety Bond structure of Annex D, Section D.4: a standing legal opinion, refreshed semiannually, confirming that the Fund's receipts and disbursements comply with the sanctions laws of the endorsing states and the European Union, together with a reserve sufficient to guarantee disbursements for 180 days against any external interference. The architecture thereby functions even when the political weather turns, and no participant's compliance department faces an unsolvable problem.</w:t>
      </w:r>
    </w:p>
    <w:p>
      <w:pPr>
        <w:jc w:val="both"/>
      </w:pPr>
      <w:r>
        <w:rPr/>
        <w:t xml:space="preserve">28.3 Sanctions compatibility as a design constraint. The Parties design the firewall to satisfy the published sanctions frameworks of the United States and the European Union as they stand at signature, and the Neutral Administrator adapts the structure to framework changes through the annex updating process of Article 41, without reopening this Understanding. Where a sanctions framework prohibits a flow outright, the flow holds in escrow in the Hormuz Account until the framework permits it, and the escrowed amount remains the property of its intended recipient, earning interest for that recipient, disclosed in the audit.</w:t>
      </w:r>
    </w:p>
    <w:p>
      <w:pPr>
        <w:jc w:val="both"/>
      </w:pPr>
      <w:r>
        <w:rPr/>
        <w:t xml:space="preserve">28.4 Iran's banking interest. Iran's participation in this financial architecture reconnects its maritime economy to lawful payment channels: the Fund's disbursements to Iranian service providers flow through ordinary correspondent banking under the Neutral Administrator's certification, and the development windows of Annex B deliver investment to Iran's coastal provinces through the same channel. This benefit answers Iran's demand for sanctions-insulated revenue without asking any other participant to breach its own law.</w:t>
      </w:r>
    </w:p>
    <w:p>
      <w:pPr>
        <w:jc w:val="both"/>
      </w:pPr>
      <w:r>
        <w:rPr/>
        <w:t xml:space="preserve">28.5 No financial pressure. IPR-20 governs: no financial mechanism of this Understanding serves as a lever of political pressure. The Neutral Administrator administers by rule, never by discretion; the escrow rule of Section 28.3 binds it mechanically; and the audit trail publishes every flow. The money of this architecture is plumbing, never politics.</w:t>
      </w:r>
    </w:p>
    <w:p>
      <w:pPr>
        <w:pStyle w:val="Heading2"/>
      </w:pPr>
      <w:bookmarkStart w:id="138" w:name="_Toc261100038"/>
      <w:r>
        <w:rPr>
          <w:rFonts w:ascii="Calibri" w:hAnsi="Calibri"/>
        </w:rPr>
        <w:t xml:space="preserve">Article 29: Audit, the Port Processing Add-On, and Anti-Circumvention</w:t>
      </w:r>
      <w:bookmarkEnd w:id="138"/>
    </w:p>
    <w:p>
      <w:pPr>
        <w:jc w:val="both"/>
      </w:pPr>
      <w:r>
        <w:rPr/>
        <w:t xml:space="preserve">29.1 The audit regime. The Neutral Verification Office audits every financial flow of this Understanding: quarterly transaction audits, an annual comprehensive audit by an international firm selected by the Bridge Commission, and publication of every audit report in full. The audit demand of the United States, the GCC, the European bodies, and the insurers finds complete satisfaction here: the money of this architecture is the most transparent money in the region.</w:t>
      </w:r>
    </w:p>
    <w:p>
      <w:pPr>
        <w:jc w:val="both"/>
      </w:pPr>
      <w:r>
        <w:rPr/>
        <w:t xml:space="preserve">29.2 The annual rhythm. The financial year of the Fund runs with the calendar year. Rates publish each October for the following year; the comprehensive audit publishes each April; the contribution schedule refreshes each October with the rates. One rhythm serves every observer, and the Master Synchronization Calendar carries every date.</w:t>
      </w:r>
    </w:p>
    <w:p>
      <w:pPr>
        <w:jc w:val="both"/>
      </w:pPr>
      <w:r>
        <w:rPr/>
        <w:t xml:space="preserve">29.3 The Port Processing Add-On. Where a transaction involves a vessel at all, it processes at the port of origin or destination as a port documentation line item, never at the point of transit. The add-on operates as a one-way valve: charges attach to port calls, which are legitimate service events, and never to passage, which is free. The valve prevents fee creep by construction, because the architecture contains no collection point inside the Strait itself: no state vessel collects, no checkpoint exists, and no invoice issues against a transit.</w:t>
      </w:r>
    </w:p>
    <w:p>
      <w:pPr>
        <w:jc w:val="both"/>
      </w:pPr>
      <w:r>
        <w:rPr/>
        <w:t xml:space="preserve">29.4 The anti-circumvention rule. The re-characterization of a charge on passage as a service charge, contribution, data subscription, or any other label constitutes an Architectural Breach under Article 32, Tier 3. The substance of a transaction governs its character, and the Neutral Verification Office applies the substance test of Annex D, Section D.6: a payment that varies with the fact of passage, that conditions passage in practice, or that a reasonable operator experiences as a price of transit, is a toll, and the framework prohibits it. This rule binds the Parties' own creativity with the same force it binds outsiders.</w:t>
      </w:r>
    </w:p>
    <w:p>
      <w:pPr>
        <w:jc w:val="both"/>
      </w:pPr>
      <w:r>
        <w:rPr/>
        <w:t xml:space="preserve">29.5 Dispute channel for charges. An operator that experiences any payment demand it believes violates the Zero-Toll Rule reports it to the Neutral Verification Office through the one-page report form of Annex F. The Office investigates within seven days, and a confirmed violation triggers: immediate cessation of the demand, restitution through the Fund, and classification under Article 32. The mariner holds a direct line to the referee, and the referee holds real power.</w:t>
      </w:r>
    </w:p>
    <w:p>
      <w:pPr>
        <w:pStyle w:val="Heading1"/>
        <w:pageBreakBefore/>
        <w:pBdr>
          <w:bottom w:val="single" w:color="B9C6CF" w:sz="6" w:space="4"/>
        </w:pBdr>
      </w:pPr>
      <w:bookmarkStart w:id="139" w:name="_Toc261100039"/>
      <w:r>
        <w:rPr>
          <w:rFonts w:ascii="Calibri" w:hAnsi="Calibri"/>
        </w:rPr>
        <w:t xml:space="preserve">Part VI: Verification and the Compliance Engine</w:t>
      </w:r>
      <w:bookmarkEnd w:id="139"/>
    </w:p>
    <w:p>
      <w:pPr>
        <w:pStyle w:val="Heading2"/>
      </w:pPr>
      <w:bookmarkStart w:id="140" w:name="_Toc261100040"/>
      <w:r>
        <w:rPr>
          <w:rFonts w:ascii="Calibri" w:hAnsi="Calibri"/>
        </w:rPr>
        <w:t xml:space="preserve">Article 30: The Human Anchor Method and the Convergence Standard</w:t>
      </w:r>
      <w:bookmarkEnd w:id="140"/>
    </w:p>
    <w:p>
      <w:pPr>
        <w:jc w:val="both"/>
      </w:pPr>
      <w:r>
        <w:rPr/>
        <w:t xml:space="preserve">30.1 People verify. The verification architecture of this Understanding rests on people, not on sensors alone. Sensors inform; named humans certify. Every consequential finding under this Understanding carries the signature of a named human certifier of the Neutral Verification Office, who stands behind the finding with professional reputation and office. The method protects the system against sensor manipulation, spoofed tracks, planted data, and the false-flag incident, because a machine reports what it measures while a person answers for what they certify.</w:t>
      </w:r>
    </w:p>
    <w:p>
      <w:pPr>
        <w:jc w:val="both"/>
      </w:pPr>
      <w:r>
        <w:rPr/>
        <w:t xml:space="preserve">30.2 The Convergence Standard. No finding of fact under this Understanding rests on a single input. A consequential finding carries at least two independent, convergent inputs: for example, radar track plus observer report; automatic identification system data plus patrol log; financial record plus bank confirmation; survey sonar plus diver inspection. Where a finding carries existential weight for a Party or for the architecture, three inputs converge. IPR-11 states this as an inviolable line.</w:t>
      </w:r>
    </w:p>
    <w:p>
      <w:pPr>
        <w:jc w:val="both"/>
      </w:pPr>
      <w:r>
        <w:rPr/>
        <w:t xml:space="preserve">30.3 Independence of inputs. Two inputs count as independent only when they originate from different collection systems under different custody: an Iranian radar and an Omani radar; a satellite feed and a coast guard log; a Swiss bank record and a Fund ledger. Two readouts of the same sensor count as one input. The Neutral Verification Office maintains the custody map of Annex H, Section H.6, so that independence is verifiable rather than asserted.</w:t>
      </w:r>
    </w:p>
    <w:p>
      <w:pPr>
        <w:jc w:val="both"/>
      </w:pPr>
      <w:r>
        <w:rPr/>
        <w:t xml:space="preserve">30.4 The certification record. Every certification states: the finding, the convergent inputs, the named certifier, the date, and the standard applied. The record publishes in the Weekly Verification Bulletin, and the full evidence file opens to the Bridge Commission and, in redacted form, to the Stakeholder Panel. Nobody asks any Party to trust a conclusion; the architecture shows the work.</w:t>
      </w:r>
    </w:p>
    <w:p>
      <w:pPr>
        <w:jc w:val="both"/>
      </w:pPr>
      <w:r>
        <w:rPr/>
        <w:t xml:space="preserve">30.5 The presumption of good faith. Every investigation under this Understanding begins from the presumption of good faith, and no attribution publishes inside 48 hours of an incident. The deferral window cools the information space, lets convergent evidence assemble, and prevents the hour-one accusation cycle that turned the July 2026 incident into a war. The window never delays protective action under Article 16.4, which proceeds on facts rather than attribution.</w:t>
      </w:r>
    </w:p>
    <w:p>
      <w:pPr>
        <w:pStyle w:val="Heading2"/>
      </w:pPr>
      <w:bookmarkStart w:id="141" w:name="_Toc261100041"/>
      <w:r>
        <w:rPr>
          <w:rFonts w:ascii="Calibri" w:hAnsi="Calibri"/>
        </w:rPr>
        <w:t xml:space="preserve">Article 31: The Integrity Cell</w:t>
      </w:r>
      <w:bookmarkEnd w:id="141"/>
    </w:p>
    <w:p>
      <w:pPr>
        <w:jc w:val="both"/>
      </w:pPr>
      <w:r>
        <w:rPr/>
        <w:t xml:space="preserve">31.1 The red team. The Parties establish the Integrity Cell as a standing team of technical experts, including security researchers and data forensics specialists, tasked with continuously probing the architecture for vulnerabilities: spoofed automatic identification system tracks, manipulated radar feeds, falsified logs, planted evidence, and procedural weaknesses. The Cell operates under the Neutral Verification Office and reports quarterly to the Bridge Commission with its findings classified by severity.</w:t>
      </w:r>
    </w:p>
    <w:p>
      <w:pPr>
        <w:jc w:val="both"/>
      </w:pPr>
      <w:r>
        <w:rPr/>
        <w:t xml:space="preserve">31.2 Standing tests. The Cell conducts: (a) monthly integrity probes of the fused picture, injecting test anomalies to verify detection; (b) quarterly red-team exercises against the financial channels with the Neutral Administrator; (c) random custody audits of sensor calibration and log chains; and (d) an annual full-system exercise simulating a false-flag incident end to end, from detection through attribution to response. Every exercise publishes its results in the transparency rhythm.</w:t>
      </w:r>
    </w:p>
    <w:p>
      <w:pPr>
        <w:jc w:val="both"/>
      </w:pPr>
      <w:r>
        <w:rPr/>
        <w:t xml:space="preserve">31.3 Findings and fixes. An integrity finding that reveals a genuine vulnerability triggers a fix cycle: the Technical Standards Committee designs the fix within 30 days, the Authority implements it, and the Cell retests. An integrity finding that reveals planted or manipulated data routes immediately to the compliance engine of Article 32 with its evidence, and the Convergence Standard governs any consequence.</w:t>
      </w:r>
    </w:p>
    <w:p>
      <w:pPr>
        <w:pStyle w:val="Heading2"/>
      </w:pPr>
      <w:bookmarkStart w:id="142" w:name="_Toc261100042"/>
      <w:r>
        <w:rPr>
          <w:rFonts w:ascii="Calibri" w:hAnsi="Calibri"/>
        </w:rPr>
        <w:t xml:space="preserve">Article 32: The Three-Tier Breach Classification</w:t>
      </w:r>
      <w:bookmarkEnd w:id="142"/>
    </w:p>
    <w:p>
      <w:pPr>
        <w:jc w:val="both"/>
      </w:pPr>
      <w:r>
        <w:rPr/>
        <w:t xml:space="preserve">32.1 Three tiers. Every deviation from this Understanding classifies into one of three tiers, and the tier alone determines the response. The classification keeps small problems small and reserves architectural consequences for architectural breaches.</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1800"/>
        <w:gridCol w:w="2600"/>
        <w:gridCol w:w="3500"/>
        <w:gridCol w:w="1600"/>
      </w:tblGrid>
      <w:tr>
        <w:trPr>
          <w:tblHeader/>
        </w:trPr>
        <w:tc>
          <w:tcPr>
            <w:tcW w:w="1800" w:type="dxa"/>
            <w:shd w:val="clear" w:fill="E8EDF1"/>
          </w:tcPr>
          <w:p>
            <w:pPr>
              <w:spacing w:after="20" w:line="264" w:lineRule="auto"/>
            </w:pPr>
            <w:r>
              <w:rPr>
                <w:rFonts w:ascii="Calibri" w:hAnsi="Calibri"/>
                <w:b/>
                <w:color w:val="2E4A62"/>
                <w:sz w:val="18"/>
              </w:rPr>
              <w:t xml:space="preserve">Tier</w:t>
            </w:r>
          </w:p>
        </w:tc>
        <w:tc>
          <w:tcPr>
            <w:tcW w:w="2600" w:type="dxa"/>
            <w:shd w:val="clear" w:fill="E8EDF1"/>
          </w:tcPr>
          <w:p>
            <w:pPr>
              <w:spacing w:after="20" w:line="264" w:lineRule="auto"/>
            </w:pPr>
            <w:r>
              <w:rPr>
                <w:rFonts w:ascii="Calibri" w:hAnsi="Calibri"/>
                <w:b/>
                <w:color w:val="2E4A62"/>
                <w:sz w:val="18"/>
              </w:rPr>
              <w:t xml:space="preserve">Name</w:t>
            </w:r>
          </w:p>
        </w:tc>
        <w:tc>
          <w:tcPr>
            <w:tcW w:w="3500" w:type="dxa"/>
            <w:shd w:val="clear" w:fill="E8EDF1"/>
          </w:tcPr>
          <w:p>
            <w:pPr>
              <w:spacing w:after="20" w:line="264" w:lineRule="auto"/>
            </w:pPr>
            <w:r>
              <w:rPr>
                <w:rFonts w:ascii="Calibri" w:hAnsi="Calibri"/>
                <w:b/>
                <w:color w:val="2E4A62"/>
                <w:sz w:val="18"/>
              </w:rPr>
              <w:t xml:space="preserve">Definition</w:t>
            </w:r>
          </w:p>
        </w:tc>
        <w:tc>
          <w:tcPr>
            <w:tcW w:w="1600" w:type="dxa"/>
            <w:shd w:val="clear" w:fill="E8EDF1"/>
          </w:tcPr>
          <w:p>
            <w:pPr>
              <w:spacing w:after="20" w:line="264" w:lineRule="auto"/>
            </w:pPr>
            <w:r>
              <w:rPr>
                <w:rFonts w:ascii="Calibri" w:hAnsi="Calibri"/>
                <w:b/>
                <w:color w:val="2E4A62"/>
                <w:sz w:val="18"/>
              </w:rPr>
              <w:t xml:space="preserve">Response</w:t>
            </w:r>
          </w:p>
        </w:tc>
      </w:tr>
      <w:tr>
        <w:tc>
          <w:tcPr>
            <w:tcW w:w="1800" w:type="dxa"/>
          </w:tcPr>
          <w:p>
            <w:pPr>
              <w:spacing w:after="20" w:line="264" w:lineRule="auto"/>
            </w:pPr>
            <w:r>
              <w:rPr>
                <w:rFonts w:ascii="Calibri" w:hAnsi="Calibri"/>
                <w:color w:val="263238"/>
                <w:sz w:val="18"/>
              </w:rPr>
              <w:t xml:space="preserve">Tier 1</w:t>
            </w:r>
          </w:p>
        </w:tc>
        <w:tc>
          <w:tcPr>
            <w:tcW w:w="2600" w:type="dxa"/>
          </w:tcPr>
          <w:p>
            <w:pPr>
              <w:spacing w:after="20" w:line="264" w:lineRule="auto"/>
            </w:pPr>
            <w:r>
              <w:rPr>
                <w:rFonts w:ascii="Calibri" w:hAnsi="Calibri"/>
                <w:color w:val="263238"/>
                <w:sz w:val="18"/>
              </w:rPr>
              <w:t xml:space="preserve">Technical (Drift)</w:t>
            </w:r>
          </w:p>
        </w:tc>
        <w:tc>
          <w:tcPr>
            <w:tcW w:w="3500" w:type="dxa"/>
          </w:tcPr>
          <w:p>
            <w:pPr>
              <w:spacing w:after="20" w:line="264" w:lineRule="auto"/>
            </w:pPr>
            <w:r>
              <w:rPr>
                <w:rFonts w:ascii="Calibri" w:hAnsi="Calibri"/>
                <w:color w:val="263238"/>
                <w:sz w:val="18"/>
              </w:rPr>
              <w:t xml:space="preserve">A minor, isolated, curable error: a late acknowledgment, a single data gap, a procedural slip with no safety effect</w:t>
            </w:r>
          </w:p>
        </w:tc>
        <w:tc>
          <w:tcPr>
            <w:tcW w:w="1600" w:type="dxa"/>
          </w:tcPr>
          <w:p>
            <w:pPr>
              <w:spacing w:after="20" w:line="264" w:lineRule="auto"/>
            </w:pPr>
            <w:r>
              <w:rPr>
                <w:rFonts w:ascii="Calibri" w:hAnsi="Calibri"/>
                <w:color w:val="263238"/>
                <w:sz w:val="18"/>
              </w:rPr>
              <w:t xml:space="preserve">Technical assistance within 7 days; no consequence; logged for pattern analysis only</w:t>
            </w:r>
          </w:p>
        </w:tc>
      </w:tr>
      <w:tr>
        <w:tc>
          <w:tcPr>
            <w:tcW w:w="1800" w:type="dxa"/>
          </w:tcPr>
          <w:p>
            <w:pPr>
              <w:spacing w:after="20" w:line="264" w:lineRule="auto"/>
            </w:pPr>
            <w:r>
              <w:rPr>
                <w:rFonts w:ascii="Calibri" w:hAnsi="Calibri"/>
                <w:color w:val="263238"/>
                <w:sz w:val="18"/>
              </w:rPr>
              <w:t xml:space="preserve">Tier 2</w:t>
            </w:r>
          </w:p>
        </w:tc>
        <w:tc>
          <w:tcPr>
            <w:tcW w:w="2600" w:type="dxa"/>
          </w:tcPr>
          <w:p>
            <w:pPr>
              <w:spacing w:after="20" w:line="264" w:lineRule="auto"/>
            </w:pPr>
            <w:r>
              <w:rPr>
                <w:rFonts w:ascii="Calibri" w:hAnsi="Calibri"/>
                <w:color w:val="263238"/>
                <w:sz w:val="18"/>
              </w:rPr>
              <w:t xml:space="preserve">Material (Strain)</w:t>
            </w:r>
          </w:p>
        </w:tc>
        <w:tc>
          <w:tcPr>
            <w:tcW w:w="3500" w:type="dxa"/>
          </w:tcPr>
          <w:p>
            <w:pPr>
              <w:spacing w:after="20" w:line="264" w:lineRule="auto"/>
            </w:pPr>
            <w:r>
              <w:rPr>
                <w:rFonts w:ascii="Calibri" w:hAnsi="Calibri"/>
                <w:color w:val="263238"/>
                <w:sz w:val="18"/>
              </w:rPr>
              <w:t xml:space="preserve">A pattern of Tier 1 events, an obstruction of verification, a misdeclaration of class, or any deviation with material effect on safety or trust</w:t>
            </w:r>
          </w:p>
        </w:tc>
        <w:tc>
          <w:tcPr>
            <w:tcW w:w="1600" w:type="dxa"/>
          </w:tcPr>
          <w:p>
            <w:pPr>
              <w:spacing w:after="20" w:line="264" w:lineRule="auto"/>
            </w:pPr>
            <w:r>
              <w:rPr>
                <w:rFonts w:ascii="Calibri" w:hAnsi="Calibri"/>
                <w:color w:val="263238"/>
                <w:sz w:val="18"/>
              </w:rPr>
              <w:t xml:space="preserve">Graduated step-back of discretionary benefits under Article 33; corrective plan within 30 days</w:t>
            </w:r>
          </w:p>
        </w:tc>
      </w:tr>
      <w:tr>
        <w:tc>
          <w:tcPr>
            <w:tcW w:w="1800" w:type="dxa"/>
          </w:tcPr>
          <w:p>
            <w:pPr>
              <w:spacing w:after="20" w:line="264" w:lineRule="auto"/>
            </w:pPr>
            <w:r>
              <w:rPr>
                <w:rFonts w:ascii="Calibri" w:hAnsi="Calibri"/>
                <w:color w:val="263238"/>
                <w:sz w:val="18"/>
              </w:rPr>
              <w:t xml:space="preserve">Tier 3</w:t>
            </w:r>
          </w:p>
        </w:tc>
        <w:tc>
          <w:tcPr>
            <w:tcW w:w="2600" w:type="dxa"/>
          </w:tcPr>
          <w:p>
            <w:pPr>
              <w:spacing w:after="20" w:line="264" w:lineRule="auto"/>
            </w:pPr>
            <w:r>
              <w:rPr>
                <w:rFonts w:ascii="Calibri" w:hAnsi="Calibri"/>
                <w:color w:val="263238"/>
                <w:sz w:val="18"/>
              </w:rPr>
              <w:t xml:space="preserve">Architectural (Breach)</w:t>
            </w:r>
          </w:p>
        </w:tc>
        <w:tc>
          <w:tcPr>
            <w:tcW w:w="3500" w:type="dxa"/>
          </w:tcPr>
          <w:p>
            <w:pPr>
              <w:spacing w:after="20" w:line="264" w:lineRule="auto"/>
            </w:pPr>
            <w:r>
              <w:rPr>
                <w:rFonts w:ascii="Calibri" w:hAnsi="Calibri"/>
                <w:color w:val="263238"/>
                <w:sz w:val="18"/>
              </w:rPr>
              <w:t xml:space="preserve">A deliberate violation of an Inviolable Principle: an interdiction, a toll, a mine, signal jamming, a blocked humanitarian transit, an obstruction of verification by design</w:t>
            </w:r>
          </w:p>
        </w:tc>
        <w:tc>
          <w:tcPr>
            <w:tcW w:w="1600" w:type="dxa"/>
          </w:tcPr>
          <w:p>
            <w:pPr>
              <w:spacing w:after="20" w:line="264" w:lineRule="auto"/>
            </w:pPr>
            <w:r>
              <w:rPr>
                <w:rFonts w:ascii="Calibri" w:hAnsi="Calibri"/>
                <w:color w:val="263238"/>
                <w:sz w:val="18"/>
              </w:rPr>
              <w:t xml:space="preserve">The Stillwater Watch activates under Article 35; referral to the Bridge Commission; step-back to the floor under Article 33</w:t>
            </w:r>
          </w:p>
        </w:tc>
      </w:tr>
    </w:tbl>
    <w:p>
      <w:pPr>
        <w:spacing w:after="160"/>
      </w:pPr>
    </w:p>
    <w:p>
      <w:pPr>
        <w:jc w:val="both"/>
      </w:pPr>
      <w:r>
        <w:rPr/>
        <w:t xml:space="preserve">32.2 Classification authority. The Neutral Verification Office classifies events under the Convergence Standard, on the Twin Key rule for Tier 2 and Tier 3 classifications: the Chief Verifier and the duty certifier of the affected corridor's co-signing state concur. A classification states its evidence, its tier, and its response, and it publishes in the Weekly Verification Bulletin. The classified Party responds in writing within 14 days, and the response publishes alongside.</w:t>
      </w:r>
    </w:p>
    <w:p>
      <w:pPr>
        <w:jc w:val="both"/>
      </w:pPr>
      <w:r>
        <w:rPr/>
        <w:t xml:space="preserve">32.3 Pattern memory. The compliance record accumulates. Three Tier 1 events of the same type within 90 days aggregate into one Tier 2 event. Three Tier 2 events within 180 days aggregate into a Bridge Commission review. The aggregation rule prevents death by a thousand cuts while the reversibility rule of Article 33 prevents one bad month from defining a Party forever.</w:t>
      </w:r>
    </w:p>
    <w:p>
      <w:pPr>
        <w:pStyle w:val="Heading2"/>
      </w:pPr>
      <w:bookmarkStart w:id="143" w:name="_Toc261100043"/>
      <w:r>
        <w:rPr>
          <w:rFonts w:ascii="Calibri" w:hAnsi="Calibri"/>
        </w:rPr>
        <w:t xml:space="preserve">Article 33: The Step-Back and Earn-Back Engine</w:t>
      </w:r>
      <w:bookmarkEnd w:id="143"/>
    </w:p>
    <w:p>
      <w:pPr>
        <w:jc w:val="both"/>
      </w:pPr>
      <w:r>
        <w:rPr/>
        <w:t xml:space="preserve">33.1 The engine breathes. The compliance engine of this Understanding breathes rather than snaps. A Tier 2 or Tier 3 event triggers graduated, proportionate, reversible consequences, and restoration activates automatically upon verified compliance, with no admission of fault required. The design accepts that incidents occur in a strait of this complexity, and it builds the recovery path into the architecture so the first serious incident never collapses the system.</w:t>
      </w:r>
    </w:p>
    <w:p>
      <w:pPr>
        <w:jc w:val="both"/>
      </w:pPr>
      <w:r>
        <w:rPr/>
        <w:t xml:space="preserve">33.2 The step-back ladder. A step-back suspends, in order and only as the tier requires: (a) for Tier 2: the affected Party's discretionary benefits, meaning convoy window priority, data service features, and escalator accrual for the affected function; (b) for Tier 3: the affected Party's functional share reverts toward the floor under Article 34, and the Bridge Commission convenes within 72 hours. A step-back never touches: passage rights, the corridor system itself, humanitarian traffic, the non-interdiction protocol, or the step-backed Party's banked floor. The ladders appear in full in Annex H, Section H.4.</w:t>
      </w:r>
    </w:p>
    <w:p>
      <w:pPr>
        <w:jc w:val="both"/>
      </w:pPr>
      <w:r>
        <w:rPr/>
        <w:t xml:space="preserve">33.3 Proportionality. A step-back matches the event in scope and domain: a financial deviation steps back financial benefits; a verification obstruction steps back the affected corridor's discretionary functions; a safety breach in the Northern Corridor never touches the Southern. The Neutral Verification Office states the proportionality reasoning in every step-back decision, and the reasoning publishes.</w:t>
      </w:r>
    </w:p>
    <w:p>
      <w:pPr>
        <w:jc w:val="both"/>
      </w:pPr>
      <w:r>
        <w:rPr/>
        <w:t xml:space="preserve">33.4 Earn-back. Restoration activates automatically: when the Neutral Verification Office certifies four consecutive clean weeks after a Tier 2 step-back, the stepped-back benefits restore in full at the next weekly bulletin. After a Tier 3 step-back, restoration follows the Earn-Back Schedule of Annex H: four clean weeks restore discretionary benefits, and escalator accrual resumes from the banked floor. No negotiation, no admission, no penalty payment, and no political price attaches to restoration. The architecture treats recovery as normal operation, not as diplomacy.</w:t>
      </w:r>
    </w:p>
    <w:p>
      <w:pPr>
        <w:jc w:val="both"/>
      </w:pPr>
      <w:r>
        <w:rPr/>
        <w:t xml:space="preserve">33.5 No permanent consequences. No consequence under this Understanding is permanent. Every step-back carries its earn-back path in the same decision, and the Standing Continuity Guarantee holds the Party's underlying position: functions, accession status, and observer rights survive every incident. The architecture thereby answers the deepest fear of every participant, which is not the incident itself but the irreversible spiral that follows it.</w:t>
      </w:r>
    </w:p>
    <w:p>
      <w:pPr>
        <w:pStyle w:val="Heading2"/>
      </w:pPr>
      <w:bookmarkStart w:id="144" w:name="_Toc261100044"/>
      <w:r>
        <w:rPr>
          <w:rFonts w:ascii="Calibri" w:hAnsi="Calibri"/>
        </w:rPr>
        <w:t xml:space="preserve">Article 34: The Good Behavior Escalator</w:t>
      </w:r>
      <w:bookmarkEnd w:id="144"/>
    </w:p>
    <w:p>
      <w:pPr>
        <w:jc w:val="both"/>
      </w:pPr>
      <w:r>
        <w:rPr/>
        <w:t xml:space="preserve">34.1 The escalator. The architecture converts the zero-sum question of control into a positive-sum incentive: the functional share of each Founding Party in the corridor system grows with verified performance. Iran begins at activation with the full corridor function set of the Northern Inbound Corridor, a functional share of 33 percent of the total corridor function system, and earns expansion up to 100 percent functional administration of the corridor function set through consecutive certified clean weeks. Annex H carries the complete schedule.</w:t>
      </w:r>
    </w:p>
    <w:p>
      <w:pPr>
        <w:jc w:val="both"/>
      </w:pPr>
      <w:r>
        <w:rPr/>
        <w:t xml:space="preserve">34.2 The mechanics. The escalator runs on the weekly cycle of the Neutral Verification Office: (a) each certified clean week adds 10 share points to Iran's functional share, from the 33 percent baseline, capping at 100 percent; (b) seven consecutive clean weeks therefore carry Iran to full functional administration of the corridor function set; (c) upon banking 27 points, a functional share of 60 percent, the floor locks permanently: Iran's share never again falls below 60 percent of the corridor function set, under any circumstance, through any incident, forever. The 60 percent permanent floor stands as a banked achievement, protected by the Standing Continuity Guarantee.</w:t>
      </w:r>
    </w:p>
    <w:p>
      <w:pPr>
        <w:jc w:val="both"/>
      </w:pPr>
      <w:r>
        <w:rPr/>
        <w:t xml:space="preserve">34.3 What the share means. The functional share measures the percentage of the ten corridor functions of Article 13.3 that a Party performs across the three corridors, weighted as Annex E states. At 33 percent, Iran performs the Northern Corridor set. Expansion stages add co-performance of Central Assurance functions, deputy functions in the Southern Corridor, and system-level functions such as bulletin issuance and survey co-lead, each item listed in Annex H, Section H.3. The Twin Key rule governs every consequential action at every share level, including 100 percent: expansion changes who performs functions and never changes who holds keys, and sovereignty never enters the measure at any level.</w:t>
      </w:r>
    </w:p>
    <w:p>
      <w:pPr>
        <w:jc w:val="both"/>
      </w:pPr>
      <w:r>
        <w:rPr/>
        <w:t xml:space="preserve">34.4 Symmetry. The escalator serves both Founding Parties symmetrically: Oman's baseline covers the Southern Corridor set and the Central co-functions, and Oman's share grows with its own certified performance on the same weekly standard, within the complement of Iran's share, as Annex H balances the two. The architecture thereby gives each littoral a standing, measurable, purely performance-based path to expanded role, and it gives the other participants a standing, measurable assurance that expanded role tracks flawless behavior.</w:t>
      </w:r>
    </w:p>
    <w:p>
      <w:pPr>
        <w:jc w:val="both"/>
      </w:pPr>
      <w:r>
        <w:rPr/>
        <w:t xml:space="preserve">34.5 Why the escalator works. The escalator aligns Iran's incentive with stability: every clean week delivers a tangible, banked, internationally certified expansion of recognized function, and every incident costs accrued momentum, while the permanent floor guarantees that history never erases. The mechanism gives Tehran a victory it earns weekly on the water, gives Washington and the GCC a verification-based control they certify weekly on the record, and gives the market a strait whose manager profits from calm. The architecture pays for peace in the currency of recognized function, and it pays every week.</w:t>
      </w:r>
    </w:p>
    <w:p>
      <w:pPr>
        <w:pStyle w:val="Heading2"/>
      </w:pPr>
      <w:bookmarkStart w:id="145" w:name="_Toc261100045"/>
      <w:r>
        <w:rPr>
          <w:rFonts w:ascii="Calibri" w:hAnsi="Calibri"/>
        </w:rPr>
        <w:t xml:space="preserve">Article 35: The Stillwater Watch</w:t>
      </w:r>
      <w:bookmarkEnd w:id="145"/>
    </w:p>
    <w:p>
      <w:pPr>
        <w:jc w:val="both"/>
      </w:pPr>
      <w:r>
        <w:rPr/>
        <w:t xml:space="preserve">35.1 The circuit breaker. Upon the classification of any Tier 3 event, the Stillwater Watch activates automatically: a 72-hour pause on the disputed mechanism, during which escalations freeze, senior officials confer on the Twin Key channel, and the Neutral Verification Office assembles the convergent evidence. The Watch pauses the mechanism in dispute and nothing else: the corridors stay open, humanitarian traffic moves, passage continues, and the system breathes.</w:t>
      </w:r>
    </w:p>
    <w:p>
      <w:pPr>
        <w:jc w:val="both"/>
      </w:pPr>
      <w:r>
        <w:rPr/>
        <w:t xml:space="preserve">35.2 What the Watch freezes. During the Watch: (a) escalator accrual pauses; (b) step-back implementation holds at its current step; (c) any publication naming a Party holds for the evidence file; and (d) the Bridge Commission convenes within the window. The Watch expires automatically at 72 hours, and the Bridge Commission's decision, or the expiry of the window without decision, governs the next step under the default continuity rule: expiry without decision restores the pre-event state.</w:t>
      </w:r>
    </w:p>
    <w:p>
      <w:pPr>
        <w:jc w:val="both"/>
      </w:pPr>
      <w:r>
        <w:rPr/>
        <w:t xml:space="preserve">35.3 The lesson encoded. The Watch encodes the lesson of July 2026: an ambiguous incident, a fast accusation, and a collapsed ceasefire within a week. The architecture refuses that sequence by design. Seventy-two hours of frozen escalation, convergent evidence, and compulsory conference stand between every future incident and every future collapse, and the interval costs the system nothing, because the water stays open throughout.</w:t>
      </w:r>
    </w:p>
    <w:p>
      <w:pPr>
        <w:pStyle w:val="Heading1"/>
        <w:pageBreakBefore/>
        <w:pBdr>
          <w:bottom w:val="single" w:color="B9C6CF" w:sz="6" w:space="4"/>
        </w:pBdr>
      </w:pPr>
      <w:bookmarkStart w:id="146" w:name="_Toc261100046"/>
      <w:r>
        <w:rPr>
          <w:rFonts w:ascii="Calibri" w:hAnsi="Calibri"/>
        </w:rPr>
        <w:t xml:space="preserve">Part VII: Activation and Transition</w:t>
      </w:r>
      <w:bookmarkEnd w:id="146"/>
    </w:p>
    <w:p>
      <w:pPr>
        <w:pStyle w:val="Heading2"/>
      </w:pPr>
      <w:bookmarkStart w:id="147" w:name="_Toc261100047"/>
      <w:r>
        <w:rPr>
          <w:rFonts w:ascii="Calibri" w:hAnsi="Calibri"/>
        </w:rPr>
        <w:t xml:space="preserve">Article 36: The Synchronized Indivisible Event</w:t>
      </w:r>
      <w:bookmarkEnd w:id="147"/>
    </w:p>
    <w:p>
      <w:pPr>
        <w:jc w:val="both"/>
      </w:pPr>
      <w:r>
        <w:rPr/>
        <w:t xml:space="preserve">36.1 The one event. Corridor activation and the termination of all impediments to passage occur as one synchronized indivisible event: the Indivisible Hour. In one hour, on the activation day the Bridge Commission declares, the following execute together, and none executes without the others: (a) the three corridors activate under this Understanding; (b) the naval blockade measures applying to vessels bound to or from Iranian ports terminate in full; (c) every wartime permit, fee, tariff, route-approval, and insurance condition on transits dissolves; (d) the crisis-era passage administration functions transfer to the Authority as the corridor functions of Part III; (e) the Hormuz Account opens and the firewall of Article 28 activates; and (f) the fused picture goes live to every observer. IPR-16 states this synchronization as an inviolable principle.</w:t>
      </w:r>
    </w:p>
    <w:p>
      <w:pPr>
        <w:jc w:val="both"/>
      </w:pPr>
      <w:r>
        <w:rPr/>
        <w:t xml:space="preserve">36.2 Why indivisible. The negotiating record identifies the sequencing deadlock as the core obstacle to every previous attempt: one side insists the strait open first; the other insists the blockade lift first. The architecture refuses the sequence entirely. Nobody moves first; everybody moves at once, in one hour, on one published minute-by-minute script. Annex J, Section J.2 carries the script of the Indivisible Hour, rehearsed by all participants in a full-dress exercise during Phase 2 of the activation timeline.</w:t>
      </w:r>
    </w:p>
    <w:p>
      <w:pPr>
        <w:jc w:val="both"/>
      </w:pPr>
      <w:r>
        <w:rPr/>
        <w:t xml:space="preserve">36.3 The script. The Indivisible Hour runs on four synchronized tracks: the naval track, in which the blockade forces stand down in the order Annex J states; the corridor track, in which the Transit Desk opens the corridors and issues the first Open Water Bulletin of the new system; the financial track, in which the Neutral Administrator opens the Hormuz Account and publishes the firewall certification; and the communications track, in which every participant publishes its own statement in its own words at the same minute. Four officers, one in Muscat, one in Bandar Abbas, one at the Neutral Administrator, and one at the United States liaison desk, hold the four master confirmations, and the hour completes only when all four confirm.</w:t>
      </w:r>
    </w:p>
    <w:p>
      <w:pPr>
        <w:jc w:val="both"/>
      </w:pPr>
      <w:r>
        <w:rPr/>
        <w:t xml:space="preserve">36.4 Failure handling. If any master confirmation fails at the appointed minute, the hour extends once by 60 minutes while the four officers resolve the failure on the hotline. If the extension fails, the Indivisible Hour reschedules as one event to the next day at the same minute, and every track holds its pre-event state. No partial activation occurs under any circumstances: the event is indivisible in failure exactly as in success, so no participant ever faces a world in which it has moved and others have not.</w:t>
      </w:r>
    </w:p>
    <w:p>
      <w:pPr>
        <w:pStyle w:val="Heading2"/>
      </w:pPr>
      <w:bookmarkStart w:id="148" w:name="_Toc261100048"/>
      <w:r>
        <w:rPr>
          <w:rFonts w:ascii="Calibri" w:hAnsi="Calibri"/>
        </w:rPr>
        <w:t xml:space="preserve">Article 37: The Phased Activation Timeline</w:t>
      </w:r>
      <w:bookmarkEnd w:id="148"/>
    </w:p>
    <w:p>
      <w:pPr>
        <w:jc w:val="both"/>
      </w:pPr>
      <w:r>
        <w:rPr/>
        <w:t xml:space="preserve">37.1 Six phases. Activation proceeds in six phases over 90 to 120 days from signature, and Annex J carries the complete checklist of every phase. The timeline incorporates the pilot design the negotiating record recommends: a controlled soft launch that tests procedures, reveals friction, and absorbs adjustment without political cost.</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2200"/>
        <w:gridCol w:w="1600"/>
        <w:gridCol w:w="5700"/>
      </w:tblGrid>
      <w:tr>
        <w:trPr>
          <w:tblHeader/>
        </w:trPr>
        <w:tc>
          <w:tcPr>
            <w:tcW w:w="2200" w:type="dxa"/>
            <w:shd w:val="clear" w:fill="E8EDF1"/>
          </w:tcPr>
          <w:p>
            <w:pPr>
              <w:spacing w:after="20" w:line="264" w:lineRule="auto"/>
            </w:pPr>
            <w:r>
              <w:rPr>
                <w:rFonts w:ascii="Calibri" w:hAnsi="Calibri"/>
                <w:b/>
                <w:color w:val="2E4A62"/>
                <w:sz w:val="18"/>
              </w:rPr>
              <w:t xml:space="preserve">Phase</w:t>
            </w:r>
          </w:p>
        </w:tc>
        <w:tc>
          <w:tcPr>
            <w:tcW w:w="1600" w:type="dxa"/>
            <w:shd w:val="clear" w:fill="E8EDF1"/>
          </w:tcPr>
          <w:p>
            <w:pPr>
              <w:spacing w:after="20" w:line="264" w:lineRule="auto"/>
            </w:pPr>
            <w:r>
              <w:rPr>
                <w:rFonts w:ascii="Calibri" w:hAnsi="Calibri"/>
                <w:b/>
                <w:color w:val="2E4A62"/>
                <w:sz w:val="18"/>
              </w:rPr>
              <w:t xml:space="preserve">Days</w:t>
            </w:r>
          </w:p>
        </w:tc>
        <w:tc>
          <w:tcPr>
            <w:tcW w:w="5700" w:type="dxa"/>
            <w:shd w:val="clear" w:fill="E8EDF1"/>
          </w:tcPr>
          <w:p>
            <w:pPr>
              <w:spacing w:after="20" w:line="264" w:lineRule="auto"/>
            </w:pPr>
            <w:r>
              <w:rPr>
                <w:rFonts w:ascii="Calibri" w:hAnsi="Calibri"/>
                <w:b/>
                <w:color w:val="2E4A62"/>
                <w:sz w:val="18"/>
              </w:rPr>
              <w:t xml:space="preserve">Content</w:t>
            </w:r>
          </w:p>
        </w:tc>
      </w:tr>
      <w:tr>
        <w:tc>
          <w:tcPr>
            <w:tcW w:w="2200" w:type="dxa"/>
          </w:tcPr>
          <w:p>
            <w:pPr>
              <w:spacing w:after="20" w:line="264" w:lineRule="auto"/>
            </w:pPr>
            <w:r>
              <w:rPr>
                <w:rFonts w:ascii="Calibri" w:hAnsi="Calibri"/>
                <w:color w:val="263238"/>
                <w:sz w:val="18"/>
              </w:rPr>
              <w:t xml:space="preserve">Phase 1: Foundation</w:t>
            </w:r>
          </w:p>
        </w:tc>
        <w:tc>
          <w:tcPr>
            <w:tcW w:w="1600" w:type="dxa"/>
          </w:tcPr>
          <w:p>
            <w:pPr>
              <w:spacing w:after="20" w:line="264" w:lineRule="auto"/>
            </w:pPr>
            <w:r>
              <w:rPr>
                <w:rFonts w:ascii="Calibri" w:hAnsi="Calibri"/>
                <w:color w:val="263238"/>
                <w:sz w:val="18"/>
              </w:rPr>
              <w:t xml:space="preserve">0 to 10</w:t>
            </w:r>
          </w:p>
        </w:tc>
        <w:tc>
          <w:tcPr>
            <w:tcW w:w="5700" w:type="dxa"/>
          </w:tcPr>
          <w:p>
            <w:pPr>
              <w:spacing w:after="20" w:line="264" w:lineRule="auto"/>
            </w:pPr>
            <w:r>
              <w:rPr>
                <w:rFonts w:ascii="Calibri" w:hAnsi="Calibri"/>
                <w:color w:val="263238"/>
                <w:sz w:val="18"/>
              </w:rPr>
              <w:t xml:space="preserve">The Bridge Commission convenes; the Authority staffs its first watch; provisional corridor guidance publishes; the Joint Survey Cell forms; hazard declarations of Article 17.2 file</w:t>
            </w:r>
          </w:p>
        </w:tc>
      </w:tr>
      <w:tr>
        <w:tc>
          <w:tcPr>
            <w:tcW w:w="2200" w:type="dxa"/>
          </w:tcPr>
          <w:p>
            <w:pPr>
              <w:spacing w:after="20" w:line="264" w:lineRule="auto"/>
            </w:pPr>
            <w:r>
              <w:rPr>
                <w:rFonts w:ascii="Calibri" w:hAnsi="Calibri"/>
                <w:color w:val="263238"/>
                <w:sz w:val="18"/>
              </w:rPr>
              <w:t xml:space="preserve">Phase 2: Rehearsal</w:t>
            </w:r>
          </w:p>
        </w:tc>
        <w:tc>
          <w:tcPr>
            <w:tcW w:w="1600" w:type="dxa"/>
          </w:tcPr>
          <w:p>
            <w:pPr>
              <w:spacing w:after="20" w:line="264" w:lineRule="auto"/>
            </w:pPr>
            <w:r>
              <w:rPr>
                <w:rFonts w:ascii="Calibri" w:hAnsi="Calibri"/>
                <w:color w:val="263238"/>
                <w:sz w:val="18"/>
              </w:rPr>
              <w:t xml:space="preserve">10 to 20</w:t>
            </w:r>
          </w:p>
        </w:tc>
        <w:tc>
          <w:tcPr>
            <w:tcW w:w="5700" w:type="dxa"/>
          </w:tcPr>
          <w:p>
            <w:pPr>
              <w:spacing w:after="20" w:line="264" w:lineRule="auto"/>
            </w:pPr>
            <w:r>
              <w:rPr>
                <w:rFonts w:ascii="Calibri" w:hAnsi="Calibri"/>
                <w:color w:val="263238"/>
                <w:sz w:val="18"/>
              </w:rPr>
              <w:t xml:space="preserve">The pilot announcement publishes; the Indivisible Hour script rehearses in full-dress exercise; routing instructions issue to operators and insurers; the fused picture goes live internally</w:t>
            </w:r>
          </w:p>
        </w:tc>
      </w:tr>
      <w:tr>
        <w:tc>
          <w:tcPr>
            <w:tcW w:w="2200" w:type="dxa"/>
          </w:tcPr>
          <w:p>
            <w:pPr>
              <w:spacing w:after="20" w:line="264" w:lineRule="auto"/>
            </w:pPr>
            <w:r>
              <w:rPr>
                <w:rFonts w:ascii="Calibri" w:hAnsi="Calibri"/>
                <w:color w:val="263238"/>
                <w:sz w:val="18"/>
              </w:rPr>
              <w:t xml:space="preserve">Phase 3: Sequential activation</w:t>
            </w:r>
          </w:p>
        </w:tc>
        <w:tc>
          <w:tcPr>
            <w:tcW w:w="1600" w:type="dxa"/>
          </w:tcPr>
          <w:p>
            <w:pPr>
              <w:spacing w:after="20" w:line="264" w:lineRule="auto"/>
            </w:pPr>
            <w:r>
              <w:rPr>
                <w:rFonts w:ascii="Calibri" w:hAnsi="Calibri"/>
                <w:color w:val="263238"/>
                <w:sz w:val="18"/>
              </w:rPr>
              <w:t xml:space="preserve">20 to 40</w:t>
            </w:r>
          </w:p>
        </w:tc>
        <w:tc>
          <w:tcPr>
            <w:tcW w:w="5700" w:type="dxa"/>
          </w:tcPr>
          <w:p>
            <w:pPr>
              <w:spacing w:after="20" w:line="264" w:lineRule="auto"/>
            </w:pPr>
            <w:r>
              <w:rPr>
                <w:rFonts w:ascii="Calibri" w:hAnsi="Calibri"/>
                <w:color w:val="263238"/>
                <w:sz w:val="18"/>
              </w:rPr>
              <w:t xml:space="preserve">The Indivisible Hour executes at Day 20; the Central Assurance Corridor activates first, the Southern Outbound Corridor second, the Northern Inbound Corridor third; survey certifications publish sector by sector</w:t>
            </w:r>
          </w:p>
        </w:tc>
      </w:tr>
      <w:tr>
        <w:tc>
          <w:tcPr>
            <w:tcW w:w="2200" w:type="dxa"/>
          </w:tcPr>
          <w:p>
            <w:pPr>
              <w:spacing w:after="20" w:line="264" w:lineRule="auto"/>
            </w:pPr>
            <w:r>
              <w:rPr>
                <w:rFonts w:ascii="Calibri" w:hAnsi="Calibri"/>
                <w:color w:val="263238"/>
                <w:sz w:val="18"/>
              </w:rPr>
              <w:t xml:space="preserve">Phase 4: Financial activation</w:t>
            </w:r>
          </w:p>
        </w:tc>
        <w:tc>
          <w:tcPr>
            <w:tcW w:w="1600" w:type="dxa"/>
          </w:tcPr>
          <w:p>
            <w:pPr>
              <w:spacing w:after="20" w:line="264" w:lineRule="auto"/>
            </w:pPr>
            <w:r>
              <w:rPr>
                <w:rFonts w:ascii="Calibri" w:hAnsi="Calibri"/>
                <w:color w:val="263238"/>
                <w:sz w:val="18"/>
              </w:rPr>
              <w:t xml:space="preserve">40 to 55</w:t>
            </w:r>
          </w:p>
        </w:tc>
        <w:tc>
          <w:tcPr>
            <w:tcW w:w="5700" w:type="dxa"/>
          </w:tcPr>
          <w:p>
            <w:pPr>
              <w:spacing w:after="20" w:line="264" w:lineRule="auto"/>
            </w:pPr>
            <w:r>
              <w:rPr>
                <w:rFonts w:ascii="Calibri" w:hAnsi="Calibri"/>
                <w:color w:val="263238"/>
                <w:sz w:val="18"/>
              </w:rPr>
              <w:t xml:space="preserve">The Hormuz Account opens fully; pilot service rates apply at the reduced schedule of Annex B; the firewall completes its first audit cycle; the Voluntary Contribution Facility opens</w:t>
            </w:r>
          </w:p>
        </w:tc>
      </w:tr>
      <w:tr>
        <w:tc>
          <w:tcPr>
            <w:tcW w:w="2200" w:type="dxa"/>
          </w:tcPr>
          <w:p>
            <w:pPr>
              <w:spacing w:after="20" w:line="264" w:lineRule="auto"/>
            </w:pPr>
            <w:r>
              <w:rPr>
                <w:rFonts w:ascii="Calibri" w:hAnsi="Calibri"/>
                <w:color w:val="263238"/>
                <w:sz w:val="18"/>
              </w:rPr>
              <w:t xml:space="preserve">Phase 5: Stability Audit</w:t>
            </w:r>
          </w:p>
        </w:tc>
        <w:tc>
          <w:tcPr>
            <w:tcW w:w="1600" w:type="dxa"/>
          </w:tcPr>
          <w:p>
            <w:pPr>
              <w:spacing w:after="20" w:line="264" w:lineRule="auto"/>
            </w:pPr>
            <w:r>
              <w:rPr>
                <w:rFonts w:ascii="Calibri" w:hAnsi="Calibri"/>
                <w:color w:val="263238"/>
                <w:sz w:val="18"/>
              </w:rPr>
              <w:t xml:space="preserve">55 to 90</w:t>
            </w:r>
          </w:p>
        </w:tc>
        <w:tc>
          <w:tcPr>
            <w:tcW w:w="5700" w:type="dxa"/>
          </w:tcPr>
          <w:p>
            <w:pPr>
              <w:spacing w:after="20" w:line="264" w:lineRule="auto"/>
            </w:pPr>
            <w:r>
              <w:rPr>
                <w:rFonts w:ascii="Calibri" w:hAnsi="Calibri"/>
                <w:color w:val="263238"/>
                <w:sz w:val="18"/>
              </w:rPr>
              <w:t xml:space="preserve">The Neutral Verification Office runs the Stability Audit of Article 38 across all five domains</w:t>
            </w:r>
          </w:p>
        </w:tc>
      </w:tr>
      <w:tr>
        <w:tc>
          <w:tcPr>
            <w:tcW w:w="2200" w:type="dxa"/>
          </w:tcPr>
          <w:p>
            <w:pPr>
              <w:spacing w:after="20" w:line="264" w:lineRule="auto"/>
            </w:pPr>
            <w:r>
              <w:rPr>
                <w:rFonts w:ascii="Calibri" w:hAnsi="Calibri"/>
                <w:color w:val="263238"/>
                <w:sz w:val="18"/>
              </w:rPr>
              <w:t xml:space="preserve">Phase 6: Full operation</w:t>
            </w:r>
          </w:p>
        </w:tc>
        <w:tc>
          <w:tcPr>
            <w:tcW w:w="1600" w:type="dxa"/>
          </w:tcPr>
          <w:p>
            <w:pPr>
              <w:spacing w:after="20" w:line="264" w:lineRule="auto"/>
            </w:pPr>
            <w:r>
              <w:rPr>
                <w:rFonts w:ascii="Calibri" w:hAnsi="Calibri"/>
                <w:color w:val="263238"/>
                <w:sz w:val="18"/>
              </w:rPr>
              <w:t xml:space="preserve">90 to 120</w:t>
            </w:r>
          </w:p>
        </w:tc>
        <w:tc>
          <w:tcPr>
            <w:tcW w:w="5700" w:type="dxa"/>
          </w:tcPr>
          <w:p>
            <w:pPr>
              <w:spacing w:after="20" w:line="264" w:lineRule="auto"/>
            </w:pPr>
            <w:r>
              <w:rPr>
                <w:rFonts w:ascii="Calibri" w:hAnsi="Calibri"/>
                <w:color w:val="263238"/>
                <w:sz w:val="18"/>
              </w:rPr>
              <w:t xml:space="preserve">The Bridge Commission receives the audit; full rates apply; the wartime lanes sunset completes; the escalator begins its eighth week; the Understanding enters steady state</w:t>
            </w:r>
          </w:p>
        </w:tc>
      </w:tr>
    </w:tbl>
    <w:p>
      <w:pPr>
        <w:spacing w:after="160"/>
      </w:pPr>
    </w:p>
    <w:p>
      <w:pPr>
        <w:jc w:val="both"/>
      </w:pPr>
      <w:r>
        <w:rPr/>
        <w:t xml:space="preserve">37.2 Corridor sequence. The corridors activate in the order the negotiating record identifies as escalation-safe: the Central Assurance Corridor first, because separation and safety serve everyone; the Southern Outbound Corridor second, because Omani administration carries the lowest political friction; the Northern Inbound Corridor third, because Iranian functional administration activates inside the full monitoring architecture, with every observer already watching, rather than in isolation.</w:t>
      </w:r>
    </w:p>
    <w:p>
      <w:pPr>
        <w:jc w:val="both"/>
      </w:pPr>
      <w:r>
        <w:rPr/>
        <w:t xml:space="preserve">37.3 Pilot rates and caps. During Phases 3 through 5, service rates apply at the pilot schedule of Annex B, set at 50 percent of the steady-state rate card, and the Voluntary Contribution Facility operates at suggested levels halved accordingly. The pilot pricing lowers every participant's cost of testing the system and embodies the first-mover logic the record recommends: early confidence earns early savings.</w:t>
      </w:r>
    </w:p>
    <w:p>
      <w:pPr>
        <w:jc w:val="both"/>
      </w:pPr>
      <w:r>
        <w:rPr/>
        <w:t xml:space="preserve">37.4 Transition of crisis functions. The crisis-era passage administration staff, systems, and records of both littorals transfer to the Authority's custody during Phase 3, and their personnel receive first priority for Authority posts. The transfer preserves institutional knowledge, converts the wartime machinery into peacetime service, and gives every experienced officer a stake in the new system rather than in the old.</w:t>
      </w:r>
    </w:p>
    <w:p>
      <w:pPr>
        <w:pStyle w:val="Heading2"/>
      </w:pPr>
      <w:bookmarkStart w:id="149" w:name="_Toc261100049"/>
      <w:r>
        <w:rPr>
          <w:rFonts w:ascii="Calibri" w:hAnsi="Calibri"/>
        </w:rPr>
        <w:t xml:space="preserve">Article 38: The Pilot Phase and the Stability Audit</w:t>
      </w:r>
      <w:bookmarkEnd w:id="149"/>
    </w:p>
    <w:p>
      <w:pPr>
        <w:jc w:val="both"/>
      </w:pPr>
      <w:r>
        <w:rPr/>
        <w:t xml:space="preserve">38.1 The pilot. The period from the Indivisible Hour to the completion of Phase 5 constitutes the pilot phase. During the pilot: rates run at pilot schedule; procedures run at full standard; monitoring runs at full intensity; and every participant watches everything. The pilot exists to prove the system under real traffic before the architecture locks into steady state.</w:t>
      </w:r>
    </w:p>
    <w:p>
      <w:pPr>
        <w:jc w:val="both"/>
      </w:pPr>
      <w:r>
        <w:rPr/>
        <w:t xml:space="preserve">38.2 The Stability Audit. The Neutral Verification Office conducts the Stability Audit across the five domains of Annex I: navigation and corridor compliance; security and deconfliction; monitoring and transparency; environment and safety; and finance and payments. Each domain carries defined metrics with defined thresholds, measured against the audit windows of Annex I, and every metric traces to logged data rather than impression.</w:t>
      </w:r>
    </w:p>
    <w:p>
      <w:pPr>
        <w:jc w:val="both"/>
      </w:pPr>
      <w:r>
        <w:rPr/>
        <w:t xml:space="preserve">38.3 Three outcomes. The audit concludes with one of three outcomes: (a) Pass: the Understanding enters steady state, full rates apply, and Phase 6 completes on schedule; (b) Conditional Pass: the audit names specific annex adjustments, the Technical Standards Committee implements them within 30 days, and steady state follows without repetition of the pilot; (c) Extend: the audit names the failing domain, the pilot extends by up to 35 days in that domain only, and every other domain holds its gains. The audit never fails the architecture: it locates friction and removes it, because the Standing Continuity Guarantee forbids collapse as an outcome.</w:t>
      </w:r>
    </w:p>
    <w:p>
      <w:pPr>
        <w:jc w:val="both"/>
      </w:pPr>
      <w:r>
        <w:rPr/>
        <w:t xml:space="preserve">38.4 The industry verdict. The Stakeholder Panel issues its own parallel assessment at Day 85: traffic volumes against the pre-crisis norm, war-risk premium movement, schedule reliability, and operator sentiment. The Panel's assessment publishes alongside the audit, and the market reads both. A system that passes its audit and wins its industry's verdict reopens the Strait in fact as well as in law, because the practical closure of 2026 came from the industry, and the practical reopening comes from it too.</w:t>
      </w:r>
    </w:p>
    <w:p>
      <w:pPr>
        <w:pStyle w:val="Heading1"/>
        <w:pageBreakBefore/>
        <w:pBdr>
          <w:bottom w:val="single" w:color="B9C6CF" w:sz="6" w:space="4"/>
        </w:pBdr>
      </w:pPr>
      <w:bookmarkStart w:id="150" w:name="_Toc261100050"/>
      <w:r>
        <w:rPr>
          <w:rFonts w:ascii="Calibri" w:hAnsi="Calibri"/>
        </w:rPr>
        <w:t xml:space="preserve">Part VIII: Disputes, Continuity, and Final Provisions</w:t>
      </w:r>
      <w:bookmarkEnd w:id="150"/>
    </w:p>
    <w:p>
      <w:pPr>
        <w:pStyle w:val="Heading2"/>
      </w:pPr>
      <w:bookmarkStart w:id="151" w:name="_Toc261100051"/>
      <w:r>
        <w:rPr>
          <w:rFonts w:ascii="Calibri" w:hAnsi="Calibri"/>
        </w:rPr>
        <w:t xml:space="preserve">Article 39: The Dispute Resolution Ladder</w:t>
      </w:r>
      <w:bookmarkEnd w:id="151"/>
    </w:p>
    <w:p>
      <w:pPr>
        <w:jc w:val="both"/>
      </w:pPr>
      <w:r>
        <w:rPr/>
        <w:t xml:space="preserve">39.1 The ladder. Every dispute under this Understanding climbs a four-rung ladder, and the process skips no rung: (1) technical consultation at the Authority between the co-directors, within 14 days of the dispute's registration; (2) referral to the Hormuz Bridge Commission, at its next session or an extraordinary session within 21 days; (3) neutral facilitation by the Mediator of Record and the Neutral Administrator jointly, within 30 days; (4) submission to the Hormuz Maritime Tribunal of Article 40. A dispute registers with the Secretariat in writing, and the registration publishes in the transparency rhythm.</w:t>
      </w:r>
    </w:p>
    <w:p>
      <w:pPr>
        <w:jc w:val="both"/>
      </w:pPr>
      <w:r>
        <w:rPr/>
        <w:t xml:space="preserve">39.2 Operation continues. No dispute suspends, delays, or conditions any operation of this Understanding. The ladder climbs while the water stays open: passage continues, services continue, payments continue, and verification continues. The architecture quarantines disputes from operations by design, because the crisis of 2026 proved that a strait governance dispute becomes a global economic event within days.</w:t>
      </w:r>
    </w:p>
    <w:p>
      <w:pPr>
        <w:jc w:val="both"/>
      </w:pPr>
      <w:r>
        <w:rPr/>
        <w:t xml:space="preserve">39.3 The neutral mechanism. Every participant's demand for neutral dispute resolution, recorded uniformly across the United States, Iranian, Omani, GCC, and European positions, finds its answer in the structure itself: no Party adjudicates its own dispute at any rung, the Mediator of Record and the Neutral Administrator anchor rung three, and the Tribunal of Article 40 anchors rung four with a panel no Party controls.</w:t>
      </w:r>
    </w:p>
    <w:p>
      <w:pPr>
        <w:pStyle w:val="Heading2"/>
      </w:pPr>
      <w:bookmarkStart w:id="152" w:name="_Toc261100052"/>
      <w:r>
        <w:rPr>
          <w:rFonts w:ascii="Calibri" w:hAnsi="Calibri"/>
        </w:rPr>
        <w:t xml:space="preserve">Article 40: The Hormuz Maritime Tribunal</w:t>
      </w:r>
      <w:bookmarkEnd w:id="152"/>
    </w:p>
    <w:p>
      <w:pPr>
        <w:jc w:val="both"/>
      </w:pPr>
      <w:r>
        <w:rPr/>
        <w:t xml:space="preserve">40.1 The panel. The Tribunal comprises five members: two nominated by the Founding Parties jointly, one nominated by the acceding states collectively, one nominated by the Neutral Administrator, and a chair selected by the four from the list of the International Tribunal for the Law of the Sea or equivalent standing. Members serve six-year terms, and the panel sits at the Neutral Administrator's seat or by secure link.</w:t>
      </w:r>
    </w:p>
    <w:p>
      <w:pPr>
        <w:jc w:val="both"/>
      </w:pPr>
      <w:r>
        <w:rPr/>
        <w:t xml:space="preserve">40.2 Jurisdiction. The Tribunal decides: (a) disputes on the interpretation of this Understanding unresolved at rung three; (b) claims arising from the financial architecture, including contribution, rate, and audit disputes; (c) claims for damage arising from incidents within the Governance Area, including pollution damage and delay claims; and (d) challenges to classification decisions of Article 32. The Tribunal applies this Understanding, the Inviolable Principles, and applicable international law, and it decides on the convergent evidence record.</w:t>
      </w:r>
    </w:p>
    <w:p>
      <w:pPr>
        <w:jc w:val="both"/>
      </w:pPr>
      <w:r>
        <w:rPr/>
        <w:t xml:space="preserve">40.3 Procedure and effect. The Tribunal sits in panels of three, decides within 90 days of submission, and publishes every decision in full. Its decisions bind the parties to the dispute. The Tribunal holds no power to suspend the corridor system, to amend the Inviolable Principles, or to award any remedy that conditions passage. Its remedies run in money, in corrective orders to organs, and in declaratory findings, and every award executes through the Fund's channels under audit.</w:t>
      </w:r>
    </w:p>
    <w:p>
      <w:pPr>
        <w:pStyle w:val="Heading2"/>
      </w:pPr>
      <w:bookmarkStart w:id="153" w:name="_Toc261100053"/>
      <w:r>
        <w:rPr>
          <w:rFonts w:ascii="Calibri" w:hAnsi="Calibri"/>
        </w:rPr>
        <w:t xml:space="preserve">Article 41: Amendment and Annex Updating</w:t>
      </w:r>
      <w:bookmarkEnd w:id="153"/>
    </w:p>
    <w:p>
      <w:pPr>
        <w:jc w:val="both"/>
      </w:pPr>
      <w:r>
        <w:rPr/>
        <w:t xml:space="preserve">41.1 Two tracks. Change to this Understanding runs on two tracks. The amendment track changes Articles: it proceeds by joint written instrument of the Founding Parties, with the consent of the acceding states expressed by their collective vote in the Bridge Commission, and it enters into force on deposit with the Depositary. The annex track changes Annexes: the Technical Standards Committee prepares the revision, the Bridge Commission adopts it by paired vote, and it publishes with 30 days' notice, entering into force by silence at the notice's end.</w:t>
      </w:r>
    </w:p>
    <w:p>
      <w:pPr>
        <w:jc w:val="both"/>
      </w:pPr>
      <w:r>
        <w:rPr/>
        <w:t xml:space="preserve">41.2 The untouchable core. The Inviolable Principles Register of Annex G changes only by the unanimous written instrument of every Party and every acceding state, and the Zero-Toll Rule, the non-interdiction protocol, and the humanitarian absolute admit no amendment at all: a change to those three lines terminates the architecture by definition, and no participant proposes one.</w:t>
      </w:r>
    </w:p>
    <w:p>
      <w:pPr>
        <w:jc w:val="both"/>
      </w:pPr>
      <w:r>
        <w:rPr/>
        <w:t xml:space="preserve">41.3 The shock absorber function. The Parties locate politically sensitive detail in the Annexes deliberately: annexes absorb friction. A dispute over rates, thresholds, schedules, or protocols resolves by annex revision without reopening the Articles, and the architecture thereby survives the ordinary turbulence of operation. The main text stays simple, stable, and signed; the engineering evolves.</w:t>
      </w:r>
    </w:p>
    <w:p>
      <w:pPr>
        <w:pStyle w:val="Heading2"/>
      </w:pPr>
      <w:bookmarkStart w:id="154" w:name="_Toc261100054"/>
      <w:r>
        <w:rPr>
          <w:rFonts w:ascii="Calibri" w:hAnsi="Calibri"/>
        </w:rPr>
        <w:t xml:space="preserve">Article 42: Default Continuity, Dormancy, and Reconstitution</w:t>
      </w:r>
      <w:bookmarkEnd w:id="154"/>
    </w:p>
    <w:p>
      <w:pPr>
        <w:jc w:val="both"/>
      </w:pPr>
      <w:r>
        <w:rPr/>
        <w:t xml:space="preserve">42.1 Default continuity. At every decision point in this Understanding, continuation is the default state. A stalled meeting, a deadlocked vote, an unfilled appointment, or an unanswered letter changes nothing: the system runs on. No mechanism in this architecture requires fresh energy to persist; it requires joint written energy to change.</w:t>
      </w:r>
    </w:p>
    <w:p>
      <w:pPr>
        <w:jc w:val="both"/>
      </w:pPr>
      <w:r>
        <w:rPr/>
        <w:t xml:space="preserve">42.2 Dormancy. If the political rupture of the Parties ever prevents the operational bodies from functioning, the Authority enters dormancy by declaration of the co-directors or by certified failure of the mirror discipline of Article 19.5. In dormancy: the records, obligations, banked performance, and certifications of the system stand intact in the custody of the Depositary and the Neutral Administrator; the financial accounts freeze under the escrow rule of Article 28.3; and the Inviolable Principles continue to state the law of the water as between the Parties.</w:t>
      </w:r>
    </w:p>
    <w:p>
      <w:pPr>
        <w:jc w:val="both"/>
      </w:pPr>
      <w:r>
        <w:rPr/>
        <w:t xml:space="preserve">42.3 Reconstitution. Either Founding Party reconstitutes the Authority on 14 days' written notice to the Depositary. The reconstitution restarts every mechanism from its banked state: escalator shares resume from banked floors, certifications resume their validity, and the corridor geometry stands as last registered. The architecture treats even rupture as an interruption, never as an ending.</w:t>
      </w:r>
    </w:p>
    <w:p>
      <w:pPr>
        <w:pStyle w:val="Heading2"/>
      </w:pPr>
      <w:bookmarkStart w:id="155" w:name="_Toc261100055"/>
      <w:r>
        <w:rPr>
          <w:rFonts w:ascii="Calibri" w:hAnsi="Calibri"/>
        </w:rPr>
        <w:t xml:space="preserve">Article 43: Accession and Withdrawal</w:t>
      </w:r>
      <w:bookmarkEnd w:id="155"/>
    </w:p>
    <w:p>
      <w:pPr>
        <w:jc w:val="both"/>
      </w:pPr>
      <w:r>
        <w:rPr/>
        <w:t xml:space="preserve">43.1 Accession. The United Arab Emirates, the Kingdom of Saudi Arabia, the State of Qatar, the Kingdom of Bahrain, the State of Kuwait, and the Republic of Iraq accede to this Understanding by depositing the accession instrument of Annex M, Section M.2, and any other state accedes with the consent of the Bridge Commission by paired vote. An acceding state takes the rights of Part IV: observer-to-participant progression, watch officer contribution, liaison desk connection, and collective voting weight in the Commission, on the schedule of Annex M.</w:t>
      </w:r>
    </w:p>
    <w:p>
      <w:pPr>
        <w:jc w:val="both"/>
      </w:pPr>
      <w:r>
        <w:rPr/>
        <w:t xml:space="preserve">43.2 The accession dividend. Accession brings: a seat in the collective vote, watch floor participation, the fused picture in full, the protection of the architecture for the acceding state's shipping, and a voice in every review. The dividend makes accession attractive on its merits, and the standing invitation of Article 24.1 keeps the door permanently open.</w:t>
      </w:r>
    </w:p>
    <w:p>
      <w:pPr>
        <w:jc w:val="both"/>
      </w:pPr>
      <w:r>
        <w:rPr/>
        <w:t xml:space="preserve">43.3 Withdrawal. A Party withdraws from this Understanding only by written notice to the Depositary, taking effect 365 days after deposit, during which every obligation continues in full. Withdrawal is a deliberate, notified, time-buffered sovereign act, never a drift, a silence, or a fade. A withdrawing Party's banked floor remains the law of its past performance, and the corridor geometry it co-authored remains registered until the remaining Parties adjust it under Article 8.6.</w:t>
      </w:r>
    </w:p>
    <w:p>
      <w:pPr>
        <w:jc w:val="both"/>
      </w:pPr>
      <w:r>
        <w:rPr/>
        <w:t xml:space="preserve">43.4 No expulsion. The architecture contains no expulsion mechanism. Participation rests on sovereignty, and the compliance engine of Part VI handles every breach through step-back and earn-back rather than exclusion. The Strait's governance includes its difficult neighbors by design, because a governance system that excludes a littoral governs nothing.</w:t>
      </w:r>
    </w:p>
    <w:p>
      <w:pPr>
        <w:pStyle w:val="Heading2"/>
      </w:pPr>
      <w:bookmarkStart w:id="156" w:name="_Toc261100056"/>
      <w:r>
        <w:rPr>
          <w:rFonts w:ascii="Calibri" w:hAnsi="Calibri"/>
        </w:rPr>
        <w:t xml:space="preserve">Article 44: Domestic Framing Autonomy and Communications</w:t>
      </w:r>
      <w:bookmarkEnd w:id="156"/>
    </w:p>
    <w:p>
      <w:pPr>
        <w:jc w:val="both"/>
      </w:pPr>
      <w:r>
        <w:rPr/>
        <w:t xml:space="preserve">44.1 Framing autonomy. Each participant presents this Understanding to its own people, parliament, and press in its own words. Tehran frames the recognized functional role, the revenue, and the development windows as the victories they are. Washington frames the toll-free strait, the verification architecture, and the multilateral oversight as the achievements they are. Muscat frames the anchor role. The GCC capitals frame the collective guarantee. The architecture evaluates performance on the water and remains indifferent to rhetoric on the shore.</w:t>
      </w:r>
    </w:p>
    <w:p>
      <w:pPr>
        <w:jc w:val="both"/>
      </w:pPr>
      <w:r>
        <w:rPr/>
        <w:t xml:space="preserve">44.2 One publication rhythm. Every official publication of this Understanding issues simultaneously in Persian, Arabic, and English, at the same minute, from Muscat and Bandar Abbas, on the Master Synchronization Calendar. The rhythm serves every observer equally: no capital, market, or newsroom learns a rule before another.</w:t>
      </w:r>
    </w:p>
    <w:p>
      <w:pPr>
        <w:jc w:val="both"/>
      </w:pPr>
      <w:r>
        <w:rPr/>
        <w:t xml:space="preserve">44.3 The communications calendar. Annex J, Section J.7 carries the communications calendar: the weekly verification bulletin, the six-hourly Open Water Bulletin, the monthly financial statement, the quarterly audit, the annual comprehensive audit and report. The calendar makes the system's transparency a habit rather than an event.</w:t>
      </w:r>
    </w:p>
    <w:p>
      <w:pPr>
        <w:pStyle w:val="Heading2"/>
      </w:pPr>
      <w:bookmarkStart w:id="157" w:name="_Toc261100057"/>
      <w:r>
        <w:rPr>
          <w:rFonts w:ascii="Calibri" w:hAnsi="Calibri"/>
        </w:rPr>
        <w:t xml:space="preserve">Article 45: Depositary, Languages, and Entry into Force</w:t>
      </w:r>
      <w:bookmarkEnd w:id="157"/>
    </w:p>
    <w:p>
      <w:pPr>
        <w:jc w:val="both"/>
      </w:pPr>
      <w:r>
        <w:rPr/>
        <w:t xml:space="preserve">45.1 Depositary. The Sultanate of Oman, Ministry of Foreign Affairs, serves as Depositary. The Depositary: receives signatures, accessions, endorsements, notices, and withdrawal instruments; maintains the authoritative texts and the certified record; transmits certified copies to every participant; and registers this Understanding with the Secretariat of the United Nations.</w:t>
      </w:r>
    </w:p>
    <w:p>
      <w:pPr>
        <w:jc w:val="both"/>
      </w:pPr>
      <w:r>
        <w:rPr/>
        <w:t xml:space="preserve">45.2 Languages. The Parties execute this Understanding in Persian, Arabic, and English, the three texts carrying equal authority. The Neutral Administrator maintains the concordance record of the three texts, and any divergence resolves under the interpretation rules of Article 2.2 in favor of the reading that serves the Inviolable Principles.</w:t>
      </w:r>
    </w:p>
    <w:p>
      <w:pPr>
        <w:jc w:val="both"/>
      </w:pPr>
      <w:r>
        <w:rPr/>
        <w:t xml:space="preserve">45.3 Entry into force. This Understanding enters into force upon signature by both Founding Parties and deposit of the instruments with the Depositary. The activation timeline of Article 37 begins on the day of entry into force, and the Synchronized Indivisible Event executes at Day 20 of that timeline, on the minute the Bridge Commission publishes in the first issue of the Master Synchronization Calendar.</w:t>
      </w:r>
    </w:p>
    <w:p>
      <w:pPr>
        <w:jc w:val="both"/>
      </w:pPr>
      <w:r>
        <w:rPr/>
        <w:t xml:space="preserve">45.4 Signature blocks. The signature instruments of the Founding Parties, the endorsement instruments of the Endorsing Stakeholders, and the accession instruments of the acceding states appear in Annex M, executed in the three languages of this Understanding, each instrument stating on its face the synchronized obligations that attach to it under IPR-16.</w:t>
      </w:r>
    </w:p>
    <w:p>
      <w:pPr>
        <w:pStyle w:val="Heading1"/>
        <w:pageBreakBefore/>
        <w:pBdr>
          <w:bottom w:val="single" w:color="B9C6CF" w:sz="6" w:space="4"/>
        </w:pBdr>
      </w:pPr>
      <w:bookmarkStart w:id="158" w:name="_Toc261100058"/>
      <w:r>
        <w:rPr>
          <w:rFonts w:ascii="Calibri" w:hAnsi="Calibri"/>
        </w:rPr>
        <w:t xml:space="preserve">Annex A: Corridor Coordinates and Geometry Registry</w:t>
      </w:r>
      <w:bookmarkEnd w:id="158"/>
    </w:p>
    <w:p>
      <w:pPr>
        <w:jc w:val="both"/>
      </w:pPr>
      <w:r>
        <w:rPr/>
        <w:t xml:space="preserve">This Annex carries the complete geometry registry of the Governance Area and the three corridors. The coordinates derive from the technical understandings reached between Tehran and Muscat in July and August 2026, adapted to the three-corridor architecture of Article 8. The Authority registers every table of this Annex with the International Maritime Organization and the International Hydrographic Organization upon activation, and re-registers within fourteen days of every adjustment under Article 8.6. All positions reference WGS-84. All distances state in nautical miles.</w:t>
      </w:r>
    </w:p>
    <w:p>
      <w:pPr>
        <w:pStyle w:val="Heading2"/>
      </w:pPr>
      <w:bookmarkStart w:id="159" w:name="_Toc261100059"/>
      <w:r>
        <w:rPr>
          <w:rFonts w:ascii="Calibri" w:hAnsi="Calibri"/>
        </w:rPr>
        <w:t xml:space="preserve">A.1 Table A.1: The Governance Area Polygon</w:t>
      </w:r>
      <w:bookmarkEnd w:id="159"/>
    </w:p>
    <w:p>
      <w:pPr>
        <w:jc w:val="both"/>
      </w:pPr>
      <w:r>
        <w:rPr/>
        <w:t xml:space="preserve">The Governance Area comprises the waters and superjacent airspace inside the closed polygon GA-1 through GA-6, enclosing the narrowest section of the Strait between Larak Island and the Musandam Peninsula, the eastern approaches in the Gulf of Oman, and the western approaches inside the Persian Gulf.</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1200"/>
        <w:gridCol w:w="3200"/>
        <w:gridCol w:w="3200"/>
        <w:gridCol w:w="1900"/>
      </w:tblGrid>
      <w:tr>
        <w:trPr>
          <w:tblHeader/>
        </w:trPr>
        <w:tc>
          <w:tcPr>
            <w:tcW w:w="1200" w:type="dxa"/>
            <w:shd w:val="clear" w:fill="E8EDF1"/>
          </w:tcPr>
          <w:p>
            <w:pPr>
              <w:spacing w:after="20" w:line="264" w:lineRule="auto"/>
            </w:pPr>
            <w:r>
              <w:rPr>
                <w:rFonts w:ascii="Calibri" w:hAnsi="Calibri"/>
                <w:b/>
                <w:color w:val="2E4A62"/>
                <w:sz w:val="18"/>
              </w:rPr>
              <w:t xml:space="preserve">Vertex</w:t>
            </w:r>
          </w:p>
        </w:tc>
        <w:tc>
          <w:tcPr>
            <w:tcW w:w="3200" w:type="dxa"/>
            <w:shd w:val="clear" w:fill="E8EDF1"/>
          </w:tcPr>
          <w:p>
            <w:pPr>
              <w:spacing w:after="20" w:line="264" w:lineRule="auto"/>
            </w:pPr>
            <w:r>
              <w:rPr>
                <w:rFonts w:ascii="Calibri" w:hAnsi="Calibri"/>
                <w:b/>
                <w:color w:val="2E4A62"/>
                <w:sz w:val="18"/>
              </w:rPr>
              <w:t xml:space="preserve">Latitude</w:t>
            </w:r>
          </w:p>
        </w:tc>
        <w:tc>
          <w:tcPr>
            <w:tcW w:w="3200" w:type="dxa"/>
            <w:shd w:val="clear" w:fill="E8EDF1"/>
          </w:tcPr>
          <w:p>
            <w:pPr>
              <w:spacing w:after="20" w:line="264" w:lineRule="auto"/>
            </w:pPr>
            <w:r>
              <w:rPr>
                <w:rFonts w:ascii="Calibri" w:hAnsi="Calibri"/>
                <w:b/>
                <w:color w:val="2E4A62"/>
                <w:sz w:val="18"/>
              </w:rPr>
              <w:t xml:space="preserve">Longitude</w:t>
            </w:r>
          </w:p>
        </w:tc>
        <w:tc>
          <w:tcPr>
            <w:tcW w:w="1900" w:type="dxa"/>
            <w:shd w:val="clear" w:fill="E8EDF1"/>
          </w:tcPr>
          <w:p>
            <w:pPr>
              <w:spacing w:after="20" w:line="264" w:lineRule="auto"/>
            </w:pPr>
            <w:r>
              <w:rPr>
                <w:rFonts w:ascii="Calibri" w:hAnsi="Calibri"/>
                <w:b/>
                <w:color w:val="2E4A62"/>
                <w:sz w:val="18"/>
              </w:rPr>
              <w:t xml:space="preserve">Note</w:t>
            </w:r>
          </w:p>
        </w:tc>
      </w:tr>
      <w:tr>
        <w:tc>
          <w:tcPr>
            <w:tcW w:w="1200" w:type="dxa"/>
          </w:tcPr>
          <w:p>
            <w:pPr>
              <w:spacing w:after="20" w:line="264" w:lineRule="auto"/>
            </w:pPr>
            <w:r>
              <w:rPr>
                <w:rFonts w:ascii="Calibri" w:hAnsi="Calibri"/>
                <w:color w:val="263238"/>
                <w:sz w:val="18"/>
              </w:rPr>
              <w:t xml:space="preserve">GA-1</w:t>
            </w:r>
          </w:p>
        </w:tc>
        <w:tc>
          <w:tcPr>
            <w:tcW w:w="3200" w:type="dxa"/>
          </w:tcPr>
          <w:p>
            <w:pPr>
              <w:spacing w:after="20" w:line="264" w:lineRule="auto"/>
            </w:pPr>
            <w:r>
              <w:rPr>
                <w:rFonts w:ascii="Calibri" w:hAnsi="Calibri"/>
                <w:color w:val="263238"/>
                <w:sz w:val="18"/>
              </w:rPr>
              <w:t xml:space="preserve">26 55.0 N</w:t>
            </w:r>
          </w:p>
        </w:tc>
        <w:tc>
          <w:tcPr>
            <w:tcW w:w="3200" w:type="dxa"/>
          </w:tcPr>
          <w:p>
            <w:pPr>
              <w:spacing w:after="20" w:line="264" w:lineRule="auto"/>
            </w:pPr>
            <w:r>
              <w:rPr>
                <w:rFonts w:ascii="Calibri" w:hAnsi="Calibri"/>
                <w:color w:val="263238"/>
                <w:sz w:val="18"/>
              </w:rPr>
              <w:t xml:space="preserve">056 05.0 E</w:t>
            </w:r>
          </w:p>
        </w:tc>
        <w:tc>
          <w:tcPr>
            <w:tcW w:w="1900" w:type="dxa"/>
          </w:tcPr>
          <w:p>
            <w:pPr>
              <w:spacing w:after="20" w:line="264" w:lineRule="auto"/>
            </w:pPr>
            <w:r>
              <w:rPr>
                <w:rFonts w:ascii="Calibri" w:hAnsi="Calibri"/>
                <w:color w:val="263238"/>
                <w:sz w:val="18"/>
              </w:rPr>
              <w:t xml:space="preserve">Western approach, northern limit</w:t>
            </w:r>
          </w:p>
        </w:tc>
      </w:tr>
      <w:tr>
        <w:tc>
          <w:tcPr>
            <w:tcW w:w="1200" w:type="dxa"/>
          </w:tcPr>
          <w:p>
            <w:pPr>
              <w:spacing w:after="20" w:line="264" w:lineRule="auto"/>
            </w:pPr>
            <w:r>
              <w:rPr>
                <w:rFonts w:ascii="Calibri" w:hAnsi="Calibri"/>
                <w:color w:val="263238"/>
                <w:sz w:val="18"/>
              </w:rPr>
              <w:t xml:space="preserve">GA-2</w:t>
            </w:r>
          </w:p>
        </w:tc>
        <w:tc>
          <w:tcPr>
            <w:tcW w:w="3200" w:type="dxa"/>
          </w:tcPr>
          <w:p>
            <w:pPr>
              <w:spacing w:after="20" w:line="264" w:lineRule="auto"/>
            </w:pPr>
            <w:r>
              <w:rPr>
                <w:rFonts w:ascii="Calibri" w:hAnsi="Calibri"/>
                <w:color w:val="263238"/>
                <w:sz w:val="18"/>
              </w:rPr>
              <w:t xml:space="preserve">26 55.0 N</w:t>
            </w:r>
          </w:p>
        </w:tc>
        <w:tc>
          <w:tcPr>
            <w:tcW w:w="3200" w:type="dxa"/>
          </w:tcPr>
          <w:p>
            <w:pPr>
              <w:spacing w:after="20" w:line="264" w:lineRule="auto"/>
            </w:pPr>
            <w:r>
              <w:rPr>
                <w:rFonts w:ascii="Calibri" w:hAnsi="Calibri"/>
                <w:color w:val="263238"/>
                <w:sz w:val="18"/>
              </w:rPr>
              <w:t xml:space="preserve">057 10.0 E</w:t>
            </w:r>
          </w:p>
        </w:tc>
        <w:tc>
          <w:tcPr>
            <w:tcW w:w="1900" w:type="dxa"/>
          </w:tcPr>
          <w:p>
            <w:pPr>
              <w:spacing w:after="20" w:line="264" w:lineRule="auto"/>
            </w:pPr>
            <w:r>
              <w:rPr>
                <w:rFonts w:ascii="Calibri" w:hAnsi="Calibri"/>
                <w:color w:val="263238"/>
                <w:sz w:val="18"/>
              </w:rPr>
              <w:t xml:space="preserve">Northern limit, off the Iranian coast</w:t>
            </w:r>
          </w:p>
        </w:tc>
      </w:tr>
      <w:tr>
        <w:tc>
          <w:tcPr>
            <w:tcW w:w="1200" w:type="dxa"/>
          </w:tcPr>
          <w:p>
            <w:pPr>
              <w:spacing w:after="20" w:line="264" w:lineRule="auto"/>
            </w:pPr>
            <w:r>
              <w:rPr>
                <w:rFonts w:ascii="Calibri" w:hAnsi="Calibri"/>
                <w:color w:val="263238"/>
                <w:sz w:val="18"/>
              </w:rPr>
              <w:t xml:space="preserve">GA-3</w:t>
            </w:r>
          </w:p>
        </w:tc>
        <w:tc>
          <w:tcPr>
            <w:tcW w:w="3200" w:type="dxa"/>
          </w:tcPr>
          <w:p>
            <w:pPr>
              <w:spacing w:after="20" w:line="264" w:lineRule="auto"/>
            </w:pPr>
            <w:r>
              <w:rPr>
                <w:rFonts w:ascii="Calibri" w:hAnsi="Calibri"/>
                <w:color w:val="263238"/>
                <w:sz w:val="18"/>
              </w:rPr>
              <w:t xml:space="preserve">26 20.0 N</w:t>
            </w:r>
          </w:p>
        </w:tc>
        <w:tc>
          <w:tcPr>
            <w:tcW w:w="3200" w:type="dxa"/>
          </w:tcPr>
          <w:p>
            <w:pPr>
              <w:spacing w:after="20" w:line="264" w:lineRule="auto"/>
            </w:pPr>
            <w:r>
              <w:rPr>
                <w:rFonts w:ascii="Calibri" w:hAnsi="Calibri"/>
                <w:color w:val="263238"/>
                <w:sz w:val="18"/>
              </w:rPr>
              <w:t xml:space="preserve">057 30.0 E</w:t>
            </w:r>
          </w:p>
        </w:tc>
        <w:tc>
          <w:tcPr>
            <w:tcW w:w="1900" w:type="dxa"/>
          </w:tcPr>
          <w:p>
            <w:pPr>
              <w:spacing w:after="20" w:line="264" w:lineRule="auto"/>
            </w:pPr>
            <w:r>
              <w:rPr>
                <w:rFonts w:ascii="Calibri" w:hAnsi="Calibri"/>
                <w:color w:val="263238"/>
                <w:sz w:val="18"/>
              </w:rPr>
              <w:t xml:space="preserve">Eastern approach, Gulf of Oman side</w:t>
            </w:r>
          </w:p>
        </w:tc>
      </w:tr>
      <w:tr>
        <w:tc>
          <w:tcPr>
            <w:tcW w:w="1200" w:type="dxa"/>
          </w:tcPr>
          <w:p>
            <w:pPr>
              <w:spacing w:after="20" w:line="264" w:lineRule="auto"/>
            </w:pPr>
            <w:r>
              <w:rPr>
                <w:rFonts w:ascii="Calibri" w:hAnsi="Calibri"/>
                <w:color w:val="263238"/>
                <w:sz w:val="18"/>
              </w:rPr>
              <w:t xml:space="preserve">GA-4</w:t>
            </w:r>
          </w:p>
        </w:tc>
        <w:tc>
          <w:tcPr>
            <w:tcW w:w="3200" w:type="dxa"/>
          </w:tcPr>
          <w:p>
            <w:pPr>
              <w:spacing w:after="20" w:line="264" w:lineRule="auto"/>
            </w:pPr>
            <w:r>
              <w:rPr>
                <w:rFonts w:ascii="Calibri" w:hAnsi="Calibri"/>
                <w:color w:val="263238"/>
                <w:sz w:val="18"/>
              </w:rPr>
              <w:t xml:space="preserve">25 55.0 N</w:t>
            </w:r>
          </w:p>
        </w:tc>
        <w:tc>
          <w:tcPr>
            <w:tcW w:w="3200" w:type="dxa"/>
          </w:tcPr>
          <w:p>
            <w:pPr>
              <w:spacing w:after="20" w:line="264" w:lineRule="auto"/>
            </w:pPr>
            <w:r>
              <w:rPr>
                <w:rFonts w:ascii="Calibri" w:hAnsi="Calibri"/>
                <w:color w:val="263238"/>
                <w:sz w:val="18"/>
              </w:rPr>
              <w:t xml:space="preserve">057 10.0 E</w:t>
            </w:r>
          </w:p>
        </w:tc>
        <w:tc>
          <w:tcPr>
            <w:tcW w:w="1900" w:type="dxa"/>
          </w:tcPr>
          <w:p>
            <w:pPr>
              <w:spacing w:after="20" w:line="264" w:lineRule="auto"/>
            </w:pPr>
            <w:r>
              <w:rPr>
                <w:rFonts w:ascii="Calibri" w:hAnsi="Calibri"/>
                <w:color w:val="263238"/>
                <w:sz w:val="18"/>
              </w:rPr>
              <w:t xml:space="preserve">Southeastern limit, off the Musandam coast</w:t>
            </w:r>
          </w:p>
        </w:tc>
      </w:tr>
      <w:tr>
        <w:tc>
          <w:tcPr>
            <w:tcW w:w="1200" w:type="dxa"/>
          </w:tcPr>
          <w:p>
            <w:pPr>
              <w:spacing w:after="20" w:line="264" w:lineRule="auto"/>
            </w:pPr>
            <w:r>
              <w:rPr>
                <w:rFonts w:ascii="Calibri" w:hAnsi="Calibri"/>
                <w:color w:val="263238"/>
                <w:sz w:val="18"/>
              </w:rPr>
              <w:t xml:space="preserve">GA-5</w:t>
            </w:r>
          </w:p>
        </w:tc>
        <w:tc>
          <w:tcPr>
            <w:tcW w:w="3200" w:type="dxa"/>
          </w:tcPr>
          <w:p>
            <w:pPr>
              <w:spacing w:after="20" w:line="264" w:lineRule="auto"/>
            </w:pPr>
            <w:r>
              <w:rPr>
                <w:rFonts w:ascii="Calibri" w:hAnsi="Calibri"/>
                <w:color w:val="263238"/>
                <w:sz w:val="18"/>
              </w:rPr>
              <w:t xml:space="preserve">25 55.0 N</w:t>
            </w:r>
          </w:p>
        </w:tc>
        <w:tc>
          <w:tcPr>
            <w:tcW w:w="3200" w:type="dxa"/>
          </w:tcPr>
          <w:p>
            <w:pPr>
              <w:spacing w:after="20" w:line="264" w:lineRule="auto"/>
            </w:pPr>
            <w:r>
              <w:rPr>
                <w:rFonts w:ascii="Calibri" w:hAnsi="Calibri"/>
                <w:color w:val="263238"/>
                <w:sz w:val="18"/>
              </w:rPr>
              <w:t xml:space="preserve">056 20.0 E</w:t>
            </w:r>
          </w:p>
        </w:tc>
        <w:tc>
          <w:tcPr>
            <w:tcW w:w="1900" w:type="dxa"/>
          </w:tcPr>
          <w:p>
            <w:pPr>
              <w:spacing w:after="20" w:line="264" w:lineRule="auto"/>
            </w:pPr>
            <w:r>
              <w:rPr>
                <w:rFonts w:ascii="Calibri" w:hAnsi="Calibri"/>
                <w:color w:val="263238"/>
                <w:sz w:val="18"/>
              </w:rPr>
              <w:t xml:space="preserve">Southern limit</w:t>
            </w:r>
          </w:p>
        </w:tc>
      </w:tr>
      <w:tr>
        <w:tc>
          <w:tcPr>
            <w:tcW w:w="1200" w:type="dxa"/>
          </w:tcPr>
          <w:p>
            <w:pPr>
              <w:spacing w:after="20" w:line="264" w:lineRule="auto"/>
            </w:pPr>
            <w:r>
              <w:rPr>
                <w:rFonts w:ascii="Calibri" w:hAnsi="Calibri"/>
                <w:color w:val="263238"/>
                <w:sz w:val="18"/>
              </w:rPr>
              <w:t xml:space="preserve">GA-6</w:t>
            </w:r>
          </w:p>
        </w:tc>
        <w:tc>
          <w:tcPr>
            <w:tcW w:w="3200" w:type="dxa"/>
          </w:tcPr>
          <w:p>
            <w:pPr>
              <w:spacing w:after="20" w:line="264" w:lineRule="auto"/>
            </w:pPr>
            <w:r>
              <w:rPr>
                <w:rFonts w:ascii="Calibri" w:hAnsi="Calibri"/>
                <w:color w:val="263238"/>
                <w:sz w:val="18"/>
              </w:rPr>
              <w:t xml:space="preserve">26 25.0 N</w:t>
            </w:r>
          </w:p>
        </w:tc>
        <w:tc>
          <w:tcPr>
            <w:tcW w:w="3200" w:type="dxa"/>
          </w:tcPr>
          <w:p>
            <w:pPr>
              <w:spacing w:after="20" w:line="264" w:lineRule="auto"/>
            </w:pPr>
            <w:r>
              <w:rPr>
                <w:rFonts w:ascii="Calibri" w:hAnsi="Calibri"/>
                <w:color w:val="263238"/>
                <w:sz w:val="18"/>
              </w:rPr>
              <w:t xml:space="preserve">056 05.0 E</w:t>
            </w:r>
          </w:p>
        </w:tc>
        <w:tc>
          <w:tcPr>
            <w:tcW w:w="1900" w:type="dxa"/>
          </w:tcPr>
          <w:p>
            <w:pPr>
              <w:spacing w:after="20" w:line="264" w:lineRule="auto"/>
            </w:pPr>
            <w:r>
              <w:rPr>
                <w:rFonts w:ascii="Calibri" w:hAnsi="Calibri"/>
                <w:color w:val="263238"/>
                <w:sz w:val="18"/>
              </w:rPr>
              <w:t xml:space="preserve">Western approach, southern limit</w:t>
            </w:r>
          </w:p>
        </w:tc>
      </w:tr>
    </w:tbl>
    <w:p>
      <w:pPr>
        <w:spacing w:after="160"/>
      </w:pPr>
    </w:p>
    <w:p>
      <w:pPr>
        <w:jc w:val="both"/>
      </w:pPr>
      <w:r>
        <w:rPr/>
        <w:t xml:space="preserve">The polygon closes from GA-6 to GA-1. Its total area measures approximately 2,900 square nautical miles. The polygon deliberately covers the full navigable width of the Strait plus approach sea room, so that no corridor entry or exit occurs outside the governance architecture.</w:t>
      </w:r>
    </w:p>
    <w:p>
      <w:pPr>
        <w:pStyle w:val="Heading2"/>
      </w:pPr>
      <w:bookmarkStart w:id="160" w:name="_Toc261100060"/>
      <w:r>
        <w:rPr>
          <w:rFonts w:ascii="Calibri" w:hAnsi="Calibri"/>
        </w:rPr>
        <w:t xml:space="preserve">A.2 Table A.2: Northern Inbound Corridor Centerline</w:t>
      </w:r>
      <w:bookmarkEnd w:id="160"/>
    </w:p>
    <w:p>
      <w:pPr>
        <w:jc w:val="both"/>
      </w:pPr>
      <w:r>
        <w:rPr/>
        <w:t xml:space="preserve">The Northern Inbound Corridor carries all inbound commercial traffic. Its centerline runs through the northern waters of the Strait. The corridor width measures 2.0 nautical miles, one mile either side of the centerline, with an additional 0.5 mile buffer marking on each side shown on charts as the corridor edge.</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1200"/>
        <w:gridCol w:w="3200"/>
        <w:gridCol w:w="3200"/>
        <w:gridCol w:w="1900"/>
      </w:tblGrid>
      <w:tr>
        <w:trPr>
          <w:tblHeader/>
        </w:trPr>
        <w:tc>
          <w:tcPr>
            <w:tcW w:w="1200" w:type="dxa"/>
            <w:shd w:val="clear" w:fill="E8EDF1"/>
          </w:tcPr>
          <w:p>
            <w:pPr>
              <w:spacing w:after="20" w:line="264" w:lineRule="auto"/>
            </w:pPr>
            <w:r>
              <w:rPr>
                <w:rFonts w:ascii="Calibri" w:hAnsi="Calibri"/>
                <w:b/>
                <w:color w:val="2E4A62"/>
                <w:sz w:val="18"/>
              </w:rPr>
              <w:t xml:space="preserve">Waypoint</w:t>
            </w:r>
          </w:p>
        </w:tc>
        <w:tc>
          <w:tcPr>
            <w:tcW w:w="3200" w:type="dxa"/>
            <w:shd w:val="clear" w:fill="E8EDF1"/>
          </w:tcPr>
          <w:p>
            <w:pPr>
              <w:spacing w:after="20" w:line="264" w:lineRule="auto"/>
            </w:pPr>
            <w:r>
              <w:rPr>
                <w:rFonts w:ascii="Calibri" w:hAnsi="Calibri"/>
                <w:b/>
                <w:color w:val="2E4A62"/>
                <w:sz w:val="18"/>
              </w:rPr>
              <w:t xml:space="preserve">Latitude</w:t>
            </w:r>
          </w:p>
        </w:tc>
        <w:tc>
          <w:tcPr>
            <w:tcW w:w="3200" w:type="dxa"/>
            <w:shd w:val="clear" w:fill="E8EDF1"/>
          </w:tcPr>
          <w:p>
            <w:pPr>
              <w:spacing w:after="20" w:line="264" w:lineRule="auto"/>
            </w:pPr>
            <w:r>
              <w:rPr>
                <w:rFonts w:ascii="Calibri" w:hAnsi="Calibri"/>
                <w:b/>
                <w:color w:val="2E4A62"/>
                <w:sz w:val="18"/>
              </w:rPr>
              <w:t xml:space="preserve">Longitude</w:t>
            </w:r>
          </w:p>
        </w:tc>
        <w:tc>
          <w:tcPr>
            <w:tcW w:w="1900" w:type="dxa"/>
            <w:shd w:val="clear" w:fill="E8EDF1"/>
          </w:tcPr>
          <w:p>
            <w:pPr>
              <w:spacing w:after="20" w:line="264" w:lineRule="auto"/>
            </w:pPr>
            <w:r>
              <w:rPr>
                <w:rFonts w:ascii="Calibri" w:hAnsi="Calibri"/>
                <w:b/>
                <w:color w:val="2E4A62"/>
                <w:sz w:val="18"/>
              </w:rPr>
              <w:t xml:space="preserve">Note</w:t>
            </w:r>
          </w:p>
        </w:tc>
      </w:tr>
      <w:tr>
        <w:tc>
          <w:tcPr>
            <w:tcW w:w="1200" w:type="dxa"/>
          </w:tcPr>
          <w:p>
            <w:pPr>
              <w:spacing w:after="20" w:line="264" w:lineRule="auto"/>
            </w:pPr>
            <w:r>
              <w:rPr>
                <w:rFonts w:ascii="Calibri" w:hAnsi="Calibri"/>
                <w:color w:val="263238"/>
                <w:sz w:val="18"/>
              </w:rPr>
              <w:t xml:space="preserve">NI-1</w:t>
            </w:r>
          </w:p>
        </w:tc>
        <w:tc>
          <w:tcPr>
            <w:tcW w:w="3200" w:type="dxa"/>
          </w:tcPr>
          <w:p>
            <w:pPr>
              <w:spacing w:after="20" w:line="264" w:lineRule="auto"/>
            </w:pPr>
            <w:r>
              <w:rPr>
                <w:rFonts w:ascii="Calibri" w:hAnsi="Calibri"/>
                <w:color w:val="263238"/>
                <w:sz w:val="18"/>
              </w:rPr>
              <w:t xml:space="preserve">26 38.0 N</w:t>
            </w:r>
          </w:p>
        </w:tc>
        <w:tc>
          <w:tcPr>
            <w:tcW w:w="3200" w:type="dxa"/>
          </w:tcPr>
          <w:p>
            <w:pPr>
              <w:spacing w:after="20" w:line="264" w:lineRule="auto"/>
            </w:pPr>
            <w:r>
              <w:rPr>
                <w:rFonts w:ascii="Calibri" w:hAnsi="Calibri"/>
                <w:color w:val="263238"/>
                <w:sz w:val="18"/>
              </w:rPr>
              <w:t xml:space="preserve">057 12.0 E</w:t>
            </w:r>
          </w:p>
        </w:tc>
        <w:tc>
          <w:tcPr>
            <w:tcW w:w="1900" w:type="dxa"/>
          </w:tcPr>
          <w:p>
            <w:pPr>
              <w:spacing w:after="20" w:line="264" w:lineRule="auto"/>
            </w:pPr>
            <w:r>
              <w:rPr>
                <w:rFonts w:ascii="Calibri" w:hAnsi="Calibri"/>
                <w:color w:val="263238"/>
                <w:sz w:val="18"/>
              </w:rPr>
              <w:t xml:space="preserve">Eastern entry, precautionary area east</w:t>
            </w:r>
          </w:p>
        </w:tc>
      </w:tr>
      <w:tr>
        <w:tc>
          <w:tcPr>
            <w:tcW w:w="1200" w:type="dxa"/>
          </w:tcPr>
          <w:p>
            <w:pPr>
              <w:spacing w:after="20" w:line="264" w:lineRule="auto"/>
            </w:pPr>
            <w:r>
              <w:rPr>
                <w:rFonts w:ascii="Calibri" w:hAnsi="Calibri"/>
                <w:color w:val="263238"/>
                <w:sz w:val="18"/>
              </w:rPr>
              <w:t xml:space="preserve">NI-2</w:t>
            </w:r>
          </w:p>
        </w:tc>
        <w:tc>
          <w:tcPr>
            <w:tcW w:w="3200" w:type="dxa"/>
          </w:tcPr>
          <w:p>
            <w:pPr>
              <w:spacing w:after="20" w:line="264" w:lineRule="auto"/>
            </w:pPr>
            <w:r>
              <w:rPr>
                <w:rFonts w:ascii="Calibri" w:hAnsi="Calibri"/>
                <w:color w:val="263238"/>
                <w:sz w:val="18"/>
              </w:rPr>
              <w:t xml:space="preserve">26 36.0 N</w:t>
            </w:r>
          </w:p>
        </w:tc>
        <w:tc>
          <w:tcPr>
            <w:tcW w:w="3200" w:type="dxa"/>
          </w:tcPr>
          <w:p>
            <w:pPr>
              <w:spacing w:after="20" w:line="264" w:lineRule="auto"/>
            </w:pPr>
            <w:r>
              <w:rPr>
                <w:rFonts w:ascii="Calibri" w:hAnsi="Calibri"/>
                <w:color w:val="263238"/>
                <w:sz w:val="18"/>
              </w:rPr>
              <w:t xml:space="preserve">056 58.0 E</w:t>
            </w:r>
          </w:p>
        </w:tc>
        <w:tc>
          <w:tcPr>
            <w:tcW w:w="1900" w:type="dxa"/>
          </w:tcPr>
          <w:p>
            <w:pPr>
              <w:spacing w:after="20" w:line="264" w:lineRule="auto"/>
            </w:pPr>
            <w:r>
              <w:rPr>
                <w:rFonts w:ascii="Calibri" w:hAnsi="Calibri"/>
                <w:color w:val="263238"/>
                <w:sz w:val="18"/>
              </w:rPr>
              <w:t xml:space="preserve">Approach leg</w:t>
            </w:r>
          </w:p>
        </w:tc>
      </w:tr>
      <w:tr>
        <w:tc>
          <w:tcPr>
            <w:tcW w:w="1200" w:type="dxa"/>
          </w:tcPr>
          <w:p>
            <w:pPr>
              <w:spacing w:after="20" w:line="264" w:lineRule="auto"/>
            </w:pPr>
            <w:r>
              <w:rPr>
                <w:rFonts w:ascii="Calibri" w:hAnsi="Calibri"/>
                <w:color w:val="263238"/>
                <w:sz w:val="18"/>
              </w:rPr>
              <w:t xml:space="preserve">NI-3</w:t>
            </w:r>
          </w:p>
        </w:tc>
        <w:tc>
          <w:tcPr>
            <w:tcW w:w="3200" w:type="dxa"/>
          </w:tcPr>
          <w:p>
            <w:pPr>
              <w:spacing w:after="20" w:line="264" w:lineRule="auto"/>
            </w:pPr>
            <w:r>
              <w:rPr>
                <w:rFonts w:ascii="Calibri" w:hAnsi="Calibri"/>
                <w:color w:val="263238"/>
                <w:sz w:val="18"/>
              </w:rPr>
              <w:t xml:space="preserve">26 34.0 N</w:t>
            </w:r>
          </w:p>
        </w:tc>
        <w:tc>
          <w:tcPr>
            <w:tcW w:w="3200" w:type="dxa"/>
          </w:tcPr>
          <w:p>
            <w:pPr>
              <w:spacing w:after="20" w:line="264" w:lineRule="auto"/>
            </w:pPr>
            <w:r>
              <w:rPr>
                <w:rFonts w:ascii="Calibri" w:hAnsi="Calibri"/>
                <w:color w:val="263238"/>
                <w:sz w:val="18"/>
              </w:rPr>
              <w:t xml:space="preserve">056 45.0 E</w:t>
            </w:r>
          </w:p>
        </w:tc>
        <w:tc>
          <w:tcPr>
            <w:tcW w:w="1900" w:type="dxa"/>
          </w:tcPr>
          <w:p>
            <w:pPr>
              <w:spacing w:after="20" w:line="264" w:lineRule="auto"/>
            </w:pPr>
            <w:r>
              <w:rPr>
                <w:rFonts w:ascii="Calibri" w:hAnsi="Calibri"/>
                <w:color w:val="263238"/>
                <w:sz w:val="18"/>
              </w:rPr>
              <w:t xml:space="preserve">Mid-strait, narrows section</w:t>
            </w:r>
          </w:p>
        </w:tc>
      </w:tr>
      <w:tr>
        <w:tc>
          <w:tcPr>
            <w:tcW w:w="1200" w:type="dxa"/>
          </w:tcPr>
          <w:p>
            <w:pPr>
              <w:spacing w:after="20" w:line="264" w:lineRule="auto"/>
            </w:pPr>
            <w:r>
              <w:rPr>
                <w:rFonts w:ascii="Calibri" w:hAnsi="Calibri"/>
                <w:color w:val="263238"/>
                <w:sz w:val="18"/>
              </w:rPr>
              <w:t xml:space="preserve">NI-4</w:t>
            </w:r>
          </w:p>
        </w:tc>
        <w:tc>
          <w:tcPr>
            <w:tcW w:w="3200" w:type="dxa"/>
          </w:tcPr>
          <w:p>
            <w:pPr>
              <w:spacing w:after="20" w:line="264" w:lineRule="auto"/>
            </w:pPr>
            <w:r>
              <w:rPr>
                <w:rFonts w:ascii="Calibri" w:hAnsi="Calibri"/>
                <w:color w:val="263238"/>
                <w:sz w:val="18"/>
              </w:rPr>
              <w:t xml:space="preserve">26 36.0 N</w:t>
            </w:r>
          </w:p>
        </w:tc>
        <w:tc>
          <w:tcPr>
            <w:tcW w:w="3200" w:type="dxa"/>
          </w:tcPr>
          <w:p>
            <w:pPr>
              <w:spacing w:after="20" w:line="264" w:lineRule="auto"/>
            </w:pPr>
            <w:r>
              <w:rPr>
                <w:rFonts w:ascii="Calibri" w:hAnsi="Calibri"/>
                <w:color w:val="263238"/>
                <w:sz w:val="18"/>
              </w:rPr>
              <w:t xml:space="preserve">056 30.0 E</w:t>
            </w:r>
          </w:p>
        </w:tc>
        <w:tc>
          <w:tcPr>
            <w:tcW w:w="1900" w:type="dxa"/>
          </w:tcPr>
          <w:p>
            <w:pPr>
              <w:spacing w:after="20" w:line="264" w:lineRule="auto"/>
            </w:pPr>
            <w:r>
              <w:rPr>
                <w:rFonts w:ascii="Calibri" w:hAnsi="Calibri"/>
                <w:color w:val="263238"/>
                <w:sz w:val="18"/>
              </w:rPr>
              <w:t xml:space="preserve">Turn to northwest</w:t>
            </w:r>
          </w:p>
        </w:tc>
      </w:tr>
      <w:tr>
        <w:tc>
          <w:tcPr>
            <w:tcW w:w="1200" w:type="dxa"/>
          </w:tcPr>
          <w:p>
            <w:pPr>
              <w:spacing w:after="20" w:line="264" w:lineRule="auto"/>
            </w:pPr>
            <w:r>
              <w:rPr>
                <w:rFonts w:ascii="Calibri" w:hAnsi="Calibri"/>
                <w:color w:val="263238"/>
                <w:sz w:val="18"/>
              </w:rPr>
              <w:t xml:space="preserve">NI-5</w:t>
            </w:r>
          </w:p>
        </w:tc>
        <w:tc>
          <w:tcPr>
            <w:tcW w:w="3200" w:type="dxa"/>
          </w:tcPr>
          <w:p>
            <w:pPr>
              <w:spacing w:after="20" w:line="264" w:lineRule="auto"/>
            </w:pPr>
            <w:r>
              <w:rPr>
                <w:rFonts w:ascii="Calibri" w:hAnsi="Calibri"/>
                <w:color w:val="263238"/>
                <w:sz w:val="18"/>
              </w:rPr>
              <w:t xml:space="preserve">26 40.0 N</w:t>
            </w:r>
          </w:p>
        </w:tc>
        <w:tc>
          <w:tcPr>
            <w:tcW w:w="3200" w:type="dxa"/>
          </w:tcPr>
          <w:p>
            <w:pPr>
              <w:spacing w:after="20" w:line="264" w:lineRule="auto"/>
            </w:pPr>
            <w:r>
              <w:rPr>
                <w:rFonts w:ascii="Calibri" w:hAnsi="Calibri"/>
                <w:color w:val="263238"/>
                <w:sz w:val="18"/>
              </w:rPr>
              <w:t xml:space="preserve">056 15.0 E</w:t>
            </w:r>
          </w:p>
        </w:tc>
        <w:tc>
          <w:tcPr>
            <w:tcW w:w="1900" w:type="dxa"/>
          </w:tcPr>
          <w:p>
            <w:pPr>
              <w:spacing w:after="20" w:line="264" w:lineRule="auto"/>
            </w:pPr>
            <w:r>
              <w:rPr>
                <w:rFonts w:ascii="Calibri" w:hAnsi="Calibri"/>
                <w:color w:val="263238"/>
                <w:sz w:val="18"/>
              </w:rPr>
              <w:t xml:space="preserve">Western exit, precautionary area west</w:t>
            </w:r>
          </w:p>
        </w:tc>
      </w:tr>
    </w:tbl>
    <w:p>
      <w:pPr>
        <w:spacing w:after="160"/>
      </w:pPr>
    </w:p>
    <w:p>
      <w:pPr>
        <w:jc w:val="both"/>
      </w:pPr>
      <w:r>
        <w:rPr/>
        <w:t xml:space="preserve">Inbound vessels keep the centerline to starboard within one mile, maintain the speed band of 10 to 14 knots in the narrows section between NI-2 and NI-4, and cross the precautionary areas under the guidance of the Open Water Bulletin.</w:t>
      </w:r>
    </w:p>
    <w:p>
      <w:pPr>
        <w:pStyle w:val="Heading2"/>
      </w:pPr>
      <w:bookmarkStart w:id="161" w:name="_Toc261100061"/>
      <w:r>
        <w:rPr>
          <w:rFonts w:ascii="Calibri" w:hAnsi="Calibri"/>
        </w:rPr>
        <w:t xml:space="preserve">A.3 Table A.3: Southern Outbound Corridor Centerline</w:t>
      </w:r>
      <w:bookmarkEnd w:id="161"/>
    </w:p>
    <w:p>
      <w:pPr>
        <w:jc w:val="both"/>
      </w:pPr>
      <w:r>
        <w:rPr/>
        <w:t xml:space="preserve">The Southern Outbound Corridor carries all outbound commercial traffic. Its centerline runs through the southern waters of the Strait, north of the Musandam inshore traffic band.</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1200"/>
        <w:gridCol w:w="3200"/>
        <w:gridCol w:w="3200"/>
        <w:gridCol w:w="1900"/>
      </w:tblGrid>
      <w:tr>
        <w:trPr>
          <w:tblHeader/>
        </w:trPr>
        <w:tc>
          <w:tcPr>
            <w:tcW w:w="1200" w:type="dxa"/>
            <w:shd w:val="clear" w:fill="E8EDF1"/>
          </w:tcPr>
          <w:p>
            <w:pPr>
              <w:spacing w:after="20" w:line="264" w:lineRule="auto"/>
            </w:pPr>
            <w:r>
              <w:rPr>
                <w:rFonts w:ascii="Calibri" w:hAnsi="Calibri"/>
                <w:b/>
                <w:color w:val="2E4A62"/>
                <w:sz w:val="18"/>
              </w:rPr>
              <w:t xml:space="preserve">Waypoint</w:t>
            </w:r>
          </w:p>
        </w:tc>
        <w:tc>
          <w:tcPr>
            <w:tcW w:w="3200" w:type="dxa"/>
            <w:shd w:val="clear" w:fill="E8EDF1"/>
          </w:tcPr>
          <w:p>
            <w:pPr>
              <w:spacing w:after="20" w:line="264" w:lineRule="auto"/>
            </w:pPr>
            <w:r>
              <w:rPr>
                <w:rFonts w:ascii="Calibri" w:hAnsi="Calibri"/>
                <w:b/>
                <w:color w:val="2E4A62"/>
                <w:sz w:val="18"/>
              </w:rPr>
              <w:t xml:space="preserve">Latitude</w:t>
            </w:r>
          </w:p>
        </w:tc>
        <w:tc>
          <w:tcPr>
            <w:tcW w:w="3200" w:type="dxa"/>
            <w:shd w:val="clear" w:fill="E8EDF1"/>
          </w:tcPr>
          <w:p>
            <w:pPr>
              <w:spacing w:after="20" w:line="264" w:lineRule="auto"/>
            </w:pPr>
            <w:r>
              <w:rPr>
                <w:rFonts w:ascii="Calibri" w:hAnsi="Calibri"/>
                <w:b/>
                <w:color w:val="2E4A62"/>
                <w:sz w:val="18"/>
              </w:rPr>
              <w:t xml:space="preserve">Longitude</w:t>
            </w:r>
          </w:p>
        </w:tc>
        <w:tc>
          <w:tcPr>
            <w:tcW w:w="1900" w:type="dxa"/>
            <w:shd w:val="clear" w:fill="E8EDF1"/>
          </w:tcPr>
          <w:p>
            <w:pPr>
              <w:spacing w:after="20" w:line="264" w:lineRule="auto"/>
            </w:pPr>
            <w:r>
              <w:rPr>
                <w:rFonts w:ascii="Calibri" w:hAnsi="Calibri"/>
                <w:b/>
                <w:color w:val="2E4A62"/>
                <w:sz w:val="18"/>
              </w:rPr>
              <w:t xml:space="preserve">Note</w:t>
            </w:r>
          </w:p>
        </w:tc>
      </w:tr>
      <w:tr>
        <w:tc>
          <w:tcPr>
            <w:tcW w:w="1200" w:type="dxa"/>
          </w:tcPr>
          <w:p>
            <w:pPr>
              <w:spacing w:after="20" w:line="264" w:lineRule="auto"/>
            </w:pPr>
            <w:r>
              <w:rPr>
                <w:rFonts w:ascii="Calibri" w:hAnsi="Calibri"/>
                <w:color w:val="263238"/>
                <w:sz w:val="18"/>
              </w:rPr>
              <w:t xml:space="preserve">SO-1</w:t>
            </w:r>
          </w:p>
        </w:tc>
        <w:tc>
          <w:tcPr>
            <w:tcW w:w="3200" w:type="dxa"/>
          </w:tcPr>
          <w:p>
            <w:pPr>
              <w:spacing w:after="20" w:line="264" w:lineRule="auto"/>
            </w:pPr>
            <w:r>
              <w:rPr>
                <w:rFonts w:ascii="Calibri" w:hAnsi="Calibri"/>
                <w:color w:val="263238"/>
                <w:sz w:val="18"/>
              </w:rPr>
              <w:t xml:space="preserve">26 10.0 N</w:t>
            </w:r>
          </w:p>
        </w:tc>
        <w:tc>
          <w:tcPr>
            <w:tcW w:w="3200" w:type="dxa"/>
          </w:tcPr>
          <w:p>
            <w:pPr>
              <w:spacing w:after="20" w:line="264" w:lineRule="auto"/>
            </w:pPr>
            <w:r>
              <w:rPr>
                <w:rFonts w:ascii="Calibri" w:hAnsi="Calibri"/>
                <w:color w:val="263238"/>
                <w:sz w:val="18"/>
              </w:rPr>
              <w:t xml:space="preserve">057 15.0 E</w:t>
            </w:r>
          </w:p>
        </w:tc>
        <w:tc>
          <w:tcPr>
            <w:tcW w:w="1900" w:type="dxa"/>
          </w:tcPr>
          <w:p>
            <w:pPr>
              <w:spacing w:after="20" w:line="264" w:lineRule="auto"/>
            </w:pPr>
            <w:r>
              <w:rPr>
                <w:rFonts w:ascii="Calibri" w:hAnsi="Calibri"/>
                <w:color w:val="263238"/>
                <w:sz w:val="18"/>
              </w:rPr>
              <w:t xml:space="preserve">Eastern exit, precautionary area east</w:t>
            </w:r>
          </w:p>
        </w:tc>
      </w:tr>
      <w:tr>
        <w:tc>
          <w:tcPr>
            <w:tcW w:w="1200" w:type="dxa"/>
          </w:tcPr>
          <w:p>
            <w:pPr>
              <w:spacing w:after="20" w:line="264" w:lineRule="auto"/>
            </w:pPr>
            <w:r>
              <w:rPr>
                <w:rFonts w:ascii="Calibri" w:hAnsi="Calibri"/>
                <w:color w:val="263238"/>
                <w:sz w:val="18"/>
              </w:rPr>
              <w:t xml:space="preserve">SO-2</w:t>
            </w:r>
          </w:p>
        </w:tc>
        <w:tc>
          <w:tcPr>
            <w:tcW w:w="3200" w:type="dxa"/>
          </w:tcPr>
          <w:p>
            <w:pPr>
              <w:spacing w:after="20" w:line="264" w:lineRule="auto"/>
            </w:pPr>
            <w:r>
              <w:rPr>
                <w:rFonts w:ascii="Calibri" w:hAnsi="Calibri"/>
                <w:color w:val="263238"/>
                <w:sz w:val="18"/>
              </w:rPr>
              <w:t xml:space="preserve">26 13.0 N</w:t>
            </w:r>
          </w:p>
        </w:tc>
        <w:tc>
          <w:tcPr>
            <w:tcW w:w="3200" w:type="dxa"/>
          </w:tcPr>
          <w:p>
            <w:pPr>
              <w:spacing w:after="20" w:line="264" w:lineRule="auto"/>
            </w:pPr>
            <w:r>
              <w:rPr>
                <w:rFonts w:ascii="Calibri" w:hAnsi="Calibri"/>
                <w:color w:val="263238"/>
                <w:sz w:val="18"/>
              </w:rPr>
              <w:t xml:space="preserve">057 00.0 E</w:t>
            </w:r>
          </w:p>
        </w:tc>
        <w:tc>
          <w:tcPr>
            <w:tcW w:w="1900" w:type="dxa"/>
          </w:tcPr>
          <w:p>
            <w:pPr>
              <w:spacing w:after="20" w:line="264" w:lineRule="auto"/>
            </w:pPr>
            <w:r>
              <w:rPr>
                <w:rFonts w:ascii="Calibri" w:hAnsi="Calibri"/>
                <w:color w:val="263238"/>
                <w:sz w:val="18"/>
              </w:rPr>
              <w:t xml:space="preserve">Approach leg</w:t>
            </w:r>
          </w:p>
        </w:tc>
      </w:tr>
      <w:tr>
        <w:tc>
          <w:tcPr>
            <w:tcW w:w="1200" w:type="dxa"/>
          </w:tcPr>
          <w:p>
            <w:pPr>
              <w:spacing w:after="20" w:line="264" w:lineRule="auto"/>
            </w:pPr>
            <w:r>
              <w:rPr>
                <w:rFonts w:ascii="Calibri" w:hAnsi="Calibri"/>
                <w:color w:val="263238"/>
                <w:sz w:val="18"/>
              </w:rPr>
              <w:t xml:space="preserve">SO-3</w:t>
            </w:r>
          </w:p>
        </w:tc>
        <w:tc>
          <w:tcPr>
            <w:tcW w:w="3200" w:type="dxa"/>
          </w:tcPr>
          <w:p>
            <w:pPr>
              <w:spacing w:after="20" w:line="264" w:lineRule="auto"/>
            </w:pPr>
            <w:r>
              <w:rPr>
                <w:rFonts w:ascii="Calibri" w:hAnsi="Calibri"/>
                <w:color w:val="263238"/>
                <w:sz w:val="18"/>
              </w:rPr>
              <w:t xml:space="preserve">26 15.0 N</w:t>
            </w:r>
          </w:p>
        </w:tc>
        <w:tc>
          <w:tcPr>
            <w:tcW w:w="3200" w:type="dxa"/>
          </w:tcPr>
          <w:p>
            <w:pPr>
              <w:spacing w:after="20" w:line="264" w:lineRule="auto"/>
            </w:pPr>
            <w:r>
              <w:rPr>
                <w:rFonts w:ascii="Calibri" w:hAnsi="Calibri"/>
                <w:color w:val="263238"/>
                <w:sz w:val="18"/>
              </w:rPr>
              <w:t xml:space="preserve">056 45.0 E</w:t>
            </w:r>
          </w:p>
        </w:tc>
        <w:tc>
          <w:tcPr>
            <w:tcW w:w="1900" w:type="dxa"/>
          </w:tcPr>
          <w:p>
            <w:pPr>
              <w:spacing w:after="20" w:line="264" w:lineRule="auto"/>
            </w:pPr>
            <w:r>
              <w:rPr>
                <w:rFonts w:ascii="Calibri" w:hAnsi="Calibri"/>
                <w:color w:val="263238"/>
                <w:sz w:val="18"/>
              </w:rPr>
              <w:t xml:space="preserve">Mid-strait, narrows section</w:t>
            </w:r>
          </w:p>
        </w:tc>
      </w:tr>
      <w:tr>
        <w:tc>
          <w:tcPr>
            <w:tcW w:w="1200" w:type="dxa"/>
          </w:tcPr>
          <w:p>
            <w:pPr>
              <w:spacing w:after="20" w:line="264" w:lineRule="auto"/>
            </w:pPr>
            <w:r>
              <w:rPr>
                <w:rFonts w:ascii="Calibri" w:hAnsi="Calibri"/>
                <w:color w:val="263238"/>
                <w:sz w:val="18"/>
              </w:rPr>
              <w:t xml:space="preserve">SO-4</w:t>
            </w:r>
          </w:p>
        </w:tc>
        <w:tc>
          <w:tcPr>
            <w:tcW w:w="3200" w:type="dxa"/>
          </w:tcPr>
          <w:p>
            <w:pPr>
              <w:spacing w:after="20" w:line="264" w:lineRule="auto"/>
            </w:pPr>
            <w:r>
              <w:rPr>
                <w:rFonts w:ascii="Calibri" w:hAnsi="Calibri"/>
                <w:color w:val="263238"/>
                <w:sz w:val="18"/>
              </w:rPr>
              <w:t xml:space="preserve">26 13.0 N</w:t>
            </w:r>
          </w:p>
        </w:tc>
        <w:tc>
          <w:tcPr>
            <w:tcW w:w="3200" w:type="dxa"/>
          </w:tcPr>
          <w:p>
            <w:pPr>
              <w:spacing w:after="20" w:line="264" w:lineRule="auto"/>
            </w:pPr>
            <w:r>
              <w:rPr>
                <w:rFonts w:ascii="Calibri" w:hAnsi="Calibri"/>
                <w:color w:val="263238"/>
                <w:sz w:val="18"/>
              </w:rPr>
              <w:t xml:space="preserve">056 30.0 E</w:t>
            </w:r>
          </w:p>
        </w:tc>
        <w:tc>
          <w:tcPr>
            <w:tcW w:w="1900" w:type="dxa"/>
          </w:tcPr>
          <w:p>
            <w:pPr>
              <w:spacing w:after="20" w:line="264" w:lineRule="auto"/>
            </w:pPr>
            <w:r>
              <w:rPr>
                <w:rFonts w:ascii="Calibri" w:hAnsi="Calibri"/>
                <w:color w:val="263238"/>
                <w:sz w:val="18"/>
              </w:rPr>
              <w:t xml:space="preserve">Turn to southwest</w:t>
            </w:r>
          </w:p>
        </w:tc>
      </w:tr>
      <w:tr>
        <w:tc>
          <w:tcPr>
            <w:tcW w:w="1200" w:type="dxa"/>
          </w:tcPr>
          <w:p>
            <w:pPr>
              <w:spacing w:after="20" w:line="264" w:lineRule="auto"/>
            </w:pPr>
            <w:r>
              <w:rPr>
                <w:rFonts w:ascii="Calibri" w:hAnsi="Calibri"/>
                <w:color w:val="263238"/>
                <w:sz w:val="18"/>
              </w:rPr>
              <w:t xml:space="preserve">SO-5</w:t>
            </w:r>
          </w:p>
        </w:tc>
        <w:tc>
          <w:tcPr>
            <w:tcW w:w="3200" w:type="dxa"/>
          </w:tcPr>
          <w:p>
            <w:pPr>
              <w:spacing w:after="20" w:line="264" w:lineRule="auto"/>
            </w:pPr>
            <w:r>
              <w:rPr>
                <w:rFonts w:ascii="Calibri" w:hAnsi="Calibri"/>
                <w:color w:val="263238"/>
                <w:sz w:val="18"/>
              </w:rPr>
              <w:t xml:space="preserve">26 10.0 N</w:t>
            </w:r>
          </w:p>
        </w:tc>
        <w:tc>
          <w:tcPr>
            <w:tcW w:w="3200" w:type="dxa"/>
          </w:tcPr>
          <w:p>
            <w:pPr>
              <w:spacing w:after="20" w:line="264" w:lineRule="auto"/>
            </w:pPr>
            <w:r>
              <w:rPr>
                <w:rFonts w:ascii="Calibri" w:hAnsi="Calibri"/>
                <w:color w:val="263238"/>
                <w:sz w:val="18"/>
              </w:rPr>
              <w:t xml:space="preserve">056 18.0 E</w:t>
            </w:r>
          </w:p>
        </w:tc>
        <w:tc>
          <w:tcPr>
            <w:tcW w:w="1900" w:type="dxa"/>
          </w:tcPr>
          <w:p>
            <w:pPr>
              <w:spacing w:after="20" w:line="264" w:lineRule="auto"/>
            </w:pPr>
            <w:r>
              <w:rPr>
                <w:rFonts w:ascii="Calibri" w:hAnsi="Calibri"/>
                <w:color w:val="263238"/>
                <w:sz w:val="18"/>
              </w:rPr>
              <w:t xml:space="preserve">Western entry, precautionary area west</w:t>
            </w:r>
          </w:p>
        </w:tc>
      </w:tr>
    </w:tbl>
    <w:p>
      <w:pPr>
        <w:spacing w:after="160"/>
      </w:pPr>
    </w:p>
    <w:p>
      <w:pPr>
        <w:jc w:val="both"/>
      </w:pPr>
      <w:r>
        <w:rPr/>
        <w:t xml:space="preserve">Outbound vessels keep the centerline to port within one mile, maintain the same 10 to 14 knot speed band in the narrows, and transit without any notification requirement under Article 8.3.</w:t>
      </w:r>
    </w:p>
    <w:p>
      <w:pPr>
        <w:pStyle w:val="Heading2"/>
      </w:pPr>
      <w:bookmarkStart w:id="162" w:name="_Toc261100062"/>
      <w:r>
        <w:rPr>
          <w:rFonts w:ascii="Calibri" w:hAnsi="Calibri"/>
        </w:rPr>
        <w:t xml:space="preserve">A.4 Table A.4: Central Assurance Corridor Centerline</w:t>
      </w:r>
      <w:bookmarkEnd w:id="162"/>
    </w:p>
    <w:p>
      <w:pPr>
        <w:jc w:val="both"/>
      </w:pPr>
      <w:r>
        <w:rPr/>
        <w:t xml:space="preserve">The Central Assurance Corridor occupies the separation band between the two traffic corridors. Its centerline follows the historic traffic separation median. The corridor width measures 2.5 nautical miles, providing a minimum separation of 3.25 nautical miles between the nearest edges of the inbound and outbound traffic lanes.</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1200"/>
        <w:gridCol w:w="3200"/>
        <w:gridCol w:w="3200"/>
        <w:gridCol w:w="1900"/>
      </w:tblGrid>
      <w:tr>
        <w:trPr>
          <w:tblHeader/>
        </w:trPr>
        <w:tc>
          <w:tcPr>
            <w:tcW w:w="1200" w:type="dxa"/>
            <w:shd w:val="clear" w:fill="E8EDF1"/>
          </w:tcPr>
          <w:p>
            <w:pPr>
              <w:spacing w:after="20" w:line="264" w:lineRule="auto"/>
            </w:pPr>
            <w:r>
              <w:rPr>
                <w:rFonts w:ascii="Calibri" w:hAnsi="Calibri"/>
                <w:b/>
                <w:color w:val="2E4A62"/>
                <w:sz w:val="18"/>
              </w:rPr>
              <w:t xml:space="preserve">Waypoint</w:t>
            </w:r>
          </w:p>
        </w:tc>
        <w:tc>
          <w:tcPr>
            <w:tcW w:w="3200" w:type="dxa"/>
            <w:shd w:val="clear" w:fill="E8EDF1"/>
          </w:tcPr>
          <w:p>
            <w:pPr>
              <w:spacing w:after="20" w:line="264" w:lineRule="auto"/>
            </w:pPr>
            <w:r>
              <w:rPr>
                <w:rFonts w:ascii="Calibri" w:hAnsi="Calibri"/>
                <w:b/>
                <w:color w:val="2E4A62"/>
                <w:sz w:val="18"/>
              </w:rPr>
              <w:t xml:space="preserve">Latitude</w:t>
            </w:r>
          </w:p>
        </w:tc>
        <w:tc>
          <w:tcPr>
            <w:tcW w:w="3200" w:type="dxa"/>
            <w:shd w:val="clear" w:fill="E8EDF1"/>
          </w:tcPr>
          <w:p>
            <w:pPr>
              <w:spacing w:after="20" w:line="264" w:lineRule="auto"/>
            </w:pPr>
            <w:r>
              <w:rPr>
                <w:rFonts w:ascii="Calibri" w:hAnsi="Calibri"/>
                <w:b/>
                <w:color w:val="2E4A62"/>
                <w:sz w:val="18"/>
              </w:rPr>
              <w:t xml:space="preserve">Longitude</w:t>
            </w:r>
          </w:p>
        </w:tc>
        <w:tc>
          <w:tcPr>
            <w:tcW w:w="1900" w:type="dxa"/>
            <w:shd w:val="clear" w:fill="E8EDF1"/>
          </w:tcPr>
          <w:p>
            <w:pPr>
              <w:spacing w:after="20" w:line="264" w:lineRule="auto"/>
            </w:pPr>
            <w:r>
              <w:rPr>
                <w:rFonts w:ascii="Calibri" w:hAnsi="Calibri"/>
                <w:b/>
                <w:color w:val="2E4A62"/>
                <w:sz w:val="18"/>
              </w:rPr>
              <w:t xml:space="preserve">Note</w:t>
            </w:r>
          </w:p>
        </w:tc>
      </w:tr>
      <w:tr>
        <w:tc>
          <w:tcPr>
            <w:tcW w:w="1200" w:type="dxa"/>
          </w:tcPr>
          <w:p>
            <w:pPr>
              <w:spacing w:after="20" w:line="264" w:lineRule="auto"/>
            </w:pPr>
            <w:r>
              <w:rPr>
                <w:rFonts w:ascii="Calibri" w:hAnsi="Calibri"/>
                <w:color w:val="263238"/>
                <w:sz w:val="18"/>
              </w:rPr>
              <w:t xml:space="preserve">CA-1</w:t>
            </w:r>
          </w:p>
        </w:tc>
        <w:tc>
          <w:tcPr>
            <w:tcW w:w="3200" w:type="dxa"/>
          </w:tcPr>
          <w:p>
            <w:pPr>
              <w:spacing w:after="20" w:line="264" w:lineRule="auto"/>
            </w:pPr>
            <w:r>
              <w:rPr>
                <w:rFonts w:ascii="Calibri" w:hAnsi="Calibri"/>
                <w:color w:val="263238"/>
                <w:sz w:val="18"/>
              </w:rPr>
              <w:t xml:space="preserve">26 25.0 N</w:t>
            </w:r>
          </w:p>
        </w:tc>
        <w:tc>
          <w:tcPr>
            <w:tcW w:w="3200" w:type="dxa"/>
          </w:tcPr>
          <w:p>
            <w:pPr>
              <w:spacing w:after="20" w:line="264" w:lineRule="auto"/>
            </w:pPr>
            <w:r>
              <w:rPr>
                <w:rFonts w:ascii="Calibri" w:hAnsi="Calibri"/>
                <w:color w:val="263238"/>
                <w:sz w:val="18"/>
              </w:rPr>
              <w:t xml:space="preserve">057 14.0 E</w:t>
            </w:r>
          </w:p>
        </w:tc>
        <w:tc>
          <w:tcPr>
            <w:tcW w:w="1900" w:type="dxa"/>
          </w:tcPr>
          <w:p>
            <w:pPr>
              <w:spacing w:after="20" w:line="264" w:lineRule="auto"/>
            </w:pPr>
            <w:r>
              <w:rPr>
                <w:rFonts w:ascii="Calibri" w:hAnsi="Calibri"/>
                <w:color w:val="263238"/>
                <w:sz w:val="18"/>
              </w:rPr>
              <w:t xml:space="preserve">Eastern terminus</w:t>
            </w:r>
          </w:p>
        </w:tc>
      </w:tr>
      <w:tr>
        <w:tc>
          <w:tcPr>
            <w:tcW w:w="1200" w:type="dxa"/>
          </w:tcPr>
          <w:p>
            <w:pPr>
              <w:spacing w:after="20" w:line="264" w:lineRule="auto"/>
            </w:pPr>
            <w:r>
              <w:rPr>
                <w:rFonts w:ascii="Calibri" w:hAnsi="Calibri"/>
                <w:color w:val="263238"/>
                <w:sz w:val="18"/>
              </w:rPr>
              <w:t xml:space="preserve">CA-2</w:t>
            </w:r>
          </w:p>
        </w:tc>
        <w:tc>
          <w:tcPr>
            <w:tcW w:w="3200" w:type="dxa"/>
          </w:tcPr>
          <w:p>
            <w:pPr>
              <w:spacing w:after="20" w:line="264" w:lineRule="auto"/>
            </w:pPr>
            <w:r>
              <w:rPr>
                <w:rFonts w:ascii="Calibri" w:hAnsi="Calibri"/>
                <w:color w:val="263238"/>
                <w:sz w:val="18"/>
              </w:rPr>
              <w:t xml:space="preserve">26 24.5 N</w:t>
            </w:r>
          </w:p>
        </w:tc>
        <w:tc>
          <w:tcPr>
            <w:tcW w:w="3200" w:type="dxa"/>
          </w:tcPr>
          <w:p>
            <w:pPr>
              <w:spacing w:after="20" w:line="264" w:lineRule="auto"/>
            </w:pPr>
            <w:r>
              <w:rPr>
                <w:rFonts w:ascii="Calibri" w:hAnsi="Calibri"/>
                <w:color w:val="263238"/>
                <w:sz w:val="18"/>
              </w:rPr>
              <w:t xml:space="preserve">056 59.0 E</w:t>
            </w:r>
          </w:p>
        </w:tc>
        <w:tc>
          <w:tcPr>
            <w:tcW w:w="1900" w:type="dxa"/>
          </w:tcPr>
          <w:p>
            <w:pPr>
              <w:spacing w:after="20" w:line="264" w:lineRule="auto"/>
            </w:pPr>
            <w:r>
              <w:rPr>
                <w:rFonts w:ascii="Calibri" w:hAnsi="Calibri"/>
                <w:color w:val="263238"/>
                <w:sz w:val="18"/>
              </w:rPr>
              <w:t xml:space="preserve">Separation band</w:t>
            </w:r>
          </w:p>
        </w:tc>
      </w:tr>
      <w:tr>
        <w:tc>
          <w:tcPr>
            <w:tcW w:w="1200" w:type="dxa"/>
          </w:tcPr>
          <w:p>
            <w:pPr>
              <w:spacing w:after="20" w:line="264" w:lineRule="auto"/>
            </w:pPr>
            <w:r>
              <w:rPr>
                <w:rFonts w:ascii="Calibri" w:hAnsi="Calibri"/>
                <w:color w:val="263238"/>
                <w:sz w:val="18"/>
              </w:rPr>
              <w:t xml:space="preserve">CA-3</w:t>
            </w:r>
          </w:p>
        </w:tc>
        <w:tc>
          <w:tcPr>
            <w:tcW w:w="3200" w:type="dxa"/>
          </w:tcPr>
          <w:p>
            <w:pPr>
              <w:spacing w:after="20" w:line="264" w:lineRule="auto"/>
            </w:pPr>
            <w:r>
              <w:rPr>
                <w:rFonts w:ascii="Calibri" w:hAnsi="Calibri"/>
                <w:color w:val="263238"/>
                <w:sz w:val="18"/>
              </w:rPr>
              <w:t xml:space="preserve">26 24.5 N</w:t>
            </w:r>
          </w:p>
        </w:tc>
        <w:tc>
          <w:tcPr>
            <w:tcW w:w="3200" w:type="dxa"/>
          </w:tcPr>
          <w:p>
            <w:pPr>
              <w:spacing w:after="20" w:line="264" w:lineRule="auto"/>
            </w:pPr>
            <w:r>
              <w:rPr>
                <w:rFonts w:ascii="Calibri" w:hAnsi="Calibri"/>
                <w:color w:val="263238"/>
                <w:sz w:val="18"/>
              </w:rPr>
              <w:t xml:space="preserve">056 45.0 E</w:t>
            </w:r>
          </w:p>
        </w:tc>
        <w:tc>
          <w:tcPr>
            <w:tcW w:w="1900" w:type="dxa"/>
          </w:tcPr>
          <w:p>
            <w:pPr>
              <w:spacing w:after="20" w:line="264" w:lineRule="auto"/>
            </w:pPr>
            <w:r>
              <w:rPr>
                <w:rFonts w:ascii="Calibri" w:hAnsi="Calibri"/>
                <w:color w:val="263238"/>
                <w:sz w:val="18"/>
              </w:rPr>
              <w:t xml:space="preserve">Mid-strait</w:t>
            </w:r>
          </w:p>
        </w:tc>
      </w:tr>
      <w:tr>
        <w:tc>
          <w:tcPr>
            <w:tcW w:w="1200" w:type="dxa"/>
          </w:tcPr>
          <w:p>
            <w:pPr>
              <w:spacing w:after="20" w:line="264" w:lineRule="auto"/>
            </w:pPr>
            <w:r>
              <w:rPr>
                <w:rFonts w:ascii="Calibri" w:hAnsi="Calibri"/>
                <w:color w:val="263238"/>
                <w:sz w:val="18"/>
              </w:rPr>
              <w:t xml:space="preserve">CA-4</w:t>
            </w:r>
          </w:p>
        </w:tc>
        <w:tc>
          <w:tcPr>
            <w:tcW w:w="3200" w:type="dxa"/>
          </w:tcPr>
          <w:p>
            <w:pPr>
              <w:spacing w:after="20" w:line="264" w:lineRule="auto"/>
            </w:pPr>
            <w:r>
              <w:rPr>
                <w:rFonts w:ascii="Calibri" w:hAnsi="Calibri"/>
                <w:color w:val="263238"/>
                <w:sz w:val="18"/>
              </w:rPr>
              <w:t xml:space="preserve">26 24.5 N</w:t>
            </w:r>
          </w:p>
        </w:tc>
        <w:tc>
          <w:tcPr>
            <w:tcW w:w="3200" w:type="dxa"/>
          </w:tcPr>
          <w:p>
            <w:pPr>
              <w:spacing w:after="20" w:line="264" w:lineRule="auto"/>
            </w:pPr>
            <w:r>
              <w:rPr>
                <w:rFonts w:ascii="Calibri" w:hAnsi="Calibri"/>
                <w:color w:val="263238"/>
                <w:sz w:val="18"/>
              </w:rPr>
              <w:t xml:space="preserve">056 30.0 E</w:t>
            </w:r>
          </w:p>
        </w:tc>
        <w:tc>
          <w:tcPr>
            <w:tcW w:w="1900" w:type="dxa"/>
          </w:tcPr>
          <w:p>
            <w:pPr>
              <w:spacing w:after="20" w:line="264" w:lineRule="auto"/>
            </w:pPr>
            <w:r>
              <w:rPr>
                <w:rFonts w:ascii="Calibri" w:hAnsi="Calibri"/>
                <w:color w:val="263238"/>
                <w:sz w:val="18"/>
              </w:rPr>
              <w:t xml:space="preserve">Separation band</w:t>
            </w:r>
          </w:p>
        </w:tc>
      </w:tr>
      <w:tr>
        <w:tc>
          <w:tcPr>
            <w:tcW w:w="1200" w:type="dxa"/>
          </w:tcPr>
          <w:p>
            <w:pPr>
              <w:spacing w:after="20" w:line="264" w:lineRule="auto"/>
            </w:pPr>
            <w:r>
              <w:rPr>
                <w:rFonts w:ascii="Calibri" w:hAnsi="Calibri"/>
                <w:color w:val="263238"/>
                <w:sz w:val="18"/>
              </w:rPr>
              <w:t xml:space="preserve">CA-5</w:t>
            </w:r>
          </w:p>
        </w:tc>
        <w:tc>
          <w:tcPr>
            <w:tcW w:w="3200" w:type="dxa"/>
          </w:tcPr>
          <w:p>
            <w:pPr>
              <w:spacing w:after="20" w:line="264" w:lineRule="auto"/>
            </w:pPr>
            <w:r>
              <w:rPr>
                <w:rFonts w:ascii="Calibri" w:hAnsi="Calibri"/>
                <w:color w:val="263238"/>
                <w:sz w:val="18"/>
              </w:rPr>
              <w:t xml:space="preserve">26 25.0 N</w:t>
            </w:r>
          </w:p>
        </w:tc>
        <w:tc>
          <w:tcPr>
            <w:tcW w:w="3200" w:type="dxa"/>
          </w:tcPr>
          <w:p>
            <w:pPr>
              <w:spacing w:after="20" w:line="264" w:lineRule="auto"/>
            </w:pPr>
            <w:r>
              <w:rPr>
                <w:rFonts w:ascii="Calibri" w:hAnsi="Calibri"/>
                <w:color w:val="263238"/>
                <w:sz w:val="18"/>
              </w:rPr>
              <w:t xml:space="preserve">056 16.0 E</w:t>
            </w:r>
          </w:p>
        </w:tc>
        <w:tc>
          <w:tcPr>
            <w:tcW w:w="1900" w:type="dxa"/>
          </w:tcPr>
          <w:p>
            <w:pPr>
              <w:spacing w:after="20" w:line="264" w:lineRule="auto"/>
            </w:pPr>
            <w:r>
              <w:rPr>
                <w:rFonts w:ascii="Calibri" w:hAnsi="Calibri"/>
                <w:color w:val="263238"/>
                <w:sz w:val="18"/>
              </w:rPr>
              <w:t xml:space="preserve">Western terminus</w:t>
            </w:r>
          </w:p>
        </w:tc>
      </w:tr>
    </w:tbl>
    <w:p>
      <w:pPr>
        <w:spacing w:after="160"/>
      </w:pPr>
    </w:p>
    <w:p>
      <w:pPr>
        <w:jc w:val="both"/>
      </w:pPr>
      <w:r>
        <w:rPr/>
        <w:t xml:space="preserve">The Central Assurance Corridor serves emergency diversion, search and rescue routing, survey and mine countermeasure operations, and notified naval deconfliction routing. Commercial traffic enters it only on a diversion instruction from the Transit Desk, and exits it as the instruction directs.</w:t>
      </w:r>
    </w:p>
    <w:p>
      <w:pPr>
        <w:pStyle w:val="Heading2"/>
      </w:pPr>
      <w:bookmarkStart w:id="163" w:name="_Toc261100063"/>
      <w:r>
        <w:rPr>
          <w:rFonts w:ascii="Calibri" w:hAnsi="Calibri"/>
        </w:rPr>
        <w:t xml:space="preserve">A.5 Survey and Certification Standard</w:t>
      </w:r>
      <w:bookmarkEnd w:id="163"/>
    </w:p>
    <w:p>
      <w:pPr>
        <w:jc w:val="both"/>
      </w:pPr>
      <w:r>
        <w:rPr/>
        <w:t xml:space="preserve">The Joint Survey Cell surveys every corridor sector to the following standard before certification: (a) full-coverage multibeam bathymetry meeting IHO S-44 Order 1a; (b) side-scan sonar coverage at 200 percent of corridor area; (c) magnetic anomaly detection over 100 percent of corridor area where the sector history warrants; (d) diver or remotely operated vehicle investigation of every contact above the threshold of 0.5 meter vertical extent; and (e) a declared minimum under-keel clearance of 20 percent of draft for the design vessel of each corridor sector. The Neutral Verification Office confirms every certification on two independent inputs under the Convergence Standard, and the certification publishes with its evidence summary.</w:t>
      </w:r>
    </w:p>
    <w:p>
      <w:pPr>
        <w:pStyle w:val="Heading2"/>
      </w:pPr>
      <w:bookmarkStart w:id="164" w:name="_Toc261100064"/>
      <w:r>
        <w:rPr>
          <w:rFonts w:ascii="Calibri" w:hAnsi="Calibri"/>
        </w:rPr>
        <w:t xml:space="preserve">A.6 Table A.6: Anchorages, Waiting Areas, and Inshore Bands</w:t>
      </w:r>
      <w:bookmarkEnd w:id="164"/>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1600"/>
        <w:gridCol w:w="3000"/>
        <w:gridCol w:w="4900"/>
      </w:tblGrid>
      <w:tr>
        <w:trPr>
          <w:tblHeader/>
        </w:trPr>
        <w:tc>
          <w:tcPr>
            <w:tcW w:w="1600" w:type="dxa"/>
            <w:shd w:val="clear" w:fill="E8EDF1"/>
          </w:tcPr>
          <w:p>
            <w:pPr>
              <w:spacing w:after="20" w:line="264" w:lineRule="auto"/>
            </w:pPr>
            <w:r>
              <w:rPr>
                <w:rFonts w:ascii="Calibri" w:hAnsi="Calibri"/>
                <w:b/>
                <w:color w:val="2E4A62"/>
                <w:sz w:val="18"/>
              </w:rPr>
              <w:t xml:space="preserve">Area</w:t>
            </w:r>
          </w:p>
        </w:tc>
        <w:tc>
          <w:tcPr>
            <w:tcW w:w="3000" w:type="dxa"/>
            <w:shd w:val="clear" w:fill="E8EDF1"/>
          </w:tcPr>
          <w:p>
            <w:pPr>
              <w:spacing w:after="20" w:line="264" w:lineRule="auto"/>
            </w:pPr>
            <w:r>
              <w:rPr>
                <w:rFonts w:ascii="Calibri" w:hAnsi="Calibri"/>
                <w:b/>
                <w:color w:val="2E4A62"/>
                <w:sz w:val="18"/>
              </w:rPr>
              <w:t xml:space="preserve">Position (center)</w:t>
            </w:r>
          </w:p>
        </w:tc>
        <w:tc>
          <w:tcPr>
            <w:tcW w:w="4900" w:type="dxa"/>
            <w:shd w:val="clear" w:fill="E8EDF1"/>
          </w:tcPr>
          <w:p>
            <w:pPr>
              <w:spacing w:after="20" w:line="264" w:lineRule="auto"/>
            </w:pPr>
            <w:r>
              <w:rPr>
                <w:rFonts w:ascii="Calibri" w:hAnsi="Calibri"/>
                <w:b/>
                <w:color w:val="2E4A62"/>
                <w:sz w:val="18"/>
              </w:rPr>
              <w:t xml:space="preserve">Use</w:t>
            </w:r>
          </w:p>
        </w:tc>
      </w:tr>
      <w:tr>
        <w:tc>
          <w:tcPr>
            <w:tcW w:w="1600" w:type="dxa"/>
          </w:tcPr>
          <w:p>
            <w:pPr>
              <w:spacing w:after="20" w:line="264" w:lineRule="auto"/>
            </w:pPr>
            <w:r>
              <w:rPr>
                <w:rFonts w:ascii="Calibri" w:hAnsi="Calibri"/>
                <w:color w:val="263238"/>
                <w:sz w:val="18"/>
              </w:rPr>
              <w:t xml:space="preserve">Anchorage Alpha</w:t>
            </w:r>
          </w:p>
        </w:tc>
        <w:tc>
          <w:tcPr>
            <w:tcW w:w="3000" w:type="dxa"/>
          </w:tcPr>
          <w:p>
            <w:pPr>
              <w:spacing w:after="20" w:line="264" w:lineRule="auto"/>
            </w:pPr>
            <w:r>
              <w:rPr>
                <w:rFonts w:ascii="Calibri" w:hAnsi="Calibri"/>
                <w:color w:val="263238"/>
                <w:sz w:val="18"/>
              </w:rPr>
              <w:t xml:space="preserve">26 44.0 N 056 12.0 E</w:t>
            </w:r>
          </w:p>
        </w:tc>
        <w:tc>
          <w:tcPr>
            <w:tcW w:w="4900" w:type="dxa"/>
          </w:tcPr>
          <w:p>
            <w:pPr>
              <w:spacing w:after="20" w:line="264" w:lineRule="auto"/>
            </w:pPr>
            <w:r>
              <w:rPr>
                <w:rFonts w:ascii="Calibri" w:hAnsi="Calibri"/>
                <w:color w:val="263238"/>
                <w:sz w:val="18"/>
              </w:rPr>
              <w:t xml:space="preserve">Inbound waiting area, northern approach; capacity 12 deep-draft vessels</w:t>
            </w:r>
          </w:p>
        </w:tc>
      </w:tr>
      <w:tr>
        <w:tc>
          <w:tcPr>
            <w:tcW w:w="1600" w:type="dxa"/>
          </w:tcPr>
          <w:p>
            <w:pPr>
              <w:spacing w:after="20" w:line="264" w:lineRule="auto"/>
            </w:pPr>
            <w:r>
              <w:rPr>
                <w:rFonts w:ascii="Calibri" w:hAnsi="Calibri"/>
                <w:color w:val="263238"/>
                <w:sz w:val="18"/>
              </w:rPr>
              <w:t xml:space="preserve">Anchorage Bravo</w:t>
            </w:r>
          </w:p>
        </w:tc>
        <w:tc>
          <w:tcPr>
            <w:tcW w:w="3000" w:type="dxa"/>
          </w:tcPr>
          <w:p>
            <w:pPr>
              <w:spacing w:after="20" w:line="264" w:lineRule="auto"/>
            </w:pPr>
            <w:r>
              <w:rPr>
                <w:rFonts w:ascii="Calibri" w:hAnsi="Calibri"/>
                <w:color w:val="263238"/>
                <w:sz w:val="18"/>
              </w:rPr>
              <w:t xml:space="preserve">26 06.0 N 056 24.0 E</w:t>
            </w:r>
          </w:p>
        </w:tc>
        <w:tc>
          <w:tcPr>
            <w:tcW w:w="4900" w:type="dxa"/>
          </w:tcPr>
          <w:p>
            <w:pPr>
              <w:spacing w:after="20" w:line="264" w:lineRule="auto"/>
            </w:pPr>
            <w:r>
              <w:rPr>
                <w:rFonts w:ascii="Calibri" w:hAnsi="Calibri"/>
                <w:color w:val="263238"/>
                <w:sz w:val="18"/>
              </w:rPr>
              <w:t xml:space="preserve">Outbound waiting area, southern approach; capacity 12 deep-draft vessels</w:t>
            </w:r>
          </w:p>
        </w:tc>
      </w:tr>
      <w:tr>
        <w:tc>
          <w:tcPr>
            <w:tcW w:w="1600" w:type="dxa"/>
          </w:tcPr>
          <w:p>
            <w:pPr>
              <w:spacing w:after="20" w:line="264" w:lineRule="auto"/>
            </w:pPr>
            <w:r>
              <w:rPr>
                <w:rFonts w:ascii="Calibri" w:hAnsi="Calibri"/>
                <w:color w:val="263238"/>
                <w:sz w:val="18"/>
              </w:rPr>
              <w:t xml:space="preserve">Anchorage Charlie</w:t>
            </w:r>
          </w:p>
        </w:tc>
        <w:tc>
          <w:tcPr>
            <w:tcW w:w="3000" w:type="dxa"/>
          </w:tcPr>
          <w:p>
            <w:pPr>
              <w:spacing w:after="20" w:line="264" w:lineRule="auto"/>
            </w:pPr>
            <w:r>
              <w:rPr>
                <w:rFonts w:ascii="Calibri" w:hAnsi="Calibri"/>
                <w:color w:val="263238"/>
                <w:sz w:val="18"/>
              </w:rPr>
              <w:t xml:space="preserve">26 28.0 N 057 22.0 E</w:t>
            </w:r>
          </w:p>
        </w:tc>
        <w:tc>
          <w:tcPr>
            <w:tcW w:w="4900" w:type="dxa"/>
          </w:tcPr>
          <w:p>
            <w:pPr>
              <w:spacing w:after="20" w:line="264" w:lineRule="auto"/>
            </w:pPr>
            <w:r>
              <w:rPr>
                <w:rFonts w:ascii="Calibri" w:hAnsi="Calibri"/>
                <w:color w:val="263238"/>
                <w:sz w:val="18"/>
              </w:rPr>
              <w:t xml:space="preserve">Eastern staging area for convoy windows; capacity 8 vessels</w:t>
            </w:r>
          </w:p>
        </w:tc>
      </w:tr>
      <w:tr>
        <w:tc>
          <w:tcPr>
            <w:tcW w:w="1600" w:type="dxa"/>
          </w:tcPr>
          <w:p>
            <w:pPr>
              <w:spacing w:after="20" w:line="264" w:lineRule="auto"/>
            </w:pPr>
            <w:r>
              <w:rPr>
                <w:rFonts w:ascii="Calibri" w:hAnsi="Calibri"/>
                <w:color w:val="263238"/>
                <w:sz w:val="18"/>
              </w:rPr>
              <w:t xml:space="preserve">Inshore Band North</w:t>
            </w:r>
          </w:p>
        </w:tc>
        <w:tc>
          <w:tcPr>
            <w:tcW w:w="3000" w:type="dxa"/>
          </w:tcPr>
          <w:p>
            <w:pPr>
              <w:spacing w:after="20" w:line="264" w:lineRule="auto"/>
            </w:pPr>
            <w:r>
              <w:rPr>
                <w:rFonts w:ascii="Calibri" w:hAnsi="Calibri"/>
                <w:color w:val="263238"/>
                <w:sz w:val="18"/>
              </w:rPr>
              <w:t xml:space="preserve">Along the Iranian coast, 1.5 miles wide</w:t>
            </w:r>
          </w:p>
        </w:tc>
        <w:tc>
          <w:tcPr>
            <w:tcW w:w="4900" w:type="dxa"/>
          </w:tcPr>
          <w:p>
            <w:pPr>
              <w:spacing w:after="20" w:line="264" w:lineRule="auto"/>
            </w:pPr>
            <w:r>
              <w:rPr>
                <w:rFonts w:ascii="Calibri" w:hAnsi="Calibri"/>
                <w:color w:val="263238"/>
                <w:sz w:val="18"/>
              </w:rPr>
              <w:t xml:space="preserve">Class V-5 local craft; designated crossing points at NI-2 and NI-4</w:t>
            </w:r>
          </w:p>
        </w:tc>
      </w:tr>
      <w:tr>
        <w:tc>
          <w:tcPr>
            <w:tcW w:w="1600" w:type="dxa"/>
          </w:tcPr>
          <w:p>
            <w:pPr>
              <w:spacing w:after="20" w:line="264" w:lineRule="auto"/>
            </w:pPr>
            <w:r>
              <w:rPr>
                <w:rFonts w:ascii="Calibri" w:hAnsi="Calibri"/>
                <w:color w:val="263238"/>
                <w:sz w:val="18"/>
              </w:rPr>
              <w:t xml:space="preserve">Inshore Band South</w:t>
            </w:r>
          </w:p>
        </w:tc>
        <w:tc>
          <w:tcPr>
            <w:tcW w:w="3000" w:type="dxa"/>
          </w:tcPr>
          <w:p>
            <w:pPr>
              <w:spacing w:after="20" w:line="264" w:lineRule="auto"/>
            </w:pPr>
            <w:r>
              <w:rPr>
                <w:rFonts w:ascii="Calibri" w:hAnsi="Calibri"/>
                <w:color w:val="263238"/>
                <w:sz w:val="18"/>
              </w:rPr>
              <w:t xml:space="preserve">Along the Musandam coast, 1.5 miles wide</w:t>
            </w:r>
          </w:p>
        </w:tc>
        <w:tc>
          <w:tcPr>
            <w:tcW w:w="4900" w:type="dxa"/>
          </w:tcPr>
          <w:p>
            <w:pPr>
              <w:spacing w:after="20" w:line="264" w:lineRule="auto"/>
            </w:pPr>
            <w:r>
              <w:rPr>
                <w:rFonts w:ascii="Calibri" w:hAnsi="Calibri"/>
                <w:color w:val="263238"/>
                <w:sz w:val="18"/>
              </w:rPr>
              <w:t xml:space="preserve">Class V-5 local craft; designated crossing points at SO-2 and SO-4</w:t>
            </w:r>
          </w:p>
        </w:tc>
      </w:tr>
    </w:tbl>
    <w:p>
      <w:pPr>
        <w:spacing w:after="160"/>
      </w:pPr>
    </w:p>
    <w:p>
      <w:pPr>
        <w:pStyle w:val="Heading2"/>
      </w:pPr>
      <w:bookmarkStart w:id="165" w:name="_Toc261100065"/>
      <w:r>
        <w:rPr>
          <w:rFonts w:ascii="Calibri" w:hAnsi="Calibri"/>
        </w:rPr>
        <w:t xml:space="preserve">A.7 Table A.7: The Hazard Registry Format</w:t>
      </w:r>
      <w:bookmarkEnd w:id="165"/>
    </w:p>
    <w:p>
      <w:pPr>
        <w:jc w:val="both"/>
      </w:pPr>
      <w:r>
        <w:rPr/>
        <w:t xml:space="preserve">The Hazard Registry records every declared, suspected, or cleared hazard in the following format. Each Founding Party's declaration under Article 17.2 enters the registry within 72 hours of activation, and every subsequent survey result updates it.</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1400"/>
        <w:gridCol w:w="2600"/>
        <w:gridCol w:w="2400"/>
        <w:gridCol w:w="3100"/>
      </w:tblGrid>
      <w:tr>
        <w:trPr>
          <w:tblHeader/>
        </w:trPr>
        <w:tc>
          <w:tcPr>
            <w:tcW w:w="1400" w:type="dxa"/>
            <w:shd w:val="clear" w:fill="E8EDF1"/>
          </w:tcPr>
          <w:p>
            <w:pPr>
              <w:spacing w:after="20" w:line="264" w:lineRule="auto"/>
            </w:pPr>
            <w:r>
              <w:rPr>
                <w:rFonts w:ascii="Calibri" w:hAnsi="Calibri"/>
                <w:b/>
                <w:color w:val="2E4A62"/>
                <w:sz w:val="18"/>
              </w:rPr>
              <w:t xml:space="preserve">Entry</w:t>
            </w:r>
          </w:p>
        </w:tc>
        <w:tc>
          <w:tcPr>
            <w:tcW w:w="2600" w:type="dxa"/>
            <w:shd w:val="clear" w:fill="E8EDF1"/>
          </w:tcPr>
          <w:p>
            <w:pPr>
              <w:spacing w:after="20" w:line="264" w:lineRule="auto"/>
            </w:pPr>
            <w:r>
              <w:rPr>
                <w:rFonts w:ascii="Calibri" w:hAnsi="Calibri"/>
                <w:b/>
                <w:color w:val="2E4A62"/>
                <w:sz w:val="18"/>
              </w:rPr>
              <w:t xml:space="preserve">Field</w:t>
            </w:r>
          </w:p>
        </w:tc>
        <w:tc>
          <w:tcPr>
            <w:tcW w:w="2400" w:type="dxa"/>
            <w:shd w:val="clear" w:fill="E8EDF1"/>
          </w:tcPr>
          <w:p>
            <w:pPr>
              <w:spacing w:after="20" w:line="264" w:lineRule="auto"/>
            </w:pPr>
            <w:r>
              <w:rPr>
                <w:rFonts w:ascii="Calibri" w:hAnsi="Calibri"/>
                <w:b/>
                <w:color w:val="2E4A62"/>
                <w:sz w:val="18"/>
              </w:rPr>
              <w:t xml:space="preserve">Format</w:t>
            </w:r>
          </w:p>
        </w:tc>
        <w:tc>
          <w:tcPr>
            <w:tcW w:w="3100" w:type="dxa"/>
            <w:shd w:val="clear" w:fill="E8EDF1"/>
          </w:tcPr>
          <w:p>
            <w:pPr>
              <w:spacing w:after="20" w:line="264" w:lineRule="auto"/>
            </w:pPr>
            <w:r>
              <w:rPr>
                <w:rFonts w:ascii="Calibri" w:hAnsi="Calibri"/>
                <w:b/>
                <w:color w:val="2E4A62"/>
                <w:sz w:val="18"/>
              </w:rPr>
              <w:t xml:space="preserve">Note</w:t>
            </w:r>
          </w:p>
        </w:tc>
      </w:tr>
      <w:tr>
        <w:tc>
          <w:tcPr>
            <w:tcW w:w="1400" w:type="dxa"/>
          </w:tcPr>
          <w:p>
            <w:pPr>
              <w:spacing w:after="20" w:line="264" w:lineRule="auto"/>
            </w:pPr>
            <w:r>
              <w:rPr>
                <w:rFonts w:ascii="Calibri" w:hAnsi="Calibri"/>
                <w:color w:val="263238"/>
                <w:sz w:val="18"/>
              </w:rPr>
              <w:t xml:space="preserve">H-id</w:t>
            </w:r>
          </w:p>
        </w:tc>
        <w:tc>
          <w:tcPr>
            <w:tcW w:w="2600" w:type="dxa"/>
          </w:tcPr>
          <w:p>
            <w:pPr>
              <w:spacing w:after="20" w:line="264" w:lineRule="auto"/>
            </w:pPr>
            <w:r>
              <w:rPr>
                <w:rFonts w:ascii="Calibri" w:hAnsi="Calibri"/>
                <w:color w:val="263238"/>
                <w:sz w:val="18"/>
              </w:rPr>
              <w:t xml:space="preserve">Identifier</w:t>
            </w:r>
          </w:p>
        </w:tc>
        <w:tc>
          <w:tcPr>
            <w:tcW w:w="2400" w:type="dxa"/>
          </w:tcPr>
          <w:p>
            <w:pPr>
              <w:spacing w:after="20" w:line="264" w:lineRule="auto"/>
            </w:pPr>
            <w:r>
              <w:rPr>
                <w:rFonts w:ascii="Calibri" w:hAnsi="Calibri"/>
                <w:color w:val="263238"/>
                <w:sz w:val="18"/>
              </w:rPr>
              <w:t xml:space="preserve">H-2026-001 sequential</w:t>
            </w:r>
          </w:p>
        </w:tc>
        <w:tc>
          <w:tcPr>
            <w:tcW w:w="3100" w:type="dxa"/>
          </w:tcPr>
          <w:p>
            <w:pPr>
              <w:spacing w:after="20" w:line="264" w:lineRule="auto"/>
            </w:pPr>
            <w:r>
              <w:rPr>
                <w:rFonts w:ascii="Calibri" w:hAnsi="Calibri"/>
                <w:color w:val="263238"/>
                <w:sz w:val="18"/>
              </w:rPr>
              <w:t xml:space="preserve">Permanent, never reused</w:t>
            </w:r>
          </w:p>
        </w:tc>
      </w:tr>
      <w:tr>
        <w:tc>
          <w:tcPr>
            <w:tcW w:w="1400" w:type="dxa"/>
          </w:tcPr>
          <w:p>
            <w:pPr>
              <w:spacing w:after="20" w:line="264" w:lineRule="auto"/>
            </w:pPr>
            <w:r>
              <w:rPr>
                <w:rFonts w:ascii="Calibri" w:hAnsi="Calibri"/>
                <w:color w:val="263238"/>
                <w:sz w:val="18"/>
              </w:rPr>
              <w:t xml:space="preserve">Position</w:t>
            </w:r>
          </w:p>
        </w:tc>
        <w:tc>
          <w:tcPr>
            <w:tcW w:w="2600" w:type="dxa"/>
          </w:tcPr>
          <w:p>
            <w:pPr>
              <w:spacing w:after="20" w:line="264" w:lineRule="auto"/>
            </w:pPr>
            <w:r>
              <w:rPr>
                <w:rFonts w:ascii="Calibri" w:hAnsi="Calibri"/>
                <w:color w:val="263238"/>
                <w:sz w:val="18"/>
              </w:rPr>
              <w:t xml:space="preserve">Latitude, longitude</w:t>
            </w:r>
          </w:p>
        </w:tc>
        <w:tc>
          <w:tcPr>
            <w:tcW w:w="2400" w:type="dxa"/>
          </w:tcPr>
          <w:p>
            <w:pPr>
              <w:spacing w:after="20" w:line="264" w:lineRule="auto"/>
            </w:pPr>
            <w:r>
              <w:rPr>
                <w:rFonts w:ascii="Calibri" w:hAnsi="Calibri"/>
                <w:color w:val="263238"/>
                <w:sz w:val="18"/>
              </w:rPr>
              <w:t xml:space="preserve">Degrees, minutes, tenths</w:t>
            </w:r>
          </w:p>
        </w:tc>
        <w:tc>
          <w:tcPr>
            <w:tcW w:w="3100" w:type="dxa"/>
          </w:tcPr>
          <w:p>
            <w:pPr>
              <w:spacing w:after="20" w:line="264" w:lineRule="auto"/>
            </w:pPr>
            <w:r>
              <w:rPr>
                <w:rFonts w:ascii="Calibri" w:hAnsi="Calibri"/>
                <w:color w:val="263238"/>
                <w:sz w:val="18"/>
              </w:rPr>
              <w:t xml:space="preserve">With position uncertainty radius</w:t>
            </w:r>
          </w:p>
        </w:tc>
      </w:tr>
      <w:tr>
        <w:tc>
          <w:tcPr>
            <w:tcW w:w="1400" w:type="dxa"/>
          </w:tcPr>
          <w:p>
            <w:pPr>
              <w:spacing w:after="20" w:line="264" w:lineRule="auto"/>
            </w:pPr>
            <w:r>
              <w:rPr>
                <w:rFonts w:ascii="Calibri" w:hAnsi="Calibri"/>
                <w:color w:val="263238"/>
                <w:sz w:val="18"/>
              </w:rPr>
              <w:t xml:space="preserve">Type</w:t>
            </w:r>
          </w:p>
        </w:tc>
        <w:tc>
          <w:tcPr>
            <w:tcW w:w="2600" w:type="dxa"/>
          </w:tcPr>
          <w:p>
            <w:pPr>
              <w:spacing w:after="20" w:line="264" w:lineRule="auto"/>
            </w:pPr>
            <w:r>
              <w:rPr>
                <w:rFonts w:ascii="Calibri" w:hAnsi="Calibri"/>
                <w:color w:val="263238"/>
                <w:sz w:val="18"/>
              </w:rPr>
              <w:t xml:space="preserve">Classification</w:t>
            </w:r>
          </w:p>
        </w:tc>
        <w:tc>
          <w:tcPr>
            <w:tcW w:w="2400" w:type="dxa"/>
          </w:tcPr>
          <w:p>
            <w:pPr>
              <w:spacing w:after="20" w:line="264" w:lineRule="auto"/>
            </w:pPr>
            <w:r>
              <w:rPr>
                <w:rFonts w:ascii="Calibri" w:hAnsi="Calibri"/>
                <w:color w:val="263238"/>
                <w:sz w:val="18"/>
              </w:rPr>
              <w:t xml:space="preserve">Mine-like contact, wreck, obstruction, placed hazard, cleared</w:t>
            </w:r>
          </w:p>
        </w:tc>
        <w:tc>
          <w:tcPr>
            <w:tcW w:w="3100" w:type="dxa"/>
          </w:tcPr>
          <w:p>
            <w:pPr>
              <w:spacing w:after="20" w:line="264" w:lineRule="auto"/>
            </w:pPr>
            <w:r>
              <w:rPr>
                <w:rFonts w:ascii="Calibri" w:hAnsi="Calibri"/>
                <w:color w:val="263238"/>
                <w:sz w:val="18"/>
              </w:rPr>
              <w:t xml:space="preserve">Cleared entries remain in the registry with clearance evidence</w:t>
            </w:r>
          </w:p>
        </w:tc>
      </w:tr>
      <w:tr>
        <w:tc>
          <w:tcPr>
            <w:tcW w:w="1400" w:type="dxa"/>
          </w:tcPr>
          <w:p>
            <w:pPr>
              <w:spacing w:after="20" w:line="264" w:lineRule="auto"/>
            </w:pPr>
            <w:r>
              <w:rPr>
                <w:rFonts w:ascii="Calibri" w:hAnsi="Calibri"/>
                <w:color w:val="263238"/>
                <w:sz w:val="18"/>
              </w:rPr>
              <w:t xml:space="preserve">Status</w:t>
            </w:r>
          </w:p>
        </w:tc>
        <w:tc>
          <w:tcPr>
            <w:tcW w:w="2600" w:type="dxa"/>
          </w:tcPr>
          <w:p>
            <w:pPr>
              <w:spacing w:after="20" w:line="264" w:lineRule="auto"/>
            </w:pPr>
            <w:r>
              <w:rPr>
                <w:rFonts w:ascii="Calibri" w:hAnsi="Calibri"/>
                <w:color w:val="263238"/>
                <w:sz w:val="18"/>
              </w:rPr>
              <w:t xml:space="preserve">State</w:t>
            </w:r>
          </w:p>
        </w:tc>
        <w:tc>
          <w:tcPr>
            <w:tcW w:w="2400" w:type="dxa"/>
          </w:tcPr>
          <w:p>
            <w:pPr>
              <w:spacing w:after="20" w:line="264" w:lineRule="auto"/>
            </w:pPr>
            <w:r>
              <w:rPr>
                <w:rFonts w:ascii="Calibri" w:hAnsi="Calibri"/>
                <w:color w:val="263238"/>
                <w:sz w:val="18"/>
              </w:rPr>
              <w:t xml:space="preserve">Declared, under survey, certified clear, charted</w:t>
            </w:r>
          </w:p>
        </w:tc>
        <w:tc>
          <w:tcPr>
            <w:tcW w:w="3100" w:type="dxa"/>
          </w:tcPr>
          <w:p>
            <w:pPr>
              <w:spacing w:after="20" w:line="264" w:lineRule="auto"/>
            </w:pPr>
            <w:r>
              <w:rPr>
                <w:rFonts w:ascii="Calibri" w:hAnsi="Calibri"/>
                <w:color w:val="263238"/>
                <w:sz w:val="18"/>
              </w:rPr>
              <w:t xml:space="preserve">Charted entries appear on all corridor charts</w:t>
            </w:r>
          </w:p>
        </w:tc>
      </w:tr>
      <w:tr>
        <w:tc>
          <w:tcPr>
            <w:tcW w:w="1400" w:type="dxa"/>
          </w:tcPr>
          <w:p>
            <w:pPr>
              <w:spacing w:after="20" w:line="264" w:lineRule="auto"/>
            </w:pPr>
            <w:r>
              <w:rPr>
                <w:rFonts w:ascii="Calibri" w:hAnsi="Calibri"/>
                <w:color w:val="263238"/>
                <w:sz w:val="18"/>
              </w:rPr>
              <w:t xml:space="preserve">Source</w:t>
            </w:r>
          </w:p>
        </w:tc>
        <w:tc>
          <w:tcPr>
            <w:tcW w:w="2600" w:type="dxa"/>
          </w:tcPr>
          <w:p>
            <w:pPr>
              <w:spacing w:after="20" w:line="264" w:lineRule="auto"/>
            </w:pPr>
            <w:r>
              <w:rPr>
                <w:rFonts w:ascii="Calibri" w:hAnsi="Calibri"/>
                <w:color w:val="263238"/>
                <w:sz w:val="18"/>
              </w:rPr>
              <w:t xml:space="preserve">Custody</w:t>
            </w:r>
          </w:p>
        </w:tc>
        <w:tc>
          <w:tcPr>
            <w:tcW w:w="2400" w:type="dxa"/>
          </w:tcPr>
          <w:p>
            <w:pPr>
              <w:spacing w:after="20" w:line="264" w:lineRule="auto"/>
            </w:pPr>
            <w:r>
              <w:rPr>
                <w:rFonts w:ascii="Calibri" w:hAnsi="Calibri"/>
                <w:color w:val="263238"/>
                <w:sz w:val="18"/>
              </w:rPr>
              <w:t xml:space="preserve">Declaring party and sensor</w:t>
            </w:r>
          </w:p>
        </w:tc>
        <w:tc>
          <w:tcPr>
            <w:tcW w:w="3100" w:type="dxa"/>
          </w:tcPr>
          <w:p>
            <w:pPr>
              <w:spacing w:after="20" w:line="264" w:lineRule="auto"/>
            </w:pPr>
            <w:r>
              <w:rPr>
                <w:rFonts w:ascii="Calibri" w:hAnsi="Calibri"/>
                <w:color w:val="263238"/>
                <w:sz w:val="18"/>
              </w:rPr>
              <w:t xml:space="preserve">Supports the Convergence Standard</w:t>
            </w:r>
          </w:p>
        </w:tc>
      </w:tr>
    </w:tbl>
    <w:p>
      <w:pPr>
        <w:spacing w:after="160"/>
      </w:pPr>
    </w:p>
    <w:p>
      <w:pPr>
        <w:jc w:val="both"/>
      </w:pPr>
      <w:r>
        <w:rPr/>
        <w:t xml:space="preserve">The registry publishes to all mariners with the corridor charts, updates with every survey, and appears in every Open Water Bulletin in summary form while any entry in a corridor sector holds a status other than certified clear or charted.</w:t>
      </w:r>
    </w:p>
    <w:p>
      <w:pPr>
        <w:pStyle w:val="Heading1"/>
        <w:pageBreakBefore/>
        <w:pBdr>
          <w:bottom w:val="single" w:color="B9C6CF" w:sz="6" w:space="4"/>
        </w:pBdr>
      </w:pPr>
      <w:bookmarkStart w:id="166" w:name="_Toc261100066"/>
      <w:r>
        <w:rPr>
          <w:rFonts w:ascii="Calibri" w:hAnsi="Calibri"/>
        </w:rPr>
        <w:t xml:space="preserve">Annex B: The Verified Services Catalog and Rate Card</w:t>
      </w:r>
      <w:bookmarkEnd w:id="166"/>
    </w:p>
    <w:p>
      <w:pPr>
        <w:jc w:val="both"/>
      </w:pPr>
      <w:r>
        <w:rPr/>
        <w:t xml:space="preserve">This Annex carries the Verified Services Catalog of Article 26, the rate card, the Route Assurance Data Service, the convoy window protocol, and the development windows. The catalog forms a closed list: a service not listed here earns no compensation under this Understanding. Every rate derives from the cost-recovery method of Article 26.2, and every figure in this Annex undergoes the annual review of Article 29.2 with Stakeholder Panel consultation before publication.</w:t>
      </w:r>
    </w:p>
    <w:p>
      <w:pPr>
        <w:pStyle w:val="Heading2"/>
      </w:pPr>
      <w:bookmarkStart w:id="167" w:name="_Toc261100067"/>
      <w:r>
        <w:rPr>
          <w:rFonts w:ascii="Calibri" w:hAnsi="Calibri"/>
        </w:rPr>
        <w:t xml:space="preserve">B.1 The Catalog at a Glance</w:t>
      </w:r>
      <w:bookmarkEnd w:id="167"/>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1100"/>
        <w:gridCol w:w="2700"/>
        <w:gridCol w:w="3800"/>
        <w:gridCol w:w="1900"/>
      </w:tblGrid>
      <w:tr>
        <w:trPr>
          <w:tblHeader/>
        </w:trPr>
        <w:tc>
          <w:tcPr>
            <w:tcW w:w="1100" w:type="dxa"/>
            <w:shd w:val="clear" w:fill="E8EDF1"/>
          </w:tcPr>
          <w:p>
            <w:pPr>
              <w:spacing w:after="20" w:line="264" w:lineRule="auto"/>
            </w:pPr>
            <w:r>
              <w:rPr>
                <w:rFonts w:ascii="Calibri" w:hAnsi="Calibri"/>
                <w:b/>
                <w:color w:val="2E4A62"/>
                <w:sz w:val="18"/>
              </w:rPr>
              <w:t xml:space="preserve">Line</w:t>
            </w:r>
          </w:p>
        </w:tc>
        <w:tc>
          <w:tcPr>
            <w:tcW w:w="2700" w:type="dxa"/>
            <w:shd w:val="clear" w:fill="E8EDF1"/>
          </w:tcPr>
          <w:p>
            <w:pPr>
              <w:spacing w:after="20" w:line="264" w:lineRule="auto"/>
            </w:pPr>
            <w:r>
              <w:rPr>
                <w:rFonts w:ascii="Calibri" w:hAnsi="Calibri"/>
                <w:b/>
                <w:color w:val="2E4A62"/>
                <w:sz w:val="18"/>
              </w:rPr>
              <w:t xml:space="preserve">Service</w:t>
            </w:r>
          </w:p>
        </w:tc>
        <w:tc>
          <w:tcPr>
            <w:tcW w:w="3800" w:type="dxa"/>
            <w:shd w:val="clear" w:fill="E8EDF1"/>
          </w:tcPr>
          <w:p>
            <w:pPr>
              <w:spacing w:after="20" w:line="264" w:lineRule="auto"/>
            </w:pPr>
            <w:r>
              <w:rPr>
                <w:rFonts w:ascii="Calibri" w:hAnsi="Calibri"/>
                <w:b/>
                <w:color w:val="2E4A62"/>
                <w:sz w:val="18"/>
              </w:rPr>
              <w:t xml:space="preserve">Verification input</w:t>
            </w:r>
          </w:p>
        </w:tc>
        <w:tc>
          <w:tcPr>
            <w:tcW w:w="1900" w:type="dxa"/>
            <w:shd w:val="clear" w:fill="E8EDF1"/>
          </w:tcPr>
          <w:p>
            <w:pPr>
              <w:spacing w:after="20" w:line="264" w:lineRule="auto"/>
            </w:pPr>
            <w:r>
              <w:rPr>
                <w:rFonts w:ascii="Calibri" w:hAnsi="Calibri"/>
                <w:b/>
                <w:color w:val="2E4A62"/>
                <w:sz w:val="18"/>
              </w:rPr>
              <w:t xml:space="preserve">Charging unit</w:t>
            </w:r>
          </w:p>
        </w:tc>
      </w:tr>
      <w:tr>
        <w:tc>
          <w:tcPr>
            <w:tcW w:w="1100" w:type="dxa"/>
          </w:tcPr>
          <w:p>
            <w:pPr>
              <w:spacing w:after="20" w:line="264" w:lineRule="auto"/>
            </w:pPr>
            <w:r>
              <w:rPr>
                <w:rFonts w:ascii="Calibri" w:hAnsi="Calibri"/>
                <w:color w:val="263238"/>
                <w:sz w:val="18"/>
              </w:rPr>
              <w:t xml:space="preserve">S-1</w:t>
            </w:r>
          </w:p>
        </w:tc>
        <w:tc>
          <w:tcPr>
            <w:tcW w:w="2700" w:type="dxa"/>
          </w:tcPr>
          <w:p>
            <w:pPr>
              <w:spacing w:after="20" w:line="264" w:lineRule="auto"/>
            </w:pPr>
            <w:r>
              <w:rPr>
                <w:rFonts w:ascii="Calibri" w:hAnsi="Calibri"/>
                <w:color w:val="263238"/>
                <w:sz w:val="18"/>
              </w:rPr>
              <w:t xml:space="preserve">Vessel traffic management and routing guidance</w:t>
            </w:r>
          </w:p>
        </w:tc>
        <w:tc>
          <w:tcPr>
            <w:tcW w:w="3800" w:type="dxa"/>
          </w:tcPr>
          <w:p>
            <w:pPr>
              <w:spacing w:after="20" w:line="264" w:lineRule="auto"/>
            </w:pPr>
            <w:r>
              <w:rPr>
                <w:rFonts w:ascii="Calibri" w:hAnsi="Calibri"/>
                <w:color w:val="263238"/>
                <w:sz w:val="18"/>
              </w:rPr>
              <w:t xml:space="preserve">Watch floor logs, fused picture records</w:t>
            </w:r>
          </w:p>
        </w:tc>
        <w:tc>
          <w:tcPr>
            <w:tcW w:w="1900" w:type="dxa"/>
          </w:tcPr>
          <w:p>
            <w:pPr>
              <w:spacing w:after="20" w:line="264" w:lineRule="auto"/>
            </w:pPr>
            <w:r>
              <w:rPr>
                <w:rFonts w:ascii="Calibri" w:hAnsi="Calibri"/>
                <w:color w:val="263238"/>
                <w:sz w:val="18"/>
              </w:rPr>
              <w:t xml:space="preserve">Per transit</w:t>
            </w:r>
          </w:p>
        </w:tc>
      </w:tr>
      <w:tr>
        <w:tc>
          <w:tcPr>
            <w:tcW w:w="1100" w:type="dxa"/>
          </w:tcPr>
          <w:p>
            <w:pPr>
              <w:spacing w:after="20" w:line="264" w:lineRule="auto"/>
            </w:pPr>
            <w:r>
              <w:rPr>
                <w:rFonts w:ascii="Calibri" w:hAnsi="Calibri"/>
                <w:color w:val="263238"/>
                <w:sz w:val="18"/>
              </w:rPr>
              <w:t xml:space="preserve">S-2</w:t>
            </w:r>
          </w:p>
        </w:tc>
        <w:tc>
          <w:tcPr>
            <w:tcW w:w="2700" w:type="dxa"/>
          </w:tcPr>
          <w:p>
            <w:pPr>
              <w:spacing w:after="20" w:line="264" w:lineRule="auto"/>
            </w:pPr>
            <w:r>
              <w:rPr>
                <w:rFonts w:ascii="Calibri" w:hAnsi="Calibri"/>
                <w:color w:val="263238"/>
                <w:sz w:val="18"/>
              </w:rPr>
              <w:t xml:space="preserve">Aids-to-navigation maintenance</w:t>
            </w:r>
          </w:p>
        </w:tc>
        <w:tc>
          <w:tcPr>
            <w:tcW w:w="3800" w:type="dxa"/>
          </w:tcPr>
          <w:p>
            <w:pPr>
              <w:spacing w:after="20" w:line="264" w:lineRule="auto"/>
            </w:pPr>
            <w:r>
              <w:rPr>
                <w:rFonts w:ascii="Calibri" w:hAnsi="Calibri"/>
                <w:color w:val="263238"/>
                <w:sz w:val="18"/>
              </w:rPr>
              <w:t xml:space="preserve">Inspection records, positioning audits</w:t>
            </w:r>
          </w:p>
        </w:tc>
        <w:tc>
          <w:tcPr>
            <w:tcW w:w="1900" w:type="dxa"/>
          </w:tcPr>
          <w:p>
            <w:pPr>
              <w:spacing w:after="20" w:line="264" w:lineRule="auto"/>
            </w:pPr>
            <w:r>
              <w:rPr>
                <w:rFonts w:ascii="Calibri" w:hAnsi="Calibri"/>
                <w:color w:val="263238"/>
                <w:sz w:val="18"/>
              </w:rPr>
              <w:t xml:space="preserve">Per transit (pool)</w:t>
            </w:r>
          </w:p>
        </w:tc>
      </w:tr>
      <w:tr>
        <w:tc>
          <w:tcPr>
            <w:tcW w:w="1100" w:type="dxa"/>
          </w:tcPr>
          <w:p>
            <w:pPr>
              <w:spacing w:after="20" w:line="264" w:lineRule="auto"/>
            </w:pPr>
            <w:r>
              <w:rPr>
                <w:rFonts w:ascii="Calibri" w:hAnsi="Calibri"/>
                <w:color w:val="263238"/>
                <w:sz w:val="18"/>
              </w:rPr>
              <w:t xml:space="preserve">S-3</w:t>
            </w:r>
          </w:p>
        </w:tc>
        <w:tc>
          <w:tcPr>
            <w:tcW w:w="2700" w:type="dxa"/>
          </w:tcPr>
          <w:p>
            <w:pPr>
              <w:spacing w:after="20" w:line="264" w:lineRule="auto"/>
            </w:pPr>
            <w:r>
              <w:rPr>
                <w:rFonts w:ascii="Calibri" w:hAnsi="Calibri"/>
                <w:color w:val="263238"/>
                <w:sz w:val="18"/>
              </w:rPr>
              <w:t xml:space="preserve">Hydrographic survey</w:t>
            </w:r>
          </w:p>
        </w:tc>
        <w:tc>
          <w:tcPr>
            <w:tcW w:w="3800" w:type="dxa"/>
          </w:tcPr>
          <w:p>
            <w:pPr>
              <w:spacing w:after="20" w:line="264" w:lineRule="auto"/>
            </w:pPr>
            <w:r>
              <w:rPr>
                <w:rFonts w:ascii="Calibri" w:hAnsi="Calibri"/>
                <w:color w:val="263238"/>
                <w:sz w:val="18"/>
              </w:rPr>
              <w:t xml:space="preserve">Survey data packages, IHO interface reports</w:t>
            </w:r>
          </w:p>
        </w:tc>
        <w:tc>
          <w:tcPr>
            <w:tcW w:w="1900" w:type="dxa"/>
          </w:tcPr>
          <w:p>
            <w:pPr>
              <w:spacing w:after="20" w:line="264" w:lineRule="auto"/>
            </w:pPr>
            <w:r>
              <w:rPr>
                <w:rFonts w:ascii="Calibri" w:hAnsi="Calibri"/>
                <w:color w:val="263238"/>
                <w:sz w:val="18"/>
              </w:rPr>
              <w:t xml:space="preserve">Per certified sector</w:t>
            </w:r>
          </w:p>
        </w:tc>
      </w:tr>
      <w:tr>
        <w:tc>
          <w:tcPr>
            <w:tcW w:w="1100" w:type="dxa"/>
          </w:tcPr>
          <w:p>
            <w:pPr>
              <w:spacing w:after="20" w:line="264" w:lineRule="auto"/>
            </w:pPr>
            <w:r>
              <w:rPr>
                <w:rFonts w:ascii="Calibri" w:hAnsi="Calibri"/>
                <w:color w:val="263238"/>
                <w:sz w:val="18"/>
              </w:rPr>
              <w:t xml:space="preserve">S-4</w:t>
            </w:r>
          </w:p>
        </w:tc>
        <w:tc>
          <w:tcPr>
            <w:tcW w:w="2700" w:type="dxa"/>
          </w:tcPr>
          <w:p>
            <w:pPr>
              <w:spacing w:after="20" w:line="264" w:lineRule="auto"/>
            </w:pPr>
            <w:r>
              <w:rPr>
                <w:rFonts w:ascii="Calibri" w:hAnsi="Calibri"/>
                <w:color w:val="263238"/>
                <w:sz w:val="18"/>
              </w:rPr>
              <w:t xml:space="preserve">Environmental monitoring</w:t>
            </w:r>
          </w:p>
        </w:tc>
        <w:tc>
          <w:tcPr>
            <w:tcW w:w="3800" w:type="dxa"/>
          </w:tcPr>
          <w:p>
            <w:pPr>
              <w:spacing w:after="20" w:line="264" w:lineRule="auto"/>
            </w:pPr>
            <w:r>
              <w:rPr>
                <w:rFonts w:ascii="Calibri" w:hAnsi="Calibri"/>
                <w:color w:val="263238"/>
                <w:sz w:val="18"/>
              </w:rPr>
              <w:t xml:space="preserve">Sensor network data, laboratory results</w:t>
            </w:r>
          </w:p>
        </w:tc>
        <w:tc>
          <w:tcPr>
            <w:tcW w:w="1900" w:type="dxa"/>
          </w:tcPr>
          <w:p>
            <w:pPr>
              <w:spacing w:after="20" w:line="264" w:lineRule="auto"/>
            </w:pPr>
            <w:r>
              <w:rPr>
                <w:rFonts w:ascii="Calibri" w:hAnsi="Calibri"/>
                <w:color w:val="263238"/>
                <w:sz w:val="18"/>
              </w:rPr>
              <w:t xml:space="preserve">Per transit (pool)</w:t>
            </w:r>
          </w:p>
        </w:tc>
      </w:tr>
      <w:tr>
        <w:tc>
          <w:tcPr>
            <w:tcW w:w="1100" w:type="dxa"/>
          </w:tcPr>
          <w:p>
            <w:pPr>
              <w:spacing w:after="20" w:line="264" w:lineRule="auto"/>
            </w:pPr>
            <w:r>
              <w:rPr>
                <w:rFonts w:ascii="Calibri" w:hAnsi="Calibri"/>
                <w:color w:val="263238"/>
                <w:sz w:val="18"/>
              </w:rPr>
              <w:t xml:space="preserve">S-5</w:t>
            </w:r>
          </w:p>
        </w:tc>
        <w:tc>
          <w:tcPr>
            <w:tcW w:w="2700" w:type="dxa"/>
          </w:tcPr>
          <w:p>
            <w:pPr>
              <w:spacing w:after="20" w:line="264" w:lineRule="auto"/>
            </w:pPr>
            <w:r>
              <w:rPr>
                <w:rFonts w:ascii="Calibri" w:hAnsi="Calibri"/>
                <w:color w:val="263238"/>
                <w:sz w:val="18"/>
              </w:rPr>
              <w:t xml:space="preserve">Search and rescue readiness</w:t>
            </w:r>
          </w:p>
        </w:tc>
        <w:tc>
          <w:tcPr>
            <w:tcW w:w="3800" w:type="dxa"/>
          </w:tcPr>
          <w:p>
            <w:pPr>
              <w:spacing w:after="20" w:line="264" w:lineRule="auto"/>
            </w:pPr>
            <w:r>
              <w:rPr>
                <w:rFonts w:ascii="Calibri" w:hAnsi="Calibri"/>
                <w:color w:val="263238"/>
                <w:sz w:val="18"/>
              </w:rPr>
              <w:t xml:space="preserve">Readiness audits, drill records</w:t>
            </w:r>
          </w:p>
        </w:tc>
        <w:tc>
          <w:tcPr>
            <w:tcW w:w="1900" w:type="dxa"/>
          </w:tcPr>
          <w:p>
            <w:pPr>
              <w:spacing w:after="20" w:line="264" w:lineRule="auto"/>
            </w:pPr>
            <w:r>
              <w:rPr>
                <w:rFonts w:ascii="Calibri" w:hAnsi="Calibri"/>
                <w:color w:val="263238"/>
                <w:sz w:val="18"/>
              </w:rPr>
              <w:t xml:space="preserve">Per transit (pool)</w:t>
            </w:r>
          </w:p>
        </w:tc>
      </w:tr>
      <w:tr>
        <w:tc>
          <w:tcPr>
            <w:tcW w:w="1100" w:type="dxa"/>
          </w:tcPr>
          <w:p>
            <w:pPr>
              <w:spacing w:after="20" w:line="264" w:lineRule="auto"/>
            </w:pPr>
            <w:r>
              <w:rPr>
                <w:rFonts w:ascii="Calibri" w:hAnsi="Calibri"/>
                <w:color w:val="263238"/>
                <w:sz w:val="18"/>
              </w:rPr>
              <w:t xml:space="preserve">S-6</w:t>
            </w:r>
          </w:p>
        </w:tc>
        <w:tc>
          <w:tcPr>
            <w:tcW w:w="2700" w:type="dxa"/>
          </w:tcPr>
          <w:p>
            <w:pPr>
              <w:spacing w:after="20" w:line="264" w:lineRule="auto"/>
            </w:pPr>
            <w:r>
              <w:rPr>
                <w:rFonts w:ascii="Calibri" w:hAnsi="Calibri"/>
                <w:color w:val="263238"/>
                <w:sz w:val="18"/>
              </w:rPr>
              <w:t xml:space="preserve">Hazard reporting and survey response</w:t>
            </w:r>
          </w:p>
        </w:tc>
        <w:tc>
          <w:tcPr>
            <w:tcW w:w="3800" w:type="dxa"/>
          </w:tcPr>
          <w:p>
            <w:pPr>
              <w:spacing w:after="20" w:line="264" w:lineRule="auto"/>
            </w:pPr>
            <w:r>
              <w:rPr>
                <w:rFonts w:ascii="Calibri" w:hAnsi="Calibri"/>
                <w:color w:val="263238"/>
                <w:sz w:val="18"/>
              </w:rPr>
              <w:t xml:space="preserve">Hazard Registry entries, response logs</w:t>
            </w:r>
          </w:p>
        </w:tc>
        <w:tc>
          <w:tcPr>
            <w:tcW w:w="1900" w:type="dxa"/>
          </w:tcPr>
          <w:p>
            <w:pPr>
              <w:spacing w:after="20" w:line="264" w:lineRule="auto"/>
            </w:pPr>
            <w:r>
              <w:rPr>
                <w:rFonts w:ascii="Calibri" w:hAnsi="Calibri"/>
                <w:color w:val="263238"/>
                <w:sz w:val="18"/>
              </w:rPr>
              <w:t xml:space="preserve">Per response</w:t>
            </w:r>
          </w:p>
        </w:tc>
      </w:tr>
      <w:tr>
        <w:tc>
          <w:tcPr>
            <w:tcW w:w="1100" w:type="dxa"/>
          </w:tcPr>
          <w:p>
            <w:pPr>
              <w:spacing w:after="20" w:line="264" w:lineRule="auto"/>
            </w:pPr>
            <w:r>
              <w:rPr>
                <w:rFonts w:ascii="Calibri" w:hAnsi="Calibri"/>
                <w:color w:val="263238"/>
                <w:sz w:val="18"/>
              </w:rPr>
              <w:t xml:space="preserve">S-7</w:t>
            </w:r>
          </w:p>
        </w:tc>
        <w:tc>
          <w:tcPr>
            <w:tcW w:w="2700" w:type="dxa"/>
          </w:tcPr>
          <w:p>
            <w:pPr>
              <w:spacing w:after="20" w:line="264" w:lineRule="auto"/>
            </w:pPr>
            <w:r>
              <w:rPr>
                <w:rFonts w:ascii="Calibri" w:hAnsi="Calibri"/>
                <w:color w:val="263238"/>
                <w:sz w:val="18"/>
              </w:rPr>
              <w:t xml:space="preserve">Incident response and logging</w:t>
            </w:r>
          </w:p>
        </w:tc>
        <w:tc>
          <w:tcPr>
            <w:tcW w:w="3800" w:type="dxa"/>
          </w:tcPr>
          <w:p>
            <w:pPr>
              <w:spacing w:after="20" w:line="264" w:lineRule="auto"/>
            </w:pPr>
            <w:r>
              <w:rPr>
                <w:rFonts w:ascii="Calibri" w:hAnsi="Calibri"/>
                <w:color w:val="263238"/>
                <w:sz w:val="18"/>
              </w:rPr>
              <w:t xml:space="preserve">Public incident log, response times</w:t>
            </w:r>
          </w:p>
        </w:tc>
        <w:tc>
          <w:tcPr>
            <w:tcW w:w="1900" w:type="dxa"/>
          </w:tcPr>
          <w:p>
            <w:pPr>
              <w:spacing w:after="20" w:line="264" w:lineRule="auto"/>
            </w:pPr>
            <w:r>
              <w:rPr>
                <w:rFonts w:ascii="Calibri" w:hAnsi="Calibri"/>
                <w:color w:val="263238"/>
                <w:sz w:val="18"/>
              </w:rPr>
              <w:t xml:space="preserve">Per transit (pool)</w:t>
            </w:r>
          </w:p>
        </w:tc>
      </w:tr>
      <w:tr>
        <w:tc>
          <w:tcPr>
            <w:tcW w:w="1100" w:type="dxa"/>
          </w:tcPr>
          <w:p>
            <w:pPr>
              <w:spacing w:after="20" w:line="264" w:lineRule="auto"/>
            </w:pPr>
            <w:r>
              <w:rPr>
                <w:rFonts w:ascii="Calibri" w:hAnsi="Calibri"/>
                <w:color w:val="263238"/>
                <w:sz w:val="18"/>
              </w:rPr>
              <w:t xml:space="preserve">S-8</w:t>
            </w:r>
          </w:p>
        </w:tc>
        <w:tc>
          <w:tcPr>
            <w:tcW w:w="2700" w:type="dxa"/>
          </w:tcPr>
          <w:p>
            <w:pPr>
              <w:spacing w:after="20" w:line="264" w:lineRule="auto"/>
            </w:pPr>
            <w:r>
              <w:rPr>
                <w:rFonts w:ascii="Calibri" w:hAnsi="Calibri"/>
                <w:color w:val="263238"/>
                <w:sz w:val="18"/>
              </w:rPr>
              <w:t xml:space="preserve">Mariner information services</w:t>
            </w:r>
          </w:p>
        </w:tc>
        <w:tc>
          <w:tcPr>
            <w:tcW w:w="3800" w:type="dxa"/>
          </w:tcPr>
          <w:p>
            <w:pPr>
              <w:spacing w:after="20" w:line="264" w:lineRule="auto"/>
            </w:pPr>
            <w:r>
              <w:rPr>
                <w:rFonts w:ascii="Calibri" w:hAnsi="Calibri"/>
                <w:color w:val="263238"/>
                <w:sz w:val="18"/>
              </w:rPr>
              <w:t xml:space="preserve">Bulletin issuance records</w:t>
            </w:r>
          </w:p>
        </w:tc>
        <w:tc>
          <w:tcPr>
            <w:tcW w:w="1900" w:type="dxa"/>
          </w:tcPr>
          <w:p>
            <w:pPr>
              <w:spacing w:after="20" w:line="264" w:lineRule="auto"/>
            </w:pPr>
            <w:r>
              <w:rPr>
                <w:rFonts w:ascii="Calibri" w:hAnsi="Calibri"/>
                <w:color w:val="263238"/>
                <w:sz w:val="18"/>
              </w:rPr>
              <w:t xml:space="preserve">Per transit (pool)</w:t>
            </w:r>
          </w:p>
        </w:tc>
      </w:tr>
      <w:tr>
        <w:tc>
          <w:tcPr>
            <w:tcW w:w="1100" w:type="dxa"/>
          </w:tcPr>
          <w:p>
            <w:pPr>
              <w:spacing w:after="20" w:line="264" w:lineRule="auto"/>
            </w:pPr>
            <w:r>
              <w:rPr>
                <w:rFonts w:ascii="Calibri" w:hAnsi="Calibri"/>
                <w:color w:val="263238"/>
                <w:sz w:val="18"/>
              </w:rPr>
              <w:t xml:space="preserve">S-9</w:t>
            </w:r>
          </w:p>
        </w:tc>
        <w:tc>
          <w:tcPr>
            <w:tcW w:w="2700" w:type="dxa"/>
          </w:tcPr>
          <w:p>
            <w:pPr>
              <w:spacing w:after="20" w:line="264" w:lineRule="auto"/>
            </w:pPr>
            <w:r>
              <w:rPr>
                <w:rFonts w:ascii="Calibri" w:hAnsi="Calibri"/>
                <w:color w:val="263238"/>
                <w:sz w:val="18"/>
              </w:rPr>
              <w:t xml:space="preserve">Escort and convoy window coordination</w:t>
            </w:r>
          </w:p>
        </w:tc>
        <w:tc>
          <w:tcPr>
            <w:tcW w:w="3800" w:type="dxa"/>
          </w:tcPr>
          <w:p>
            <w:pPr>
              <w:spacing w:after="20" w:line="264" w:lineRule="auto"/>
            </w:pPr>
            <w:r>
              <w:rPr>
                <w:rFonts w:ascii="Calibri" w:hAnsi="Calibri"/>
                <w:color w:val="263238"/>
                <w:sz w:val="18"/>
              </w:rPr>
              <w:t xml:space="preserve">Convoy logs, escort vessel tracks</w:t>
            </w:r>
          </w:p>
        </w:tc>
        <w:tc>
          <w:tcPr>
            <w:tcW w:w="1900" w:type="dxa"/>
          </w:tcPr>
          <w:p>
            <w:pPr>
              <w:spacing w:after="20" w:line="264" w:lineRule="auto"/>
            </w:pPr>
            <w:r>
              <w:rPr>
                <w:rFonts w:ascii="Calibri" w:hAnsi="Calibri"/>
                <w:color w:val="263238"/>
                <w:sz w:val="18"/>
              </w:rPr>
              <w:t xml:space="preserve">Per convoy window</w:t>
            </w:r>
          </w:p>
        </w:tc>
      </w:tr>
      <w:tr>
        <w:tc>
          <w:tcPr>
            <w:tcW w:w="1100" w:type="dxa"/>
          </w:tcPr>
          <w:p>
            <w:pPr>
              <w:spacing w:after="20" w:line="264" w:lineRule="auto"/>
            </w:pPr>
            <w:r>
              <w:rPr>
                <w:rFonts w:ascii="Calibri" w:hAnsi="Calibri"/>
                <w:color w:val="263238"/>
                <w:sz w:val="18"/>
              </w:rPr>
              <w:t xml:space="preserve">S-10</w:t>
            </w:r>
          </w:p>
        </w:tc>
        <w:tc>
          <w:tcPr>
            <w:tcW w:w="2700" w:type="dxa"/>
          </w:tcPr>
          <w:p>
            <w:pPr>
              <w:spacing w:after="20" w:line="264" w:lineRule="auto"/>
            </w:pPr>
            <w:r>
              <w:rPr>
                <w:rFonts w:ascii="Calibri" w:hAnsi="Calibri"/>
                <w:color w:val="263238"/>
                <w:sz w:val="18"/>
              </w:rPr>
              <w:t xml:space="preserve">Pilotage and tug services</w:t>
            </w:r>
          </w:p>
        </w:tc>
        <w:tc>
          <w:tcPr>
            <w:tcW w:w="3800" w:type="dxa"/>
          </w:tcPr>
          <w:p>
            <w:pPr>
              <w:spacing w:after="20" w:line="264" w:lineRule="auto"/>
            </w:pPr>
            <w:r>
              <w:rPr>
                <w:rFonts w:ascii="Calibri" w:hAnsi="Calibri"/>
                <w:color w:val="263238"/>
                <w:sz w:val="18"/>
              </w:rPr>
              <w:t xml:space="preserve">Service completion certificates</w:t>
            </w:r>
          </w:p>
        </w:tc>
        <w:tc>
          <w:tcPr>
            <w:tcW w:w="1900" w:type="dxa"/>
          </w:tcPr>
          <w:p>
            <w:pPr>
              <w:spacing w:after="20" w:line="264" w:lineRule="auto"/>
            </w:pPr>
            <w:r>
              <w:rPr>
                <w:rFonts w:ascii="Calibri" w:hAnsi="Calibri"/>
                <w:color w:val="263238"/>
                <w:sz w:val="18"/>
              </w:rPr>
              <w:t xml:space="preserve">Per service, on request only</w:t>
            </w:r>
          </w:p>
        </w:tc>
      </w:tr>
    </w:tbl>
    <w:p>
      <w:pPr>
        <w:spacing w:after="160"/>
      </w:pPr>
    </w:p>
    <w:p>
      <w:pPr>
        <w:pStyle w:val="Heading2"/>
      </w:pPr>
      <w:bookmarkStart w:id="168" w:name="_Toc261100068"/>
      <w:r>
        <w:rPr>
          <w:rFonts w:ascii="Calibri" w:hAnsi="Calibri"/>
        </w:rPr>
        <w:t xml:space="preserve">B.2 Service Line Definitions</w:t>
      </w:r>
      <w:bookmarkEnd w:id="168"/>
    </w:p>
    <w:p>
      <w:pPr>
        <w:jc w:val="both"/>
      </w:pPr>
      <w:r>
        <w:rPr>
          <w:b/>
        </w:rPr>
        <w:t xml:space="preserve">S-1 Traffic management.</w:t>
      </w:r>
      <w:r>
        <w:rPr/>
        <w:t xml:space="preserve"> Continuous watch floor service: corridor guidance, flow state management, diversion coordination, and traffic information to every vessel in the corridors. Performed by the corridor function holder of each corridor and co-performed in the Central Assurance Corridor.</w:t>
      </w:r>
    </w:p>
    <w:p>
      <w:pPr>
        <w:jc w:val="both"/>
      </w:pPr>
      <w:r>
        <w:rPr>
          <w:b/>
        </w:rPr>
        <w:t xml:space="preserve">S-2 Aids to navigation.</w:t>
      </w:r>
      <w:r>
        <w:rPr/>
        <w:t xml:space="preserve"> Maintenance of the buoys, beacons, racons, and virtual aids marking the corridors, at the positioning standard of Annex A. The pool method spreads the cost across all transits because every mariner benefits regardless of route.</w:t>
      </w:r>
    </w:p>
    <w:p>
      <w:pPr>
        <w:jc w:val="both"/>
      </w:pPr>
      <w:r>
        <w:rPr>
          <w:b/>
        </w:rPr>
        <w:t xml:space="preserve">S-3 Hydrographic survey.</w:t>
      </w:r>
      <w:r>
        <w:rPr/>
        <w:t xml:space="preserve"> The standing survey rhythm of Article 17.5 and the initial certification surveys of Article 17.4, charged per certified sector against the survey schedule of Annex J.</w:t>
      </w:r>
    </w:p>
    <w:p>
      <w:pPr>
        <w:jc w:val="both"/>
      </w:pPr>
      <w:r>
        <w:rPr>
          <w:b/>
        </w:rPr>
        <w:t xml:space="preserve">S-4 Environmental monitoring.</w:t>
      </w:r>
      <w:r>
        <w:rPr/>
        <w:t xml:space="preserve"> Operation of the environmental baseline network: water quality sensors, air emission estimation from automatic identification system data, spill detection radar, and the laboratory program. The baseline publishes quarterly.</w:t>
      </w:r>
    </w:p>
    <w:p>
      <w:pPr>
        <w:jc w:val="both"/>
      </w:pPr>
      <w:r>
        <w:rPr>
          <w:b/>
        </w:rPr>
        <w:t xml:space="preserve">S-5 Search and rescue readiness.</w:t>
      </w:r>
      <w:r>
        <w:rPr/>
        <w:t xml:space="preserve"> Maintained readiness of the coordinated SAR plan: designated vessels, coordination drills every 90 days, and the emergency diversion capability of the Central Assurance Corridor. Actual SAR operations never charge the rescued vessel or its crew; readiness costs pool across transits.</w:t>
      </w:r>
    </w:p>
    <w:p>
      <w:pPr>
        <w:jc w:val="both"/>
      </w:pPr>
      <w:r>
        <w:rPr>
          <w:b/>
        </w:rPr>
        <w:t xml:space="preserve">S-6 Hazard reporting and survey response.</w:t>
      </w:r>
      <w:r>
        <w:rPr/>
        <w:t xml:space="preserve"> The 72-hour survey response of Article 17.5 against every reported hazard, charged per response against the Hazard Registry record.</w:t>
      </w:r>
    </w:p>
    <w:p>
      <w:pPr>
        <w:jc w:val="both"/>
      </w:pPr>
      <w:r>
        <w:rPr>
          <w:b/>
        </w:rPr>
        <w:t xml:space="preserve">S-7 Incident response and logging.</w:t>
      </w:r>
      <w:r>
        <w:rPr/>
        <w:t xml:space="preserve"> First response coordination, the public incident log, and the incident investigation support of the Neutral Verification Office.</w:t>
      </w:r>
    </w:p>
    <w:p>
      <w:pPr>
        <w:jc w:val="both"/>
      </w:pPr>
      <w:r>
        <w:rPr>
          <w:b/>
        </w:rPr>
        <w:t xml:space="preserve">S-8 Mariner information services.</w:t>
      </w:r>
      <w:r>
        <w:rPr/>
        <w:t xml:space="preserve"> The Open Water Bulletin, the Mariners' Handbook, chart updates, and the notice-to-mariners function for the Governance Area.</w:t>
      </w:r>
    </w:p>
    <w:p>
      <w:pPr>
        <w:jc w:val="both"/>
      </w:pPr>
      <w:r>
        <w:rPr>
          <w:b/>
        </w:rPr>
        <w:t xml:space="preserve">S-9 Convoy window coordination.</w:t>
      </w:r>
      <w:r>
        <w:rPr/>
        <w:t xml:space="preserve"> Scheduled assurance windows for operators that request them: grouped transit scheduling with dedicated watch attention and, at the operator's request, coast guard presence along the corridor. Convoy windows carry a separate charge because they serve the requesting operators specifically, and participation never affects the passage rights of non-participants.</w:t>
      </w:r>
    </w:p>
    <w:p>
      <w:pPr>
        <w:jc w:val="both"/>
      </w:pPr>
      <w:r>
        <w:rPr>
          <w:b/>
        </w:rPr>
        <w:t xml:space="preserve">S-10 Pilotage and tugs.</w:t>
      </w:r>
      <w:r>
        <w:rPr/>
        <w:t xml:space="preserve"> Voluntary pilotage and tug services at the precautionary areas, available on request at published rates. No vessel takes a pilot or tug as a condition of transit.</w:t>
      </w:r>
    </w:p>
    <w:p>
      <w:pPr>
        <w:pStyle w:val="Heading2"/>
      </w:pPr>
      <w:bookmarkStart w:id="169" w:name="_Toc261100069"/>
      <w:r>
        <w:rPr>
          <w:rFonts w:ascii="Calibri" w:hAnsi="Calibri"/>
        </w:rPr>
        <w:t xml:space="preserve">B.3 The Rate Card (Steady State)</w:t>
      </w:r>
      <w:bookmarkEnd w:id="169"/>
    </w:p>
    <w:p>
      <w:pPr>
        <w:jc w:val="both"/>
      </w:pPr>
      <w:r>
        <w:rPr/>
        <w:t xml:space="preserve">Rates state in United States dollars. The pilot schedule of Article 37.3 applies at 50 percent of these figures during Phases 3 through 5. All collection flows through the Fund under the firewall of Article 28 and the port processing channel of Article 29.3.</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1400"/>
        <w:gridCol w:w="2000"/>
        <w:gridCol w:w="2400"/>
        <w:gridCol w:w="3700"/>
      </w:tblGrid>
      <w:tr>
        <w:trPr>
          <w:tblHeader/>
        </w:trPr>
        <w:tc>
          <w:tcPr>
            <w:tcW w:w="1400" w:type="dxa"/>
            <w:shd w:val="clear" w:fill="E8EDF1"/>
          </w:tcPr>
          <w:p>
            <w:pPr>
              <w:spacing w:after="20" w:line="264" w:lineRule="auto"/>
            </w:pPr>
            <w:r>
              <w:rPr>
                <w:rFonts w:ascii="Calibri" w:hAnsi="Calibri"/>
                <w:b/>
                <w:color w:val="2E4A62"/>
                <w:sz w:val="18"/>
              </w:rPr>
              <w:t xml:space="preserve">Line</w:t>
            </w:r>
          </w:p>
        </w:tc>
        <w:tc>
          <w:tcPr>
            <w:tcW w:w="2000" w:type="dxa"/>
            <w:shd w:val="clear" w:fill="E8EDF1"/>
          </w:tcPr>
          <w:p>
            <w:pPr>
              <w:spacing w:after="20" w:line="264" w:lineRule="auto"/>
            </w:pPr>
            <w:r>
              <w:rPr>
                <w:rFonts w:ascii="Calibri" w:hAnsi="Calibri"/>
                <w:b/>
                <w:color w:val="2E4A62"/>
                <w:sz w:val="18"/>
              </w:rPr>
              <w:t xml:space="preserve">V-1 rate</w:t>
            </w:r>
          </w:p>
        </w:tc>
        <w:tc>
          <w:tcPr>
            <w:tcW w:w="2400" w:type="dxa"/>
            <w:shd w:val="clear" w:fill="E8EDF1"/>
          </w:tcPr>
          <w:p>
            <w:pPr>
              <w:spacing w:after="20" w:line="264" w:lineRule="auto"/>
            </w:pPr>
            <w:r>
              <w:rPr>
                <w:rFonts w:ascii="Calibri" w:hAnsi="Calibri"/>
                <w:b/>
                <w:color w:val="2E4A62"/>
                <w:sz w:val="18"/>
              </w:rPr>
              <w:t xml:space="preserve">V-2 rate</w:t>
            </w:r>
          </w:p>
        </w:tc>
        <w:tc>
          <w:tcPr>
            <w:tcW w:w="3700" w:type="dxa"/>
            <w:shd w:val="clear" w:fill="E8EDF1"/>
          </w:tcPr>
          <w:p>
            <w:pPr>
              <w:spacing w:after="20" w:line="264" w:lineRule="auto"/>
            </w:pPr>
            <w:r>
              <w:rPr>
                <w:rFonts w:ascii="Calibri" w:hAnsi="Calibri"/>
                <w:b/>
                <w:color w:val="2E4A62"/>
                <w:sz w:val="18"/>
              </w:rPr>
              <w:t xml:space="preserve">Basis</w:t>
            </w:r>
          </w:p>
        </w:tc>
      </w:tr>
      <w:tr>
        <w:tc>
          <w:tcPr>
            <w:tcW w:w="1400" w:type="dxa"/>
          </w:tcPr>
          <w:p>
            <w:pPr>
              <w:spacing w:after="20" w:line="264" w:lineRule="auto"/>
            </w:pPr>
            <w:r>
              <w:rPr>
                <w:rFonts w:ascii="Calibri" w:hAnsi="Calibri"/>
                <w:color w:val="263238"/>
                <w:sz w:val="18"/>
              </w:rPr>
              <w:t xml:space="preserve">S-1</w:t>
            </w:r>
          </w:p>
        </w:tc>
        <w:tc>
          <w:tcPr>
            <w:tcW w:w="2000" w:type="dxa"/>
          </w:tcPr>
          <w:p>
            <w:pPr>
              <w:spacing w:after="20" w:line="264" w:lineRule="auto"/>
            </w:pPr>
            <w:r>
              <w:rPr>
                <w:rFonts w:ascii="Calibri" w:hAnsi="Calibri"/>
                <w:color w:val="263238"/>
                <w:sz w:val="18"/>
              </w:rPr>
              <w:t xml:space="preserve">S-1 bundle: 780</w:t>
            </w:r>
          </w:p>
        </w:tc>
        <w:tc>
          <w:tcPr>
            <w:tcW w:w="2400" w:type="dxa"/>
          </w:tcPr>
          <w:p>
            <w:pPr>
              <w:spacing w:after="20" w:line="264" w:lineRule="auto"/>
            </w:pPr>
            <w:r>
              <w:rPr>
                <w:rFonts w:ascii="Calibri" w:hAnsi="Calibri"/>
                <w:color w:val="263238"/>
                <w:sz w:val="18"/>
              </w:rPr>
              <w:t xml:space="preserve">S-1 bundle: 1,150</w:t>
            </w:r>
          </w:p>
        </w:tc>
        <w:tc>
          <w:tcPr>
            <w:tcW w:w="3700" w:type="dxa"/>
          </w:tcPr>
          <w:p>
            <w:pPr>
              <w:spacing w:after="20" w:line="264" w:lineRule="auto"/>
            </w:pPr>
            <w:r>
              <w:rPr>
                <w:rFonts w:ascii="Calibri" w:hAnsi="Calibri"/>
                <w:color w:val="263238"/>
                <w:sz w:val="18"/>
              </w:rPr>
              <w:t xml:space="preserve">Per transit; audited watch cost divided by audited transit volume, plus 10 percent maintenance margin</w:t>
            </w:r>
          </w:p>
        </w:tc>
      </w:tr>
      <w:tr>
        <w:tc>
          <w:tcPr>
            <w:tcW w:w="1400" w:type="dxa"/>
          </w:tcPr>
          <w:p>
            <w:pPr>
              <w:spacing w:after="20" w:line="264" w:lineRule="auto"/>
            </w:pPr>
            <w:r>
              <w:rPr>
                <w:rFonts w:ascii="Calibri" w:hAnsi="Calibri"/>
                <w:color w:val="263238"/>
                <w:sz w:val="18"/>
              </w:rPr>
              <w:t xml:space="preserve">S-2 to S-8 (pool)</w:t>
            </w:r>
          </w:p>
        </w:tc>
        <w:tc>
          <w:tcPr>
            <w:tcW w:w="2000" w:type="dxa"/>
          </w:tcPr>
          <w:p>
            <w:pPr>
              <w:spacing w:after="20" w:line="264" w:lineRule="auto"/>
            </w:pPr>
            <w:r>
              <w:rPr>
                <w:rFonts w:ascii="Calibri" w:hAnsi="Calibri"/>
                <w:color w:val="263238"/>
                <w:sz w:val="18"/>
              </w:rPr>
              <w:t xml:space="preserve">620</w:t>
            </w:r>
          </w:p>
        </w:tc>
        <w:tc>
          <w:tcPr>
            <w:tcW w:w="2400" w:type="dxa"/>
          </w:tcPr>
          <w:p>
            <w:pPr>
              <w:spacing w:after="20" w:line="264" w:lineRule="auto"/>
            </w:pPr>
            <w:r>
              <w:rPr>
                <w:rFonts w:ascii="Calibri" w:hAnsi="Calibri"/>
                <w:color w:val="263238"/>
                <w:sz w:val="18"/>
              </w:rPr>
              <w:t xml:space="preserve">920</w:t>
            </w:r>
          </w:p>
        </w:tc>
        <w:tc>
          <w:tcPr>
            <w:tcW w:w="3700" w:type="dxa"/>
          </w:tcPr>
          <w:p>
            <w:pPr>
              <w:spacing w:after="20" w:line="264" w:lineRule="auto"/>
            </w:pPr>
            <w:r>
              <w:rPr>
                <w:rFonts w:ascii="Calibri" w:hAnsi="Calibri"/>
                <w:color w:val="263238"/>
                <w:sz w:val="18"/>
              </w:rPr>
              <w:t xml:space="preserve">Per transit; pooled costs allocated by gross tonnage band within class</w:t>
            </w:r>
          </w:p>
        </w:tc>
      </w:tr>
      <w:tr>
        <w:tc>
          <w:tcPr>
            <w:tcW w:w="1400" w:type="dxa"/>
          </w:tcPr>
          <w:p>
            <w:pPr>
              <w:spacing w:after="20" w:line="264" w:lineRule="auto"/>
            </w:pPr>
            <w:r>
              <w:rPr>
                <w:rFonts w:ascii="Calibri" w:hAnsi="Calibri"/>
                <w:color w:val="263238"/>
                <w:sz w:val="18"/>
              </w:rPr>
              <w:t xml:space="preserve">S-9</w:t>
            </w:r>
          </w:p>
        </w:tc>
        <w:tc>
          <w:tcPr>
            <w:tcW w:w="2000" w:type="dxa"/>
          </w:tcPr>
          <w:p>
            <w:pPr>
              <w:spacing w:after="20" w:line="264" w:lineRule="auto"/>
            </w:pPr>
            <w:r>
              <w:rPr>
                <w:rFonts w:ascii="Calibri" w:hAnsi="Calibri"/>
                <w:color w:val="263238"/>
                <w:sz w:val="18"/>
              </w:rPr>
              <w:t xml:space="preserve">28,000 per window</w:t>
            </w:r>
          </w:p>
        </w:tc>
        <w:tc>
          <w:tcPr>
            <w:tcW w:w="2400" w:type="dxa"/>
          </w:tcPr>
          <w:p>
            <w:pPr>
              <w:spacing w:after="20" w:line="264" w:lineRule="auto"/>
            </w:pPr>
            <w:r>
              <w:rPr>
                <w:rFonts w:ascii="Calibri" w:hAnsi="Calibri"/>
                <w:color w:val="263238"/>
                <w:sz w:val="18"/>
              </w:rPr>
              <w:t xml:space="preserve">28,000 per window</w:t>
            </w:r>
          </w:p>
        </w:tc>
        <w:tc>
          <w:tcPr>
            <w:tcW w:w="3700" w:type="dxa"/>
          </w:tcPr>
          <w:p>
            <w:pPr>
              <w:spacing w:after="20" w:line="264" w:lineRule="auto"/>
            </w:pPr>
            <w:r>
              <w:rPr>
                <w:rFonts w:ascii="Calibri" w:hAnsi="Calibri"/>
                <w:color w:val="263238"/>
                <w:sz w:val="18"/>
              </w:rPr>
              <w:t xml:space="preserve">Per vessel per window; covers escort asset time and dedicated watch; capped at 20 percent of the Fund's annual service revenue</w:t>
            </w:r>
          </w:p>
        </w:tc>
      </w:tr>
      <w:tr>
        <w:tc>
          <w:tcPr>
            <w:tcW w:w="1400" w:type="dxa"/>
          </w:tcPr>
          <w:p>
            <w:pPr>
              <w:spacing w:after="20" w:line="264" w:lineRule="auto"/>
            </w:pPr>
            <w:r>
              <w:rPr>
                <w:rFonts w:ascii="Calibri" w:hAnsi="Calibri"/>
                <w:color w:val="263238"/>
                <w:sz w:val="18"/>
              </w:rPr>
              <w:t xml:space="preserve">S-10</w:t>
            </w:r>
          </w:p>
        </w:tc>
        <w:tc>
          <w:tcPr>
            <w:tcW w:w="2000" w:type="dxa"/>
          </w:tcPr>
          <w:p>
            <w:pPr>
              <w:spacing w:after="20" w:line="264" w:lineRule="auto"/>
            </w:pPr>
            <w:r>
              <w:rPr>
                <w:rFonts w:ascii="Calibri" w:hAnsi="Calibri"/>
                <w:color w:val="263238"/>
                <w:sz w:val="18"/>
              </w:rPr>
              <w:t xml:space="preserve">9,500</w:t>
            </w:r>
          </w:p>
        </w:tc>
        <w:tc>
          <w:tcPr>
            <w:tcW w:w="2400" w:type="dxa"/>
          </w:tcPr>
          <w:p>
            <w:pPr>
              <w:spacing w:after="20" w:line="264" w:lineRule="auto"/>
            </w:pPr>
            <w:r>
              <w:rPr>
                <w:rFonts w:ascii="Calibri" w:hAnsi="Calibri"/>
                <w:color w:val="263238"/>
                <w:sz w:val="18"/>
              </w:rPr>
              <w:t xml:space="preserve">14,000</w:t>
            </w:r>
          </w:p>
        </w:tc>
        <w:tc>
          <w:tcPr>
            <w:tcW w:w="3700" w:type="dxa"/>
          </w:tcPr>
          <w:p>
            <w:pPr>
              <w:spacing w:after="20" w:line="264" w:lineRule="auto"/>
            </w:pPr>
            <w:r>
              <w:rPr>
                <w:rFonts w:ascii="Calibri" w:hAnsi="Calibri"/>
                <w:color w:val="263238"/>
                <w:sz w:val="18"/>
              </w:rPr>
              <w:t xml:space="preserve">Per service, on request only, at precautionary area rates</w:t>
            </w:r>
          </w:p>
        </w:tc>
      </w:tr>
      <w:tr>
        <w:tc>
          <w:tcPr>
            <w:tcW w:w="1400" w:type="dxa"/>
          </w:tcPr>
          <w:p>
            <w:pPr>
              <w:spacing w:after="20" w:line="264" w:lineRule="auto"/>
            </w:pPr>
            <w:r>
              <w:rPr>
                <w:rFonts w:ascii="Calibri" w:hAnsi="Calibri"/>
                <w:color w:val="263238"/>
                <w:sz w:val="18"/>
              </w:rPr>
              <w:t xml:space="preserve">Full transit total</w:t>
            </w:r>
          </w:p>
        </w:tc>
        <w:tc>
          <w:tcPr>
            <w:tcW w:w="2000" w:type="dxa"/>
          </w:tcPr>
          <w:p>
            <w:pPr>
              <w:spacing w:after="20" w:line="264" w:lineRule="auto"/>
            </w:pPr>
            <w:r>
              <w:rPr>
                <w:rFonts w:ascii="Calibri" w:hAnsi="Calibri"/>
                <w:color w:val="263238"/>
                <w:sz w:val="18"/>
              </w:rPr>
              <w:t xml:space="preserve">1,400</w:t>
            </w:r>
          </w:p>
        </w:tc>
        <w:tc>
          <w:tcPr>
            <w:tcW w:w="2400" w:type="dxa"/>
          </w:tcPr>
          <w:p>
            <w:pPr>
              <w:spacing w:after="20" w:line="264" w:lineRule="auto"/>
            </w:pPr>
            <w:r>
              <w:rPr>
                <w:rFonts w:ascii="Calibri" w:hAnsi="Calibri"/>
                <w:color w:val="263238"/>
                <w:sz w:val="18"/>
              </w:rPr>
              <w:t xml:space="preserve">2,070</w:t>
            </w:r>
          </w:p>
        </w:tc>
        <w:tc>
          <w:tcPr>
            <w:tcW w:w="3700" w:type="dxa"/>
          </w:tcPr>
          <w:p>
            <w:pPr>
              <w:spacing w:after="20" w:line="264" w:lineRule="auto"/>
            </w:pPr>
            <w:r>
              <w:rPr>
                <w:rFonts w:ascii="Calibri" w:hAnsi="Calibri"/>
                <w:color w:val="263238"/>
                <w:sz w:val="18"/>
              </w:rPr>
              <w:t xml:space="preserve">Sum of S-1 and pool lines for a standard transit; V-3 vessels: zero, always</w:t>
            </w:r>
          </w:p>
        </w:tc>
      </w:tr>
    </w:tbl>
    <w:p>
      <w:pPr>
        <w:spacing w:after="160"/>
      </w:pPr>
    </w:p>
    <w:p>
      <w:pPr>
        <w:jc w:val="both"/>
      </w:pPr>
      <w:r>
        <w:rPr/>
        <w:t xml:space="preserve">The steady-state rate card targets total annual service revenue in the range of 55 to 75 million dollars at restored traffic volumes of 75 to 90 transits per day, a figure the Stakeholder Panel reviews against the Malacca comparator and against the crisis-era extraction, which exceeded that range by a large multiple. The card deliberately prices services below the wartime extraction, because the architecture competes for voluntary participation on value.</w:t>
      </w:r>
    </w:p>
    <w:p>
      <w:pPr>
        <w:pStyle w:val="Heading2"/>
      </w:pPr>
      <w:bookmarkStart w:id="170" w:name="_Toc261100070"/>
      <w:r>
        <w:rPr>
          <w:rFonts w:ascii="Calibri" w:hAnsi="Calibri"/>
        </w:rPr>
        <w:t xml:space="preserve">B.4 Cost Basis and Annual Review</w:t>
      </w:r>
      <w:bookmarkEnd w:id="170"/>
    </w:p>
    <w:p>
      <w:pPr>
        <w:jc w:val="both"/>
      </w:pPr>
      <w:r>
        <w:rPr/>
        <w:t xml:space="preserve">Each October, the Secretariat publishes the cost basis of every line: the audited cost of performance, the audited volume, the margin computation, and the resulting rate. The Stakeholder Panel holds a 30-day comment window, and the Bridge Commission adopts the final card by paired vote. A rate that lacks its published cost basis does not take effect; the prior rate continues under the default continuity rule.</w:t>
      </w:r>
    </w:p>
    <w:p>
      <w:pPr>
        <w:pStyle w:val="Heading2"/>
      </w:pPr>
      <w:bookmarkStart w:id="171" w:name="_Toc261100071"/>
      <w:r>
        <w:rPr>
          <w:rFonts w:ascii="Calibri" w:hAnsi="Calibri"/>
        </w:rPr>
        <w:t xml:space="preserve">B.5 The Route Assurance Data Service</w:t>
      </w:r>
      <w:bookmarkEnd w:id="171"/>
    </w:p>
    <w:p>
      <w:pPr>
        <w:jc w:val="both"/>
      </w:pPr>
      <w:r>
        <w:rPr/>
        <w:t xml:space="preserve">Contributing operators receive the Route Assurance Data Service: a subscription data product containing the fused picture extract for their vessels' transit windows, the certification status of every corridor sector, the 72-hour hazard outlook, the congestion forecast, and the post-transit adherence certificate that operators file with their insurers. The service wraps contribution in commercial value: it gives the insurer-verifiable documentation that directly supports lower war-risk premiums, and its post-transit certificate becomes the industry's proof of safe passage. The subscription carries no passage function whatsoever; it documents passage, it never conditions it.</w:t>
      </w:r>
    </w:p>
    <w:p>
      <w:pPr>
        <w:pStyle w:val="Heading2"/>
      </w:pPr>
      <w:bookmarkStart w:id="172" w:name="_Toc261100072"/>
      <w:r>
        <w:rPr>
          <w:rFonts w:ascii="Calibri" w:hAnsi="Calibri"/>
        </w:rPr>
        <w:t xml:space="preserve">B.6 The Development Windows</w:t>
      </w:r>
      <w:bookmarkEnd w:id="172"/>
    </w:p>
    <w:p>
      <w:pPr>
        <w:jc w:val="both"/>
      </w:pPr>
      <w:r>
        <w:rPr/>
        <w:t xml:space="preserve">The Fund administers six development windows, financed by the grants of acceding states, Endorsing Stakeholders, and user states, and by the development margin of the contribution schedule. The windows deliver visible, balanced benefit to the coastal provinces of both littorals, in implementation of IPR-20, and they connect to the broader reconstruction understanding of the comprehensive settlement without depending on it.</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1700"/>
        <w:gridCol w:w="3300"/>
        <w:gridCol w:w="4500"/>
      </w:tblGrid>
      <w:tr>
        <w:trPr>
          <w:tblHeader/>
        </w:trPr>
        <w:tc>
          <w:tcPr>
            <w:tcW w:w="1700" w:type="dxa"/>
            <w:shd w:val="clear" w:fill="E8EDF1"/>
          </w:tcPr>
          <w:p>
            <w:pPr>
              <w:spacing w:after="20" w:line="264" w:lineRule="auto"/>
            </w:pPr>
            <w:r>
              <w:rPr>
                <w:rFonts w:ascii="Calibri" w:hAnsi="Calibri"/>
                <w:b/>
                <w:color w:val="2E4A62"/>
                <w:sz w:val="18"/>
              </w:rPr>
              <w:t xml:space="preserve">Window</w:t>
            </w:r>
          </w:p>
        </w:tc>
        <w:tc>
          <w:tcPr>
            <w:tcW w:w="3300" w:type="dxa"/>
            <w:shd w:val="clear" w:fill="E8EDF1"/>
          </w:tcPr>
          <w:p>
            <w:pPr>
              <w:spacing w:after="20" w:line="264" w:lineRule="auto"/>
            </w:pPr>
            <w:r>
              <w:rPr>
                <w:rFonts w:ascii="Calibri" w:hAnsi="Calibri"/>
                <w:b/>
                <w:color w:val="2E4A62"/>
                <w:sz w:val="18"/>
              </w:rPr>
              <w:t xml:space="preserve">Purpose</w:t>
            </w:r>
          </w:p>
        </w:tc>
        <w:tc>
          <w:tcPr>
            <w:tcW w:w="4500" w:type="dxa"/>
            <w:shd w:val="clear" w:fill="E8EDF1"/>
          </w:tcPr>
          <w:p>
            <w:pPr>
              <w:spacing w:after="20" w:line="264" w:lineRule="auto"/>
            </w:pPr>
            <w:r>
              <w:rPr>
                <w:rFonts w:ascii="Calibri" w:hAnsi="Calibri"/>
                <w:b/>
                <w:color w:val="2E4A62"/>
                <w:sz w:val="18"/>
              </w:rPr>
              <w:t xml:space="preserve">Selection criteria</w:t>
            </w:r>
          </w:p>
        </w:tc>
      </w:tr>
      <w:tr>
        <w:tc>
          <w:tcPr>
            <w:tcW w:w="1700" w:type="dxa"/>
          </w:tcPr>
          <w:p>
            <w:pPr>
              <w:spacing w:after="20" w:line="264" w:lineRule="auto"/>
            </w:pPr>
            <w:r>
              <w:rPr>
                <w:rFonts w:ascii="Calibri" w:hAnsi="Calibri"/>
                <w:color w:val="263238"/>
                <w:sz w:val="18"/>
              </w:rPr>
              <w:t xml:space="preserve">W-1 Ports and harbors</w:t>
            </w:r>
          </w:p>
        </w:tc>
        <w:tc>
          <w:tcPr>
            <w:tcW w:w="3300" w:type="dxa"/>
          </w:tcPr>
          <w:p>
            <w:pPr>
              <w:spacing w:after="20" w:line="264" w:lineRule="auto"/>
            </w:pPr>
            <w:r>
              <w:rPr>
                <w:rFonts w:ascii="Calibri" w:hAnsi="Calibri"/>
                <w:color w:val="263238"/>
                <w:sz w:val="18"/>
              </w:rPr>
              <w:t xml:space="preserve">Upgrades to coastal port infrastructure in both littorals, including Chabahar, Bandar Abbas, Khasab, and Sohar approaches</w:t>
            </w:r>
          </w:p>
        </w:tc>
        <w:tc>
          <w:tcPr>
            <w:tcW w:w="4500" w:type="dxa"/>
          </w:tcPr>
          <w:p>
            <w:pPr>
              <w:spacing w:after="20" w:line="264" w:lineRule="auto"/>
            </w:pPr>
            <w:r>
              <w:rPr>
                <w:rFonts w:ascii="Calibri" w:hAnsi="Calibri"/>
                <w:color w:val="263238"/>
                <w:sz w:val="18"/>
              </w:rPr>
              <w:t xml:space="preserve">Traffic impact, safety dividend, provincial employment</w:t>
            </w:r>
          </w:p>
        </w:tc>
      </w:tr>
      <w:tr>
        <w:tc>
          <w:tcPr>
            <w:tcW w:w="1700" w:type="dxa"/>
          </w:tcPr>
          <w:p>
            <w:pPr>
              <w:spacing w:after="20" w:line="264" w:lineRule="auto"/>
            </w:pPr>
            <w:r>
              <w:rPr>
                <w:rFonts w:ascii="Calibri" w:hAnsi="Calibri"/>
                <w:color w:val="263238"/>
                <w:sz w:val="18"/>
              </w:rPr>
              <w:t xml:space="preserve">W-2 Aids and hydrography</w:t>
            </w:r>
          </w:p>
        </w:tc>
        <w:tc>
          <w:tcPr>
            <w:tcW w:w="3300" w:type="dxa"/>
          </w:tcPr>
          <w:p>
            <w:pPr>
              <w:spacing w:after="20" w:line="264" w:lineRule="auto"/>
            </w:pPr>
            <w:r>
              <w:rPr>
                <w:rFonts w:ascii="Calibri" w:hAnsi="Calibri"/>
                <w:color w:val="263238"/>
                <w:sz w:val="18"/>
              </w:rPr>
              <w:t xml:space="preserve">Modernization of aids to navigation and hydrographic capacity beyond the corridor minimum</w:t>
            </w:r>
          </w:p>
        </w:tc>
        <w:tc>
          <w:tcPr>
            <w:tcW w:w="4500" w:type="dxa"/>
          </w:tcPr>
          <w:p>
            <w:pPr>
              <w:spacing w:after="20" w:line="264" w:lineRule="auto"/>
            </w:pPr>
            <w:r>
              <w:rPr>
                <w:rFonts w:ascii="Calibri" w:hAnsi="Calibri"/>
                <w:color w:val="263238"/>
                <w:sz w:val="18"/>
              </w:rPr>
              <w:t xml:space="preserve">Measured safety effect per dollar</w:t>
            </w:r>
          </w:p>
        </w:tc>
      </w:tr>
      <w:tr>
        <w:tc>
          <w:tcPr>
            <w:tcW w:w="1700" w:type="dxa"/>
          </w:tcPr>
          <w:p>
            <w:pPr>
              <w:spacing w:after="20" w:line="264" w:lineRule="auto"/>
            </w:pPr>
            <w:r>
              <w:rPr>
                <w:rFonts w:ascii="Calibri" w:hAnsi="Calibri"/>
                <w:color w:val="263238"/>
                <w:sz w:val="18"/>
              </w:rPr>
              <w:t xml:space="preserve">W-3 Environment</w:t>
            </w:r>
          </w:p>
        </w:tc>
        <w:tc>
          <w:tcPr>
            <w:tcW w:w="3300" w:type="dxa"/>
          </w:tcPr>
          <w:p>
            <w:pPr>
              <w:spacing w:after="20" w:line="264" w:lineRule="auto"/>
            </w:pPr>
            <w:r>
              <w:rPr>
                <w:rFonts w:ascii="Calibri" w:hAnsi="Calibri"/>
                <w:color w:val="263238"/>
                <w:sz w:val="18"/>
              </w:rPr>
              <w:t xml:space="preserve">Oil spill response capacity, ballast and waste reception, coastal habitat protection</w:t>
            </w:r>
          </w:p>
        </w:tc>
        <w:tc>
          <w:tcPr>
            <w:tcW w:w="4500" w:type="dxa"/>
          </w:tcPr>
          <w:p>
            <w:pPr>
              <w:spacing w:after="20" w:line="264" w:lineRule="auto"/>
            </w:pPr>
            <w:r>
              <w:rPr>
                <w:rFonts w:ascii="Calibri" w:hAnsi="Calibri"/>
                <w:color w:val="263238"/>
                <w:sz w:val="18"/>
              </w:rPr>
              <w:t xml:space="preserve">Environmental risk reduction, cross-littoral benefit</w:t>
            </w:r>
          </w:p>
        </w:tc>
      </w:tr>
      <w:tr>
        <w:tc>
          <w:tcPr>
            <w:tcW w:w="1700" w:type="dxa"/>
          </w:tcPr>
          <w:p>
            <w:pPr>
              <w:spacing w:after="20" w:line="264" w:lineRule="auto"/>
            </w:pPr>
            <w:r>
              <w:rPr>
                <w:rFonts w:ascii="Calibri" w:hAnsi="Calibri"/>
                <w:color w:val="263238"/>
                <w:sz w:val="18"/>
              </w:rPr>
              <w:t xml:space="preserve">W-4 Mariner training</w:t>
            </w:r>
          </w:p>
        </w:tc>
        <w:tc>
          <w:tcPr>
            <w:tcW w:w="3300" w:type="dxa"/>
          </w:tcPr>
          <w:p>
            <w:pPr>
              <w:spacing w:after="20" w:line="264" w:lineRule="auto"/>
            </w:pPr>
            <w:r>
              <w:rPr>
                <w:rFonts w:ascii="Calibri" w:hAnsi="Calibri"/>
                <w:color w:val="263238"/>
                <w:sz w:val="18"/>
              </w:rPr>
              <w:t xml:space="preserve">Maritime academies and simulator centers in both littorals</w:t>
            </w:r>
          </w:p>
        </w:tc>
        <w:tc>
          <w:tcPr>
            <w:tcW w:w="4500" w:type="dxa"/>
          </w:tcPr>
          <w:p>
            <w:pPr>
              <w:spacing w:after="20" w:line="264" w:lineRule="auto"/>
            </w:pPr>
            <w:r>
              <w:rPr>
                <w:rFonts w:ascii="Calibri" w:hAnsi="Calibri"/>
                <w:color w:val="263238"/>
                <w:sz w:val="18"/>
              </w:rPr>
              <w:t xml:space="preserve">Enrollment, regional access, industry partnership</w:t>
            </w:r>
          </w:p>
        </w:tc>
      </w:tr>
      <w:tr>
        <w:tc>
          <w:tcPr>
            <w:tcW w:w="1700" w:type="dxa"/>
          </w:tcPr>
          <w:p>
            <w:pPr>
              <w:spacing w:after="20" w:line="264" w:lineRule="auto"/>
            </w:pPr>
            <w:r>
              <w:rPr>
                <w:rFonts w:ascii="Calibri" w:hAnsi="Calibri"/>
                <w:color w:val="263238"/>
                <w:sz w:val="18"/>
              </w:rPr>
              <w:t xml:space="preserve">W-5 Coastal energy</w:t>
            </w:r>
          </w:p>
        </w:tc>
        <w:tc>
          <w:tcPr>
            <w:tcW w:w="3300" w:type="dxa"/>
          </w:tcPr>
          <w:p>
            <w:pPr>
              <w:spacing w:after="20" w:line="264" w:lineRule="auto"/>
            </w:pPr>
            <w:r>
              <w:rPr>
                <w:rFonts w:ascii="Calibri" w:hAnsi="Calibri"/>
                <w:color w:val="263238"/>
                <w:sz w:val="18"/>
              </w:rPr>
              <w:t xml:space="preserve">Solar and efficiency projects in the coastal provinces</w:t>
            </w:r>
          </w:p>
        </w:tc>
        <w:tc>
          <w:tcPr>
            <w:tcW w:w="4500" w:type="dxa"/>
          </w:tcPr>
          <w:p>
            <w:pPr>
              <w:spacing w:after="20" w:line="264" w:lineRule="auto"/>
            </w:pPr>
            <w:r>
              <w:rPr>
                <w:rFonts w:ascii="Calibri" w:hAnsi="Calibri"/>
                <w:color w:val="263238"/>
                <w:sz w:val="18"/>
              </w:rPr>
              <w:t xml:space="preserve">Emissions reduction, grid effect, visibility to residents</w:t>
            </w:r>
          </w:p>
        </w:tc>
      </w:tr>
      <w:tr>
        <w:tc>
          <w:tcPr>
            <w:tcW w:w="1700" w:type="dxa"/>
          </w:tcPr>
          <w:p>
            <w:pPr>
              <w:spacing w:after="20" w:line="264" w:lineRule="auto"/>
            </w:pPr>
            <w:r>
              <w:rPr>
                <w:rFonts w:ascii="Calibri" w:hAnsi="Calibri"/>
                <w:color w:val="263238"/>
                <w:sz w:val="18"/>
              </w:rPr>
              <w:t xml:space="preserve">W-6 Fisheries and local craft</w:t>
            </w:r>
          </w:p>
        </w:tc>
        <w:tc>
          <w:tcPr>
            <w:tcW w:w="3300" w:type="dxa"/>
          </w:tcPr>
          <w:p>
            <w:pPr>
              <w:spacing w:after="20" w:line="264" w:lineRule="auto"/>
            </w:pPr>
            <w:r>
              <w:rPr>
                <w:rFonts w:ascii="Calibri" w:hAnsi="Calibri"/>
                <w:color w:val="263238"/>
                <w:sz w:val="18"/>
              </w:rPr>
              <w:t xml:space="preserve">Safety equipment and landing facilities for the V-5 fleet</w:t>
            </w:r>
          </w:p>
        </w:tc>
        <w:tc>
          <w:tcPr>
            <w:tcW w:w="4500" w:type="dxa"/>
          </w:tcPr>
          <w:p>
            <w:pPr>
              <w:spacing w:after="20" w:line="264" w:lineRule="auto"/>
            </w:pPr>
            <w:r>
              <w:rPr>
                <w:rFonts w:ascii="Calibri" w:hAnsi="Calibri"/>
                <w:color w:val="263238"/>
                <w:sz w:val="18"/>
              </w:rPr>
              <w:t xml:space="preserve">Direct benefit to the local craft communities of both shores</w:t>
            </w:r>
          </w:p>
        </w:tc>
      </w:tr>
    </w:tbl>
    <w:p>
      <w:pPr>
        <w:spacing w:after="160"/>
      </w:pPr>
    </w:p>
    <w:p>
      <w:pPr>
        <w:jc w:val="both"/>
      </w:pPr>
      <w:r>
        <w:rPr/>
        <w:t xml:space="preserve">Window projects select by the Bridge Commission on the Neutral Administrator's ranked list, disburse through the firewall, and publish every grant, contractor, and result. The balance rule applies: over every rolling three-year period, the two littorals' provincial benefit shares track their service shares within a 60 to 40 band, so that development reads as shared prosperity rather than as payment to one shore.</w:t>
      </w:r>
    </w:p>
    <w:p>
      <w:pPr>
        <w:pStyle w:val="Heading2"/>
      </w:pPr>
      <w:bookmarkStart w:id="173" w:name="_Toc261100073"/>
      <w:r>
        <w:rPr>
          <w:rFonts w:ascii="Calibri" w:hAnsi="Calibri"/>
        </w:rPr>
        <w:t xml:space="preserve">B.7 Pilot Rate Schedule</w:t>
      </w:r>
      <w:bookmarkEnd w:id="173"/>
    </w:p>
    <w:p>
      <w:pPr>
        <w:jc w:val="both"/>
      </w:pPr>
      <w:r>
        <w:rPr/>
        <w:t xml:space="preserve">During Phases 3 through 5, the rate card applies at 50 percent: the standard V-1 transit total stands at 700 dollars, the V-2 total at 1,035 dollars, convoy windows at 14,000 dollars, and S-10 services at half the precautionary rates. The pilot pricing embodies the first-mover logic: the operators who restore traffic earliest pay the least, and their adherence certificates build the evidence base that brings the rest of the market back.</w:t>
      </w:r>
    </w:p>
    <w:p>
      <w:pPr>
        <w:pStyle w:val="Heading1"/>
        <w:pageBreakBefore/>
        <w:pBdr>
          <w:bottom w:val="single" w:color="B9C6CF" w:sz="6" w:space="4"/>
        </w:pBdr>
      </w:pPr>
      <w:bookmarkStart w:id="174" w:name="_Toc261100074"/>
      <w:r>
        <w:rPr>
          <w:rFonts w:ascii="Calibri" w:hAnsi="Calibri"/>
        </w:rPr>
        <w:t xml:space="preserve">Annex C: The Voluntary Contribution Facility Charter</w:t>
      </w:r>
      <w:bookmarkEnd w:id="174"/>
    </w:p>
    <w:p>
      <w:pPr>
        <w:jc w:val="both"/>
      </w:pPr>
      <w:r>
        <w:rPr/>
        <w:t xml:space="preserve">This Annex constitutes the charter of the Hormuz Maritime Services Fund and states the suggested contribution schedule, the heavy-user cap, the green discount, the Fund's governance, and the Authority budget. The Fund operates under the Malacca principle of Article 27.2: contributions are voluntary, never a condition of passage, and never collected at the point of passage.</w:t>
      </w:r>
    </w:p>
    <w:p>
      <w:pPr>
        <w:pStyle w:val="Heading2"/>
      </w:pPr>
      <w:bookmarkStart w:id="175" w:name="_Toc261100075"/>
      <w:r>
        <w:rPr>
          <w:rFonts w:ascii="Calibri" w:hAnsi="Calibri"/>
        </w:rPr>
        <w:t xml:space="preserve">C.1 Legal Form and Administration</w:t>
      </w:r>
      <w:bookmarkEnd w:id="175"/>
    </w:p>
    <w:p>
      <w:pPr>
        <w:jc w:val="both"/>
      </w:pPr>
      <w:r>
        <w:rPr/>
        <w:t xml:space="preserve">The Fund exists as a dedicated multilateral facility administered by the Neutral Administrator under a facility charter lodged with the Depositary. The Neutral Administrator holds the Fund's accounts in the Hormuz Account structure of Annex D, keeps the Fund's money legally separate from every Party's treasury, and administers every receipt and disbursement by rule. The Fund's officers are the Neutral Administrator's appointees, and no official of any Party holds signing power over the Fund.</w:t>
      </w:r>
    </w:p>
    <w:p>
      <w:pPr>
        <w:pStyle w:val="Heading2"/>
      </w:pPr>
      <w:bookmarkStart w:id="176" w:name="_Toc261100076"/>
      <w:r>
        <w:rPr>
          <w:rFonts w:ascii="Calibri" w:hAnsi="Calibri"/>
        </w:rPr>
        <w:t xml:space="preserve">C.2 The Fund's Annual Requirement</w:t>
      </w:r>
      <w:bookmarkEnd w:id="176"/>
    </w:p>
    <w:p>
      <w:pPr>
        <w:jc w:val="both"/>
      </w:pPr>
      <w:r>
        <w:rPr/>
        <w:t xml:space="preserve">The Fund's steady-state annual requirement comprises: (a) the service revenue pool of Annex B, targeted at 55 to 75 million dollars; (b) the Authority budget of Section C.6, at 24 million dollars, of which secondments in kind cover approximately 13 million; (c) the standing survey program, at 9 million dollars; and (d) the development margin, at 10 percent of contribution receipts. The total cash requirement ranges from 60 to 90 million dollars annually, a scale deliberately comparable to the cooperative mechanism of the Strait of Malacca.</w:t>
      </w:r>
    </w:p>
    <w:p>
      <w:pPr>
        <w:pStyle w:val="Heading2"/>
      </w:pPr>
      <w:bookmarkStart w:id="177" w:name="_Toc261100077"/>
      <w:r>
        <w:rPr>
          <w:rFonts w:ascii="Calibri" w:hAnsi="Calibri"/>
        </w:rPr>
        <w:t xml:space="preserve">C.3 The Suggested Contribution Schedule</w:t>
      </w:r>
      <w:bookmarkEnd w:id="177"/>
    </w:p>
    <w:p>
      <w:pPr>
        <w:jc w:val="both"/>
      </w:pPr>
      <w:r>
        <w:rPr/>
        <w:t xml:space="preserve">The schedule below states suggested voluntary contributions by vessel class and trade pattern, computed to meet the annual requirement at restored traffic. A contribution transmits through the port processing channel, the digital channel of Annex D, or annual fleet settlement. No invoice issues against any transit; every contribution acknowledgment issues from the Neutral Administrator, never from a Party.</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2300"/>
        <w:gridCol w:w="2200"/>
        <w:gridCol w:w="5000"/>
      </w:tblGrid>
      <w:tr>
        <w:trPr>
          <w:tblHeader/>
        </w:trPr>
        <w:tc>
          <w:tcPr>
            <w:tcW w:w="2300" w:type="dxa"/>
            <w:shd w:val="clear" w:fill="E8EDF1"/>
          </w:tcPr>
          <w:p>
            <w:pPr>
              <w:spacing w:after="20" w:line="264" w:lineRule="auto"/>
            </w:pPr>
            <w:r>
              <w:rPr>
                <w:rFonts w:ascii="Calibri" w:hAnsi="Calibri"/>
                <w:b/>
                <w:color w:val="2E4A62"/>
                <w:sz w:val="18"/>
              </w:rPr>
              <w:t xml:space="preserve">Vessel class</w:t>
            </w:r>
          </w:p>
        </w:tc>
        <w:tc>
          <w:tcPr>
            <w:tcW w:w="2200" w:type="dxa"/>
            <w:shd w:val="clear" w:fill="E8EDF1"/>
          </w:tcPr>
          <w:p>
            <w:pPr>
              <w:spacing w:after="20" w:line="264" w:lineRule="auto"/>
            </w:pPr>
            <w:r>
              <w:rPr>
                <w:rFonts w:ascii="Calibri" w:hAnsi="Calibri"/>
                <w:b/>
                <w:color w:val="2E4A62"/>
                <w:sz w:val="18"/>
              </w:rPr>
              <w:t xml:space="preserve">Suggested amount</w:t>
            </w:r>
          </w:p>
        </w:tc>
        <w:tc>
          <w:tcPr>
            <w:tcW w:w="5000" w:type="dxa"/>
            <w:shd w:val="clear" w:fill="E8EDF1"/>
          </w:tcPr>
          <w:p>
            <w:pPr>
              <w:spacing w:after="20" w:line="264" w:lineRule="auto"/>
            </w:pPr>
            <w:r>
              <w:rPr>
                <w:rFonts w:ascii="Calibri" w:hAnsi="Calibri"/>
                <w:b/>
                <w:color w:val="2E4A62"/>
                <w:sz w:val="18"/>
              </w:rPr>
              <w:t xml:space="preserve">Note</w:t>
            </w:r>
          </w:p>
        </w:tc>
      </w:tr>
      <w:tr>
        <w:tc>
          <w:tcPr>
            <w:tcW w:w="2300" w:type="dxa"/>
          </w:tcPr>
          <w:p>
            <w:pPr>
              <w:spacing w:after="20" w:line="264" w:lineRule="auto"/>
            </w:pPr>
            <w:r>
              <w:rPr>
                <w:rFonts w:ascii="Calibri" w:hAnsi="Calibri"/>
                <w:color w:val="263238"/>
                <w:sz w:val="18"/>
              </w:rPr>
              <w:t xml:space="preserve">Crude tanker (VLCC class)</w:t>
            </w:r>
          </w:p>
        </w:tc>
        <w:tc>
          <w:tcPr>
            <w:tcW w:w="2200" w:type="dxa"/>
          </w:tcPr>
          <w:p>
            <w:pPr>
              <w:spacing w:after="20" w:line="264" w:lineRule="auto"/>
            </w:pPr>
            <w:r>
              <w:rPr>
                <w:rFonts w:ascii="Calibri" w:hAnsi="Calibri"/>
                <w:color w:val="263238"/>
                <w:sz w:val="18"/>
              </w:rPr>
              <w:t xml:space="preserve">1,800 per transit</w:t>
            </w:r>
          </w:p>
        </w:tc>
        <w:tc>
          <w:tcPr>
            <w:tcW w:w="5000" w:type="dxa"/>
          </w:tcPr>
          <w:p>
            <w:pPr>
              <w:spacing w:after="20" w:line="264" w:lineRule="auto"/>
            </w:pPr>
            <w:r>
              <w:rPr>
                <w:rFonts w:ascii="Calibri" w:hAnsi="Calibri"/>
                <w:color w:val="263238"/>
                <w:sz w:val="18"/>
              </w:rPr>
              <w:t xml:space="preserve">Suggested level restores the pool at 60 to 70 transits per day</w:t>
            </w:r>
          </w:p>
        </w:tc>
      </w:tr>
      <w:tr>
        <w:tc>
          <w:tcPr>
            <w:tcW w:w="2300" w:type="dxa"/>
          </w:tcPr>
          <w:p>
            <w:pPr>
              <w:spacing w:after="20" w:line="264" w:lineRule="auto"/>
            </w:pPr>
            <w:r>
              <w:rPr>
                <w:rFonts w:ascii="Calibri" w:hAnsi="Calibri"/>
                <w:color w:val="263238"/>
                <w:sz w:val="18"/>
              </w:rPr>
              <w:t xml:space="preserve">Product tanker</w:t>
            </w:r>
          </w:p>
        </w:tc>
        <w:tc>
          <w:tcPr>
            <w:tcW w:w="2200" w:type="dxa"/>
          </w:tcPr>
          <w:p>
            <w:pPr>
              <w:spacing w:after="20" w:line="264" w:lineRule="auto"/>
            </w:pPr>
            <w:r>
              <w:rPr>
                <w:rFonts w:ascii="Calibri" w:hAnsi="Calibri"/>
                <w:color w:val="263238"/>
                <w:sz w:val="18"/>
              </w:rPr>
              <w:t xml:space="preserve">1,100 per transit</w:t>
            </w:r>
          </w:p>
        </w:tc>
        <w:tc>
          <w:tcPr>
            <w:tcW w:w="5000" w:type="dxa"/>
          </w:tcPr>
          <w:p>
            <w:pPr>
              <w:spacing w:after="20" w:line="264" w:lineRule="auto"/>
            </w:pPr>
            <w:r>
              <w:rPr>
                <w:rFonts w:ascii="Calibri" w:hAnsi="Calibri"/>
                <w:color w:val="263238"/>
                <w:sz w:val="18"/>
              </w:rPr>
              <w:t xml:space="preserve">Scaled by cargo capacity band</w:t>
            </w:r>
          </w:p>
        </w:tc>
      </w:tr>
      <w:tr>
        <w:tc>
          <w:tcPr>
            <w:tcW w:w="2300" w:type="dxa"/>
          </w:tcPr>
          <w:p>
            <w:pPr>
              <w:spacing w:after="20" w:line="264" w:lineRule="auto"/>
            </w:pPr>
            <w:r>
              <w:rPr>
                <w:rFonts w:ascii="Calibri" w:hAnsi="Calibri"/>
                <w:color w:val="263238"/>
                <w:sz w:val="18"/>
              </w:rPr>
              <w:t xml:space="preserve">LNG carrier</w:t>
            </w:r>
          </w:p>
        </w:tc>
        <w:tc>
          <w:tcPr>
            <w:tcW w:w="2200" w:type="dxa"/>
          </w:tcPr>
          <w:p>
            <w:pPr>
              <w:spacing w:after="20" w:line="264" w:lineRule="auto"/>
            </w:pPr>
            <w:r>
              <w:rPr>
                <w:rFonts w:ascii="Calibri" w:hAnsi="Calibri"/>
                <w:color w:val="263238"/>
                <w:sz w:val="18"/>
              </w:rPr>
              <w:t xml:space="preserve">2,100 per transit</w:t>
            </w:r>
          </w:p>
        </w:tc>
        <w:tc>
          <w:tcPr>
            <w:tcW w:w="5000" w:type="dxa"/>
          </w:tcPr>
          <w:p>
            <w:pPr>
              <w:spacing w:after="20" w:line="264" w:lineRule="auto"/>
            </w:pPr>
            <w:r>
              <w:rPr>
                <w:rFonts w:ascii="Calibri" w:hAnsi="Calibri"/>
                <w:color w:val="263238"/>
                <w:sz w:val="18"/>
              </w:rPr>
              <w:t xml:space="preserve">Reflects the highest assurance value per hull</w:t>
            </w:r>
          </w:p>
        </w:tc>
      </w:tr>
      <w:tr>
        <w:tc>
          <w:tcPr>
            <w:tcW w:w="2300" w:type="dxa"/>
          </w:tcPr>
          <w:p>
            <w:pPr>
              <w:spacing w:after="20" w:line="264" w:lineRule="auto"/>
            </w:pPr>
            <w:r>
              <w:rPr>
                <w:rFonts w:ascii="Calibri" w:hAnsi="Calibri"/>
                <w:color w:val="263238"/>
                <w:sz w:val="18"/>
              </w:rPr>
              <w:t xml:space="preserve">LPG carrier</w:t>
            </w:r>
          </w:p>
        </w:tc>
        <w:tc>
          <w:tcPr>
            <w:tcW w:w="2200" w:type="dxa"/>
          </w:tcPr>
          <w:p>
            <w:pPr>
              <w:spacing w:after="20" w:line="264" w:lineRule="auto"/>
            </w:pPr>
            <w:r>
              <w:rPr>
                <w:rFonts w:ascii="Calibri" w:hAnsi="Calibri"/>
                <w:color w:val="263238"/>
                <w:sz w:val="18"/>
              </w:rPr>
              <w:t xml:space="preserve">1,300 per transit</w:t>
            </w:r>
          </w:p>
        </w:tc>
        <w:tc>
          <w:tcPr>
            <w:tcW w:w="5000" w:type="dxa"/>
          </w:tcPr>
          <w:p>
            <w:pPr>
              <w:spacing w:after="20" w:line="264" w:lineRule="auto"/>
            </w:pPr>
            <w:r>
              <w:rPr>
                <w:rFonts w:ascii="Calibri" w:hAnsi="Calibri"/>
                <w:color w:val="263238"/>
                <w:sz w:val="18"/>
              </w:rPr>
              <w:t xml:space="preserve">Scaled band</w:t>
            </w:r>
          </w:p>
        </w:tc>
      </w:tr>
      <w:tr>
        <w:tc>
          <w:tcPr>
            <w:tcW w:w="2300" w:type="dxa"/>
          </w:tcPr>
          <w:p>
            <w:pPr>
              <w:spacing w:after="20" w:line="264" w:lineRule="auto"/>
            </w:pPr>
            <w:r>
              <w:rPr>
                <w:rFonts w:ascii="Calibri" w:hAnsi="Calibri"/>
                <w:color w:val="263238"/>
                <w:sz w:val="18"/>
              </w:rPr>
              <w:t xml:space="preserve">Container vessel</w:t>
            </w:r>
          </w:p>
        </w:tc>
        <w:tc>
          <w:tcPr>
            <w:tcW w:w="2200" w:type="dxa"/>
          </w:tcPr>
          <w:p>
            <w:pPr>
              <w:spacing w:after="20" w:line="264" w:lineRule="auto"/>
            </w:pPr>
            <w:r>
              <w:rPr>
                <w:rFonts w:ascii="Calibri" w:hAnsi="Calibri"/>
                <w:color w:val="263238"/>
                <w:sz w:val="18"/>
              </w:rPr>
              <w:t xml:space="preserve">950 per transit</w:t>
            </w:r>
          </w:p>
        </w:tc>
        <w:tc>
          <w:tcPr>
            <w:tcW w:w="5000" w:type="dxa"/>
          </w:tcPr>
          <w:p>
            <w:pPr>
              <w:spacing w:after="20" w:line="264" w:lineRule="auto"/>
            </w:pPr>
            <w:r>
              <w:rPr>
                <w:rFonts w:ascii="Calibri" w:hAnsi="Calibri"/>
                <w:color w:val="263238"/>
                <w:sz w:val="18"/>
              </w:rPr>
              <w:t xml:space="preserve">Scaled by capacity band</w:t>
            </w:r>
          </w:p>
        </w:tc>
      </w:tr>
      <w:tr>
        <w:tc>
          <w:tcPr>
            <w:tcW w:w="2300" w:type="dxa"/>
          </w:tcPr>
          <w:p>
            <w:pPr>
              <w:spacing w:after="20" w:line="264" w:lineRule="auto"/>
            </w:pPr>
            <w:r>
              <w:rPr>
                <w:rFonts w:ascii="Calibri" w:hAnsi="Calibri"/>
                <w:color w:val="263238"/>
                <w:sz w:val="18"/>
              </w:rPr>
              <w:t xml:space="preserve">Bulk and general cargo</w:t>
            </w:r>
          </w:p>
        </w:tc>
        <w:tc>
          <w:tcPr>
            <w:tcW w:w="2200" w:type="dxa"/>
          </w:tcPr>
          <w:p>
            <w:pPr>
              <w:spacing w:after="20" w:line="264" w:lineRule="auto"/>
            </w:pPr>
            <w:r>
              <w:rPr>
                <w:rFonts w:ascii="Calibri" w:hAnsi="Calibri"/>
                <w:color w:val="263238"/>
                <w:sz w:val="18"/>
              </w:rPr>
              <w:t xml:space="preserve">700 per transit</w:t>
            </w:r>
          </w:p>
        </w:tc>
        <w:tc>
          <w:tcPr>
            <w:tcW w:w="5000" w:type="dxa"/>
          </w:tcPr>
          <w:p>
            <w:pPr>
              <w:spacing w:after="20" w:line="264" w:lineRule="auto"/>
            </w:pPr>
            <w:r>
              <w:rPr>
                <w:rFonts w:ascii="Calibri" w:hAnsi="Calibri"/>
                <w:color w:val="263238"/>
                <w:sz w:val="18"/>
              </w:rPr>
              <w:t xml:space="preserve">Scaled band</w:t>
            </w:r>
          </w:p>
        </w:tc>
      </w:tr>
      <w:tr>
        <w:tc>
          <w:tcPr>
            <w:tcW w:w="2300" w:type="dxa"/>
          </w:tcPr>
          <w:p>
            <w:pPr>
              <w:spacing w:after="20" w:line="264" w:lineRule="auto"/>
            </w:pPr>
            <w:r>
              <w:rPr>
                <w:rFonts w:ascii="Calibri" w:hAnsi="Calibri"/>
                <w:color w:val="263238"/>
                <w:sz w:val="18"/>
              </w:rPr>
              <w:t xml:space="preserve">V-3 humanitarian</w:t>
            </w:r>
          </w:p>
        </w:tc>
        <w:tc>
          <w:tcPr>
            <w:tcW w:w="2200" w:type="dxa"/>
          </w:tcPr>
          <w:p>
            <w:pPr>
              <w:spacing w:after="20" w:line="264" w:lineRule="auto"/>
            </w:pPr>
            <w:r>
              <w:rPr>
                <w:rFonts w:ascii="Calibri" w:hAnsi="Calibri"/>
                <w:color w:val="263238"/>
                <w:sz w:val="18"/>
              </w:rPr>
              <w:t xml:space="preserve">Zero, always</w:t>
            </w:r>
          </w:p>
        </w:tc>
        <w:tc>
          <w:tcPr>
            <w:tcW w:w="5000" w:type="dxa"/>
          </w:tcPr>
          <w:p>
            <w:pPr>
              <w:spacing w:after="20" w:line="264" w:lineRule="auto"/>
            </w:pPr>
            <w:r>
              <w:rPr>
                <w:rFonts w:ascii="Calibri" w:hAnsi="Calibri"/>
                <w:color w:val="263238"/>
                <w:sz w:val="18"/>
              </w:rPr>
              <w:t xml:space="preserve">IPR-10: no financial interaction of any kind</w:t>
            </w:r>
          </w:p>
        </w:tc>
      </w:tr>
      <w:tr>
        <w:tc>
          <w:tcPr>
            <w:tcW w:w="2300" w:type="dxa"/>
          </w:tcPr>
          <w:p>
            <w:pPr>
              <w:spacing w:after="20" w:line="264" w:lineRule="auto"/>
            </w:pPr>
            <w:r>
              <w:rPr>
                <w:rFonts w:ascii="Calibri" w:hAnsi="Calibri"/>
                <w:color w:val="263238"/>
                <w:sz w:val="18"/>
              </w:rPr>
              <w:t xml:space="preserve">V-4 state</w:t>
            </w:r>
          </w:p>
        </w:tc>
        <w:tc>
          <w:tcPr>
            <w:tcW w:w="2200" w:type="dxa"/>
          </w:tcPr>
          <w:p>
            <w:pPr>
              <w:spacing w:after="20" w:line="264" w:lineRule="auto"/>
            </w:pPr>
            <w:r>
              <w:rPr>
                <w:rFonts w:ascii="Calibri" w:hAnsi="Calibri"/>
                <w:color w:val="263238"/>
                <w:sz w:val="18"/>
              </w:rPr>
              <w:t xml:space="preserve">Zero</w:t>
            </w:r>
          </w:p>
        </w:tc>
        <w:tc>
          <w:tcPr>
            <w:tcW w:w="5000" w:type="dxa"/>
          </w:tcPr>
          <w:p>
            <w:pPr>
              <w:spacing w:after="20" w:line="264" w:lineRule="auto"/>
            </w:pPr>
            <w:r>
              <w:rPr>
                <w:rFonts w:ascii="Calibri" w:hAnsi="Calibri"/>
                <w:color w:val="263238"/>
                <w:sz w:val="18"/>
              </w:rPr>
              <w:t xml:space="preserve">State vessels stand outside the contribution system</w:t>
            </w:r>
          </w:p>
        </w:tc>
      </w:tr>
    </w:tbl>
    <w:p>
      <w:pPr>
        <w:spacing w:after="160"/>
      </w:pPr>
    </w:p>
    <w:p>
      <w:pPr>
        <w:jc w:val="both"/>
      </w:pPr>
      <w:r>
        <w:rPr/>
        <w:t xml:space="preserve">User states contribute on the voluntary state schedule: energy-importing states at suggested levels computed per barrel-equivalent of their Hormuz-sourced imports, and acceding Gulf states anchor the development windows with the grants of Annex B, Section B.6. Every state contribution publishes, and none purchases governance rights under Article 27.6.</w:t>
      </w:r>
    </w:p>
    <w:p>
      <w:pPr>
        <w:pStyle w:val="Heading2"/>
      </w:pPr>
      <w:bookmarkStart w:id="178" w:name="_Toc261100078"/>
      <w:r>
        <w:rPr>
          <w:rFonts w:ascii="Calibri" w:hAnsi="Calibri"/>
        </w:rPr>
        <w:t xml:space="preserve">C.4 The Heavy-User Cap</w:t>
      </w:r>
      <w:bookmarkEnd w:id="178"/>
    </w:p>
    <w:p>
      <w:pPr>
        <w:jc w:val="both"/>
      </w:pPr>
      <w:r>
        <w:rPr/>
        <w:t xml:space="preserve">No operator group's aggregate contributions and service charges exceed the heavy-user cap in any calendar year. The cap computes as: 2,400,000 dollars per operator group, or 0.35 percent of the group's audited Hormuz-trade freight value, whichever is lower. The Neutral Administrator tracks every group's aggregate continuously, notifies the group at 80 percent of its cap, and refunds or credits any excess within 30 days of the year's audit. The cap guarantees the largest fleets complete predictability: their maximum annual cost of the entire architecture is a known, budgetable figure, smaller than a single week of crisis-era war-risk premiums.</w:t>
      </w:r>
    </w:p>
    <w:p>
      <w:pPr>
        <w:pStyle w:val="Heading2"/>
      </w:pPr>
      <w:bookmarkStart w:id="179" w:name="_Toc261100079"/>
      <w:r>
        <w:rPr>
          <w:rFonts w:ascii="Calibri" w:hAnsi="Calibri"/>
        </w:rPr>
        <w:t xml:space="preserve">C.5 The Green Discount and the Early-Adopter Credit</w:t>
      </w:r>
      <w:bookmarkEnd w:id="179"/>
    </w:p>
    <w:p>
      <w:pPr>
        <w:jc w:val="both"/>
      </w:pPr>
      <w:r>
        <w:rPr/>
        <w:t xml:space="preserve">A vessel certified to the emissions standard of Section C.5.1 receives a 15 percent discount on its suggested contribution level and on convoy window charges. The standard requires: verified use of a compliant low-emission fuel or abatement technology within the Governance Area, continuous automatic identification system transmission, and a clean environmental record for the trailing twelve months. The discount aligns the contribution system with the environmental principles of IPR-18 and rewards the operators who reduce the Strait's ecological load. During the pilot phase, early-adopter operators receive an additional 10 percent credit against their first-year contributions, bankable against year two, implementing the first-mover bonus logic of the negotiating record.</w:t>
      </w:r>
    </w:p>
    <w:p>
      <w:pPr>
        <w:pStyle w:val="Heading2"/>
      </w:pPr>
      <w:bookmarkStart w:id="180" w:name="_Toc261100080"/>
      <w:r>
        <w:rPr>
          <w:rFonts w:ascii="Calibri" w:hAnsi="Calibri"/>
        </w:rPr>
        <w:t xml:space="preserve">C.6 The Authority Budget</w:t>
      </w:r>
      <w:bookmarkEnd w:id="180"/>
    </w:p>
    <w:p>
      <w:pPr>
        <w:jc w:val="both"/>
      </w:pPr>
      <w:r>
        <w:rPr/>
        <w:t xml:space="preserve">The Authority operates on the following baseline annual budget, published line by line and audited under Article 29.1. Figures state in millions of dollars.</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4200"/>
        <w:gridCol w:w="1800"/>
        <w:gridCol w:w="3500"/>
      </w:tblGrid>
      <w:tr>
        <w:trPr>
          <w:tblHeader/>
        </w:trPr>
        <w:tc>
          <w:tcPr>
            <w:tcW w:w="4200" w:type="dxa"/>
            <w:shd w:val="clear" w:fill="E8EDF1"/>
          </w:tcPr>
          <w:p>
            <w:pPr>
              <w:spacing w:after="20" w:line="264" w:lineRule="auto"/>
            </w:pPr>
            <w:r>
              <w:rPr>
                <w:rFonts w:ascii="Calibri" w:hAnsi="Calibri"/>
                <w:b/>
                <w:color w:val="2E4A62"/>
                <w:sz w:val="18"/>
              </w:rPr>
              <w:t xml:space="preserve">Line</w:t>
            </w:r>
          </w:p>
        </w:tc>
        <w:tc>
          <w:tcPr>
            <w:tcW w:w="1800" w:type="dxa"/>
            <w:shd w:val="clear" w:fill="E8EDF1"/>
          </w:tcPr>
          <w:p>
            <w:pPr>
              <w:spacing w:after="20" w:line="264" w:lineRule="auto"/>
            </w:pPr>
            <w:r>
              <w:rPr>
                <w:rFonts w:ascii="Calibri" w:hAnsi="Calibri"/>
                <w:b/>
                <w:color w:val="2E4A62"/>
                <w:sz w:val="18"/>
              </w:rPr>
              <w:t xml:space="preserve">Amount</w:t>
            </w:r>
          </w:p>
        </w:tc>
        <w:tc>
          <w:tcPr>
            <w:tcW w:w="3500" w:type="dxa"/>
            <w:shd w:val="clear" w:fill="E8EDF1"/>
          </w:tcPr>
          <w:p>
            <w:pPr>
              <w:spacing w:after="20" w:line="264" w:lineRule="auto"/>
            </w:pPr>
            <w:r>
              <w:rPr>
                <w:rFonts w:ascii="Calibri" w:hAnsi="Calibri"/>
                <w:b/>
                <w:color w:val="2E4A62"/>
                <w:sz w:val="18"/>
              </w:rPr>
              <w:t xml:space="preserve">Note</w:t>
            </w:r>
          </w:p>
        </w:tc>
      </w:tr>
      <w:tr>
        <w:tc>
          <w:tcPr>
            <w:tcW w:w="4200" w:type="dxa"/>
          </w:tcPr>
          <w:p>
            <w:pPr>
              <w:spacing w:after="20" w:line="264" w:lineRule="auto"/>
            </w:pPr>
            <w:r>
              <w:rPr>
                <w:rFonts w:ascii="Calibri" w:hAnsi="Calibri"/>
                <w:color w:val="263238"/>
                <w:sz w:val="18"/>
              </w:rPr>
              <w:t xml:space="preserve">Watch floors and Mirror Facility operations</w:t>
            </w:r>
          </w:p>
        </w:tc>
        <w:tc>
          <w:tcPr>
            <w:tcW w:w="1800" w:type="dxa"/>
          </w:tcPr>
          <w:p>
            <w:pPr>
              <w:spacing w:after="20" w:line="264" w:lineRule="auto"/>
            </w:pPr>
            <w:r>
              <w:rPr>
                <w:rFonts w:ascii="Calibri" w:hAnsi="Calibri"/>
                <w:color w:val="263238"/>
                <w:sz w:val="18"/>
              </w:rPr>
              <w:t xml:space="preserve">6.5</w:t>
            </w:r>
          </w:p>
        </w:tc>
        <w:tc>
          <w:tcPr>
            <w:tcW w:w="3500" w:type="dxa"/>
          </w:tcPr>
          <w:p>
            <w:pPr>
              <w:spacing w:after="20" w:line="264" w:lineRule="auto"/>
            </w:pPr>
            <w:r>
              <w:rPr>
                <w:rFonts w:ascii="Calibri" w:hAnsi="Calibri"/>
                <w:color w:val="263238"/>
                <w:sz w:val="18"/>
              </w:rPr>
              <w:t xml:space="preserve">Staff, facilities, communications; Muscat and Bandar Abbas</w:t>
            </w:r>
          </w:p>
        </w:tc>
      </w:tr>
      <w:tr>
        <w:tc>
          <w:tcPr>
            <w:tcW w:w="4200" w:type="dxa"/>
          </w:tcPr>
          <w:p>
            <w:pPr>
              <w:spacing w:after="20" w:line="264" w:lineRule="auto"/>
            </w:pPr>
            <w:r>
              <w:rPr>
                <w:rFonts w:ascii="Calibri" w:hAnsi="Calibri"/>
                <w:color w:val="263238"/>
                <w:sz w:val="18"/>
              </w:rPr>
              <w:t xml:space="preserve">Transit Desk and publications</w:t>
            </w:r>
          </w:p>
        </w:tc>
        <w:tc>
          <w:tcPr>
            <w:tcW w:w="1800" w:type="dxa"/>
          </w:tcPr>
          <w:p>
            <w:pPr>
              <w:spacing w:after="20" w:line="264" w:lineRule="auto"/>
            </w:pPr>
            <w:r>
              <w:rPr>
                <w:rFonts w:ascii="Calibri" w:hAnsi="Calibri"/>
                <w:color w:val="263238"/>
                <w:sz w:val="18"/>
              </w:rPr>
              <w:t xml:space="preserve">3.0</w:t>
            </w:r>
          </w:p>
        </w:tc>
        <w:tc>
          <w:tcPr>
            <w:tcW w:w="3500" w:type="dxa"/>
          </w:tcPr>
          <w:p>
            <w:pPr>
              <w:spacing w:after="20" w:line="264" w:lineRule="auto"/>
            </w:pPr>
            <w:r>
              <w:rPr>
                <w:rFonts w:ascii="Calibri" w:hAnsi="Calibri"/>
                <w:color w:val="263238"/>
                <w:sz w:val="18"/>
              </w:rPr>
              <w:t xml:space="preserve">Including the Mariners' Handbook and the bulletin systems</w:t>
            </w:r>
          </w:p>
        </w:tc>
      </w:tr>
      <w:tr>
        <w:tc>
          <w:tcPr>
            <w:tcW w:w="4200" w:type="dxa"/>
          </w:tcPr>
          <w:p>
            <w:pPr>
              <w:spacing w:after="20" w:line="264" w:lineRule="auto"/>
            </w:pPr>
            <w:r>
              <w:rPr>
                <w:rFonts w:ascii="Calibri" w:hAnsi="Calibri"/>
                <w:color w:val="263238"/>
                <w:sz w:val="18"/>
              </w:rPr>
              <w:t xml:space="preserve">Neutral Verification Office</w:t>
            </w:r>
          </w:p>
        </w:tc>
        <w:tc>
          <w:tcPr>
            <w:tcW w:w="1800" w:type="dxa"/>
          </w:tcPr>
          <w:p>
            <w:pPr>
              <w:spacing w:after="20" w:line="264" w:lineRule="auto"/>
            </w:pPr>
            <w:r>
              <w:rPr>
                <w:rFonts w:ascii="Calibri" w:hAnsi="Calibri"/>
                <w:color w:val="263238"/>
                <w:sz w:val="18"/>
              </w:rPr>
              <w:t xml:space="preserve">5.0</w:t>
            </w:r>
          </w:p>
        </w:tc>
        <w:tc>
          <w:tcPr>
            <w:tcW w:w="3500" w:type="dxa"/>
          </w:tcPr>
          <w:p>
            <w:pPr>
              <w:spacing w:after="20" w:line="264" w:lineRule="auto"/>
            </w:pPr>
            <w:r>
              <w:rPr>
                <w:rFonts w:ascii="Calibri" w:hAnsi="Calibri"/>
                <w:color w:val="263238"/>
                <w:sz w:val="18"/>
              </w:rPr>
              <w:t xml:space="preserve">Independent budget line; certifiers, observers, audits</w:t>
            </w:r>
          </w:p>
        </w:tc>
      </w:tr>
      <w:tr>
        <w:tc>
          <w:tcPr>
            <w:tcW w:w="4200" w:type="dxa"/>
          </w:tcPr>
          <w:p>
            <w:pPr>
              <w:spacing w:after="20" w:line="264" w:lineRule="auto"/>
            </w:pPr>
            <w:r>
              <w:rPr>
                <w:rFonts w:ascii="Calibri" w:hAnsi="Calibri"/>
                <w:color w:val="263238"/>
                <w:sz w:val="18"/>
              </w:rPr>
              <w:t xml:space="preserve">Joint Survey Cell coordination</w:t>
            </w:r>
          </w:p>
        </w:tc>
        <w:tc>
          <w:tcPr>
            <w:tcW w:w="1800" w:type="dxa"/>
          </w:tcPr>
          <w:p>
            <w:pPr>
              <w:spacing w:after="20" w:line="264" w:lineRule="auto"/>
            </w:pPr>
            <w:r>
              <w:rPr>
                <w:rFonts w:ascii="Calibri" w:hAnsi="Calibri"/>
                <w:color w:val="263238"/>
                <w:sz w:val="18"/>
              </w:rPr>
              <w:t xml:space="preserve">2.0</w:t>
            </w:r>
          </w:p>
        </w:tc>
        <w:tc>
          <w:tcPr>
            <w:tcW w:w="3500" w:type="dxa"/>
          </w:tcPr>
          <w:p>
            <w:pPr>
              <w:spacing w:after="20" w:line="264" w:lineRule="auto"/>
            </w:pPr>
            <w:r>
              <w:rPr>
                <w:rFonts w:ascii="Calibri" w:hAnsi="Calibri"/>
                <w:color w:val="263238"/>
                <w:sz w:val="18"/>
              </w:rPr>
              <w:t xml:space="preserve">Excludes survey assets, which the littorals provide in kind</w:t>
            </w:r>
          </w:p>
        </w:tc>
      </w:tr>
      <w:tr>
        <w:tc>
          <w:tcPr>
            <w:tcW w:w="4200" w:type="dxa"/>
          </w:tcPr>
          <w:p>
            <w:pPr>
              <w:spacing w:after="20" w:line="264" w:lineRule="auto"/>
            </w:pPr>
            <w:r>
              <w:rPr>
                <w:rFonts w:ascii="Calibri" w:hAnsi="Calibri"/>
                <w:color w:val="263238"/>
                <w:sz w:val="18"/>
              </w:rPr>
              <w:t xml:space="preserve">Integrity Cell</w:t>
            </w:r>
          </w:p>
        </w:tc>
        <w:tc>
          <w:tcPr>
            <w:tcW w:w="1800" w:type="dxa"/>
          </w:tcPr>
          <w:p>
            <w:pPr>
              <w:spacing w:after="20" w:line="264" w:lineRule="auto"/>
            </w:pPr>
            <w:r>
              <w:rPr>
                <w:rFonts w:ascii="Calibri" w:hAnsi="Calibri"/>
                <w:color w:val="263238"/>
                <w:sz w:val="18"/>
              </w:rPr>
              <w:t xml:space="preserve">1.5</w:t>
            </w:r>
          </w:p>
        </w:tc>
        <w:tc>
          <w:tcPr>
            <w:tcW w:w="3500" w:type="dxa"/>
          </w:tcPr>
          <w:p>
            <w:pPr>
              <w:spacing w:after="20" w:line="264" w:lineRule="auto"/>
            </w:pPr>
            <w:r>
              <w:rPr>
                <w:rFonts w:ascii="Calibri" w:hAnsi="Calibri"/>
                <w:color w:val="263238"/>
                <w:sz w:val="18"/>
              </w:rPr>
              <w:t xml:space="preserve">Red team, forensics, exercises</w:t>
            </w:r>
          </w:p>
        </w:tc>
      </w:tr>
      <w:tr>
        <w:tc>
          <w:tcPr>
            <w:tcW w:w="4200" w:type="dxa"/>
          </w:tcPr>
          <w:p>
            <w:pPr>
              <w:spacing w:after="20" w:line="264" w:lineRule="auto"/>
            </w:pPr>
            <w:r>
              <w:rPr>
                <w:rFonts w:ascii="Calibri" w:hAnsi="Calibri"/>
                <w:color w:val="263238"/>
                <w:sz w:val="18"/>
              </w:rPr>
              <w:t xml:space="preserve">Deconfliction Desk and hotline</w:t>
            </w:r>
          </w:p>
        </w:tc>
        <w:tc>
          <w:tcPr>
            <w:tcW w:w="1800" w:type="dxa"/>
          </w:tcPr>
          <w:p>
            <w:pPr>
              <w:spacing w:after="20" w:line="264" w:lineRule="auto"/>
            </w:pPr>
            <w:r>
              <w:rPr>
                <w:rFonts w:ascii="Calibri" w:hAnsi="Calibri"/>
                <w:color w:val="263238"/>
                <w:sz w:val="18"/>
              </w:rPr>
              <w:t xml:space="preserve">1.5</w:t>
            </w:r>
          </w:p>
        </w:tc>
        <w:tc>
          <w:tcPr>
            <w:tcW w:w="3500" w:type="dxa"/>
          </w:tcPr>
          <w:p>
            <w:pPr>
              <w:spacing w:after="20" w:line="264" w:lineRule="auto"/>
            </w:pPr>
            <w:r>
              <w:rPr>
                <w:rFonts w:ascii="Calibri" w:hAnsi="Calibri"/>
                <w:color w:val="263238"/>
                <w:sz w:val="18"/>
              </w:rPr>
              <w:t xml:space="preserve">Channels, liaison systems, recording infrastructure</w:t>
            </w:r>
          </w:p>
        </w:tc>
      </w:tr>
      <w:tr>
        <w:tc>
          <w:tcPr>
            <w:tcW w:w="4200" w:type="dxa"/>
          </w:tcPr>
          <w:p>
            <w:pPr>
              <w:spacing w:after="20" w:line="264" w:lineRule="auto"/>
            </w:pPr>
            <w:r>
              <w:rPr>
                <w:rFonts w:ascii="Calibri" w:hAnsi="Calibri"/>
                <w:color w:val="263238"/>
                <w:sz w:val="18"/>
              </w:rPr>
              <w:t xml:space="preserve">Secretariat and administration</w:t>
            </w:r>
          </w:p>
        </w:tc>
        <w:tc>
          <w:tcPr>
            <w:tcW w:w="1800" w:type="dxa"/>
          </w:tcPr>
          <w:p>
            <w:pPr>
              <w:spacing w:after="20" w:line="264" w:lineRule="auto"/>
            </w:pPr>
            <w:r>
              <w:rPr>
                <w:rFonts w:ascii="Calibri" w:hAnsi="Calibri"/>
                <w:color w:val="263238"/>
                <w:sz w:val="18"/>
              </w:rPr>
              <w:t xml:space="preserve">4.5</w:t>
            </w:r>
          </w:p>
        </w:tc>
        <w:tc>
          <w:tcPr>
            <w:tcW w:w="3500" w:type="dxa"/>
          </w:tcPr>
          <w:p>
            <w:pPr>
              <w:spacing w:after="20" w:line="264" w:lineRule="auto"/>
            </w:pPr>
            <w:r>
              <w:rPr>
                <w:rFonts w:ascii="Calibri" w:hAnsi="Calibri"/>
                <w:color w:val="263238"/>
                <w:sz w:val="18"/>
              </w:rPr>
              <w:t xml:space="preserve">Including the Depositary support function</w:t>
            </w:r>
          </w:p>
        </w:tc>
      </w:tr>
      <w:tr>
        <w:tc>
          <w:tcPr>
            <w:tcW w:w="4200" w:type="dxa"/>
          </w:tcPr>
          <w:p>
            <w:pPr>
              <w:spacing w:after="20" w:line="264" w:lineRule="auto"/>
            </w:pPr>
            <w:r>
              <w:rPr>
                <w:rFonts w:ascii="Calibri" w:hAnsi="Calibri"/>
                <w:color w:val="263238"/>
                <w:sz w:val="18"/>
              </w:rPr>
              <w:t xml:space="preserve">Total</w:t>
            </w:r>
          </w:p>
        </w:tc>
        <w:tc>
          <w:tcPr>
            <w:tcW w:w="1800" w:type="dxa"/>
          </w:tcPr>
          <w:p>
            <w:pPr>
              <w:spacing w:after="20" w:line="264" w:lineRule="auto"/>
            </w:pPr>
            <w:r>
              <w:rPr>
                <w:rFonts w:ascii="Calibri" w:hAnsi="Calibri"/>
                <w:color w:val="263238"/>
                <w:sz w:val="18"/>
              </w:rPr>
              <w:t xml:space="preserve">24.0</w:t>
            </w:r>
          </w:p>
        </w:tc>
        <w:tc>
          <w:tcPr>
            <w:tcW w:w="3500" w:type="dxa"/>
          </w:tcPr>
          <w:p>
            <w:pPr>
              <w:spacing w:after="20" w:line="264" w:lineRule="auto"/>
            </w:pPr>
            <w:r>
              <w:rPr>
                <w:rFonts w:ascii="Calibri" w:hAnsi="Calibri"/>
                <w:color w:val="263238"/>
                <w:sz w:val="18"/>
              </w:rPr>
              <w:t xml:space="preserve">Secondments in kind cover approximately 13.0; cash requirement 11.0</w:t>
            </w:r>
          </w:p>
        </w:tc>
      </w:tr>
    </w:tbl>
    <w:p>
      <w:pPr>
        <w:spacing w:after="160"/>
      </w:pPr>
    </w:p>
    <w:p>
      <w:pPr>
        <w:pStyle w:val="Heading2"/>
      </w:pPr>
      <w:bookmarkStart w:id="181" w:name="_Toc261100081"/>
      <w:r>
        <w:rPr>
          <w:rFonts w:ascii="Calibri" w:hAnsi="Calibri"/>
        </w:rPr>
        <w:t xml:space="preserve">C.7 Fund Governance and Reporting</w:t>
      </w:r>
      <w:bookmarkEnd w:id="181"/>
    </w:p>
    <w:p>
      <w:pPr>
        <w:jc w:val="both"/>
      </w:pPr>
      <w:r>
        <w:rPr/>
        <w:t xml:space="preserve">The Neutral Administrator publishes the Fund's statement monthly: receipts by channel, disbursements by line, escrow balances, cap refunds, and reserve status. The annual comprehensive audit of Article 29.2 covers the Fund in full, and the Fund's accounts open to the Bridge Commission, the Neutral Verification Office, and the Stakeholder Panel at all times. The Fund holds a reserve equal to 180 days of disbursements under the Payment Surety Bond of Annex D, Section D.4, so that no external event interrupts service revenue to the performing Parties.</w:t>
      </w:r>
    </w:p>
    <w:p>
      <w:pPr>
        <w:pStyle w:val="Heading2"/>
      </w:pPr>
      <w:bookmarkStart w:id="182" w:name="_Toc261100082"/>
      <w:r>
        <w:rPr>
          <w:rFonts w:ascii="Calibri" w:hAnsi="Calibri"/>
        </w:rPr>
        <w:t xml:space="preserve">C.8 The Participation Ledger</w:t>
      </w:r>
      <w:bookmarkEnd w:id="182"/>
    </w:p>
    <w:p>
      <w:pPr>
        <w:jc w:val="both"/>
      </w:pPr>
      <w:r>
        <w:rPr/>
        <w:t xml:space="preserve">The Fund maintains the Participation Ledger: a public, anonymized record of participation levels by fleet and flag group, showing contribution participation rates without naming individual vessels. The Ledger gives the market a visible measure of collective confidence in the architecture, and its steady rise reads as the system's quietest success metric.</w:t>
      </w:r>
    </w:p>
    <w:p>
      <w:pPr>
        <w:pStyle w:val="Heading1"/>
        <w:pageBreakBefore/>
        <w:pBdr>
          <w:bottom w:val="single" w:color="B9C6CF" w:sz="6" w:space="4"/>
        </w:pBdr>
      </w:pPr>
      <w:bookmarkStart w:id="183" w:name="_Toc261100083"/>
      <w:r>
        <w:rPr>
          <w:rFonts w:ascii="Calibri" w:hAnsi="Calibri"/>
        </w:rPr>
        <w:t xml:space="preserve">Annex D: The Sanctions-Compliance Firewall and Payment Protocol</w:t>
      </w:r>
      <w:bookmarkEnd w:id="183"/>
    </w:p>
    <w:p>
      <w:pPr>
        <w:jc w:val="both"/>
      </w:pPr>
      <w:r>
        <w:rPr/>
        <w:t xml:space="preserve">This Annex states the payment routing architecture of Article 28: the Hormuz Account structure, the transaction flows, the Payment Surety Bond, the escrow rule, the digital channel, and the substance test of the anti-circumvention rule. Its design goal is simple: every participant's payment is lawful in its own jurisdiction, every recipient's revenue arrives regardless of political weather, and no participant ever pays a Party directly.</w:t>
      </w:r>
    </w:p>
    <w:p>
      <w:pPr>
        <w:pStyle w:val="Heading2"/>
      </w:pPr>
      <w:bookmarkStart w:id="184" w:name="_Toc261100084"/>
      <w:r>
        <w:rPr>
          <w:rFonts w:ascii="Calibri" w:hAnsi="Calibri"/>
        </w:rPr>
        <w:t xml:space="preserve">D.1 The Hormuz Account Structure</w:t>
      </w:r>
      <w:bookmarkEnd w:id="184"/>
    </w:p>
    <w:p>
      <w:pPr>
        <w:jc w:val="both"/>
      </w:pPr>
      <w:r>
        <w:rPr/>
        <w:t xml:space="preserve">The Neutral Administrator maintains the Hormuz Account structure in Bern, comprising: (a) the Receipts Account, which receives every contribution and service payment; (b) the Service Account, from which certified service revenue disburses monthly to the performing Parties' designated recipients; (c) the Operations Account, which funds the Authority budget; (d) the Development Account, which funds the windows of Annex B, Section B.6; (e) the Reserve Account, holding the 180-day reserve; and (f) the Escrow Account, governed by Section D.5. Each account operates under the dual-signature rule of the Neutral Administrator's facility charter, and each publishes its flows in the monthly statement.</w:t>
      </w:r>
    </w:p>
    <w:p>
      <w:pPr>
        <w:pStyle w:val="Heading2"/>
      </w:pPr>
      <w:bookmarkStart w:id="185" w:name="_Toc261100085"/>
      <w:r>
        <w:rPr>
          <w:rFonts w:ascii="Calibri" w:hAnsi="Calibri"/>
        </w:rPr>
        <w:t xml:space="preserve">D.2 The Transaction Flows</w:t>
      </w:r>
      <w:bookmarkEnd w:id="185"/>
    </w:p>
    <w:p>
      <w:pPr>
        <w:jc w:val="both"/>
      </w:pPr>
      <w:r>
        <w:rPr/>
        <w:t xml:space="preserve">Every payment under this Understanding follows one of four flows, and no fifth flow exists:</w:t>
      </w:r>
    </w:p>
    <w:p>
      <w:pPr>
        <w:ind w:left="480" w:hanging="240"/>
        <w:jc w:val="both"/>
      </w:pPr>
      <w:r>
        <w:rPr>
          <w:color w:val="2E4A62"/>
        </w:rPr>
        <w:t>•  </w:t>
      </w:r>
      <w:r>
        <w:rPr>
          <w:b/>
        </w:rPr>
        <w:t xml:space="preserve">Flow 1, port processing.</w:t>
      </w:r>
      <w:r>
        <w:rPr/>
        <w:t xml:space="preserve"> An operator settles its contribution and any service charges as a port documentation line item at the port of origin or destination; the port's settlement agent transmits the amount to the Receipts Account with the vessel and voyage reference; the Neutral Administrator acknowledges to the operator within three business days.</w:t>
      </w:r>
    </w:p>
    <w:p>
      <w:pPr>
        <w:ind w:left="480" w:hanging="240"/>
        <w:jc w:val="both"/>
      </w:pPr>
      <w:r>
        <w:rPr>
          <w:color w:val="2E4A62"/>
        </w:rPr>
        <w:t>•  </w:t>
      </w:r>
      <w:r>
        <w:rPr>
          <w:b/>
        </w:rPr>
        <w:t xml:space="preserve">Flow 2, digital channel.</w:t>
      </w:r>
      <w:r>
        <w:rPr/>
        <w:t xml:space="preserve"> An operator or user state transmits contributions through the Fund's digital channel, a transparent-ledger payment rail the Neutral Administrator operates, which records every transaction on a verifiable ledger open to auditors; the channel provides instant acknowledgment and a complete audit trail.</w:t>
      </w:r>
    </w:p>
    <w:p>
      <w:pPr>
        <w:ind w:left="480" w:hanging="240"/>
        <w:jc w:val="both"/>
      </w:pPr>
      <w:r>
        <w:rPr>
          <w:color w:val="2E4A62"/>
        </w:rPr>
        <w:t>•  </w:t>
      </w:r>
      <w:r>
        <w:rPr>
          <w:b/>
        </w:rPr>
        <w:t xml:space="preserve">Flow 3, annual settlement.</w:t>
      </w:r>
      <w:r>
        <w:rPr/>
        <w:t xml:space="preserve"> A fleet operator or charterer settles annually against the fleet statement the Neutral Administrator issues each January, with quarterly true-ups; this flow suits the largest operators and interacts directly with the heavy-user cap of Annex C, Section C.4.</w:t>
      </w:r>
    </w:p>
    <w:p>
      <w:pPr>
        <w:ind w:left="480" w:hanging="240"/>
        <w:jc w:val="both"/>
      </w:pPr>
      <w:r>
        <w:rPr>
          <w:color w:val="2E4A62"/>
        </w:rPr>
        <w:t>•  </w:t>
      </w:r>
      <w:r>
        <w:rPr>
          <w:b/>
        </w:rPr>
        <w:t xml:space="preserve">Flow 4, state grants.</w:t>
      </w:r>
      <w:r>
        <w:rPr/>
        <w:t xml:space="preserve"> Acceding states, Endorsing Stakeholders, and user states transmit development window grants and state contributions directly to the Receipts Account under grant instruments that publish in full.</w:t>
      </w:r>
    </w:p>
    <w:p>
      <w:pPr>
        <w:jc w:val="both"/>
      </w:pPr>
      <w:r>
        <w:rPr/>
        <w:t xml:space="preserve">Every flow terminates at the Neutral Administrator. No flow touches any Party's treasury, any Party's central bank, or any intermediary in any Party's jurisdiction. IPR-7 holds at the level of plumbing.</w:t>
      </w:r>
    </w:p>
    <w:p>
      <w:pPr>
        <w:pStyle w:val="Heading2"/>
      </w:pPr>
      <w:bookmarkStart w:id="186" w:name="_Toc261100086"/>
      <w:r>
        <w:rPr>
          <w:rFonts w:ascii="Calibri" w:hAnsi="Calibri"/>
        </w:rPr>
        <w:t xml:space="preserve">D.3 Disbursement to the Performing Parties</w:t>
      </w:r>
      <w:bookmarkEnd w:id="186"/>
    </w:p>
    <w:p>
      <w:pPr>
        <w:jc w:val="both"/>
      </w:pPr>
      <w:r>
        <w:rPr/>
        <w:t xml:space="preserve">Service revenue disburses monthly on the certification of the Neutral Verification Office: the Office certifies the performance of each service line, the Secretariat computes the apportionment of Article 26.3, and the Neutral Administrator disburses from the Service Account to the recipients the performing Parties designate: their maritime administrations, port authorities, and service providers. The disbursement to Iranian recipients flows through ordinary correspondent banking under the firewall certification of Section D.4, so that Iranian service providers receive ordinary lawful payment for ordinary lawful services.</w:t>
      </w:r>
    </w:p>
    <w:p>
      <w:pPr>
        <w:pStyle w:val="Heading2"/>
      </w:pPr>
      <w:bookmarkStart w:id="187" w:name="_Toc261100087"/>
      <w:r>
        <w:rPr>
          <w:rFonts w:ascii="Calibri" w:hAnsi="Calibri"/>
        </w:rPr>
        <w:t xml:space="preserve">D.4 The Payment Surety Bond</w:t>
      </w:r>
      <w:bookmarkEnd w:id="187"/>
    </w:p>
    <w:p>
      <w:pPr>
        <w:jc w:val="both"/>
      </w:pPr>
      <w:r>
        <w:rPr/>
        <w:t xml:space="preserve">The firewall carries two standing guarantees. First, the compliance opinion: a standing legal opinion, issued by an international law firm of recognized standing and refreshed semiannually, confirming that the Fund's receipt and disbursement structure complies with the sanctions frameworks of the endorsing states and the European Union as they stand at the opinion date; the opinion publishes, and every participant's compliance department relies on it. Second, the reserve guarantee: the Reserve Account holds 180 days of disbursements at all times, so that a sudden external restriction interrupts no certified payment while the escrow rule operates. Together, the two guarantees make the financial architecture the most predictable element of the entire Understanding.</w:t>
      </w:r>
    </w:p>
    <w:p>
      <w:pPr>
        <w:pStyle w:val="Heading2"/>
      </w:pPr>
      <w:bookmarkStart w:id="188" w:name="_Toc261100088"/>
      <w:r>
        <w:rPr>
          <w:rFonts w:ascii="Calibri" w:hAnsi="Calibri"/>
        </w:rPr>
        <w:t xml:space="preserve">D.5 The Escrow Rule</w:t>
      </w:r>
      <w:bookmarkEnd w:id="188"/>
    </w:p>
    <w:p>
      <w:pPr>
        <w:jc w:val="both"/>
      </w:pPr>
      <w:r>
        <w:rPr/>
        <w:t xml:space="preserve">Where a sanctions framework prohibits a specific disbursement, the amount holds in the Escrow Account. Escrowed amounts: remain the property of the intended recipient; earn interest for the recipient at the Neutral Administrator's published rate; appear individually in the monthly statement; and disburse automatically upon the framework's change or upon a specific license, without further instrument. Escrow is a waiting room, never a confiscation: the architecture treats blocked money as the recipient's money in transit, and it says so in every statement.</w:t>
      </w:r>
    </w:p>
    <w:p>
      <w:pPr>
        <w:pStyle w:val="Heading2"/>
      </w:pPr>
      <w:bookmarkStart w:id="189" w:name="_Toc261100089"/>
      <w:r>
        <w:rPr>
          <w:rFonts w:ascii="Calibri" w:hAnsi="Calibri"/>
        </w:rPr>
        <w:t xml:space="preserve">D.6 The Substance Test</w:t>
      </w:r>
      <w:bookmarkEnd w:id="189"/>
    </w:p>
    <w:p>
      <w:pPr>
        <w:jc w:val="both"/>
      </w:pPr>
      <w:r>
        <w:rPr/>
        <w:t xml:space="preserve">The anti-circumvention rule of Article 29.4 applies the substance test. A payment, demand, or advantage constitutes a toll when any one of the following holds: (a) it varies with the fact of passage rather than with a service actually rendered; (b) passage in practice conditions on it, however the documents describe it; (c) a reasonable operator experiences it as a price of transit; or (d) its amount bears no relationship to the cost of any catalog service. The Neutral Verification Office applies the test on complaint or on its own motion, publishes every determination with reasoning, and treats a confirmed toll as a Tier 3 Architectural Breach. The test binds the Parties' own administrations with the same force as every other actor: the framework polices its own creativity first.</w:t>
      </w:r>
    </w:p>
    <w:p>
      <w:pPr>
        <w:pStyle w:val="Heading2"/>
      </w:pPr>
      <w:bookmarkStart w:id="190" w:name="_Toc261100090"/>
      <w:r>
        <w:rPr>
          <w:rFonts w:ascii="Calibri" w:hAnsi="Calibri"/>
        </w:rPr>
        <w:t xml:space="preserve">D.7 The Compliance Calendar</w:t>
      </w:r>
      <w:bookmarkEnd w:id="190"/>
    </w:p>
    <w:p>
      <w:pPr>
        <w:jc w:val="both"/>
      </w:pPr>
      <w:r>
        <w:rPr/>
        <w:t xml:space="preserve">The firewall runs on a fixed calendar: monthly statements within 10 days of month end; quarterly transaction audits within 30 days of quarter end; semiannual compliance opinions each January and July; the annual comprehensive audit each April; and the fleet settlement cycle each January with quarterly true-ups. The calendar appears on the Master Synchronization Calendar, and every date publishes a year in advance.</w:t>
      </w:r>
    </w:p>
    <w:p>
      <w:pPr>
        <w:pStyle w:val="Heading2"/>
      </w:pPr>
      <w:bookmarkStart w:id="191" w:name="_Toc261100091"/>
      <w:r>
        <w:rPr>
          <w:rFonts w:ascii="Calibri" w:hAnsi="Calibri"/>
        </w:rPr>
        <w:t xml:space="preserve">D.8 Data and Privacy</w:t>
      </w:r>
      <w:bookmarkEnd w:id="191"/>
    </w:p>
    <w:p>
      <w:pPr>
        <w:jc w:val="both"/>
      </w:pPr>
      <w:r>
        <w:rPr/>
        <w:t xml:space="preserve">Transaction data serves audit and settlement exclusively. IPR-12 applies: no participant, Party, or organ uses payment data for sanctions enforcement, intelligence, or commercial surveillance. The Neutral Administrator publishes flows in aggregate and by category, identifies individual operators only in the heavy-user cap mechanics and in the Participation Ledger's anonymized bands, and opens individual records only to the transacting participant and the auditors.</w:t>
      </w:r>
    </w:p>
    <w:p>
      <w:pPr>
        <w:pStyle w:val="Heading1"/>
        <w:pageBreakBefore/>
        <w:pBdr>
          <w:bottom w:val="single" w:color="B9C6CF" w:sz="6" w:space="4"/>
        </w:pBdr>
      </w:pPr>
      <w:bookmarkStart w:id="192" w:name="_Toc261100092"/>
      <w:r>
        <w:rPr>
          <w:rFonts w:ascii="Calibri" w:hAnsi="Calibri"/>
        </w:rPr>
        <w:t xml:space="preserve">Annex E: The Functional Allocation Table and the Twin Key Schedule</w:t>
      </w:r>
      <w:bookmarkEnd w:id="192"/>
    </w:p>
    <w:p>
      <w:pPr>
        <w:jc w:val="both"/>
      </w:pPr>
      <w:r>
        <w:rPr/>
        <w:t xml:space="preserve">This Annex carries the Functional Allocation Table of Article 13 and the Twin Key schedule of Article 14. It answers, task by task, the security-authority question that the negotiating record identifies as the single largest unresolved component of the governance mechanism. The table allocates functions, never sovereignty, and every consequential action in it carries two keys.</w:t>
      </w:r>
    </w:p>
    <w:p>
      <w:pPr>
        <w:pStyle w:val="Heading2"/>
      </w:pPr>
      <w:bookmarkStart w:id="193" w:name="_Toc261100093"/>
      <w:r>
        <w:rPr>
          <w:rFonts w:ascii="Calibri" w:hAnsi="Calibri"/>
        </w:rPr>
        <w:t xml:space="preserve">E.1 Reading the Table</w:t>
      </w:r>
      <w:bookmarkEnd w:id="193"/>
    </w:p>
    <w:p>
      <w:pPr>
        <w:jc w:val="both"/>
      </w:pPr>
      <w:r>
        <w:rPr/>
        <w:t xml:space="preserve">The table uses four marks: </w:t>
      </w:r>
      <w:r>
        <w:rPr>
          <w:b/>
        </w:rPr>
        <w:t xml:space="preserve">F</w:t>
      </w:r>
      <w:r>
        <w:rPr/>
        <w:t xml:space="preserve"> means the Party performs the function in full; </w:t>
      </w:r>
      <w:r>
        <w:rPr>
          <w:b/>
        </w:rPr>
        <w:t xml:space="preserve">C</w:t>
      </w:r>
      <w:r>
        <w:rPr/>
        <w:t xml:space="preserve"> means the Party co-performs the function in a paired team; </w:t>
      </w:r>
      <w:r>
        <w:rPr>
          <w:b/>
        </w:rPr>
        <w:t xml:space="preserve">D</w:t>
      </w:r>
      <w:r>
        <w:rPr/>
        <w:t xml:space="preserve"> means the Party performs the function as deputy, under the lead of the other Party; and </w:t>
      </w:r>
      <w:r>
        <w:rPr>
          <w:b/>
        </w:rPr>
        <w:t xml:space="preserve">N</w:t>
      </w:r>
      <w:r>
        <w:rPr/>
        <w:t xml:space="preserve"> means the Party performs no part of the function. Allocation entries reflect the baseline of Article 13.2 at activation; the Good Behavior Escalator of Article 34 adjusts them thereafter within the bounds of Annex H.</w:t>
      </w:r>
    </w:p>
    <w:p>
      <w:pPr>
        <w:pStyle w:val="Heading2"/>
      </w:pPr>
      <w:bookmarkStart w:id="194" w:name="_Toc261100094"/>
      <w:r>
        <w:rPr>
          <w:rFonts w:ascii="Calibri" w:hAnsi="Calibri"/>
        </w:rPr>
        <w:t xml:space="preserve">E.2 Table E.2: Baseline Functional Allocation</w:t>
      </w:r>
      <w:bookmarkEnd w:id="194"/>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3000"/>
        <w:gridCol w:w="1900"/>
        <w:gridCol w:w="1900"/>
        <w:gridCol w:w="1900"/>
      </w:tblGrid>
      <w:tr>
        <w:trPr>
          <w:tblHeader/>
        </w:trPr>
        <w:tc>
          <w:tcPr>
            <w:tcW w:w="3000" w:type="dxa"/>
            <w:shd w:val="clear" w:fill="E8EDF1"/>
          </w:tcPr>
          <w:p>
            <w:pPr>
              <w:spacing w:after="20" w:line="264" w:lineRule="auto"/>
            </w:pPr>
            <w:r>
              <w:rPr>
                <w:rFonts w:ascii="Calibri" w:hAnsi="Calibri"/>
                <w:b/>
                <w:color w:val="2E4A62"/>
                <w:sz w:val="18"/>
              </w:rPr>
              <w:t xml:space="preserve">Function</w:t>
            </w:r>
          </w:p>
        </w:tc>
        <w:tc>
          <w:tcPr>
            <w:tcW w:w="1900" w:type="dxa"/>
            <w:shd w:val="clear" w:fill="E8EDF1"/>
          </w:tcPr>
          <w:p>
            <w:pPr>
              <w:spacing w:after="20" w:line="264" w:lineRule="auto"/>
            </w:pPr>
            <w:r>
              <w:rPr>
                <w:rFonts w:ascii="Calibri" w:hAnsi="Calibri"/>
                <w:b/>
                <w:color w:val="2E4A62"/>
                <w:sz w:val="18"/>
              </w:rPr>
              <w:t xml:space="preserve">Northern Corridor</w:t>
            </w:r>
          </w:p>
        </w:tc>
        <w:tc>
          <w:tcPr>
            <w:tcW w:w="1900" w:type="dxa"/>
            <w:shd w:val="clear" w:fill="E8EDF1"/>
          </w:tcPr>
          <w:p>
            <w:pPr>
              <w:spacing w:after="20" w:line="264" w:lineRule="auto"/>
            </w:pPr>
            <w:r>
              <w:rPr>
                <w:rFonts w:ascii="Calibri" w:hAnsi="Calibri"/>
                <w:b/>
                <w:color w:val="2E4A62"/>
                <w:sz w:val="18"/>
              </w:rPr>
              <w:t xml:space="preserve">Southern Corridor</w:t>
            </w:r>
          </w:p>
        </w:tc>
        <w:tc>
          <w:tcPr>
            <w:tcW w:w="1900" w:type="dxa"/>
            <w:shd w:val="clear" w:fill="E8EDF1"/>
          </w:tcPr>
          <w:p>
            <w:pPr>
              <w:spacing w:after="20" w:line="264" w:lineRule="auto"/>
            </w:pPr>
            <w:r>
              <w:rPr>
                <w:rFonts w:ascii="Calibri" w:hAnsi="Calibri"/>
                <w:b/>
                <w:color w:val="2E4A62"/>
                <w:sz w:val="18"/>
              </w:rPr>
              <w:t xml:space="preserve">Central Corridor</w:t>
            </w:r>
          </w:p>
        </w:tc>
      </w:tr>
      <w:tr>
        <w:tc>
          <w:tcPr>
            <w:tcW w:w="3000" w:type="dxa"/>
          </w:tcPr>
          <w:p>
            <w:pPr>
              <w:spacing w:after="20" w:line="264" w:lineRule="auto"/>
            </w:pPr>
            <w:r>
              <w:rPr>
                <w:rFonts w:ascii="Calibri" w:hAnsi="Calibri"/>
                <w:color w:val="263238"/>
                <w:sz w:val="18"/>
              </w:rPr>
              <w:t xml:space="preserve">F-1 Traffic management</w:t>
            </w:r>
          </w:p>
        </w:tc>
        <w:tc>
          <w:tcPr>
            <w:tcW w:w="1900" w:type="dxa"/>
          </w:tcPr>
          <w:p>
            <w:pPr>
              <w:spacing w:after="20" w:line="264" w:lineRule="auto"/>
            </w:pPr>
            <w:r>
              <w:rPr>
                <w:rFonts w:ascii="Calibri" w:hAnsi="Calibri"/>
                <w:color w:val="263238"/>
                <w:sz w:val="18"/>
              </w:rPr>
              <w:t xml:space="preserve">Iran: F</w:t>
            </w:r>
          </w:p>
        </w:tc>
        <w:tc>
          <w:tcPr>
            <w:tcW w:w="1900" w:type="dxa"/>
          </w:tcPr>
          <w:p>
            <w:pPr>
              <w:spacing w:after="20" w:line="264" w:lineRule="auto"/>
            </w:pPr>
            <w:r>
              <w:rPr>
                <w:rFonts w:ascii="Calibri" w:hAnsi="Calibri"/>
                <w:color w:val="263238"/>
                <w:sz w:val="18"/>
              </w:rPr>
              <w:t xml:space="preserve">Oman: F</w:t>
            </w:r>
          </w:p>
        </w:tc>
        <w:tc>
          <w:tcPr>
            <w:tcW w:w="1900" w:type="dxa"/>
          </w:tcPr>
          <w:p>
            <w:pPr>
              <w:spacing w:after="20" w:line="264" w:lineRule="auto"/>
            </w:pPr>
            <w:r>
              <w:rPr>
                <w:rFonts w:ascii="Calibri" w:hAnsi="Calibri"/>
                <w:color w:val="263238"/>
                <w:sz w:val="18"/>
              </w:rPr>
              <w:t xml:space="preserve">Iran: C, Oman: C</w:t>
            </w:r>
          </w:p>
        </w:tc>
      </w:tr>
      <w:tr>
        <w:tc>
          <w:tcPr>
            <w:tcW w:w="3000" w:type="dxa"/>
          </w:tcPr>
          <w:p>
            <w:pPr>
              <w:spacing w:after="20" w:line="264" w:lineRule="auto"/>
            </w:pPr>
            <w:r>
              <w:rPr>
                <w:rFonts w:ascii="Calibri" w:hAnsi="Calibri"/>
                <w:color w:val="263238"/>
                <w:sz w:val="18"/>
              </w:rPr>
              <w:t xml:space="preserve">F-2 Aids to navigation</w:t>
            </w:r>
          </w:p>
        </w:tc>
        <w:tc>
          <w:tcPr>
            <w:tcW w:w="1900" w:type="dxa"/>
          </w:tcPr>
          <w:p>
            <w:pPr>
              <w:spacing w:after="20" w:line="264" w:lineRule="auto"/>
            </w:pPr>
            <w:r>
              <w:rPr>
                <w:rFonts w:ascii="Calibri" w:hAnsi="Calibri"/>
                <w:color w:val="263238"/>
                <w:sz w:val="18"/>
              </w:rPr>
              <w:t xml:space="preserve">Iran: F</w:t>
            </w:r>
          </w:p>
        </w:tc>
        <w:tc>
          <w:tcPr>
            <w:tcW w:w="1900" w:type="dxa"/>
          </w:tcPr>
          <w:p>
            <w:pPr>
              <w:spacing w:after="20" w:line="264" w:lineRule="auto"/>
            </w:pPr>
            <w:r>
              <w:rPr>
                <w:rFonts w:ascii="Calibri" w:hAnsi="Calibri"/>
                <w:color w:val="263238"/>
                <w:sz w:val="18"/>
              </w:rPr>
              <w:t xml:space="preserve">Oman: F</w:t>
            </w:r>
          </w:p>
        </w:tc>
        <w:tc>
          <w:tcPr>
            <w:tcW w:w="1900" w:type="dxa"/>
          </w:tcPr>
          <w:p>
            <w:pPr>
              <w:spacing w:after="20" w:line="264" w:lineRule="auto"/>
            </w:pPr>
            <w:r>
              <w:rPr>
                <w:rFonts w:ascii="Calibri" w:hAnsi="Calibri"/>
                <w:color w:val="263238"/>
                <w:sz w:val="18"/>
              </w:rPr>
              <w:t xml:space="preserve">Iran: C, Oman: C</w:t>
            </w:r>
          </w:p>
        </w:tc>
      </w:tr>
      <w:tr>
        <w:tc>
          <w:tcPr>
            <w:tcW w:w="3000" w:type="dxa"/>
          </w:tcPr>
          <w:p>
            <w:pPr>
              <w:spacing w:after="20" w:line="264" w:lineRule="auto"/>
            </w:pPr>
            <w:r>
              <w:rPr>
                <w:rFonts w:ascii="Calibri" w:hAnsi="Calibri"/>
                <w:color w:val="263238"/>
                <w:sz w:val="18"/>
              </w:rPr>
              <w:t xml:space="preserve">F-3 Hydrographic survey liaison</w:t>
            </w:r>
          </w:p>
        </w:tc>
        <w:tc>
          <w:tcPr>
            <w:tcW w:w="1900" w:type="dxa"/>
          </w:tcPr>
          <w:p>
            <w:pPr>
              <w:spacing w:after="20" w:line="264" w:lineRule="auto"/>
            </w:pPr>
            <w:r>
              <w:rPr>
                <w:rFonts w:ascii="Calibri" w:hAnsi="Calibri"/>
                <w:color w:val="263238"/>
                <w:sz w:val="18"/>
              </w:rPr>
              <w:t xml:space="preserve">Iran: F</w:t>
            </w:r>
          </w:p>
        </w:tc>
        <w:tc>
          <w:tcPr>
            <w:tcW w:w="1900" w:type="dxa"/>
          </w:tcPr>
          <w:p>
            <w:pPr>
              <w:spacing w:after="20" w:line="264" w:lineRule="auto"/>
            </w:pPr>
            <w:r>
              <w:rPr>
                <w:rFonts w:ascii="Calibri" w:hAnsi="Calibri"/>
                <w:color w:val="263238"/>
                <w:sz w:val="18"/>
              </w:rPr>
              <w:t xml:space="preserve">Oman: F</w:t>
            </w:r>
          </w:p>
        </w:tc>
        <w:tc>
          <w:tcPr>
            <w:tcW w:w="1900" w:type="dxa"/>
          </w:tcPr>
          <w:p>
            <w:pPr>
              <w:spacing w:after="20" w:line="264" w:lineRule="auto"/>
            </w:pPr>
            <w:r>
              <w:rPr>
                <w:rFonts w:ascii="Calibri" w:hAnsi="Calibri"/>
                <w:color w:val="263238"/>
                <w:sz w:val="18"/>
              </w:rPr>
              <w:t xml:space="preserve">Joint Survey Cell co-leads</w:t>
            </w:r>
          </w:p>
        </w:tc>
      </w:tr>
      <w:tr>
        <w:tc>
          <w:tcPr>
            <w:tcW w:w="3000" w:type="dxa"/>
          </w:tcPr>
          <w:p>
            <w:pPr>
              <w:spacing w:after="20" w:line="264" w:lineRule="auto"/>
            </w:pPr>
            <w:r>
              <w:rPr>
                <w:rFonts w:ascii="Calibri" w:hAnsi="Calibri"/>
                <w:color w:val="263238"/>
                <w:sz w:val="18"/>
              </w:rPr>
              <w:t xml:space="preserve">F-4 Environmental monitoring</w:t>
            </w:r>
          </w:p>
        </w:tc>
        <w:tc>
          <w:tcPr>
            <w:tcW w:w="1900" w:type="dxa"/>
          </w:tcPr>
          <w:p>
            <w:pPr>
              <w:spacing w:after="20" w:line="264" w:lineRule="auto"/>
            </w:pPr>
            <w:r>
              <w:rPr>
                <w:rFonts w:ascii="Calibri" w:hAnsi="Calibri"/>
                <w:color w:val="263238"/>
                <w:sz w:val="18"/>
              </w:rPr>
              <w:t xml:space="preserve">Iran: F</w:t>
            </w:r>
          </w:p>
        </w:tc>
        <w:tc>
          <w:tcPr>
            <w:tcW w:w="1900" w:type="dxa"/>
          </w:tcPr>
          <w:p>
            <w:pPr>
              <w:spacing w:after="20" w:line="264" w:lineRule="auto"/>
            </w:pPr>
            <w:r>
              <w:rPr>
                <w:rFonts w:ascii="Calibri" w:hAnsi="Calibri"/>
                <w:color w:val="263238"/>
                <w:sz w:val="18"/>
              </w:rPr>
              <w:t xml:space="preserve">Oman: F</w:t>
            </w:r>
          </w:p>
        </w:tc>
        <w:tc>
          <w:tcPr>
            <w:tcW w:w="1900" w:type="dxa"/>
          </w:tcPr>
          <w:p>
            <w:pPr>
              <w:spacing w:after="20" w:line="264" w:lineRule="auto"/>
            </w:pPr>
            <w:r>
              <w:rPr>
                <w:rFonts w:ascii="Calibri" w:hAnsi="Calibri"/>
                <w:color w:val="263238"/>
                <w:sz w:val="18"/>
              </w:rPr>
              <w:t xml:space="preserve">Iran: C, Oman: C</w:t>
            </w:r>
          </w:p>
        </w:tc>
      </w:tr>
      <w:tr>
        <w:tc>
          <w:tcPr>
            <w:tcW w:w="3000" w:type="dxa"/>
          </w:tcPr>
          <w:p>
            <w:pPr>
              <w:spacing w:after="20" w:line="264" w:lineRule="auto"/>
            </w:pPr>
            <w:r>
              <w:rPr>
                <w:rFonts w:ascii="Calibri" w:hAnsi="Calibri"/>
                <w:color w:val="263238"/>
                <w:sz w:val="18"/>
              </w:rPr>
              <w:t xml:space="preserve">F-5 Search and rescue coordination</w:t>
            </w:r>
          </w:p>
        </w:tc>
        <w:tc>
          <w:tcPr>
            <w:tcW w:w="1900" w:type="dxa"/>
          </w:tcPr>
          <w:p>
            <w:pPr>
              <w:spacing w:after="20" w:line="264" w:lineRule="auto"/>
            </w:pPr>
            <w:r>
              <w:rPr>
                <w:rFonts w:ascii="Calibri" w:hAnsi="Calibri"/>
                <w:color w:val="263238"/>
                <w:sz w:val="18"/>
              </w:rPr>
              <w:t xml:space="preserve">Iran: F</w:t>
            </w:r>
          </w:p>
        </w:tc>
        <w:tc>
          <w:tcPr>
            <w:tcW w:w="1900" w:type="dxa"/>
          </w:tcPr>
          <w:p>
            <w:pPr>
              <w:spacing w:after="20" w:line="264" w:lineRule="auto"/>
            </w:pPr>
            <w:r>
              <w:rPr>
                <w:rFonts w:ascii="Calibri" w:hAnsi="Calibri"/>
                <w:color w:val="263238"/>
                <w:sz w:val="18"/>
              </w:rPr>
              <w:t xml:space="preserve">Oman: F</w:t>
            </w:r>
          </w:p>
        </w:tc>
        <w:tc>
          <w:tcPr>
            <w:tcW w:w="1900" w:type="dxa"/>
          </w:tcPr>
          <w:p>
            <w:pPr>
              <w:spacing w:after="20" w:line="264" w:lineRule="auto"/>
            </w:pPr>
            <w:r>
              <w:rPr>
                <w:rFonts w:ascii="Calibri" w:hAnsi="Calibri"/>
                <w:color w:val="263238"/>
                <w:sz w:val="18"/>
              </w:rPr>
              <w:t xml:space="preserve">Iran: C, Oman: C</w:t>
            </w:r>
          </w:p>
        </w:tc>
      </w:tr>
      <w:tr>
        <w:tc>
          <w:tcPr>
            <w:tcW w:w="3000" w:type="dxa"/>
          </w:tcPr>
          <w:p>
            <w:pPr>
              <w:spacing w:after="20" w:line="264" w:lineRule="auto"/>
            </w:pPr>
            <w:r>
              <w:rPr>
                <w:rFonts w:ascii="Calibri" w:hAnsi="Calibri"/>
                <w:color w:val="263238"/>
                <w:sz w:val="18"/>
              </w:rPr>
              <w:t xml:space="preserve">F-6 Hazard and mine-risk reporting</w:t>
            </w:r>
          </w:p>
        </w:tc>
        <w:tc>
          <w:tcPr>
            <w:tcW w:w="1900" w:type="dxa"/>
          </w:tcPr>
          <w:p>
            <w:pPr>
              <w:spacing w:after="20" w:line="264" w:lineRule="auto"/>
            </w:pPr>
            <w:r>
              <w:rPr>
                <w:rFonts w:ascii="Calibri" w:hAnsi="Calibri"/>
                <w:color w:val="263238"/>
                <w:sz w:val="18"/>
              </w:rPr>
              <w:t xml:space="preserve">Iran: F</w:t>
            </w:r>
          </w:p>
        </w:tc>
        <w:tc>
          <w:tcPr>
            <w:tcW w:w="1900" w:type="dxa"/>
          </w:tcPr>
          <w:p>
            <w:pPr>
              <w:spacing w:after="20" w:line="264" w:lineRule="auto"/>
            </w:pPr>
            <w:r>
              <w:rPr>
                <w:rFonts w:ascii="Calibri" w:hAnsi="Calibri"/>
                <w:color w:val="263238"/>
                <w:sz w:val="18"/>
              </w:rPr>
              <w:t xml:space="preserve">Oman: F</w:t>
            </w:r>
          </w:p>
        </w:tc>
        <w:tc>
          <w:tcPr>
            <w:tcW w:w="1900" w:type="dxa"/>
          </w:tcPr>
          <w:p>
            <w:pPr>
              <w:spacing w:after="20" w:line="264" w:lineRule="auto"/>
            </w:pPr>
            <w:r>
              <w:rPr>
                <w:rFonts w:ascii="Calibri" w:hAnsi="Calibri"/>
                <w:color w:val="263238"/>
                <w:sz w:val="18"/>
              </w:rPr>
              <w:t xml:space="preserve">Joint Survey Cell co-leads</w:t>
            </w:r>
          </w:p>
        </w:tc>
      </w:tr>
      <w:tr>
        <w:tc>
          <w:tcPr>
            <w:tcW w:w="3000" w:type="dxa"/>
          </w:tcPr>
          <w:p>
            <w:pPr>
              <w:spacing w:after="20" w:line="264" w:lineRule="auto"/>
            </w:pPr>
            <w:r>
              <w:rPr>
                <w:rFonts w:ascii="Calibri" w:hAnsi="Calibri"/>
                <w:color w:val="263238"/>
                <w:sz w:val="18"/>
              </w:rPr>
              <w:t xml:space="preserve">F-7 Incident logging and first response</w:t>
            </w:r>
          </w:p>
        </w:tc>
        <w:tc>
          <w:tcPr>
            <w:tcW w:w="1900" w:type="dxa"/>
          </w:tcPr>
          <w:p>
            <w:pPr>
              <w:spacing w:after="20" w:line="264" w:lineRule="auto"/>
            </w:pPr>
            <w:r>
              <w:rPr>
                <w:rFonts w:ascii="Calibri" w:hAnsi="Calibri"/>
                <w:color w:val="263238"/>
                <w:sz w:val="18"/>
              </w:rPr>
              <w:t xml:space="preserve">Iran: F</w:t>
            </w:r>
          </w:p>
        </w:tc>
        <w:tc>
          <w:tcPr>
            <w:tcW w:w="1900" w:type="dxa"/>
          </w:tcPr>
          <w:p>
            <w:pPr>
              <w:spacing w:after="20" w:line="264" w:lineRule="auto"/>
            </w:pPr>
            <w:r>
              <w:rPr>
                <w:rFonts w:ascii="Calibri" w:hAnsi="Calibri"/>
                <w:color w:val="263238"/>
                <w:sz w:val="18"/>
              </w:rPr>
              <w:t xml:space="preserve">Oman: F</w:t>
            </w:r>
          </w:p>
        </w:tc>
        <w:tc>
          <w:tcPr>
            <w:tcW w:w="1900" w:type="dxa"/>
          </w:tcPr>
          <w:p>
            <w:pPr>
              <w:spacing w:after="20" w:line="264" w:lineRule="auto"/>
            </w:pPr>
            <w:r>
              <w:rPr>
                <w:rFonts w:ascii="Calibri" w:hAnsi="Calibri"/>
                <w:color w:val="263238"/>
                <w:sz w:val="18"/>
              </w:rPr>
              <w:t xml:space="preserve">Iran: C, Oman: C</w:t>
            </w:r>
          </w:p>
        </w:tc>
      </w:tr>
      <w:tr>
        <w:tc>
          <w:tcPr>
            <w:tcW w:w="3000" w:type="dxa"/>
          </w:tcPr>
          <w:p>
            <w:pPr>
              <w:spacing w:after="20" w:line="264" w:lineRule="auto"/>
            </w:pPr>
            <w:r>
              <w:rPr>
                <w:rFonts w:ascii="Calibri" w:hAnsi="Calibri"/>
                <w:color w:val="263238"/>
                <w:sz w:val="18"/>
              </w:rPr>
              <w:t xml:space="preserve">F-8 Bulletin and mariner notification</w:t>
            </w:r>
          </w:p>
        </w:tc>
        <w:tc>
          <w:tcPr>
            <w:tcW w:w="1900" w:type="dxa"/>
          </w:tcPr>
          <w:p>
            <w:pPr>
              <w:spacing w:after="20" w:line="264" w:lineRule="auto"/>
            </w:pPr>
            <w:r>
              <w:rPr>
                <w:rFonts w:ascii="Calibri" w:hAnsi="Calibri"/>
                <w:color w:val="263238"/>
                <w:sz w:val="18"/>
              </w:rPr>
              <w:t xml:space="preserve">Authority: F (system-wide)</w:t>
            </w:r>
          </w:p>
        </w:tc>
        <w:tc>
          <w:tcPr>
            <w:tcW w:w="1900" w:type="dxa"/>
          </w:tcPr>
          <w:p>
            <w:pPr>
              <w:spacing w:after="20" w:line="264" w:lineRule="auto"/>
            </w:pPr>
            <w:r>
              <w:rPr>
                <w:rFonts w:ascii="Calibri" w:hAnsi="Calibri"/>
                <w:color w:val="263238"/>
                <w:sz w:val="18"/>
              </w:rPr>
              <w:t xml:space="preserve">Authority: F</w:t>
            </w:r>
          </w:p>
        </w:tc>
        <w:tc>
          <w:tcPr>
            <w:tcW w:w="1900" w:type="dxa"/>
          </w:tcPr>
          <w:p>
            <w:pPr>
              <w:spacing w:after="20" w:line="264" w:lineRule="auto"/>
            </w:pPr>
            <w:r>
              <w:rPr>
                <w:rFonts w:ascii="Calibri" w:hAnsi="Calibri"/>
                <w:color w:val="263238"/>
                <w:sz w:val="18"/>
              </w:rPr>
              <w:t xml:space="preserve">Authority: F</w:t>
            </w:r>
          </w:p>
        </w:tc>
      </w:tr>
      <w:tr>
        <w:tc>
          <w:tcPr>
            <w:tcW w:w="3000" w:type="dxa"/>
          </w:tcPr>
          <w:p>
            <w:pPr>
              <w:spacing w:after="20" w:line="264" w:lineRule="auto"/>
            </w:pPr>
            <w:r>
              <w:rPr>
                <w:rFonts w:ascii="Calibri" w:hAnsi="Calibri"/>
                <w:color w:val="263238"/>
                <w:sz w:val="18"/>
              </w:rPr>
              <w:t xml:space="preserve">F-9 Data feed custody, fused picture</w:t>
            </w:r>
          </w:p>
        </w:tc>
        <w:tc>
          <w:tcPr>
            <w:tcW w:w="1900" w:type="dxa"/>
          </w:tcPr>
          <w:p>
            <w:pPr>
              <w:spacing w:after="20" w:line="264" w:lineRule="auto"/>
            </w:pPr>
            <w:r>
              <w:rPr>
                <w:rFonts w:ascii="Calibri" w:hAnsi="Calibri"/>
                <w:color w:val="263238"/>
                <w:sz w:val="18"/>
              </w:rPr>
              <w:t xml:space="preserve">Iran: C, Oman: C</w:t>
            </w:r>
          </w:p>
        </w:tc>
        <w:tc>
          <w:tcPr>
            <w:tcW w:w="1900" w:type="dxa"/>
          </w:tcPr>
          <w:p>
            <w:pPr>
              <w:spacing w:after="20" w:line="264" w:lineRule="auto"/>
            </w:pPr>
            <w:r>
              <w:rPr>
                <w:rFonts w:ascii="Calibri" w:hAnsi="Calibri"/>
                <w:color w:val="263238"/>
                <w:sz w:val="18"/>
              </w:rPr>
              <w:t xml:space="preserve">Iran: C, Oman: C</w:t>
            </w:r>
          </w:p>
        </w:tc>
        <w:tc>
          <w:tcPr>
            <w:tcW w:w="1900" w:type="dxa"/>
          </w:tcPr>
          <w:p>
            <w:pPr>
              <w:spacing w:after="20" w:line="264" w:lineRule="auto"/>
            </w:pPr>
            <w:r>
              <w:rPr>
                <w:rFonts w:ascii="Calibri" w:hAnsi="Calibri"/>
                <w:color w:val="263238"/>
                <w:sz w:val="18"/>
              </w:rPr>
              <w:t xml:space="preserve">Iran: C, Oman: C</w:t>
            </w:r>
          </w:p>
        </w:tc>
      </w:tr>
      <w:tr>
        <w:tc>
          <w:tcPr>
            <w:tcW w:w="3000" w:type="dxa"/>
          </w:tcPr>
          <w:p>
            <w:pPr>
              <w:spacing w:after="20" w:line="264" w:lineRule="auto"/>
            </w:pPr>
            <w:r>
              <w:rPr>
                <w:rFonts w:ascii="Calibri" w:hAnsi="Calibri"/>
                <w:color w:val="263238"/>
                <w:sz w:val="18"/>
              </w:rPr>
              <w:t xml:space="preserve">F-10 Convoy window coordination</w:t>
            </w:r>
          </w:p>
        </w:tc>
        <w:tc>
          <w:tcPr>
            <w:tcW w:w="1900" w:type="dxa"/>
          </w:tcPr>
          <w:p>
            <w:pPr>
              <w:spacing w:after="20" w:line="264" w:lineRule="auto"/>
            </w:pPr>
            <w:r>
              <w:rPr>
                <w:rFonts w:ascii="Calibri" w:hAnsi="Calibri"/>
                <w:color w:val="263238"/>
                <w:sz w:val="18"/>
              </w:rPr>
              <w:t xml:space="preserve">Iran: F</w:t>
            </w:r>
          </w:p>
        </w:tc>
        <w:tc>
          <w:tcPr>
            <w:tcW w:w="1900" w:type="dxa"/>
          </w:tcPr>
          <w:p>
            <w:pPr>
              <w:spacing w:after="20" w:line="264" w:lineRule="auto"/>
            </w:pPr>
            <w:r>
              <w:rPr>
                <w:rFonts w:ascii="Calibri" w:hAnsi="Calibri"/>
                <w:color w:val="263238"/>
                <w:sz w:val="18"/>
              </w:rPr>
              <w:t xml:space="preserve">Oman: F</w:t>
            </w:r>
          </w:p>
        </w:tc>
        <w:tc>
          <w:tcPr>
            <w:tcW w:w="1900" w:type="dxa"/>
          </w:tcPr>
          <w:p>
            <w:pPr>
              <w:spacing w:after="20" w:line="264" w:lineRule="auto"/>
            </w:pPr>
            <w:r>
              <w:rPr>
                <w:rFonts w:ascii="Calibri" w:hAnsi="Calibri"/>
                <w:color w:val="263238"/>
                <w:sz w:val="18"/>
              </w:rPr>
              <w:t xml:space="preserve">Iran: C, Oman: C</w:t>
            </w:r>
          </w:p>
        </w:tc>
      </w:tr>
    </w:tbl>
    <w:p>
      <w:pPr>
        <w:spacing w:after="160"/>
      </w:pPr>
    </w:p>
    <w:p>
      <w:pPr>
        <w:jc w:val="both"/>
      </w:pPr>
      <w:r>
        <w:rPr/>
        <w:t xml:space="preserve">Functions F-8 and F-9 belong to the Authority system-wide because information never belongs to one shore: the bulletin a mariner reads and the picture an observer watches come from the joint institution, always. Patrol presence under Article 13.5 follows the same geography: Iranian coast guard and maritime police assets in the Northern Corridor, Omani assets in the Southern Corridor, paired assets in the Central Assurance Corridor.</w:t>
      </w:r>
    </w:p>
    <w:p>
      <w:pPr>
        <w:pStyle w:val="Heading2"/>
      </w:pPr>
      <w:bookmarkStart w:id="195" w:name="_Toc261100095"/>
      <w:r>
        <w:rPr>
          <w:rFonts w:ascii="Calibri" w:hAnsi="Calibri"/>
        </w:rPr>
        <w:t xml:space="preserve">E.3 Table E.3: The Twin Key Schedule</w:t>
      </w:r>
      <w:bookmarkEnd w:id="195"/>
    </w:p>
    <w:p>
      <w:pPr>
        <w:jc w:val="both"/>
      </w:pPr>
      <w:r>
        <w:rPr/>
        <w:t xml:space="preserve">The eight consequential actions of Article 14.2 carry the following key pairs and response windows. The silence rule of Article 14.4 applies in every row: silence past the window concurs in safety actions and withholds concurrence in administrative actions.</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3300"/>
        <w:gridCol w:w="3000"/>
        <w:gridCol w:w="1600"/>
        <w:gridCol w:w="1600"/>
      </w:tblGrid>
      <w:tr>
        <w:trPr>
          <w:tblHeader/>
        </w:trPr>
        <w:tc>
          <w:tcPr>
            <w:tcW w:w="3300" w:type="dxa"/>
            <w:shd w:val="clear" w:fill="E8EDF1"/>
          </w:tcPr>
          <w:p>
            <w:pPr>
              <w:spacing w:after="20" w:line="264" w:lineRule="auto"/>
            </w:pPr>
            <w:r>
              <w:rPr>
                <w:rFonts w:ascii="Calibri" w:hAnsi="Calibri"/>
                <w:b/>
                <w:color w:val="2E4A62"/>
                <w:sz w:val="18"/>
              </w:rPr>
              <w:t xml:space="preserve">Consequential action</w:t>
            </w:r>
          </w:p>
        </w:tc>
        <w:tc>
          <w:tcPr>
            <w:tcW w:w="3000" w:type="dxa"/>
            <w:shd w:val="clear" w:fill="E8EDF1"/>
          </w:tcPr>
          <w:p>
            <w:pPr>
              <w:spacing w:after="20" w:line="264" w:lineRule="auto"/>
            </w:pPr>
            <w:r>
              <w:rPr>
                <w:rFonts w:ascii="Calibri" w:hAnsi="Calibri"/>
                <w:b/>
                <w:color w:val="2E4A62"/>
                <w:sz w:val="18"/>
              </w:rPr>
              <w:t xml:space="preserve">Key pair</w:t>
            </w:r>
          </w:p>
        </w:tc>
        <w:tc>
          <w:tcPr>
            <w:tcW w:w="1600" w:type="dxa"/>
            <w:shd w:val="clear" w:fill="E8EDF1"/>
          </w:tcPr>
          <w:p>
            <w:pPr>
              <w:spacing w:after="20" w:line="264" w:lineRule="auto"/>
            </w:pPr>
            <w:r>
              <w:rPr>
                <w:rFonts w:ascii="Calibri" w:hAnsi="Calibri"/>
                <w:b/>
                <w:color w:val="2E4A62"/>
                <w:sz w:val="18"/>
              </w:rPr>
              <w:t xml:space="preserve">Window</w:t>
            </w:r>
          </w:p>
        </w:tc>
        <w:tc>
          <w:tcPr>
            <w:tcW w:w="1600" w:type="dxa"/>
            <w:shd w:val="clear" w:fill="E8EDF1"/>
          </w:tcPr>
          <w:p>
            <w:pPr>
              <w:spacing w:after="20" w:line="264" w:lineRule="auto"/>
            </w:pPr>
            <w:r>
              <w:rPr>
                <w:rFonts w:ascii="Calibri" w:hAnsi="Calibri"/>
                <w:b/>
                <w:color w:val="2E4A62"/>
                <w:sz w:val="18"/>
              </w:rPr>
              <w:t xml:space="preserve">Class</w:t>
            </w:r>
          </w:p>
        </w:tc>
      </w:tr>
      <w:tr>
        <w:tc>
          <w:tcPr>
            <w:tcW w:w="3300" w:type="dxa"/>
          </w:tcPr>
          <w:p>
            <w:pPr>
              <w:spacing w:after="20" w:line="264" w:lineRule="auto"/>
            </w:pPr>
            <w:r>
              <w:rPr>
                <w:rFonts w:ascii="Calibri" w:hAnsi="Calibri"/>
                <w:color w:val="263238"/>
                <w:sz w:val="18"/>
              </w:rPr>
              <w:t xml:space="preserve">K-1 Transition to Suspended Flow</w:t>
            </w:r>
          </w:p>
        </w:tc>
        <w:tc>
          <w:tcPr>
            <w:tcW w:w="3000" w:type="dxa"/>
          </w:tcPr>
          <w:p>
            <w:pPr>
              <w:spacing w:after="20" w:line="264" w:lineRule="auto"/>
            </w:pPr>
            <w:r>
              <w:rPr>
                <w:rFonts w:ascii="Calibri" w:hAnsi="Calibri"/>
                <w:color w:val="263238"/>
                <w:sz w:val="18"/>
              </w:rPr>
              <w:t xml:space="preserve">Iranian functional director + Omani functional director</w:t>
            </w:r>
          </w:p>
        </w:tc>
        <w:tc>
          <w:tcPr>
            <w:tcW w:w="1600" w:type="dxa"/>
          </w:tcPr>
          <w:p>
            <w:pPr>
              <w:spacing w:after="20" w:line="264" w:lineRule="auto"/>
            </w:pPr>
            <w:r>
              <w:rPr>
                <w:rFonts w:ascii="Calibri" w:hAnsi="Calibri"/>
                <w:color w:val="263238"/>
                <w:sz w:val="18"/>
              </w:rPr>
              <w:t xml:space="preserve">15 minutes</w:t>
            </w:r>
          </w:p>
        </w:tc>
        <w:tc>
          <w:tcPr>
            <w:tcW w:w="1600" w:type="dxa"/>
          </w:tcPr>
          <w:p>
            <w:pPr>
              <w:spacing w:after="20" w:line="264" w:lineRule="auto"/>
            </w:pPr>
            <w:r>
              <w:rPr>
                <w:rFonts w:ascii="Calibri" w:hAnsi="Calibri"/>
                <w:color w:val="263238"/>
                <w:sz w:val="18"/>
              </w:rPr>
              <w:t xml:space="preserve">Safety</w:t>
            </w:r>
          </w:p>
        </w:tc>
      </w:tr>
      <w:tr>
        <w:tc>
          <w:tcPr>
            <w:tcW w:w="3300" w:type="dxa"/>
          </w:tcPr>
          <w:p>
            <w:pPr>
              <w:spacing w:after="20" w:line="264" w:lineRule="auto"/>
            </w:pPr>
            <w:r>
              <w:rPr>
                <w:rFonts w:ascii="Calibri" w:hAnsi="Calibri"/>
                <w:color w:val="263238"/>
                <w:sz w:val="18"/>
              </w:rPr>
              <w:t xml:space="preserve">K-2 Multi-vessel emergency diversion</w:t>
            </w:r>
          </w:p>
        </w:tc>
        <w:tc>
          <w:tcPr>
            <w:tcW w:w="3000" w:type="dxa"/>
          </w:tcPr>
          <w:p>
            <w:pPr>
              <w:spacing w:after="20" w:line="264" w:lineRule="auto"/>
            </w:pPr>
            <w:r>
              <w:rPr>
                <w:rFonts w:ascii="Calibri" w:hAnsi="Calibri"/>
                <w:color w:val="263238"/>
                <w:sz w:val="18"/>
              </w:rPr>
              <w:t xml:space="preserve">Corridor function holder + co-director on watch</w:t>
            </w:r>
          </w:p>
        </w:tc>
        <w:tc>
          <w:tcPr>
            <w:tcW w:w="1600" w:type="dxa"/>
          </w:tcPr>
          <w:p>
            <w:pPr>
              <w:spacing w:after="20" w:line="264" w:lineRule="auto"/>
            </w:pPr>
            <w:r>
              <w:rPr>
                <w:rFonts w:ascii="Calibri" w:hAnsi="Calibri"/>
                <w:color w:val="263238"/>
                <w:sz w:val="18"/>
              </w:rPr>
              <w:t xml:space="preserve">15 minutes</w:t>
            </w:r>
          </w:p>
        </w:tc>
        <w:tc>
          <w:tcPr>
            <w:tcW w:w="1600" w:type="dxa"/>
          </w:tcPr>
          <w:p>
            <w:pPr>
              <w:spacing w:after="20" w:line="264" w:lineRule="auto"/>
            </w:pPr>
            <w:r>
              <w:rPr>
                <w:rFonts w:ascii="Calibri" w:hAnsi="Calibri"/>
                <w:color w:val="263238"/>
                <w:sz w:val="18"/>
              </w:rPr>
              <w:t xml:space="preserve">Safety</w:t>
            </w:r>
          </w:p>
        </w:tc>
      </w:tr>
      <w:tr>
        <w:tc>
          <w:tcPr>
            <w:tcW w:w="3300" w:type="dxa"/>
          </w:tcPr>
          <w:p>
            <w:pPr>
              <w:spacing w:after="20" w:line="264" w:lineRule="auto"/>
            </w:pPr>
            <w:r>
              <w:rPr>
                <w:rFonts w:ascii="Calibri" w:hAnsi="Calibri"/>
                <w:color w:val="263238"/>
                <w:sz w:val="18"/>
              </w:rPr>
              <w:t xml:space="preserve">K-3 Hazard area declaration and rerouting</w:t>
            </w:r>
          </w:p>
        </w:tc>
        <w:tc>
          <w:tcPr>
            <w:tcW w:w="3000" w:type="dxa"/>
          </w:tcPr>
          <w:p>
            <w:pPr>
              <w:spacing w:after="20" w:line="264" w:lineRule="auto"/>
            </w:pPr>
            <w:r>
              <w:rPr>
                <w:rFonts w:ascii="Calibri" w:hAnsi="Calibri"/>
                <w:color w:val="263238"/>
                <w:sz w:val="18"/>
              </w:rPr>
              <w:t xml:space="preserve">Joint Survey Cell co-leads</w:t>
            </w:r>
          </w:p>
        </w:tc>
        <w:tc>
          <w:tcPr>
            <w:tcW w:w="1600" w:type="dxa"/>
          </w:tcPr>
          <w:p>
            <w:pPr>
              <w:spacing w:after="20" w:line="264" w:lineRule="auto"/>
            </w:pPr>
            <w:r>
              <w:rPr>
                <w:rFonts w:ascii="Calibri" w:hAnsi="Calibri"/>
                <w:color w:val="263238"/>
                <w:sz w:val="18"/>
              </w:rPr>
              <w:t xml:space="preserve">2 hours</w:t>
            </w:r>
          </w:p>
        </w:tc>
        <w:tc>
          <w:tcPr>
            <w:tcW w:w="1600" w:type="dxa"/>
          </w:tcPr>
          <w:p>
            <w:pPr>
              <w:spacing w:after="20" w:line="264" w:lineRule="auto"/>
            </w:pPr>
            <w:r>
              <w:rPr>
                <w:rFonts w:ascii="Calibri" w:hAnsi="Calibri"/>
                <w:color w:val="263238"/>
                <w:sz w:val="18"/>
              </w:rPr>
              <w:t xml:space="preserve">Safety</w:t>
            </w:r>
          </w:p>
        </w:tc>
      </w:tr>
      <w:tr>
        <w:tc>
          <w:tcPr>
            <w:tcW w:w="3300" w:type="dxa"/>
          </w:tcPr>
          <w:p>
            <w:pPr>
              <w:spacing w:after="20" w:line="264" w:lineRule="auto"/>
            </w:pPr>
            <w:r>
              <w:rPr>
                <w:rFonts w:ascii="Calibri" w:hAnsi="Calibri"/>
                <w:color w:val="263238"/>
                <w:sz w:val="18"/>
              </w:rPr>
              <w:t xml:space="preserve">K-4 Mine countermeasure activation</w:t>
            </w:r>
          </w:p>
        </w:tc>
        <w:tc>
          <w:tcPr>
            <w:tcW w:w="3000" w:type="dxa"/>
          </w:tcPr>
          <w:p>
            <w:pPr>
              <w:spacing w:after="20" w:line="264" w:lineRule="auto"/>
            </w:pPr>
            <w:r>
              <w:rPr>
                <w:rFonts w:ascii="Calibri" w:hAnsi="Calibri"/>
                <w:color w:val="263238"/>
                <w:sz w:val="18"/>
              </w:rPr>
              <w:t xml:space="preserve">Iranian co-lead + Omani co-lead + NVO duty certifier (any two of three)</w:t>
            </w:r>
          </w:p>
        </w:tc>
        <w:tc>
          <w:tcPr>
            <w:tcW w:w="1600" w:type="dxa"/>
          </w:tcPr>
          <w:p>
            <w:pPr>
              <w:spacing w:after="20" w:line="264" w:lineRule="auto"/>
            </w:pPr>
            <w:r>
              <w:rPr>
                <w:rFonts w:ascii="Calibri" w:hAnsi="Calibri"/>
                <w:color w:val="263238"/>
                <w:sz w:val="18"/>
              </w:rPr>
              <w:t xml:space="preserve">2 hours</w:t>
            </w:r>
          </w:p>
        </w:tc>
        <w:tc>
          <w:tcPr>
            <w:tcW w:w="1600" w:type="dxa"/>
          </w:tcPr>
          <w:p>
            <w:pPr>
              <w:spacing w:after="20" w:line="264" w:lineRule="auto"/>
            </w:pPr>
            <w:r>
              <w:rPr>
                <w:rFonts w:ascii="Calibri" w:hAnsi="Calibri"/>
                <w:color w:val="263238"/>
                <w:sz w:val="18"/>
              </w:rPr>
              <w:t xml:space="preserve">Safety</w:t>
            </w:r>
          </w:p>
        </w:tc>
      </w:tr>
      <w:tr>
        <w:tc>
          <w:tcPr>
            <w:tcW w:w="3300" w:type="dxa"/>
          </w:tcPr>
          <w:p>
            <w:pPr>
              <w:spacing w:after="20" w:line="264" w:lineRule="auto"/>
            </w:pPr>
            <w:r>
              <w:rPr>
                <w:rFonts w:ascii="Calibri" w:hAnsi="Calibri"/>
                <w:color w:val="263238"/>
                <w:sz w:val="18"/>
              </w:rPr>
              <w:t xml:space="preserve">K-5 Corridor geometry adjustment proposal</w:t>
            </w:r>
          </w:p>
        </w:tc>
        <w:tc>
          <w:tcPr>
            <w:tcW w:w="3000" w:type="dxa"/>
          </w:tcPr>
          <w:p>
            <w:pPr>
              <w:spacing w:after="20" w:line="264" w:lineRule="auto"/>
            </w:pPr>
            <w:r>
              <w:rPr>
                <w:rFonts w:ascii="Calibri" w:hAnsi="Calibri"/>
                <w:color w:val="263238"/>
                <w:sz w:val="18"/>
              </w:rPr>
              <w:t xml:space="preserve">Both Founding Parties at ministerial level</w:t>
            </w:r>
          </w:p>
        </w:tc>
        <w:tc>
          <w:tcPr>
            <w:tcW w:w="1600" w:type="dxa"/>
          </w:tcPr>
          <w:p>
            <w:pPr>
              <w:spacing w:after="20" w:line="264" w:lineRule="auto"/>
            </w:pPr>
            <w:r>
              <w:rPr>
                <w:rFonts w:ascii="Calibri" w:hAnsi="Calibri"/>
                <w:color w:val="263238"/>
                <w:sz w:val="18"/>
              </w:rPr>
              <w:t xml:space="preserve">30 days</w:t>
            </w:r>
          </w:p>
        </w:tc>
        <w:tc>
          <w:tcPr>
            <w:tcW w:w="1600" w:type="dxa"/>
          </w:tcPr>
          <w:p>
            <w:pPr>
              <w:spacing w:after="20" w:line="264" w:lineRule="auto"/>
            </w:pPr>
            <w:r>
              <w:rPr>
                <w:rFonts w:ascii="Calibri" w:hAnsi="Calibri"/>
                <w:color w:val="263238"/>
                <w:sz w:val="18"/>
              </w:rPr>
              <w:t xml:space="preserve">Administrative</w:t>
            </w:r>
          </w:p>
        </w:tc>
      </w:tr>
      <w:tr>
        <w:tc>
          <w:tcPr>
            <w:tcW w:w="3300" w:type="dxa"/>
          </w:tcPr>
          <w:p>
            <w:pPr>
              <w:spacing w:after="20" w:line="264" w:lineRule="auto"/>
            </w:pPr>
            <w:r>
              <w:rPr>
                <w:rFonts w:ascii="Calibri" w:hAnsi="Calibri"/>
                <w:color w:val="263238"/>
                <w:sz w:val="18"/>
              </w:rPr>
              <w:t xml:space="preserve">K-6 Tier 2 or Tier 3 classification</w:t>
            </w:r>
          </w:p>
        </w:tc>
        <w:tc>
          <w:tcPr>
            <w:tcW w:w="3000" w:type="dxa"/>
          </w:tcPr>
          <w:p>
            <w:pPr>
              <w:spacing w:after="20" w:line="264" w:lineRule="auto"/>
            </w:pPr>
            <w:r>
              <w:rPr>
                <w:rFonts w:ascii="Calibri" w:hAnsi="Calibri"/>
                <w:color w:val="263238"/>
                <w:sz w:val="18"/>
              </w:rPr>
              <w:t xml:space="preserve">Chief Verifier + co-signing state duty certifier</w:t>
            </w:r>
          </w:p>
        </w:tc>
        <w:tc>
          <w:tcPr>
            <w:tcW w:w="1600" w:type="dxa"/>
          </w:tcPr>
          <w:p>
            <w:pPr>
              <w:spacing w:after="20" w:line="264" w:lineRule="auto"/>
            </w:pPr>
            <w:r>
              <w:rPr>
                <w:rFonts w:ascii="Calibri" w:hAnsi="Calibri"/>
                <w:color w:val="263238"/>
                <w:sz w:val="18"/>
              </w:rPr>
              <w:t xml:space="preserve">2 hours</w:t>
            </w:r>
          </w:p>
        </w:tc>
        <w:tc>
          <w:tcPr>
            <w:tcW w:w="1600" w:type="dxa"/>
          </w:tcPr>
          <w:p>
            <w:pPr>
              <w:spacing w:after="20" w:line="264" w:lineRule="auto"/>
            </w:pPr>
            <w:r>
              <w:rPr>
                <w:rFonts w:ascii="Calibri" w:hAnsi="Calibri"/>
                <w:color w:val="263238"/>
                <w:sz w:val="18"/>
              </w:rPr>
              <w:t xml:space="preserve">Administrative</w:t>
            </w:r>
          </w:p>
        </w:tc>
      </w:tr>
      <w:tr>
        <w:tc>
          <w:tcPr>
            <w:tcW w:w="3300" w:type="dxa"/>
          </w:tcPr>
          <w:p>
            <w:pPr>
              <w:spacing w:after="20" w:line="264" w:lineRule="auto"/>
            </w:pPr>
            <w:r>
              <w:rPr>
                <w:rFonts w:ascii="Calibri" w:hAnsi="Calibri"/>
                <w:color w:val="263238"/>
                <w:sz w:val="18"/>
              </w:rPr>
              <w:t xml:space="preserve">K-7 Step-back measure</w:t>
            </w:r>
          </w:p>
        </w:tc>
        <w:tc>
          <w:tcPr>
            <w:tcW w:w="3000" w:type="dxa"/>
          </w:tcPr>
          <w:p>
            <w:pPr>
              <w:spacing w:after="20" w:line="264" w:lineRule="auto"/>
            </w:pPr>
            <w:r>
              <w:rPr>
                <w:rFonts w:ascii="Calibri" w:hAnsi="Calibri"/>
                <w:color w:val="263238"/>
                <w:sz w:val="18"/>
              </w:rPr>
              <w:t xml:space="preserve">Chief Verifier + Bridge Commission chair</w:t>
            </w:r>
          </w:p>
        </w:tc>
        <w:tc>
          <w:tcPr>
            <w:tcW w:w="1600" w:type="dxa"/>
          </w:tcPr>
          <w:p>
            <w:pPr>
              <w:spacing w:after="20" w:line="264" w:lineRule="auto"/>
            </w:pPr>
            <w:r>
              <w:rPr>
                <w:rFonts w:ascii="Calibri" w:hAnsi="Calibri"/>
                <w:color w:val="263238"/>
                <w:sz w:val="18"/>
              </w:rPr>
              <w:t xml:space="preserve">24 hours</w:t>
            </w:r>
          </w:p>
        </w:tc>
        <w:tc>
          <w:tcPr>
            <w:tcW w:w="1600" w:type="dxa"/>
          </w:tcPr>
          <w:p>
            <w:pPr>
              <w:spacing w:after="20" w:line="264" w:lineRule="auto"/>
            </w:pPr>
            <w:r>
              <w:rPr>
                <w:rFonts w:ascii="Calibri" w:hAnsi="Calibri"/>
                <w:color w:val="263238"/>
                <w:sz w:val="18"/>
              </w:rPr>
              <w:t xml:space="preserve">Administrative</w:t>
            </w:r>
          </w:p>
        </w:tc>
      </w:tr>
      <w:tr>
        <w:tc>
          <w:tcPr>
            <w:tcW w:w="3300" w:type="dxa"/>
          </w:tcPr>
          <w:p>
            <w:pPr>
              <w:spacing w:after="20" w:line="264" w:lineRule="auto"/>
            </w:pPr>
            <w:r>
              <w:rPr>
                <w:rFonts w:ascii="Calibri" w:hAnsi="Calibri"/>
                <w:color w:val="263238"/>
                <w:sz w:val="18"/>
              </w:rPr>
              <w:t xml:space="preserve">K-8 Publication naming a Party in a compliance finding</w:t>
            </w:r>
          </w:p>
        </w:tc>
        <w:tc>
          <w:tcPr>
            <w:tcW w:w="3000" w:type="dxa"/>
          </w:tcPr>
          <w:p>
            <w:pPr>
              <w:spacing w:after="20" w:line="264" w:lineRule="auto"/>
            </w:pPr>
            <w:r>
              <w:rPr>
                <w:rFonts w:ascii="Calibri" w:hAnsi="Calibri"/>
                <w:color w:val="263238"/>
                <w:sz w:val="18"/>
              </w:rPr>
              <w:t xml:space="preserve">Chief Verifier + Neutral Administrator</w:t>
            </w:r>
          </w:p>
        </w:tc>
        <w:tc>
          <w:tcPr>
            <w:tcW w:w="1600" w:type="dxa"/>
          </w:tcPr>
          <w:p>
            <w:pPr>
              <w:spacing w:after="20" w:line="264" w:lineRule="auto"/>
            </w:pPr>
            <w:r>
              <w:rPr>
                <w:rFonts w:ascii="Calibri" w:hAnsi="Calibri"/>
                <w:color w:val="263238"/>
                <w:sz w:val="18"/>
              </w:rPr>
              <w:t xml:space="preserve">24 hours</w:t>
            </w:r>
          </w:p>
        </w:tc>
        <w:tc>
          <w:tcPr>
            <w:tcW w:w="1600" w:type="dxa"/>
          </w:tcPr>
          <w:p>
            <w:pPr>
              <w:spacing w:after="20" w:line="264" w:lineRule="auto"/>
            </w:pPr>
            <w:r>
              <w:rPr>
                <w:rFonts w:ascii="Calibri" w:hAnsi="Calibri"/>
                <w:color w:val="263238"/>
                <w:sz w:val="18"/>
              </w:rPr>
              <w:t xml:space="preserve">Administrative</w:t>
            </w:r>
          </w:p>
        </w:tc>
      </w:tr>
    </w:tbl>
    <w:p>
      <w:pPr>
        <w:spacing w:after="160"/>
      </w:pPr>
    </w:p>
    <w:p>
      <w:pPr>
        <w:pStyle w:val="Heading2"/>
      </w:pPr>
      <w:bookmarkStart w:id="196" w:name="_Toc261100096"/>
      <w:r>
        <w:rPr>
          <w:rFonts w:ascii="Calibri" w:hAnsi="Calibri"/>
        </w:rPr>
        <w:t xml:space="preserve">E.4 The Pairing Staffing Rule</w:t>
      </w:r>
      <w:bookmarkEnd w:id="196"/>
    </w:p>
    <w:p>
      <w:pPr>
        <w:jc w:val="both"/>
      </w:pPr>
      <w:r>
        <w:rPr/>
        <w:t xml:space="preserve">Every operational post named in this Annex staffs with paired officers under Article 19.2: one Iranian and one Omani officer on every watch, at every post, at all times. Acceding states join the pairing pool under Annex M as their participation deepens: a third officer joins a post, never replaces the pair. The pairing rule means that every Twin Key request passes between officers who stand in the same room, watch the same picture, and sign the same log.</w:t>
      </w:r>
    </w:p>
    <w:p>
      <w:pPr>
        <w:pStyle w:val="Heading2"/>
      </w:pPr>
      <w:bookmarkStart w:id="197" w:name="_Toc261100097"/>
      <w:r>
        <w:rPr>
          <w:rFonts w:ascii="Calibri" w:hAnsi="Calibri"/>
        </w:rPr>
        <w:t xml:space="preserve">E.5 Functional Weighting for the Escalator</w:t>
      </w:r>
      <w:bookmarkEnd w:id="197"/>
    </w:p>
    <w:p>
      <w:pPr>
        <w:jc w:val="both"/>
      </w:pPr>
      <w:r>
        <w:rPr/>
        <w:t xml:space="preserve">For the purposes of Article 34, the corridor function set weights as follows, across the whole system: the Northern Corridor set carries 33 points; the Southern Corridor set carries 33 points; the Central Assurance co-functions carry 20 points; and the system-level functions (bulletin issuance custody, survey co-lead, convoy coordination premium) carry 14 points. Iran's baseline share of 33 percent reflects its full performance of the Northern set. Expansion stages of Annex H add Central co-functions and system-level functions in defined increments, and the weighting table of Annex H, Section H.7, lists every point of every stage. Oman's share computes as the complement within the same table, and the two shares sum to 100 at every escalator state by construction.</w:t>
      </w:r>
    </w:p>
    <w:p>
      <w:pPr>
        <w:pStyle w:val="Heading2"/>
      </w:pPr>
      <w:bookmarkStart w:id="198" w:name="_Toc261100098"/>
      <w:r>
        <w:rPr>
          <w:rFonts w:ascii="Calibri" w:hAnsi="Calibri"/>
        </w:rPr>
        <w:t xml:space="preserve">E.6 Functions the Table Never Contains</w:t>
      </w:r>
      <w:bookmarkEnd w:id="198"/>
    </w:p>
    <w:p>
      <w:pPr>
        <w:jc w:val="both"/>
      </w:pPr>
      <w:r>
        <w:rPr/>
        <w:t xml:space="preserve">For absolute clarity, the following never appear in the Functional Allocation Table at any escalator state: interdiction authority; boarding or inspection authority; diversion or seizure authority; weapons employment; blockade or quarantine enforcement; sanctions enforcement; intelligence collection; and approval power over any transit. The table allocates services. The excluded items are not functions; they are the acts the framework prohibits, and no expansion stage, no emergency, and no interpretation brings them in.</w:t>
      </w:r>
    </w:p>
    <w:p>
      <w:pPr>
        <w:pStyle w:val="Heading1"/>
        <w:pageBreakBefore/>
        <w:pBdr>
          <w:bottom w:val="single" w:color="B9C6CF" w:sz="6" w:space="4"/>
        </w:pBdr>
      </w:pPr>
      <w:bookmarkStart w:id="199" w:name="_Toc261100099"/>
      <w:r>
        <w:rPr>
          <w:rFonts w:ascii="Calibri" w:hAnsi="Calibri"/>
        </w:rPr>
        <w:t xml:space="preserve">Annex F: Communications Formats and the Mariners' Handbook</w:t>
      </w:r>
      <w:bookmarkEnd w:id="199"/>
    </w:p>
    <w:p>
      <w:pPr>
        <w:jc w:val="both"/>
      </w:pPr>
      <w:r>
        <w:rPr/>
        <w:t xml:space="preserve">This Annex carries the operational formats every mariner, agent, and watch officer uses: the transit notice, the acknowledgment, the Open Water Bulletin, the incident report form, and the table of contents of the Mariners' Handbook. Every format obeys the one-page principle of Article 4.2, and every format publishes in Persian, Arabic, and English.</w:t>
      </w:r>
    </w:p>
    <w:p>
      <w:pPr>
        <w:pStyle w:val="Heading2"/>
      </w:pPr>
      <w:bookmarkStart w:id="200" w:name="_Toc261100100"/>
      <w:r>
        <w:rPr>
          <w:rFonts w:ascii="Calibri" w:hAnsi="Calibri"/>
        </w:rPr>
        <w:t xml:space="preserve">F.1 General Rules</w:t>
      </w:r>
      <w:bookmarkEnd w:id="200"/>
    </w:p>
    <w:p>
      <w:pPr>
        <w:jc w:val="both"/>
      </w:pPr>
      <w:r>
        <w:rPr/>
        <w:t xml:space="preserve">Formats transmit by the Authority's digital channel, by the recognized maritime safety broadcast services, or by the agent portal the Secretariat operates. A format that arrives complete receives its acknowledgment inside the stated window; a format that arrives incomplete returns within the same window with the defect named. No format carries any fee, and no format conditions passage.</w:t>
      </w:r>
    </w:p>
    <w:p>
      <w:pPr>
        <w:pStyle w:val="Heading2"/>
      </w:pPr>
      <w:bookmarkStart w:id="201" w:name="_Toc261100101"/>
      <w:r>
        <w:rPr>
          <w:rFonts w:ascii="Calibri" w:hAnsi="Calibri"/>
        </w:rPr>
        <w:t xml:space="preserve">F.2 The Transit Notice (Northern Inbound Corridor)</w:t>
      </w:r>
      <w:bookmarkEnd w:id="201"/>
    </w:p>
    <w:p>
      <w:pPr>
        <w:jc w:val="both"/>
      </w:pPr>
      <w:r>
        <w:rPr/>
        <w:t xml:space="preserve">The transit notice contains exactly ten fields under Article 10.2. The master or agent files it between 72 and 6 hours before corridor entry.</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900"/>
        <w:gridCol w:w="2800"/>
        <w:gridCol w:w="4800"/>
      </w:tblGrid>
      <w:tr>
        <w:trPr>
          <w:tblHeader/>
        </w:trPr>
        <w:tc>
          <w:tcPr>
            <w:tcW w:w="900" w:type="dxa"/>
            <w:shd w:val="clear" w:fill="E8EDF1"/>
          </w:tcPr>
          <w:p>
            <w:pPr>
              <w:spacing w:after="20" w:line="264" w:lineRule="auto"/>
            </w:pPr>
            <w:r>
              <w:rPr>
                <w:rFonts w:ascii="Calibri" w:hAnsi="Calibri"/>
                <w:b/>
                <w:color w:val="2E4A62"/>
                <w:sz w:val="18"/>
              </w:rPr>
              <w:t xml:space="preserve">No.</w:t>
            </w:r>
          </w:p>
        </w:tc>
        <w:tc>
          <w:tcPr>
            <w:tcW w:w="2800" w:type="dxa"/>
            <w:shd w:val="clear" w:fill="E8EDF1"/>
          </w:tcPr>
          <w:p>
            <w:pPr>
              <w:spacing w:after="20" w:line="264" w:lineRule="auto"/>
            </w:pPr>
            <w:r>
              <w:rPr>
                <w:rFonts w:ascii="Calibri" w:hAnsi="Calibri"/>
                <w:b/>
                <w:color w:val="2E4A62"/>
                <w:sz w:val="18"/>
              </w:rPr>
              <w:t xml:space="preserve">Field</w:t>
            </w:r>
          </w:p>
        </w:tc>
        <w:tc>
          <w:tcPr>
            <w:tcW w:w="4800" w:type="dxa"/>
            <w:shd w:val="clear" w:fill="E8EDF1"/>
          </w:tcPr>
          <w:p>
            <w:pPr>
              <w:spacing w:after="20" w:line="264" w:lineRule="auto"/>
            </w:pPr>
            <w:r>
              <w:rPr>
                <w:rFonts w:ascii="Calibri" w:hAnsi="Calibri"/>
                <w:b/>
                <w:color w:val="2E4A62"/>
                <w:sz w:val="18"/>
              </w:rPr>
              <w:t xml:space="preserve">Content rule</w:t>
            </w:r>
          </w:p>
        </w:tc>
      </w:tr>
      <w:tr>
        <w:tc>
          <w:tcPr>
            <w:tcW w:w="900" w:type="dxa"/>
          </w:tcPr>
          <w:p>
            <w:pPr>
              <w:spacing w:after="20" w:line="264" w:lineRule="auto"/>
            </w:pPr>
            <w:r>
              <w:rPr>
                <w:rFonts w:ascii="Calibri" w:hAnsi="Calibri"/>
                <w:color w:val="263238"/>
                <w:sz w:val="18"/>
              </w:rPr>
              <w:t xml:space="preserve">1</w:t>
            </w:r>
          </w:p>
        </w:tc>
        <w:tc>
          <w:tcPr>
            <w:tcW w:w="2800" w:type="dxa"/>
          </w:tcPr>
          <w:p>
            <w:pPr>
              <w:spacing w:after="20" w:line="264" w:lineRule="auto"/>
            </w:pPr>
            <w:r>
              <w:rPr>
                <w:rFonts w:ascii="Calibri" w:hAnsi="Calibri"/>
                <w:color w:val="263238"/>
                <w:sz w:val="18"/>
              </w:rPr>
              <w:t xml:space="preserve">Vessel identity</w:t>
            </w:r>
          </w:p>
        </w:tc>
        <w:tc>
          <w:tcPr>
            <w:tcW w:w="4800" w:type="dxa"/>
          </w:tcPr>
          <w:p>
            <w:pPr>
              <w:spacing w:after="20" w:line="264" w:lineRule="auto"/>
            </w:pPr>
            <w:r>
              <w:rPr>
                <w:rFonts w:ascii="Calibri" w:hAnsi="Calibri"/>
                <w:color w:val="263238"/>
                <w:sz w:val="18"/>
              </w:rPr>
              <w:t xml:space="preserve">Name and IMO number, exactly as registered</w:t>
            </w:r>
          </w:p>
        </w:tc>
      </w:tr>
      <w:tr>
        <w:tc>
          <w:tcPr>
            <w:tcW w:w="900" w:type="dxa"/>
          </w:tcPr>
          <w:p>
            <w:pPr>
              <w:spacing w:after="20" w:line="264" w:lineRule="auto"/>
            </w:pPr>
            <w:r>
              <w:rPr>
                <w:rFonts w:ascii="Calibri" w:hAnsi="Calibri"/>
                <w:color w:val="263238"/>
                <w:sz w:val="18"/>
              </w:rPr>
              <w:t xml:space="preserve">2</w:t>
            </w:r>
          </w:p>
        </w:tc>
        <w:tc>
          <w:tcPr>
            <w:tcW w:w="2800" w:type="dxa"/>
          </w:tcPr>
          <w:p>
            <w:pPr>
              <w:spacing w:after="20" w:line="264" w:lineRule="auto"/>
            </w:pPr>
            <w:r>
              <w:rPr>
                <w:rFonts w:ascii="Calibri" w:hAnsi="Calibri"/>
                <w:color w:val="263238"/>
                <w:sz w:val="18"/>
              </w:rPr>
              <w:t xml:space="preserve">Vessel class</w:t>
            </w:r>
          </w:p>
        </w:tc>
        <w:tc>
          <w:tcPr>
            <w:tcW w:w="4800" w:type="dxa"/>
          </w:tcPr>
          <w:p>
            <w:pPr>
              <w:spacing w:after="20" w:line="264" w:lineRule="auto"/>
            </w:pPr>
            <w:r>
              <w:rPr>
                <w:rFonts w:ascii="Calibri" w:hAnsi="Calibri"/>
                <w:color w:val="263238"/>
                <w:sz w:val="18"/>
              </w:rPr>
              <w:t xml:space="preserve">V-1, V-2, V-3, V-4, or V-5 under Article 9</w:t>
            </w:r>
          </w:p>
        </w:tc>
      </w:tr>
      <w:tr>
        <w:tc>
          <w:tcPr>
            <w:tcW w:w="900" w:type="dxa"/>
          </w:tcPr>
          <w:p>
            <w:pPr>
              <w:spacing w:after="20" w:line="264" w:lineRule="auto"/>
            </w:pPr>
            <w:r>
              <w:rPr>
                <w:rFonts w:ascii="Calibri" w:hAnsi="Calibri"/>
                <w:color w:val="263238"/>
                <w:sz w:val="18"/>
              </w:rPr>
              <w:t xml:space="preserve">3</w:t>
            </w:r>
          </w:p>
        </w:tc>
        <w:tc>
          <w:tcPr>
            <w:tcW w:w="2800" w:type="dxa"/>
          </w:tcPr>
          <w:p>
            <w:pPr>
              <w:spacing w:after="20" w:line="264" w:lineRule="auto"/>
            </w:pPr>
            <w:r>
              <w:rPr>
                <w:rFonts w:ascii="Calibri" w:hAnsi="Calibri"/>
                <w:color w:val="263238"/>
                <w:sz w:val="18"/>
              </w:rPr>
              <w:t xml:space="preserve">Flag state</w:t>
            </w:r>
          </w:p>
        </w:tc>
        <w:tc>
          <w:tcPr>
            <w:tcW w:w="4800" w:type="dxa"/>
          </w:tcPr>
          <w:p>
            <w:pPr>
              <w:spacing w:after="20" w:line="264" w:lineRule="auto"/>
            </w:pPr>
            <w:r>
              <w:rPr>
                <w:rFonts w:ascii="Calibri" w:hAnsi="Calibri"/>
                <w:color w:val="263238"/>
                <w:sz w:val="18"/>
              </w:rPr>
              <w:t xml:space="preserve">For registry verification only</w:t>
            </w:r>
          </w:p>
        </w:tc>
      </w:tr>
      <w:tr>
        <w:tc>
          <w:tcPr>
            <w:tcW w:w="900" w:type="dxa"/>
          </w:tcPr>
          <w:p>
            <w:pPr>
              <w:spacing w:after="20" w:line="264" w:lineRule="auto"/>
            </w:pPr>
            <w:r>
              <w:rPr>
                <w:rFonts w:ascii="Calibri" w:hAnsi="Calibri"/>
                <w:color w:val="263238"/>
                <w:sz w:val="18"/>
              </w:rPr>
              <w:t xml:space="preserve">4</w:t>
            </w:r>
          </w:p>
        </w:tc>
        <w:tc>
          <w:tcPr>
            <w:tcW w:w="2800" w:type="dxa"/>
          </w:tcPr>
          <w:p>
            <w:pPr>
              <w:spacing w:after="20" w:line="264" w:lineRule="auto"/>
            </w:pPr>
            <w:r>
              <w:rPr>
                <w:rFonts w:ascii="Calibri" w:hAnsi="Calibri"/>
                <w:color w:val="263238"/>
                <w:sz w:val="18"/>
              </w:rPr>
              <w:t xml:space="preserve">Dimensions</w:t>
            </w:r>
          </w:p>
        </w:tc>
        <w:tc>
          <w:tcPr>
            <w:tcW w:w="4800" w:type="dxa"/>
          </w:tcPr>
          <w:p>
            <w:pPr>
              <w:spacing w:after="20" w:line="264" w:lineRule="auto"/>
            </w:pPr>
            <w:r>
              <w:rPr>
                <w:rFonts w:ascii="Calibri" w:hAnsi="Calibri"/>
                <w:color w:val="263238"/>
                <w:sz w:val="18"/>
              </w:rPr>
              <w:t xml:space="preserve">Gross tonnage, length, beam, draft in meters</w:t>
            </w:r>
          </w:p>
        </w:tc>
      </w:tr>
      <w:tr>
        <w:tc>
          <w:tcPr>
            <w:tcW w:w="900" w:type="dxa"/>
          </w:tcPr>
          <w:p>
            <w:pPr>
              <w:spacing w:after="20" w:line="264" w:lineRule="auto"/>
            </w:pPr>
            <w:r>
              <w:rPr>
                <w:rFonts w:ascii="Calibri" w:hAnsi="Calibri"/>
                <w:color w:val="263238"/>
                <w:sz w:val="18"/>
              </w:rPr>
              <w:t xml:space="preserve">5</w:t>
            </w:r>
          </w:p>
        </w:tc>
        <w:tc>
          <w:tcPr>
            <w:tcW w:w="2800" w:type="dxa"/>
          </w:tcPr>
          <w:p>
            <w:pPr>
              <w:spacing w:after="20" w:line="264" w:lineRule="auto"/>
            </w:pPr>
            <w:r>
              <w:rPr>
                <w:rFonts w:ascii="Calibri" w:hAnsi="Calibri"/>
                <w:color w:val="263238"/>
                <w:sz w:val="18"/>
              </w:rPr>
              <w:t xml:space="preserve">Cargo category</w:t>
            </w:r>
          </w:p>
        </w:tc>
        <w:tc>
          <w:tcPr>
            <w:tcW w:w="4800" w:type="dxa"/>
          </w:tcPr>
          <w:p>
            <w:pPr>
              <w:spacing w:after="20" w:line="264" w:lineRule="auto"/>
            </w:pPr>
            <w:r>
              <w:rPr>
                <w:rFonts w:ascii="Calibri" w:hAnsi="Calibri"/>
                <w:color w:val="263238"/>
                <w:sz w:val="18"/>
              </w:rPr>
              <w:t xml:space="preserve">Plain category: crude oil, products, LNG, LPG, containers, bulk, general, passengers, humanitarian, none</w:t>
            </w:r>
          </w:p>
        </w:tc>
      </w:tr>
      <w:tr>
        <w:tc>
          <w:tcPr>
            <w:tcW w:w="900" w:type="dxa"/>
          </w:tcPr>
          <w:p>
            <w:pPr>
              <w:spacing w:after="20" w:line="264" w:lineRule="auto"/>
            </w:pPr>
            <w:r>
              <w:rPr>
                <w:rFonts w:ascii="Calibri" w:hAnsi="Calibri"/>
                <w:color w:val="263238"/>
                <w:sz w:val="18"/>
              </w:rPr>
              <w:t xml:space="preserve">6</w:t>
            </w:r>
          </w:p>
        </w:tc>
        <w:tc>
          <w:tcPr>
            <w:tcW w:w="2800" w:type="dxa"/>
          </w:tcPr>
          <w:p>
            <w:pPr>
              <w:spacing w:after="20" w:line="264" w:lineRule="auto"/>
            </w:pPr>
            <w:r>
              <w:rPr>
                <w:rFonts w:ascii="Calibri" w:hAnsi="Calibri"/>
                <w:color w:val="263238"/>
                <w:sz w:val="18"/>
              </w:rPr>
              <w:t xml:space="preserve">Voyage</w:t>
            </w:r>
          </w:p>
        </w:tc>
        <w:tc>
          <w:tcPr>
            <w:tcW w:w="4800" w:type="dxa"/>
          </w:tcPr>
          <w:p>
            <w:pPr>
              <w:spacing w:after="20" w:line="264" w:lineRule="auto"/>
            </w:pPr>
            <w:r>
              <w:rPr>
                <w:rFonts w:ascii="Calibri" w:hAnsi="Calibri"/>
                <w:color w:val="263238"/>
                <w:sz w:val="18"/>
              </w:rPr>
              <w:t xml:space="preserve">Last port and next port, in standard port codes</w:t>
            </w:r>
          </w:p>
        </w:tc>
      </w:tr>
      <w:tr>
        <w:tc>
          <w:tcPr>
            <w:tcW w:w="900" w:type="dxa"/>
          </w:tcPr>
          <w:p>
            <w:pPr>
              <w:spacing w:after="20" w:line="264" w:lineRule="auto"/>
            </w:pPr>
            <w:r>
              <w:rPr>
                <w:rFonts w:ascii="Calibri" w:hAnsi="Calibri"/>
                <w:color w:val="263238"/>
                <w:sz w:val="18"/>
              </w:rPr>
              <w:t xml:space="preserve">7</w:t>
            </w:r>
          </w:p>
        </w:tc>
        <w:tc>
          <w:tcPr>
            <w:tcW w:w="2800" w:type="dxa"/>
          </w:tcPr>
          <w:p>
            <w:pPr>
              <w:spacing w:after="20" w:line="264" w:lineRule="auto"/>
            </w:pPr>
            <w:r>
              <w:rPr>
                <w:rFonts w:ascii="Calibri" w:hAnsi="Calibri"/>
                <w:color w:val="263238"/>
                <w:sz w:val="18"/>
              </w:rPr>
              <w:t xml:space="preserve">Entry time</w:t>
            </w:r>
          </w:p>
        </w:tc>
        <w:tc>
          <w:tcPr>
            <w:tcW w:w="4800" w:type="dxa"/>
          </w:tcPr>
          <w:p>
            <w:pPr>
              <w:spacing w:after="20" w:line="264" w:lineRule="auto"/>
            </w:pPr>
            <w:r>
              <w:rPr>
                <w:rFonts w:ascii="Calibri" w:hAnsi="Calibri"/>
                <w:color w:val="263238"/>
                <w:sz w:val="18"/>
              </w:rPr>
              <w:t xml:space="preserve">Planned time at waypoint NI-1 or NI-5, in Gulf Standard Time</w:t>
            </w:r>
          </w:p>
        </w:tc>
      </w:tr>
      <w:tr>
        <w:tc>
          <w:tcPr>
            <w:tcW w:w="900" w:type="dxa"/>
          </w:tcPr>
          <w:p>
            <w:pPr>
              <w:spacing w:after="20" w:line="264" w:lineRule="auto"/>
            </w:pPr>
            <w:r>
              <w:rPr>
                <w:rFonts w:ascii="Calibri" w:hAnsi="Calibri"/>
                <w:color w:val="263238"/>
                <w:sz w:val="18"/>
              </w:rPr>
              <w:t xml:space="preserve">8</w:t>
            </w:r>
          </w:p>
        </w:tc>
        <w:tc>
          <w:tcPr>
            <w:tcW w:w="2800" w:type="dxa"/>
          </w:tcPr>
          <w:p>
            <w:pPr>
              <w:spacing w:after="20" w:line="264" w:lineRule="auto"/>
            </w:pPr>
            <w:r>
              <w:rPr>
                <w:rFonts w:ascii="Calibri" w:hAnsi="Calibri"/>
                <w:color w:val="263238"/>
                <w:sz w:val="18"/>
              </w:rPr>
              <w:t xml:space="preserve">Speed band</w:t>
            </w:r>
          </w:p>
        </w:tc>
        <w:tc>
          <w:tcPr>
            <w:tcW w:w="4800" w:type="dxa"/>
          </w:tcPr>
          <w:p>
            <w:pPr>
              <w:spacing w:after="20" w:line="264" w:lineRule="auto"/>
            </w:pPr>
            <w:r>
              <w:rPr>
                <w:rFonts w:ascii="Calibri" w:hAnsi="Calibri"/>
                <w:color w:val="263238"/>
                <w:sz w:val="18"/>
              </w:rPr>
              <w:t xml:space="preserve">Planned speed band inside the narrows, within 10 to 14 knots</w:t>
            </w:r>
          </w:p>
        </w:tc>
      </w:tr>
      <w:tr>
        <w:tc>
          <w:tcPr>
            <w:tcW w:w="900" w:type="dxa"/>
          </w:tcPr>
          <w:p>
            <w:pPr>
              <w:spacing w:after="20" w:line="264" w:lineRule="auto"/>
            </w:pPr>
            <w:r>
              <w:rPr>
                <w:rFonts w:ascii="Calibri" w:hAnsi="Calibri"/>
                <w:color w:val="263238"/>
                <w:sz w:val="18"/>
              </w:rPr>
              <w:t xml:space="preserve">9</w:t>
            </w:r>
          </w:p>
        </w:tc>
        <w:tc>
          <w:tcPr>
            <w:tcW w:w="2800" w:type="dxa"/>
          </w:tcPr>
          <w:p>
            <w:pPr>
              <w:spacing w:after="20" w:line="264" w:lineRule="auto"/>
            </w:pPr>
            <w:r>
              <w:rPr>
                <w:rFonts w:ascii="Calibri" w:hAnsi="Calibri"/>
                <w:color w:val="263238"/>
                <w:sz w:val="18"/>
              </w:rPr>
              <w:t xml:space="preserve">Master</w:t>
            </w:r>
          </w:p>
        </w:tc>
        <w:tc>
          <w:tcPr>
            <w:tcW w:w="4800" w:type="dxa"/>
          </w:tcPr>
          <w:p>
            <w:pPr>
              <w:spacing w:after="20" w:line="264" w:lineRule="auto"/>
            </w:pPr>
            <w:r>
              <w:rPr>
                <w:rFonts w:ascii="Calibri" w:hAnsi="Calibri"/>
                <w:color w:val="263238"/>
                <w:sz w:val="18"/>
              </w:rPr>
              <w:t xml:space="preserve">Name of the master</w:t>
            </w:r>
          </w:p>
        </w:tc>
      </w:tr>
      <w:tr>
        <w:tc>
          <w:tcPr>
            <w:tcW w:w="900" w:type="dxa"/>
          </w:tcPr>
          <w:p>
            <w:pPr>
              <w:spacing w:after="20" w:line="264" w:lineRule="auto"/>
            </w:pPr>
            <w:r>
              <w:rPr>
                <w:rFonts w:ascii="Calibri" w:hAnsi="Calibri"/>
                <w:color w:val="263238"/>
                <w:sz w:val="18"/>
              </w:rPr>
              <w:t xml:space="preserve">10</w:t>
            </w:r>
          </w:p>
        </w:tc>
        <w:tc>
          <w:tcPr>
            <w:tcW w:w="2800" w:type="dxa"/>
          </w:tcPr>
          <w:p>
            <w:pPr>
              <w:spacing w:after="20" w:line="264" w:lineRule="auto"/>
            </w:pPr>
            <w:r>
              <w:rPr>
                <w:rFonts w:ascii="Calibri" w:hAnsi="Calibri"/>
                <w:color w:val="263238"/>
                <w:sz w:val="18"/>
              </w:rPr>
              <w:t xml:space="preserve">Contact</w:t>
            </w:r>
          </w:p>
        </w:tc>
        <w:tc>
          <w:tcPr>
            <w:tcW w:w="4800" w:type="dxa"/>
          </w:tcPr>
          <w:p>
            <w:pPr>
              <w:spacing w:after="20" w:line="264" w:lineRule="auto"/>
            </w:pPr>
            <w:r>
              <w:rPr>
                <w:rFonts w:ascii="Calibri" w:hAnsi="Calibri"/>
                <w:color w:val="263238"/>
                <w:sz w:val="18"/>
              </w:rPr>
              <w:t xml:space="preserve">A monitored contact channel: satellite number or digital channel address</w:t>
            </w:r>
          </w:p>
        </w:tc>
      </w:tr>
    </w:tbl>
    <w:p>
      <w:pPr>
        <w:spacing w:after="160"/>
      </w:pPr>
    </w:p>
    <w:p>
      <w:pPr>
        <w:jc w:val="both"/>
      </w:pPr>
      <w:r>
        <w:rPr/>
        <w:t xml:space="preserve">The notice asks nothing else. No field touches cargo value, ownership structure, beneficial owners, insurers, crew lists, nationalities, or any destination beyond next port, and Article 10.2 forbids the addition of fields except through Article 41.</w:t>
      </w:r>
    </w:p>
    <w:p>
      <w:pPr>
        <w:pStyle w:val="Heading2"/>
      </w:pPr>
      <w:bookmarkStart w:id="202" w:name="_Toc261100102"/>
      <w:r>
        <w:rPr>
          <w:rFonts w:ascii="Calibri" w:hAnsi="Calibri"/>
        </w:rPr>
        <w:t xml:space="preserve">F.3 The Acknowledgment</w:t>
      </w:r>
      <w:bookmarkEnd w:id="202"/>
    </w:p>
    <w:p>
      <w:pPr>
        <w:jc w:val="both"/>
      </w:pPr>
      <w:r>
        <w:rPr/>
        <w:t xml:space="preserve">The Transit Desk issues the acknowledgment within 30 minutes, in the following substance: notice received; notice complete (or defect named); vessel class recorded; entry time recorded; current flow state stated; current bulletin reference given. The acknowledgment confers no approval because the framework contains no approval power: it proves receipt and completeness, and IPR-2 guarantees that receipt is all the mariner needs. Silence past 30 minutes constitutes acknowledgment under the silence-is-consent rule, and the mariner prints the silence rule from the Handbook if any third party ever asks.</w:t>
      </w:r>
    </w:p>
    <w:p>
      <w:pPr>
        <w:pStyle w:val="Heading2"/>
      </w:pPr>
      <w:bookmarkStart w:id="203" w:name="_Toc261100103"/>
      <w:r>
        <w:rPr>
          <w:rFonts w:ascii="Calibri" w:hAnsi="Calibri"/>
        </w:rPr>
        <w:t xml:space="preserve">F.4 The Open Water Bulletin</w:t>
      </w:r>
      <w:bookmarkEnd w:id="203"/>
    </w:p>
    <w:p>
      <w:pPr>
        <w:jc w:val="both"/>
      </w:pPr>
      <w:r>
        <w:rPr/>
        <w:t xml:space="preserve">The Transit Desk issues the Bulletin every six hours at 00:00, 06:00, 12:00, and 18:00 Gulf Standard Time, and immediately on every state change. Each issue fits on one page and carries eight blocks: (1) issue time and number; (2) flow state of every corridor sector; (3) active hazards and survey activity with positions; (4) convoy windows for the next 72 hours; (5) weather and visibility; (6) routing guidance in force; (7) certification status of every sector; and (8) the contact block. Mariners plan on the Bulletin; a transit that follows the current Bulletin travels inside the full protection of the architecture.</w:t>
      </w:r>
    </w:p>
    <w:p>
      <w:pPr>
        <w:pStyle w:val="Heading2"/>
      </w:pPr>
      <w:bookmarkStart w:id="204" w:name="_Toc261100104"/>
      <w:r>
        <w:rPr>
          <w:rFonts w:ascii="Calibri" w:hAnsi="Calibri"/>
        </w:rPr>
        <w:t xml:space="preserve">F.5 The Incident Report Form</w:t>
      </w:r>
      <w:bookmarkEnd w:id="204"/>
    </w:p>
    <w:p>
      <w:pPr>
        <w:jc w:val="both"/>
      </w:pPr>
      <w:r>
        <w:rPr/>
        <w:t xml:space="preserve">Any mariner, operator, or observer reports any incident, hazard, or suspected Zero-Toll violation on the one-page form of this Section: identity of the reporter (optional for toll reports); vessel or location; time; description in plain language; and any evidence. The form reaches the Neutral Verification Office directly, and the Office responds within seven days under Article 29.5. The mariner's line to the referee is short, free, and answered.</w:t>
      </w:r>
    </w:p>
    <w:p>
      <w:pPr>
        <w:pStyle w:val="Heading2"/>
      </w:pPr>
      <w:bookmarkStart w:id="205" w:name="_Toc261100105"/>
      <w:r>
        <w:rPr>
          <w:rFonts w:ascii="Calibri" w:hAnsi="Calibri"/>
        </w:rPr>
        <w:t xml:space="preserve">F.6 The Mariners' Handbook</w:t>
      </w:r>
      <w:bookmarkEnd w:id="205"/>
    </w:p>
    <w:p>
      <w:pPr>
        <w:jc w:val="both"/>
      </w:pPr>
      <w:r>
        <w:rPr/>
        <w:t xml:space="preserve">The Mariners' Handbook is the mariner's complete guide to the corridor system, in the three languages, tested annually with serving deck officers under Article 4.4. Its contents:</w:t>
      </w:r>
    </w:p>
    <w:p>
      <w:pPr>
        <w:ind w:left="480" w:hanging="240"/>
        <w:jc w:val="both"/>
      </w:pPr>
      <w:r>
        <w:rPr/>
        <w:t xml:space="preserve">Chapter 1. The Strait under the Understanding: what changed, what never changes</w:t>
      </w:r>
    </w:p>
    <w:p>
      <w:pPr>
        <w:ind w:left="480" w:hanging="240"/>
        <w:jc w:val="both"/>
      </w:pPr>
      <w:r>
        <w:rPr/>
        <w:t xml:space="preserve">Chapter 2. The three corridors: charts, waypoints, speed bands</w:t>
      </w:r>
    </w:p>
    <w:p>
      <w:pPr>
        <w:ind w:left="480" w:hanging="240"/>
        <w:jc w:val="both"/>
      </w:pPr>
      <w:r>
        <w:rPr/>
        <w:t xml:space="preserve">Chapter 3. The transit notice: the ten fields, the 30-minute rule, silence-is-consent</w:t>
      </w:r>
    </w:p>
    <w:p>
      <w:pPr>
        <w:ind w:left="480" w:hanging="240"/>
        <w:jc w:val="both"/>
      </w:pPr>
      <w:r>
        <w:rPr/>
        <w:t xml:space="preserve">Chapter 4. The Southern Corridor: unconditional passage, no paperwork</w:t>
      </w:r>
    </w:p>
    <w:p>
      <w:pPr>
        <w:ind w:left="480" w:hanging="240"/>
        <w:jc w:val="both"/>
      </w:pPr>
      <w:r>
        <w:rPr/>
        <w:t xml:space="preserve">Chapter 5. Flow states: what Free, Managed, and Suspended mean for your voyage</w:t>
      </w:r>
    </w:p>
    <w:p>
      <w:pPr>
        <w:ind w:left="480" w:hanging="240"/>
        <w:jc w:val="both"/>
      </w:pPr>
      <w:r>
        <w:rPr/>
        <w:t xml:space="preserve">Chapter 6. The Open Water Bulletin: how to read it, when it issues</w:t>
      </w:r>
    </w:p>
    <w:p>
      <w:pPr>
        <w:ind w:left="480" w:hanging="240"/>
        <w:jc w:val="both"/>
      </w:pPr>
      <w:r>
        <w:rPr/>
        <w:t xml:space="preserve">Chapter 7. Convoy windows: what they are, how to join, what they cost</w:t>
      </w:r>
    </w:p>
    <w:p>
      <w:pPr>
        <w:ind w:left="480" w:hanging="240"/>
        <w:jc w:val="both"/>
      </w:pPr>
      <w:r>
        <w:rPr/>
        <w:t xml:space="preserve">Chapter 8. Emergency diversion and the Central Assurance Corridor</w:t>
      </w:r>
    </w:p>
    <w:p>
      <w:pPr>
        <w:ind w:left="480" w:hanging="240"/>
        <w:jc w:val="both"/>
      </w:pPr>
      <w:r>
        <w:rPr/>
        <w:t xml:space="preserve">Chapter 9. Search and rescue: how help reaches you, who coordinates</w:t>
      </w:r>
    </w:p>
    <w:p>
      <w:pPr>
        <w:ind w:left="480" w:hanging="240"/>
        <w:jc w:val="both"/>
      </w:pPr>
      <w:r>
        <w:rPr/>
        <w:t xml:space="preserve">Chapter 10. Your rights: the non-interdiction protocol, the Zero-Toll Rule, the humanitarian absolute</w:t>
      </w:r>
    </w:p>
    <w:p>
      <w:pPr>
        <w:ind w:left="480" w:hanging="240"/>
        <w:jc w:val="both"/>
      </w:pPr>
      <w:r>
        <w:rPr/>
        <w:t xml:space="preserve">Chapter 11. How to report: the incident form, the toll report, the seven-day answer</w:t>
      </w:r>
    </w:p>
    <w:p>
      <w:pPr>
        <w:ind w:left="480" w:hanging="240"/>
        <w:jc w:val="both"/>
      </w:pPr>
      <w:r>
        <w:rPr/>
        <w:t xml:space="preserve">Chapter 12. Contacts: the Transit Desk, the watch floor, the hotline, the referee</w:t>
      </w:r>
    </w:p>
    <w:p>
      <w:pPr>
        <w:jc w:val="both"/>
      </w:pPr>
      <w:r>
        <w:rPr/>
        <w:t xml:space="preserve">The Handbook publishes free, in print and digital form, at every Gulf load port, through every agent, and on the Authority's channel. Its first chapter opens with a single sentence that every mariner remembers: passage through the Strait of Hormuz is free, unconditional, and protected, and this book tells you how the system keeps it that way.</w:t>
      </w:r>
    </w:p>
    <w:p>
      <w:pPr>
        <w:pStyle w:val="Heading2"/>
      </w:pPr>
      <w:bookmarkStart w:id="206" w:name="_Toc261100106"/>
      <w:r>
        <w:rPr>
          <w:rFonts w:ascii="Calibri" w:hAnsi="Calibri"/>
        </w:rPr>
        <w:t xml:space="preserve">F.7 The Agent Portal</w:t>
      </w:r>
      <w:bookmarkEnd w:id="206"/>
    </w:p>
    <w:p>
      <w:pPr>
        <w:jc w:val="both"/>
      </w:pPr>
      <w:r>
        <w:rPr/>
        <w:t xml:space="preserve">The Secretariat operates the agent portal for filing, acknowledgment retrieval, bulletin subscription, convoy window booking, and contribution settlement through Flow 1 of Annex D. The portal requires no license, no registration fee, and no approval: an agent registers with an email address and a verified company identity, and the portal treats every registered agent of every nationality identically.</w:t>
      </w:r>
    </w:p>
    <w:p>
      <w:pPr>
        <w:pStyle w:val="Heading1"/>
        <w:pageBreakBefore/>
        <w:pBdr>
          <w:bottom w:val="single" w:color="B9C6CF" w:sz="6" w:space="4"/>
        </w:pBdr>
      </w:pPr>
      <w:bookmarkStart w:id="207" w:name="_Toc261100107"/>
      <w:r>
        <w:rPr>
          <w:rFonts w:ascii="Calibri" w:hAnsi="Calibri"/>
        </w:rPr>
        <w:t xml:space="preserve">Annex G: The Inviolable Principles Register (Full Operative Text)</w:t>
      </w:r>
      <w:bookmarkEnd w:id="207"/>
    </w:p>
    <w:p>
      <w:pPr>
        <w:jc w:val="both"/>
      </w:pPr>
      <w:r>
        <w:rPr/>
        <w:t xml:space="preserve">This Annex carries the full operative text of the twenty Inviolable Principles. For each principle, the Register states the operative rule, the safeguard that enforces it, the organ that guards it, and the consequence that activates upon any breach. The Declaration page at the front of this Understanding carries the summary form; this Annex carries the law. The amendment rule of Article 41.2 protects this Register: the Register changes only by unanimous written instrument of every Party and every acceding state, and Principles 1, 5, and 10 admit no amendment at all.</w:t>
      </w:r>
    </w:p>
    <w:p>
      <w:pPr>
        <w:pStyle w:val="Heading2"/>
      </w:pPr>
      <w:bookmarkStart w:id="208" w:name="_Toc261100108"/>
      <w:r>
        <w:rPr>
          <w:rFonts w:ascii="Calibri" w:hAnsi="Calibri"/>
        </w:rPr>
        <w:t xml:space="preserve">IPR-1: The Zero-Toll Principle</w:t>
      </w:r>
      <w:bookmarkEnd w:id="208"/>
    </w:p>
    <w:p>
      <w:pPr>
        <w:jc w:val="both"/>
      </w:pPr>
      <w:r>
        <w:rPr>
          <w:b/>
        </w:rPr>
        <w:t xml:space="preserve">Operative rule.</w:t>
      </w:r>
      <w:r>
        <w:rPr/>
        <w:t xml:space="preserve"> Transit carries no charge, in any corridor, for any vessel, ever. No charge of any kind attaches to the act of transit. </w:t>
      </w:r>
      <w:r>
        <w:rPr>
          <w:b/>
        </w:rPr>
        <w:t xml:space="preserve">Safeguard.</w:t>
      </w:r>
      <w:r>
        <w:rPr/>
        <w:t xml:space="preserve"> The architecture contains no collection point inside the Strait: no state vessel collects, no checkpoint exists, the port processing valve of Article 29.3 attaches every transaction to port calls, and the substance test of Annex D, Section D.6, converts every disguised toll into a Tier 3 breach. </w:t>
      </w:r>
      <w:r>
        <w:rPr>
          <w:b/>
        </w:rPr>
        <w:t xml:space="preserve">Guardian.</w:t>
      </w:r>
      <w:r>
        <w:rPr/>
        <w:t xml:space="preserve"> The Neutral Verification Office, with direct mariner access under Annex F, Section F.5. </w:t>
      </w:r>
      <w:r>
        <w:rPr>
          <w:b/>
        </w:rPr>
        <w:t xml:space="preserve">Consequence.</w:t>
      </w:r>
      <w:r>
        <w:rPr/>
        <w:t xml:space="preserve"> Immediate cessation of the demand, restitution through the Fund, Tier 3 classification, Stillwater Watch.</w:t>
      </w:r>
    </w:p>
    <w:p>
      <w:pPr>
        <w:pStyle w:val="Heading2"/>
      </w:pPr>
      <w:bookmarkStart w:id="209" w:name="_Toc261100109"/>
      <w:r>
        <w:rPr>
          <w:rFonts w:ascii="Calibri" w:hAnsi="Calibri"/>
        </w:rPr>
        <w:t xml:space="preserve">IPR-2: The No-Permission Principle</w:t>
      </w:r>
      <w:bookmarkEnd w:id="209"/>
    </w:p>
    <w:p>
      <w:pPr>
        <w:jc w:val="both"/>
      </w:pPr>
      <w:r>
        <w:rPr>
          <w:b/>
        </w:rPr>
        <w:t xml:space="preserve">Operative rule.</w:t>
      </w:r>
      <w:r>
        <w:rPr/>
        <w:t xml:space="preserve"> No permission regime operates anywhere in this Understanding. Notification produces acknowledgment, never approval. </w:t>
      </w:r>
      <w:r>
        <w:rPr>
          <w:b/>
        </w:rPr>
        <w:t xml:space="preserve">Safeguard.</w:t>
      </w:r>
      <w:r>
        <w:rPr/>
        <w:t xml:space="preserve"> The file-and-acknowledge protocol of Article 10 holds no approval power; silence consents; the ten-field limit blocks information leverage; the Transit Desk holds no discretion. </w:t>
      </w:r>
      <w:r>
        <w:rPr>
          <w:b/>
        </w:rPr>
        <w:t xml:space="preserve">Guardian.</w:t>
      </w:r>
      <w:r>
        <w:rPr/>
        <w:t xml:space="preserve"> The Neutral Verification Office audits desk logs quarterly for any discretionary pattern. </w:t>
      </w:r>
      <w:r>
        <w:rPr>
          <w:b/>
        </w:rPr>
        <w:t xml:space="preserve">Consequence.</w:t>
      </w:r>
      <w:r>
        <w:rPr/>
        <w:t xml:space="preserve"> A refusal, delay, or conditioning of acknowledgment classifies as Tier 2; a pattern classifies as Tier 3.</w:t>
      </w:r>
    </w:p>
    <w:p>
      <w:pPr>
        <w:pStyle w:val="Heading2"/>
      </w:pPr>
      <w:bookmarkStart w:id="210" w:name="_Toc261100110"/>
      <w:r>
        <w:rPr>
          <w:rFonts w:ascii="Calibri" w:hAnsi="Calibri"/>
        </w:rPr>
        <w:t xml:space="preserve">IPR-3: The Northern Function Principle</w:t>
      </w:r>
      <w:bookmarkEnd w:id="210"/>
    </w:p>
    <w:p>
      <w:pPr>
        <w:jc w:val="both"/>
      </w:pPr>
      <w:r>
        <w:rPr>
          <w:b/>
        </w:rPr>
        <w:t xml:space="preserve">Operative rule.</w:t>
      </w:r>
      <w:r>
        <w:rPr/>
        <w:t xml:space="preserve"> The northern littoral holds a recognized, formal, continuous management function in its own waters. </w:t>
      </w:r>
      <w:r>
        <w:rPr>
          <w:b/>
        </w:rPr>
        <w:t xml:space="preserve">Safeguard.</w:t>
      </w:r>
      <w:r>
        <w:rPr/>
        <w:t xml:space="preserve"> Article 13 and Annex E allocate the Northern Corridor function set to Iran at baseline; the escalator of Article 34 expands the share on performance; the Standing Continuity Guarantee protects every banked gain. </w:t>
      </w:r>
      <w:r>
        <w:rPr>
          <w:b/>
        </w:rPr>
        <w:t xml:space="preserve">Guardian.</w:t>
      </w:r>
      <w:r>
        <w:rPr/>
        <w:t xml:space="preserve"> The Bridge Commission guards the allocation; the Neutral Verification Office certifies the performance that grows it. </w:t>
      </w:r>
      <w:r>
        <w:rPr>
          <w:b/>
        </w:rPr>
        <w:t xml:space="preserve">Consequence.</w:t>
      </w:r>
      <w:r>
        <w:rPr/>
        <w:t xml:space="preserve"> An attempt to strip or bypass the recognized function outside the compliance engine classifies as Tier 3.</w:t>
      </w:r>
    </w:p>
    <w:p>
      <w:pPr>
        <w:pStyle w:val="Heading2"/>
      </w:pPr>
      <w:bookmarkStart w:id="211" w:name="_Toc261100111"/>
      <w:r>
        <w:rPr>
          <w:rFonts w:ascii="Calibri" w:hAnsi="Calibri"/>
        </w:rPr>
        <w:t xml:space="preserve">IPR-4: The Southern Function Principle</w:t>
      </w:r>
      <w:bookmarkEnd w:id="211"/>
    </w:p>
    <w:p>
      <w:pPr>
        <w:jc w:val="both"/>
      </w:pPr>
      <w:r>
        <w:rPr>
          <w:b/>
        </w:rPr>
        <w:t xml:space="preserve">Operative rule.</w:t>
      </w:r>
      <w:r>
        <w:rPr/>
        <w:t xml:space="preserve"> The southern littoral holds a recognized, formal, continuous management function in its own waters. </w:t>
      </w:r>
      <w:r>
        <w:rPr>
          <w:b/>
        </w:rPr>
        <w:t xml:space="preserve">Safeguard.</w:t>
      </w:r>
      <w:r>
        <w:rPr/>
        <w:t xml:space="preserve"> Mirror of IPR-3: Article 13 and Annex E allocate the Southern Corridor function set to Oman at baseline, with identical continuity protection. </w:t>
      </w:r>
      <w:r>
        <w:rPr>
          <w:b/>
        </w:rPr>
        <w:t xml:space="preserve">Guardian.</w:t>
      </w:r>
      <w:r>
        <w:rPr/>
        <w:t xml:space="preserve"> As IPR-3. </w:t>
      </w:r>
      <w:r>
        <w:rPr>
          <w:b/>
        </w:rPr>
        <w:t xml:space="preserve">Consequence.</w:t>
      </w:r>
      <w:r>
        <w:rPr/>
        <w:t xml:space="preserve"> As IPR-3.</w:t>
      </w:r>
    </w:p>
    <w:p>
      <w:pPr>
        <w:pStyle w:val="Heading2"/>
      </w:pPr>
      <w:bookmarkStart w:id="212" w:name="_Toc261100112"/>
      <w:r>
        <w:rPr>
          <w:rFonts w:ascii="Calibri" w:hAnsi="Calibri"/>
        </w:rPr>
        <w:t xml:space="preserve">IPR-5: The Non-Interdiction Principle</w:t>
      </w:r>
      <w:bookmarkEnd w:id="212"/>
    </w:p>
    <w:p>
      <w:pPr>
        <w:jc w:val="both"/>
      </w:pPr>
      <w:r>
        <w:rPr>
          <w:b/>
        </w:rPr>
        <w:t xml:space="preserve">Operative rule.</w:t>
      </w:r>
      <w:r>
        <w:rPr/>
        <w:t xml:space="preserve"> No boarding, diversion, seizure, or inspection occurs inside a passage. Commercial transit operates under an absolute non-interdiction protocol within the framework. </w:t>
      </w:r>
      <w:r>
        <w:rPr>
          <w:b/>
        </w:rPr>
        <w:t xml:space="preserve">Safeguard.</w:t>
      </w:r>
      <w:r>
        <w:rPr/>
        <w:t xml:space="preserve"> Article 12 states the protocol; Annex E, Section E.6, excludes interdiction from every function table at every escalator state; the escalation ladder of Article 15.2 exposes every approach; the Group Response Commitment of Article 16.4 answers third-party interference collectively. </w:t>
      </w:r>
      <w:r>
        <w:rPr>
          <w:b/>
        </w:rPr>
        <w:t xml:space="preserve">Guardian.</w:t>
      </w:r>
      <w:r>
        <w:rPr/>
        <w:t xml:space="preserve"> The watch floor detects; the Neutral Verification Office classifies; the Bridge Commission convenes. </w:t>
      </w:r>
      <w:r>
        <w:rPr>
          <w:b/>
        </w:rPr>
        <w:t xml:space="preserve">Consequence.</w:t>
      </w:r>
      <w:r>
        <w:rPr/>
        <w:t xml:space="preserve"> Tier 3, Stillwater Watch, and collective protective response.</w:t>
      </w:r>
    </w:p>
    <w:p>
      <w:pPr>
        <w:pStyle w:val="Heading2"/>
      </w:pPr>
      <w:bookmarkStart w:id="213" w:name="_Toc261100113"/>
      <w:r>
        <w:rPr>
          <w:rFonts w:ascii="Calibri" w:hAnsi="Calibri"/>
        </w:rPr>
        <w:t xml:space="preserve">IPR-6: The Civilian Character Principle</w:t>
      </w:r>
      <w:bookmarkEnd w:id="213"/>
    </w:p>
    <w:p>
      <w:pPr>
        <w:jc w:val="both"/>
      </w:pPr>
      <w:r>
        <w:rPr>
          <w:b/>
        </w:rPr>
        <w:t xml:space="preserve">Operative rule.</w:t>
      </w:r>
      <w:r>
        <w:rPr/>
        <w:t xml:space="preserve"> The operational bodies of this Understanding remain civilian, always. </w:t>
      </w:r>
      <w:r>
        <w:rPr>
          <w:b/>
        </w:rPr>
        <w:t xml:space="preserve">Safeguard.</w:t>
      </w:r>
      <w:r>
        <w:rPr/>
        <w:t xml:space="preserve"> Article 18.2 fixes the Authority's civilian character; Article 16.3 confines military liaison to dedicated desks; no military officer holds any watch floor post. </w:t>
      </w:r>
      <w:r>
        <w:rPr>
          <w:b/>
        </w:rPr>
        <w:t xml:space="preserve">Guardian.</w:t>
      </w:r>
      <w:r>
        <w:rPr/>
        <w:t xml:space="preserve"> The co-directors certify staffing monthly; the Neutral Verification Office audits. </w:t>
      </w:r>
      <w:r>
        <w:rPr>
          <w:b/>
        </w:rPr>
        <w:t xml:space="preserve">Consequence.</w:t>
      </w:r>
      <w:r>
        <w:rPr/>
        <w:t xml:space="preserve"> A militarization of any operational body classifies as Tier 3.</w:t>
      </w:r>
    </w:p>
    <w:p>
      <w:pPr>
        <w:pStyle w:val="Heading2"/>
      </w:pPr>
      <w:bookmarkStart w:id="214" w:name="_Toc261100114"/>
      <w:r>
        <w:rPr>
          <w:rFonts w:ascii="Calibri" w:hAnsi="Calibri"/>
        </w:rPr>
        <w:t xml:space="preserve">IPR-7: The No-Direct-Payment Principle</w:t>
      </w:r>
      <w:bookmarkEnd w:id="214"/>
    </w:p>
    <w:p>
      <w:pPr>
        <w:jc w:val="both"/>
      </w:pPr>
      <w:r>
        <w:rPr>
          <w:b/>
        </w:rPr>
        <w:t xml:space="preserve">Operative rule.</w:t>
      </w:r>
      <w:r>
        <w:rPr/>
        <w:t xml:space="preserve"> No shipper, operator, insurer, or flag state pays any Party directly for anything. </w:t>
      </w:r>
      <w:r>
        <w:rPr>
          <w:b/>
        </w:rPr>
        <w:t xml:space="preserve">Safeguard.</w:t>
      </w:r>
      <w:r>
        <w:rPr/>
        <w:t xml:space="preserve"> Every flow terminates at the Neutral Administrator under Annex D; no Party's treasury, central bank, or intermediary touches a payment. </w:t>
      </w:r>
      <w:r>
        <w:rPr>
          <w:b/>
        </w:rPr>
        <w:t xml:space="preserve">Guardian.</w:t>
      </w:r>
      <w:r>
        <w:rPr/>
        <w:t xml:space="preserve"> The Neutral Administrator certifies flows; the audit publishes them. </w:t>
      </w:r>
      <w:r>
        <w:rPr>
          <w:b/>
        </w:rPr>
        <w:t xml:space="preserve">Consequence.</w:t>
      </w:r>
      <w:r>
        <w:rPr/>
        <w:t xml:space="preserve"> A direct demand classifies as a toll under the substance test: Tier 3.</w:t>
      </w:r>
    </w:p>
    <w:p>
      <w:pPr>
        <w:pStyle w:val="Heading2"/>
      </w:pPr>
      <w:bookmarkStart w:id="215" w:name="_Toc261100115"/>
      <w:r>
        <w:rPr>
          <w:rFonts w:ascii="Calibri" w:hAnsi="Calibri"/>
        </w:rPr>
        <w:t xml:space="preserve">IPR-8: The Sovereignty Principle</w:t>
      </w:r>
      <w:bookmarkEnd w:id="215"/>
    </w:p>
    <w:p>
      <w:pPr>
        <w:jc w:val="both"/>
      </w:pPr>
      <w:r>
        <w:rPr>
          <w:b/>
        </w:rPr>
        <w:t xml:space="preserve">Operative rule.</w:t>
      </w:r>
      <w:r>
        <w:rPr/>
        <w:t xml:space="preserve"> Each Party's sovereignty over its own waters stands intact. This Understanding allocates functions, never sovereignty. </w:t>
      </w:r>
      <w:r>
        <w:rPr>
          <w:b/>
        </w:rPr>
        <w:t xml:space="preserve">Safeguard.</w:t>
      </w:r>
      <w:r>
        <w:rPr/>
        <w:t xml:space="preserve"> Articles 7.3 and 13.1 state the allocation theory; Annex E, Section E.6, excludes every sovereign act from the function table; the escalator measures functions and never title. </w:t>
      </w:r>
      <w:r>
        <w:rPr>
          <w:b/>
        </w:rPr>
        <w:t xml:space="preserve">Guardian.</w:t>
      </w:r>
      <w:r>
        <w:rPr/>
        <w:t xml:space="preserve"> The Tribunal of Article 40 adjudicates any encroachment claim. </w:t>
      </w:r>
      <w:r>
        <w:rPr>
          <w:b/>
        </w:rPr>
        <w:t xml:space="preserve">Consequence.</w:t>
      </w:r>
      <w:r>
        <w:rPr/>
        <w:t xml:space="preserve"> Any instrument or act purporting to transfer or extinguish sovereignty under this Understanding is void on its face.</w:t>
      </w:r>
    </w:p>
    <w:p>
      <w:pPr>
        <w:pStyle w:val="Heading2"/>
      </w:pPr>
      <w:bookmarkStart w:id="216" w:name="_Toc261100116"/>
      <w:r>
        <w:rPr>
          <w:rFonts w:ascii="Calibri" w:hAnsi="Calibri"/>
        </w:rPr>
        <w:t xml:space="preserve">IPR-9: The Continuity Principle</w:t>
      </w:r>
      <w:bookmarkEnd w:id="216"/>
    </w:p>
    <w:p>
      <w:pPr>
        <w:jc w:val="both"/>
      </w:pPr>
      <w:r>
        <w:rPr>
          <w:b/>
        </w:rPr>
        <w:t xml:space="preserve">Operative rule.</w:t>
      </w:r>
      <w:r>
        <w:rPr/>
        <w:t xml:space="preserve"> No commitment expires, lapses, or dilutes by time, silence, or routine. </w:t>
      </w:r>
      <w:r>
        <w:rPr>
          <w:b/>
        </w:rPr>
        <w:t xml:space="preserve">Safeguard.</w:t>
      </w:r>
      <w:r>
        <w:rPr/>
        <w:t xml:space="preserve"> Article 5 states the Standing Continuity Guarantee; renewal occurs by silence; change occurs by joint written instrument; exit follows the 365-day notified pathway alone. </w:t>
      </w:r>
      <w:r>
        <w:rPr>
          <w:b/>
        </w:rPr>
        <w:t xml:space="preserve">Guardian.</w:t>
      </w:r>
      <w:r>
        <w:rPr/>
        <w:t xml:space="preserve"> The Depositary certifies every instrument of change; the default continuity rule of Article 42.1 governs every stall. </w:t>
      </w:r>
      <w:r>
        <w:rPr>
          <w:b/>
        </w:rPr>
        <w:t xml:space="preserve">Consequence.</w:t>
      </w:r>
      <w:r>
        <w:rPr/>
        <w:t xml:space="preserve"> A purported lapse, expiry, or fade has no effect, and the system continues in its previous state by operation of this principle.</w:t>
      </w:r>
    </w:p>
    <w:p>
      <w:pPr>
        <w:pStyle w:val="Heading2"/>
      </w:pPr>
      <w:bookmarkStart w:id="217" w:name="_Toc261100117"/>
      <w:r>
        <w:rPr>
          <w:rFonts w:ascii="Calibri" w:hAnsi="Calibri"/>
        </w:rPr>
        <w:t xml:space="preserve">IPR-10: The Humanitarian Absolute</w:t>
      </w:r>
      <w:bookmarkEnd w:id="217"/>
    </w:p>
    <w:p>
      <w:pPr>
        <w:jc w:val="both"/>
      </w:pPr>
      <w:r>
        <w:rPr>
          <w:b/>
        </w:rPr>
        <w:t xml:space="preserve">Operative rule.</w:t>
      </w:r>
      <w:r>
        <w:rPr/>
        <w:t xml:space="preserve"> Humanitarian traffic moves in every flow state, dispute, pause, and transition. No mechanism in this Understanding delays food, medicine, or medical personnel. </w:t>
      </w:r>
      <w:r>
        <w:rPr>
          <w:b/>
        </w:rPr>
        <w:t xml:space="preserve">Safeguard.</w:t>
      </w:r>
      <w:r>
        <w:rPr/>
        <w:t xml:space="preserve"> Article 11.3 excepts V-3 traffic from every suspension; Annex C zeros every financial interaction for V-3; the Bulletin carries V-3 priority routing continuously. </w:t>
      </w:r>
      <w:r>
        <w:rPr>
          <w:b/>
        </w:rPr>
        <w:t xml:space="preserve">Guardian.</w:t>
      </w:r>
      <w:r>
        <w:rPr/>
        <w:t xml:space="preserve"> The watch floor protects V-3 routing; the Neutral Verification Office treats any interference as Tier 3. </w:t>
      </w:r>
      <w:r>
        <w:rPr>
          <w:b/>
        </w:rPr>
        <w:t xml:space="preserve">Consequence.</w:t>
      </w:r>
      <w:r>
        <w:rPr/>
        <w:t xml:space="preserve"> Tier 3, Stillwater Watch, and immediate restoration of the blocked transit with priority.</w:t>
      </w:r>
    </w:p>
    <w:p>
      <w:pPr>
        <w:pStyle w:val="Heading2"/>
      </w:pPr>
      <w:bookmarkStart w:id="218" w:name="_Toc261100118"/>
      <w:r>
        <w:rPr>
          <w:rFonts w:ascii="Calibri" w:hAnsi="Calibri"/>
        </w:rPr>
        <w:t xml:space="preserve">IPR-11: The Convergence Principle</w:t>
      </w:r>
      <w:bookmarkEnd w:id="218"/>
    </w:p>
    <w:p>
      <w:pPr>
        <w:jc w:val="both"/>
      </w:pPr>
      <w:r>
        <w:rPr>
          <w:b/>
        </w:rPr>
        <w:t xml:space="preserve">Operative rule.</w:t>
      </w:r>
      <w:r>
        <w:rPr/>
        <w:t xml:space="preserve"> No finding of fact rests on a single input. Every consequential finding carries at least two independent convergent inputs and a named human certifier. </w:t>
      </w:r>
      <w:r>
        <w:rPr>
          <w:b/>
        </w:rPr>
        <w:t xml:space="preserve">Safeguard.</w:t>
      </w:r>
      <w:r>
        <w:rPr/>
        <w:t xml:space="preserve"> Article 30 states the standard and the independence test; the custody map of Annex H, Section H.6, makes independence verifiable. </w:t>
      </w:r>
      <w:r>
        <w:rPr>
          <w:b/>
        </w:rPr>
        <w:t xml:space="preserve">Guardian.</w:t>
      </w:r>
      <w:r>
        <w:rPr/>
        <w:t xml:space="preserve"> The Neutral Verification Office. </w:t>
      </w:r>
      <w:r>
        <w:rPr>
          <w:b/>
        </w:rPr>
        <w:t xml:space="preserve">Consequence.</w:t>
      </w:r>
      <w:r>
        <w:rPr/>
        <w:t xml:space="preserve"> A finding that fails the standard is void, and its consequences reverse automatically with restitution of any stepped-back benefit.</w:t>
      </w:r>
    </w:p>
    <w:p>
      <w:pPr>
        <w:pStyle w:val="Heading2"/>
      </w:pPr>
      <w:bookmarkStart w:id="219" w:name="_Toc261100119"/>
      <w:r>
        <w:rPr>
          <w:rFonts w:ascii="Calibri" w:hAnsi="Calibri"/>
        </w:rPr>
        <w:t xml:space="preserve">IPR-12: The Data Sanctity Principle</w:t>
      </w:r>
      <w:bookmarkEnd w:id="219"/>
    </w:p>
    <w:p>
      <w:pPr>
        <w:jc w:val="both"/>
      </w:pPr>
      <w:r>
        <w:rPr>
          <w:b/>
        </w:rPr>
        <w:t xml:space="preserve">Operative rule.</w:t>
      </w:r>
      <w:r>
        <w:rPr/>
        <w:t xml:space="preserve"> The assets, data, and channels of this Understanding never support kinetic action, targeting, or sanctions enforcement by any actor. </w:t>
      </w:r>
      <w:r>
        <w:rPr>
          <w:b/>
        </w:rPr>
        <w:t xml:space="preserve">Safeguard.</w:t>
      </w:r>
      <w:r>
        <w:rPr/>
        <w:t xml:space="preserve"> Article 10.4 and Annex D, Section D.8, fix custody; the Integrity Cell probes misuse; observer access agreements restate the prohibition. </w:t>
      </w:r>
      <w:r>
        <w:rPr>
          <w:b/>
        </w:rPr>
        <w:t xml:space="preserve">Guardian.</w:t>
      </w:r>
      <w:r>
        <w:rPr/>
        <w:t xml:space="preserve"> The Neutral Verification Office audits data custody quarterly. </w:t>
      </w:r>
      <w:r>
        <w:rPr>
          <w:b/>
        </w:rPr>
        <w:t xml:space="preserve">Consequence.</w:t>
      </w:r>
      <w:r>
        <w:rPr/>
        <w:t xml:space="preserve"> Proven misuse classifies as Tier 3 for the responsible Party or terminates observer access for the responsible observer, with publication.</w:t>
      </w:r>
    </w:p>
    <w:p>
      <w:pPr>
        <w:pStyle w:val="Heading2"/>
      </w:pPr>
      <w:bookmarkStart w:id="220" w:name="_Toc261100120"/>
      <w:r>
        <w:rPr>
          <w:rFonts w:ascii="Calibri" w:hAnsi="Calibri"/>
        </w:rPr>
        <w:t xml:space="preserve">IPR-13: The Shared Governance Principle</w:t>
      </w:r>
      <w:bookmarkEnd w:id="220"/>
    </w:p>
    <w:p>
      <w:pPr>
        <w:jc w:val="both"/>
      </w:pPr>
      <w:r>
        <w:rPr>
          <w:b/>
        </w:rPr>
        <w:t xml:space="preserve">Operative rule.</w:t>
      </w:r>
      <w:r>
        <w:rPr/>
        <w:t xml:space="preserve"> No single coastal state governs the Strait alone. Every consequential action carries the concurrence of two keys. </w:t>
      </w:r>
      <w:r>
        <w:rPr>
          <w:b/>
        </w:rPr>
        <w:t xml:space="preserve">Safeguard.</w:t>
      </w:r>
      <w:r>
        <w:rPr/>
        <w:t xml:space="preserve"> Article 14 states the Twin Key rule; Annex E, Table E.3, enumerates the consequential actions; the pairing staffing rule makes every watch a joint watch. </w:t>
      </w:r>
      <w:r>
        <w:rPr>
          <w:b/>
        </w:rPr>
        <w:t xml:space="preserve">Guardian.</w:t>
      </w:r>
      <w:r>
        <w:rPr/>
        <w:t xml:space="preserve"> The Bridge Commission; the key-turn log publishes. </w:t>
      </w:r>
      <w:r>
        <w:rPr>
          <w:b/>
        </w:rPr>
        <w:t xml:space="preserve">Consequence.</w:t>
      </w:r>
      <w:r>
        <w:rPr/>
        <w:t xml:space="preserve"> A unilateral consequential act is void, classifies as Tier 3, and triggers the Stillwater Watch.</w:t>
      </w:r>
    </w:p>
    <w:p>
      <w:pPr>
        <w:pStyle w:val="Heading2"/>
      </w:pPr>
      <w:bookmarkStart w:id="221" w:name="_Toc261100121"/>
      <w:r>
        <w:rPr>
          <w:rFonts w:ascii="Calibri" w:hAnsi="Calibri"/>
        </w:rPr>
        <w:t xml:space="preserve">IPR-14: The No External Command Principle</w:t>
      </w:r>
      <w:bookmarkEnd w:id="221"/>
    </w:p>
    <w:p>
      <w:pPr>
        <w:jc w:val="both"/>
      </w:pPr>
      <w:r>
        <w:rPr>
          <w:b/>
        </w:rPr>
        <w:t xml:space="preserve">Operative rule.</w:t>
      </w:r>
      <w:r>
        <w:rPr/>
        <w:t xml:space="preserve"> No external state or body commands any element of this Understanding. </w:t>
      </w:r>
      <w:r>
        <w:rPr>
          <w:b/>
        </w:rPr>
        <w:t xml:space="preserve">Safeguard.</w:t>
      </w:r>
      <w:r>
        <w:rPr/>
        <w:t xml:space="preserve"> Article 24 fixes the Endorsing Stakeholder model: monitoring access, deconfliction channel, observer seat, and no command, veto, or enforcement role; Article 15.5 keeps external forces outside the corridor system. </w:t>
      </w:r>
      <w:r>
        <w:rPr>
          <w:b/>
        </w:rPr>
        <w:t xml:space="preserve">Guardian.</w:t>
      </w:r>
      <w:r>
        <w:rPr/>
        <w:t xml:space="preserve"> The Bridge Commission. </w:t>
      </w:r>
      <w:r>
        <w:rPr>
          <w:b/>
        </w:rPr>
        <w:t xml:space="preserve">Consequence.</w:t>
      </w:r>
      <w:r>
        <w:rPr/>
        <w:t xml:space="preserve"> A command attempt has no effect within the architecture; persistence terminates the actor's stakeholder registration by paired vote.</w:t>
      </w:r>
    </w:p>
    <w:p>
      <w:pPr>
        <w:pStyle w:val="Heading2"/>
      </w:pPr>
      <w:bookmarkStart w:id="222" w:name="_Toc261100122"/>
      <w:r>
        <w:rPr>
          <w:rFonts w:ascii="Calibri" w:hAnsi="Calibri"/>
        </w:rPr>
        <w:t xml:space="preserve">IPR-15: The Geometry Stability Principle</w:t>
      </w:r>
      <w:bookmarkEnd w:id="222"/>
    </w:p>
    <w:p>
      <w:pPr>
        <w:jc w:val="both"/>
      </w:pPr>
      <w:r>
        <w:rPr>
          <w:b/>
        </w:rPr>
        <w:t xml:space="preserve">Operative rule.</w:t>
      </w:r>
      <w:r>
        <w:rPr/>
        <w:t xml:space="preserve"> No corridor geometry changes except by joint written instrument of the Founding Parties with notice to all participants and registration with the IMO. </w:t>
      </w:r>
      <w:r>
        <w:rPr>
          <w:b/>
        </w:rPr>
        <w:t xml:space="preserve">Safeguard.</w:t>
      </w:r>
      <w:r>
        <w:rPr/>
        <w:t xml:space="preserve"> Article 8.6 states the process; the 30-day notice and registration give the market and every observer full warning. </w:t>
      </w:r>
      <w:r>
        <w:rPr>
          <w:b/>
        </w:rPr>
        <w:t xml:space="preserve">Guardian.</w:t>
      </w:r>
      <w:r>
        <w:rPr/>
        <w:t xml:space="preserve"> The Depositary certifies the instrument; the Authority registers. </w:t>
      </w:r>
      <w:r>
        <w:rPr>
          <w:b/>
        </w:rPr>
        <w:t xml:space="preserve">Consequence.</w:t>
      </w:r>
      <w:r>
        <w:rPr/>
        <w:t xml:space="preserve"> A unilateral geometry act is void; vessels follow the registered geometry, and the act classifies as Tier 3.</w:t>
      </w:r>
    </w:p>
    <w:p>
      <w:pPr>
        <w:pStyle w:val="Heading2"/>
      </w:pPr>
      <w:bookmarkStart w:id="223" w:name="_Toc261100123"/>
      <w:r>
        <w:rPr>
          <w:rFonts w:ascii="Calibri" w:hAnsi="Calibri"/>
        </w:rPr>
        <w:t xml:space="preserve">IPR-16: The Synchronization Principle</w:t>
      </w:r>
      <w:bookmarkEnd w:id="223"/>
    </w:p>
    <w:p>
      <w:pPr>
        <w:jc w:val="both"/>
      </w:pPr>
      <w:r>
        <w:rPr>
          <w:b/>
        </w:rPr>
        <w:t xml:space="preserve">Operative rule.</w:t>
      </w:r>
      <w:r>
        <w:rPr/>
        <w:t xml:space="preserve"> Corridor activation and the termination of all impediments to passage, including every blockade measure, occur as one synchronized indivisible event. </w:t>
      </w:r>
      <w:r>
        <w:rPr>
          <w:b/>
        </w:rPr>
        <w:t xml:space="preserve">Safeguard.</w:t>
      </w:r>
      <w:r>
        <w:rPr/>
        <w:t xml:space="preserve"> Article 36 and Annex J, Section J.2, script the Indivisible Hour; the four master confirmations bind the four tracks; no partial activation occurs in success or failure. </w:t>
      </w:r>
      <w:r>
        <w:rPr>
          <w:b/>
        </w:rPr>
        <w:t xml:space="preserve">Guardian.</w:t>
      </w:r>
      <w:r>
        <w:rPr/>
        <w:t xml:space="preserve"> The four confirming officers; the Bridge Commission declares the day. </w:t>
      </w:r>
      <w:r>
        <w:rPr>
          <w:b/>
        </w:rPr>
        <w:t xml:space="preserve">Consequence.</w:t>
      </w:r>
      <w:r>
        <w:rPr/>
        <w:t xml:space="preserve"> A track that fails to execute on the hour triggers the failure handling of Article 36.4: extension, then rescheduling as one event, never partial performance.</w:t>
      </w:r>
    </w:p>
    <w:p>
      <w:pPr>
        <w:pStyle w:val="Heading2"/>
      </w:pPr>
      <w:bookmarkStart w:id="224" w:name="_Toc261100124"/>
      <w:r>
        <w:rPr>
          <w:rFonts w:ascii="Calibri" w:hAnsi="Calibri"/>
        </w:rPr>
        <w:t xml:space="preserve">IPR-17: The Reversibility Principle</w:t>
      </w:r>
      <w:bookmarkEnd w:id="224"/>
    </w:p>
    <w:p>
      <w:pPr>
        <w:jc w:val="both"/>
      </w:pPr>
      <w:r>
        <w:rPr>
          <w:b/>
        </w:rPr>
        <w:t xml:space="preserve">Operative rule.</w:t>
      </w:r>
      <w:r>
        <w:rPr/>
        <w:t xml:space="preserve"> Every consequence under this Understanding reverses. Restoration activates automatically upon verified compliance and carries no admission of fault. </w:t>
      </w:r>
      <w:r>
        <w:rPr>
          <w:b/>
        </w:rPr>
        <w:t xml:space="preserve">Safeguard.</w:t>
      </w:r>
      <w:r>
        <w:rPr/>
        <w:t xml:space="preserve"> Article 33 states the earn-back mechanics; every step-back decision carries its restoration path in the same instrument. </w:t>
      </w:r>
      <w:r>
        <w:rPr>
          <w:b/>
        </w:rPr>
        <w:t xml:space="preserve">Guardian.</w:t>
      </w:r>
      <w:r>
        <w:rPr/>
        <w:t xml:space="preserve"> The Neutral Verification Office certifies the clean weeks that trigger restoration. </w:t>
      </w:r>
      <w:r>
        <w:rPr>
          <w:b/>
        </w:rPr>
        <w:t xml:space="preserve">Consequence.</w:t>
      </w:r>
      <w:r>
        <w:rPr/>
        <w:t xml:space="preserve"> A consequence held past certified compliance reverses automatically, with the held benefit restored and the delay published.</w:t>
      </w:r>
    </w:p>
    <w:p>
      <w:pPr>
        <w:pStyle w:val="Heading2"/>
      </w:pPr>
      <w:bookmarkStart w:id="225" w:name="_Toc261100125"/>
      <w:r>
        <w:rPr>
          <w:rFonts w:ascii="Calibri" w:hAnsi="Calibri"/>
        </w:rPr>
        <w:t xml:space="preserve">IPR-18: The Environmental Principle</w:t>
      </w:r>
      <w:bookmarkEnd w:id="225"/>
    </w:p>
    <w:p>
      <w:pPr>
        <w:jc w:val="both"/>
      </w:pPr>
      <w:r>
        <w:rPr>
          <w:b/>
        </w:rPr>
        <w:t xml:space="preserve">Operative rule.</w:t>
      </w:r>
      <w:r>
        <w:rPr/>
        <w:t xml:space="preserve"> The environmental baseline of the Strait receives continuous measurement, and pollution response follows the polluter-pays principle under joint direction. </w:t>
      </w:r>
      <w:r>
        <w:rPr>
          <w:b/>
        </w:rPr>
        <w:t xml:space="preserve">Safeguard.</w:t>
      </w:r>
      <w:r>
        <w:rPr/>
        <w:t xml:space="preserve"> Service line S-4 operates the baseline network; Article 12.3 gates the response exception; the green discount aligns incentives. </w:t>
      </w:r>
      <w:r>
        <w:rPr>
          <w:b/>
        </w:rPr>
        <w:t xml:space="preserve">Guardian.</w:t>
      </w:r>
      <w:r>
        <w:rPr/>
        <w:t xml:space="preserve"> The Joint Survey Cell and the environmental function holders; the baseline publishes quarterly. </w:t>
      </w:r>
      <w:r>
        <w:rPr>
          <w:b/>
        </w:rPr>
        <w:t xml:space="preserve">Consequence.</w:t>
      </w:r>
      <w:r>
        <w:rPr/>
        <w:t xml:space="preserve"> A discharge on convergent evidence triggers response at the discharger's cost, logged and published; interference with the baseline network classifies as Tier 2 or Tier 3 by intent.</w:t>
      </w:r>
    </w:p>
    <w:p>
      <w:pPr>
        <w:pStyle w:val="Heading2"/>
      </w:pPr>
      <w:bookmarkStart w:id="226" w:name="_Toc261100126"/>
      <w:r>
        <w:rPr>
          <w:rFonts w:ascii="Calibri" w:hAnsi="Calibri"/>
        </w:rPr>
        <w:t xml:space="preserve">IPR-19: The Framing Autonomy Principle</w:t>
      </w:r>
      <w:bookmarkEnd w:id="226"/>
    </w:p>
    <w:p>
      <w:pPr>
        <w:jc w:val="both"/>
      </w:pPr>
      <w:r>
        <w:rPr>
          <w:b/>
        </w:rPr>
        <w:t xml:space="preserve">Operative rule.</w:t>
      </w:r>
      <w:r>
        <w:rPr/>
        <w:t xml:space="preserve"> Every participant presents this Understanding to its own people in its own words. The architecture evaluates performance, never rhetoric. </w:t>
      </w:r>
      <w:r>
        <w:rPr>
          <w:b/>
        </w:rPr>
        <w:t xml:space="preserve">Safeguard.</w:t>
      </w:r>
      <w:r>
        <w:rPr/>
        <w:t xml:space="preserve"> Article 44.1 states the autonomy; Article 3.3 confines compliance inputs to waterborne fact. </w:t>
      </w:r>
      <w:r>
        <w:rPr>
          <w:b/>
        </w:rPr>
        <w:t xml:space="preserve">Guardian.</w:t>
      </w:r>
      <w:r>
        <w:rPr/>
        <w:t xml:space="preserve"> No organ polices speech; the verification record answers every claim. </w:t>
      </w:r>
      <w:r>
        <w:rPr>
          <w:b/>
        </w:rPr>
        <w:t xml:space="preserve">Consequence.</w:t>
      </w:r>
      <w:r>
        <w:rPr/>
        <w:t xml:space="preserve"> None attaches to rhetoric; the principle exists precisely so that no speech anywhere triggers anything.</w:t>
      </w:r>
    </w:p>
    <w:p>
      <w:pPr>
        <w:pStyle w:val="Heading2"/>
      </w:pPr>
      <w:bookmarkStart w:id="227" w:name="_Toc261100127"/>
      <w:r>
        <w:rPr>
          <w:rFonts w:ascii="Calibri" w:hAnsi="Calibri"/>
        </w:rPr>
        <w:t xml:space="preserve">IPR-20: The Balanced Benefit Principle</w:t>
      </w:r>
      <w:bookmarkEnd w:id="227"/>
    </w:p>
    <w:p>
      <w:pPr>
        <w:jc w:val="both"/>
      </w:pPr>
      <w:r>
        <w:rPr>
          <w:b/>
        </w:rPr>
        <w:t xml:space="preserve">Operative rule.</w:t>
      </w:r>
      <w:r>
        <w:rPr/>
        <w:t xml:space="preserve"> The framework's revenue mechanisms fund services, development, and stewardship in visible balance between the two littorals, and no financial mechanism serves as a lever of political pressure. </w:t>
      </w:r>
      <w:r>
        <w:rPr>
          <w:b/>
        </w:rPr>
        <w:t xml:space="preserve">Safeguard.</w:t>
      </w:r>
      <w:r>
        <w:rPr/>
        <w:t xml:space="preserve"> Annex B, Section B.6, states the 60-to-40 balance band; the Neutral Administrator administers by rule; the escrow rule protects blocked money as the recipient's property. </w:t>
      </w:r>
      <w:r>
        <w:rPr>
          <w:b/>
        </w:rPr>
        <w:t xml:space="preserve">Guardian.</w:t>
      </w:r>
      <w:r>
        <w:rPr/>
        <w:t xml:space="preserve"> The annual audit measures the balance band and publishes it. </w:t>
      </w:r>
      <w:r>
        <w:rPr>
          <w:b/>
        </w:rPr>
        <w:t xml:space="preserve">Consequence.</w:t>
      </w:r>
      <w:r>
        <w:rPr/>
        <w:t xml:space="preserve"> A breach of the band corrects at the next disbursement cycle; a pressure use of any mechanism classifies as Tier 3.</w:t>
      </w:r>
    </w:p>
    <w:p>
      <w:pPr>
        <w:pStyle w:val="Heading2"/>
      </w:pPr>
      <w:bookmarkStart w:id="228" w:name="_Toc261100128"/>
      <w:r>
        <w:rPr>
          <w:rFonts w:ascii="Calibri" w:hAnsi="Calibri"/>
        </w:rPr>
        <w:t xml:space="preserve">The Register as a Whole</w:t>
      </w:r>
      <w:bookmarkEnd w:id="228"/>
    </w:p>
    <w:p>
      <w:pPr>
        <w:jc w:val="both"/>
      </w:pPr>
      <w:r>
        <w:rPr/>
        <w:t xml:space="preserve">The twenty principles operate simultaneously, at all times, without exception. A reader testing any proposal against this Register applies the one-page test of the Declaration: name the line the proposal touches, and read the safeguard. The Register thereby converts the red lines of five capitals and an industry into a single operative code, and the Standing Continuity Guarantee holds it as permanently as it holds every other word of this Understanding.</w:t>
      </w:r>
    </w:p>
    <w:p>
      <w:pPr>
        <w:pStyle w:val="Heading1"/>
        <w:pageBreakBefore/>
        <w:pBdr>
          <w:bottom w:val="single" w:color="B9C6CF" w:sz="6" w:space="4"/>
        </w:pBdr>
      </w:pPr>
      <w:bookmarkStart w:id="229" w:name="_Toc261100129"/>
      <w:r>
        <w:rPr>
          <w:rFonts w:ascii="Calibri" w:hAnsi="Calibri"/>
        </w:rPr>
        <w:t xml:space="preserve">Annex H: The Good Behavior Escalator Schedule</w:t>
      </w:r>
      <w:bookmarkEnd w:id="229"/>
    </w:p>
    <w:p>
      <w:pPr>
        <w:jc w:val="both"/>
      </w:pPr>
      <w:r>
        <w:rPr/>
        <w:t xml:space="preserve">This Annex carries the complete mechanics of the Good Behavior Escalator of Article 34: the clean week standard, the share schedule, the expansion stages, the floor rule, the step-back and earn-back tables, the input custody map, and the weighting tables. The escalator is the incentive heart of the architecture: it converts verified performance into expanded recognized function, weekly, automatically, and permanently.</w:t>
      </w:r>
    </w:p>
    <w:p>
      <w:pPr>
        <w:pStyle w:val="Heading2"/>
      </w:pPr>
      <w:bookmarkStart w:id="230" w:name="_Toc261100130"/>
      <w:r>
        <w:rPr>
          <w:rFonts w:ascii="Calibri" w:hAnsi="Calibri"/>
        </w:rPr>
        <w:t xml:space="preserve">H.1 The Clean Week Standard</w:t>
      </w:r>
      <w:bookmarkEnd w:id="230"/>
    </w:p>
    <w:p>
      <w:pPr>
        <w:jc w:val="both"/>
      </w:pPr>
      <w:r>
        <w:rPr/>
        <w:t xml:space="preserve">A week certifies as a clean week for a Party when the Neutral Verification Office finds, on the Convergence Standard, that during the week: (a) no Tier 2 or Tier 3 event attached to the Party's record; (b) every Twin Key response from the Party's key holders arrived inside its window; (c) the Party's corridor functions performed at the availability standard of 99.5 percent of scheduled service hours; (d) the Party's data feeds met the integrity standard of the Integrity Cell; and (e) no unresolved Tier 1 pattern from the Party remained open past its assistance window. The Office certifies clean weeks every Monday for the prior week, and the certification publishes in the Weekly Verification Bulletin with its evidence summary.</w:t>
      </w:r>
    </w:p>
    <w:p>
      <w:pPr>
        <w:pStyle w:val="Heading2"/>
      </w:pPr>
      <w:bookmarkStart w:id="231" w:name="_Toc261100131"/>
      <w:r>
        <w:rPr>
          <w:rFonts w:ascii="Calibri" w:hAnsi="Calibri"/>
        </w:rPr>
        <w:t xml:space="preserve">H.2 The Share Schedule</w:t>
      </w:r>
      <w:bookmarkEnd w:id="231"/>
    </w:p>
    <w:p>
      <w:pPr>
        <w:jc w:val="both"/>
      </w:pPr>
      <w:r>
        <w:rPr/>
        <w:t xml:space="preserve">Iran's functional share evolves on the following schedule, from the 33 percent baseline of Article 34.1. Each certified clean week adds 10 share points, capping at 100 percent. Seven consecutive clean weeks carry the share from baseline to full functional administration of the corridor function set.</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2200"/>
        <w:gridCol w:w="2200"/>
        <w:gridCol w:w="5100"/>
      </w:tblGrid>
      <w:tr>
        <w:trPr>
          <w:tblHeader/>
        </w:trPr>
        <w:tc>
          <w:tcPr>
            <w:tcW w:w="2200" w:type="dxa"/>
            <w:shd w:val="clear" w:fill="E8EDF1"/>
          </w:tcPr>
          <w:p>
            <w:pPr>
              <w:spacing w:after="20" w:line="264" w:lineRule="auto"/>
            </w:pPr>
            <w:r>
              <w:rPr>
                <w:rFonts w:ascii="Calibri" w:hAnsi="Calibri"/>
                <w:b/>
                <w:color w:val="2E4A62"/>
                <w:sz w:val="18"/>
              </w:rPr>
              <w:t xml:space="preserve">Consecutive clean weeks</w:t>
            </w:r>
          </w:p>
        </w:tc>
        <w:tc>
          <w:tcPr>
            <w:tcW w:w="2200" w:type="dxa"/>
            <w:shd w:val="clear" w:fill="E8EDF1"/>
          </w:tcPr>
          <w:p>
            <w:pPr>
              <w:spacing w:after="20" w:line="264" w:lineRule="auto"/>
            </w:pPr>
            <w:r>
              <w:rPr>
                <w:rFonts w:ascii="Calibri" w:hAnsi="Calibri"/>
                <w:b/>
                <w:color w:val="2E4A62"/>
                <w:sz w:val="18"/>
              </w:rPr>
              <w:t xml:space="preserve">Functional share</w:t>
            </w:r>
          </w:p>
        </w:tc>
        <w:tc>
          <w:tcPr>
            <w:tcW w:w="5100" w:type="dxa"/>
            <w:shd w:val="clear" w:fill="E8EDF1"/>
          </w:tcPr>
          <w:p>
            <w:pPr>
              <w:spacing w:after="20" w:line="264" w:lineRule="auto"/>
            </w:pPr>
            <w:r>
              <w:rPr>
                <w:rFonts w:ascii="Calibri" w:hAnsi="Calibri"/>
                <w:b/>
                <w:color w:val="2E4A62"/>
                <w:sz w:val="18"/>
              </w:rPr>
              <w:t xml:space="preserve">Stage reached</w:t>
            </w:r>
          </w:p>
        </w:tc>
      </w:tr>
      <w:tr>
        <w:tc>
          <w:tcPr>
            <w:tcW w:w="2200" w:type="dxa"/>
          </w:tcPr>
          <w:p>
            <w:pPr>
              <w:spacing w:after="20" w:line="264" w:lineRule="auto"/>
            </w:pPr>
            <w:r>
              <w:rPr>
                <w:rFonts w:ascii="Calibri" w:hAnsi="Calibri"/>
                <w:color w:val="263238"/>
                <w:sz w:val="18"/>
              </w:rPr>
              <w:t xml:space="preserve">0 (baseline)</w:t>
            </w:r>
          </w:p>
        </w:tc>
        <w:tc>
          <w:tcPr>
            <w:tcW w:w="2200" w:type="dxa"/>
          </w:tcPr>
          <w:p>
            <w:pPr>
              <w:spacing w:after="20" w:line="264" w:lineRule="auto"/>
            </w:pPr>
            <w:r>
              <w:rPr>
                <w:rFonts w:ascii="Calibri" w:hAnsi="Calibri"/>
                <w:color w:val="263238"/>
                <w:sz w:val="18"/>
              </w:rPr>
              <w:t xml:space="preserve">33 percent</w:t>
            </w:r>
          </w:p>
        </w:tc>
        <w:tc>
          <w:tcPr>
            <w:tcW w:w="5100" w:type="dxa"/>
          </w:tcPr>
          <w:p>
            <w:pPr>
              <w:spacing w:after="20" w:line="264" w:lineRule="auto"/>
            </w:pPr>
            <w:r>
              <w:rPr>
                <w:rFonts w:ascii="Calibri" w:hAnsi="Calibri"/>
                <w:color w:val="263238"/>
                <w:sz w:val="18"/>
              </w:rPr>
              <w:t xml:space="preserve">Stage 0: Northern Corridor function set in full</w:t>
            </w:r>
          </w:p>
        </w:tc>
      </w:tr>
      <w:tr>
        <w:tc>
          <w:tcPr>
            <w:tcW w:w="2200" w:type="dxa"/>
          </w:tcPr>
          <w:p>
            <w:pPr>
              <w:spacing w:after="20" w:line="264" w:lineRule="auto"/>
            </w:pPr>
            <w:r>
              <w:rPr>
                <w:rFonts w:ascii="Calibri" w:hAnsi="Calibri"/>
                <w:color w:val="263238"/>
                <w:sz w:val="18"/>
              </w:rPr>
              <w:t xml:space="preserve">1</w:t>
            </w:r>
          </w:p>
        </w:tc>
        <w:tc>
          <w:tcPr>
            <w:tcW w:w="2200" w:type="dxa"/>
          </w:tcPr>
          <w:p>
            <w:pPr>
              <w:spacing w:after="20" w:line="264" w:lineRule="auto"/>
            </w:pPr>
            <w:r>
              <w:rPr>
                <w:rFonts w:ascii="Calibri" w:hAnsi="Calibri"/>
                <w:color w:val="263238"/>
                <w:sz w:val="18"/>
              </w:rPr>
              <w:t xml:space="preserve">43 percent</w:t>
            </w:r>
          </w:p>
        </w:tc>
        <w:tc>
          <w:tcPr>
            <w:tcW w:w="5100" w:type="dxa"/>
          </w:tcPr>
          <w:p>
            <w:pPr>
              <w:spacing w:after="20" w:line="264" w:lineRule="auto"/>
            </w:pPr>
            <w:r>
              <w:rPr>
                <w:rFonts w:ascii="Calibri" w:hAnsi="Calibri"/>
                <w:color w:val="263238"/>
                <w:sz w:val="18"/>
              </w:rPr>
              <w:t xml:space="preserve">Stage 1: adds Central Assurance traffic management co-function</w:t>
            </w:r>
          </w:p>
        </w:tc>
      </w:tr>
      <w:tr>
        <w:tc>
          <w:tcPr>
            <w:tcW w:w="2200" w:type="dxa"/>
          </w:tcPr>
          <w:p>
            <w:pPr>
              <w:spacing w:after="20" w:line="264" w:lineRule="auto"/>
            </w:pPr>
            <w:r>
              <w:rPr>
                <w:rFonts w:ascii="Calibri" w:hAnsi="Calibri"/>
                <w:color w:val="263238"/>
                <w:sz w:val="18"/>
              </w:rPr>
              <w:t xml:space="preserve">2</w:t>
            </w:r>
          </w:p>
        </w:tc>
        <w:tc>
          <w:tcPr>
            <w:tcW w:w="2200" w:type="dxa"/>
          </w:tcPr>
          <w:p>
            <w:pPr>
              <w:spacing w:after="20" w:line="264" w:lineRule="auto"/>
            </w:pPr>
            <w:r>
              <w:rPr>
                <w:rFonts w:ascii="Calibri" w:hAnsi="Calibri"/>
                <w:color w:val="263238"/>
                <w:sz w:val="18"/>
              </w:rPr>
              <w:t xml:space="preserve">53 percent</w:t>
            </w:r>
          </w:p>
        </w:tc>
        <w:tc>
          <w:tcPr>
            <w:tcW w:w="5100" w:type="dxa"/>
          </w:tcPr>
          <w:p>
            <w:pPr>
              <w:spacing w:after="20" w:line="264" w:lineRule="auto"/>
            </w:pPr>
            <w:r>
              <w:rPr>
                <w:rFonts w:ascii="Calibri" w:hAnsi="Calibri"/>
                <w:color w:val="263238"/>
                <w:sz w:val="18"/>
              </w:rPr>
              <w:t xml:space="preserve">Stage 2: adds Central Assurance survey co-lead and hazard reporting</w:t>
            </w:r>
          </w:p>
        </w:tc>
      </w:tr>
      <w:tr>
        <w:tc>
          <w:tcPr>
            <w:tcW w:w="2200" w:type="dxa"/>
          </w:tcPr>
          <w:p>
            <w:pPr>
              <w:spacing w:after="20" w:line="264" w:lineRule="auto"/>
            </w:pPr>
            <w:r>
              <w:rPr>
                <w:rFonts w:ascii="Calibri" w:hAnsi="Calibri"/>
                <w:color w:val="263238"/>
                <w:sz w:val="18"/>
              </w:rPr>
              <w:t xml:space="preserve">3</w:t>
            </w:r>
          </w:p>
        </w:tc>
        <w:tc>
          <w:tcPr>
            <w:tcW w:w="2200" w:type="dxa"/>
          </w:tcPr>
          <w:p>
            <w:pPr>
              <w:spacing w:after="20" w:line="264" w:lineRule="auto"/>
            </w:pPr>
            <w:r>
              <w:rPr>
                <w:rFonts w:ascii="Calibri" w:hAnsi="Calibri"/>
                <w:color w:val="263238"/>
                <w:sz w:val="18"/>
              </w:rPr>
              <w:t xml:space="preserve">63 percent</w:t>
            </w:r>
          </w:p>
        </w:tc>
        <w:tc>
          <w:tcPr>
            <w:tcW w:w="5100" w:type="dxa"/>
          </w:tcPr>
          <w:p>
            <w:pPr>
              <w:spacing w:after="20" w:line="264" w:lineRule="auto"/>
            </w:pPr>
            <w:r>
              <w:rPr>
                <w:rFonts w:ascii="Calibri" w:hAnsi="Calibri"/>
                <w:color w:val="263238"/>
                <w:sz w:val="18"/>
              </w:rPr>
              <w:t xml:space="preserve">Stage 3: THE FLOOR LOCKS at 60 percent; adds bulletin co-custody and convoy coordination premium</w:t>
            </w:r>
          </w:p>
        </w:tc>
      </w:tr>
      <w:tr>
        <w:tc>
          <w:tcPr>
            <w:tcW w:w="2200" w:type="dxa"/>
          </w:tcPr>
          <w:p>
            <w:pPr>
              <w:spacing w:after="20" w:line="264" w:lineRule="auto"/>
            </w:pPr>
            <w:r>
              <w:rPr>
                <w:rFonts w:ascii="Calibri" w:hAnsi="Calibri"/>
                <w:color w:val="263238"/>
                <w:sz w:val="18"/>
              </w:rPr>
              <w:t xml:space="preserve">4</w:t>
            </w:r>
          </w:p>
        </w:tc>
        <w:tc>
          <w:tcPr>
            <w:tcW w:w="2200" w:type="dxa"/>
          </w:tcPr>
          <w:p>
            <w:pPr>
              <w:spacing w:after="20" w:line="264" w:lineRule="auto"/>
            </w:pPr>
            <w:r>
              <w:rPr>
                <w:rFonts w:ascii="Calibri" w:hAnsi="Calibri"/>
                <w:color w:val="263238"/>
                <w:sz w:val="18"/>
              </w:rPr>
              <w:t xml:space="preserve">73 percent</w:t>
            </w:r>
          </w:p>
        </w:tc>
        <w:tc>
          <w:tcPr>
            <w:tcW w:w="5100" w:type="dxa"/>
          </w:tcPr>
          <w:p>
            <w:pPr>
              <w:spacing w:after="20" w:line="264" w:lineRule="auto"/>
            </w:pPr>
            <w:r>
              <w:rPr>
                <w:rFonts w:ascii="Calibri" w:hAnsi="Calibri"/>
                <w:color w:val="263238"/>
                <w:sz w:val="18"/>
              </w:rPr>
              <w:t xml:space="preserve">Stage 4: adds Southern Corridor deputy functions (environmental monitoring, SAR coordination)</w:t>
            </w:r>
          </w:p>
        </w:tc>
      </w:tr>
      <w:tr>
        <w:tc>
          <w:tcPr>
            <w:tcW w:w="2200" w:type="dxa"/>
          </w:tcPr>
          <w:p>
            <w:pPr>
              <w:spacing w:after="20" w:line="264" w:lineRule="auto"/>
            </w:pPr>
            <w:r>
              <w:rPr>
                <w:rFonts w:ascii="Calibri" w:hAnsi="Calibri"/>
                <w:color w:val="263238"/>
                <w:sz w:val="18"/>
              </w:rPr>
              <w:t xml:space="preserve">5</w:t>
            </w:r>
          </w:p>
        </w:tc>
        <w:tc>
          <w:tcPr>
            <w:tcW w:w="2200" w:type="dxa"/>
          </w:tcPr>
          <w:p>
            <w:pPr>
              <w:spacing w:after="20" w:line="264" w:lineRule="auto"/>
            </w:pPr>
            <w:r>
              <w:rPr>
                <w:rFonts w:ascii="Calibri" w:hAnsi="Calibri"/>
                <w:color w:val="263238"/>
                <w:sz w:val="18"/>
              </w:rPr>
              <w:t xml:space="preserve">83 percent</w:t>
            </w:r>
          </w:p>
        </w:tc>
        <w:tc>
          <w:tcPr>
            <w:tcW w:w="5100" w:type="dxa"/>
          </w:tcPr>
          <w:p>
            <w:pPr>
              <w:spacing w:after="20" w:line="264" w:lineRule="auto"/>
            </w:pPr>
            <w:r>
              <w:rPr>
                <w:rFonts w:ascii="Calibri" w:hAnsi="Calibri"/>
                <w:color w:val="263238"/>
                <w:sz w:val="18"/>
              </w:rPr>
              <w:t xml:space="preserve">Stage 5: adds Southern Corridor deputy functions (traffic management support, aids liaison)</w:t>
            </w:r>
          </w:p>
        </w:tc>
      </w:tr>
      <w:tr>
        <w:tc>
          <w:tcPr>
            <w:tcW w:w="2200" w:type="dxa"/>
          </w:tcPr>
          <w:p>
            <w:pPr>
              <w:spacing w:after="20" w:line="264" w:lineRule="auto"/>
            </w:pPr>
            <w:r>
              <w:rPr>
                <w:rFonts w:ascii="Calibri" w:hAnsi="Calibri"/>
                <w:color w:val="263238"/>
                <w:sz w:val="18"/>
              </w:rPr>
              <w:t xml:space="preserve">6</w:t>
            </w:r>
          </w:p>
        </w:tc>
        <w:tc>
          <w:tcPr>
            <w:tcW w:w="2200" w:type="dxa"/>
          </w:tcPr>
          <w:p>
            <w:pPr>
              <w:spacing w:after="20" w:line="264" w:lineRule="auto"/>
            </w:pPr>
            <w:r>
              <w:rPr>
                <w:rFonts w:ascii="Calibri" w:hAnsi="Calibri"/>
                <w:color w:val="263238"/>
                <w:sz w:val="18"/>
              </w:rPr>
              <w:t xml:space="preserve">93 percent</w:t>
            </w:r>
          </w:p>
        </w:tc>
        <w:tc>
          <w:tcPr>
            <w:tcW w:w="5100" w:type="dxa"/>
          </w:tcPr>
          <w:p>
            <w:pPr>
              <w:spacing w:after="20" w:line="264" w:lineRule="auto"/>
            </w:pPr>
            <w:r>
              <w:rPr>
                <w:rFonts w:ascii="Calibri" w:hAnsi="Calibri"/>
                <w:color w:val="263238"/>
                <w:sz w:val="18"/>
              </w:rPr>
              <w:t xml:space="preserve">Stage 6: adds system-level survey direction and data fusion co-custody</w:t>
            </w:r>
          </w:p>
        </w:tc>
      </w:tr>
      <w:tr>
        <w:tc>
          <w:tcPr>
            <w:tcW w:w="2200" w:type="dxa"/>
          </w:tcPr>
          <w:p>
            <w:pPr>
              <w:spacing w:after="20" w:line="264" w:lineRule="auto"/>
            </w:pPr>
            <w:r>
              <w:rPr>
                <w:rFonts w:ascii="Calibri" w:hAnsi="Calibri"/>
                <w:color w:val="263238"/>
                <w:sz w:val="18"/>
              </w:rPr>
              <w:t xml:space="preserve">7</w:t>
            </w:r>
          </w:p>
        </w:tc>
        <w:tc>
          <w:tcPr>
            <w:tcW w:w="2200" w:type="dxa"/>
          </w:tcPr>
          <w:p>
            <w:pPr>
              <w:spacing w:after="20" w:line="264" w:lineRule="auto"/>
            </w:pPr>
            <w:r>
              <w:rPr>
                <w:rFonts w:ascii="Calibri" w:hAnsi="Calibri"/>
                <w:color w:val="263238"/>
                <w:sz w:val="18"/>
              </w:rPr>
              <w:t xml:space="preserve">100 percent</w:t>
            </w:r>
          </w:p>
        </w:tc>
        <w:tc>
          <w:tcPr>
            <w:tcW w:w="5100" w:type="dxa"/>
          </w:tcPr>
          <w:p>
            <w:pPr>
              <w:spacing w:after="20" w:line="264" w:lineRule="auto"/>
            </w:pPr>
            <w:r>
              <w:rPr>
                <w:rFonts w:ascii="Calibri" w:hAnsi="Calibri"/>
                <w:color w:val="263238"/>
                <w:sz w:val="18"/>
              </w:rPr>
              <w:t xml:space="preserve">Stage 7: full functional administration of the corridor function set, under the Twin Key rule</w:t>
            </w:r>
          </w:p>
        </w:tc>
      </w:tr>
    </w:tbl>
    <w:p>
      <w:pPr>
        <w:spacing w:after="160"/>
      </w:pPr>
    </w:p>
    <w:p>
      <w:pPr>
        <w:jc w:val="both"/>
      </w:pPr>
      <w:r>
        <w:rPr/>
        <w:t xml:space="preserve">A clean week streak that interrupts at any point resumes from the banked position: banked points never unbank except through the step-back table of Section H.4, and the floor, once locked, never unlocks. The schedule rewards persistence, forgives interruption, and punishes only verified breach.</w:t>
      </w:r>
    </w:p>
    <w:p>
      <w:pPr>
        <w:pStyle w:val="Heading2"/>
      </w:pPr>
      <w:bookmarkStart w:id="232" w:name="_Toc261100132"/>
      <w:r>
        <w:rPr>
          <w:rFonts w:ascii="Calibri" w:hAnsi="Calibri"/>
        </w:rPr>
        <w:t xml:space="preserve">H.3 What Each Stage Adds</w:t>
      </w:r>
      <w:bookmarkEnd w:id="232"/>
    </w:p>
    <w:p>
      <w:pPr>
        <w:jc w:val="both"/>
      </w:pPr>
      <w:r>
        <w:rPr/>
        <w:t xml:space="preserve">Each stage's added functions appear in the weighting table of Section H.7 and bind operationally upon the Monday certification: the co-directors issue the function transfer order within 24 hours of certification, the receiving teams staff under the pairing rule, and the transfer publishes. A function transfer changes who performs tasks; it never changes who holds keys, and Annex E, Section E.6, holds at every stage: no stage adds any excluded item, and sovereignty never enters any stage.</w:t>
      </w:r>
    </w:p>
    <w:p>
      <w:pPr>
        <w:pStyle w:val="Heading2"/>
      </w:pPr>
      <w:bookmarkStart w:id="233" w:name="_Toc261100133"/>
      <w:r>
        <w:rPr>
          <w:rFonts w:ascii="Calibri" w:hAnsi="Calibri"/>
        </w:rPr>
        <w:t xml:space="preserve">H.4 The Step-Back Table</w:t>
      </w:r>
      <w:bookmarkEnd w:id="233"/>
    </w:p>
    <w:p>
      <w:pPr>
        <w:jc w:val="both"/>
      </w:pPr>
      <w:r>
        <w:rPr/>
        <w:t xml:space="preserve">Upon classification under Article 32, the following step-backs apply to the escalator:</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2200"/>
        <w:gridCol w:w="3700"/>
        <w:gridCol w:w="3600"/>
      </w:tblGrid>
      <w:tr>
        <w:trPr>
          <w:tblHeader/>
        </w:trPr>
        <w:tc>
          <w:tcPr>
            <w:tcW w:w="2200" w:type="dxa"/>
            <w:shd w:val="clear" w:fill="E8EDF1"/>
          </w:tcPr>
          <w:p>
            <w:pPr>
              <w:spacing w:after="20" w:line="264" w:lineRule="auto"/>
            </w:pPr>
            <w:r>
              <w:rPr>
                <w:rFonts w:ascii="Calibri" w:hAnsi="Calibri"/>
                <w:b/>
                <w:color w:val="2E4A62"/>
                <w:sz w:val="18"/>
              </w:rPr>
              <w:t xml:space="preserve">Event</w:t>
            </w:r>
          </w:p>
        </w:tc>
        <w:tc>
          <w:tcPr>
            <w:tcW w:w="3700" w:type="dxa"/>
            <w:shd w:val="clear" w:fill="E8EDF1"/>
          </w:tcPr>
          <w:p>
            <w:pPr>
              <w:spacing w:after="20" w:line="264" w:lineRule="auto"/>
            </w:pPr>
            <w:r>
              <w:rPr>
                <w:rFonts w:ascii="Calibri" w:hAnsi="Calibri"/>
                <w:b/>
                <w:color w:val="2E4A62"/>
                <w:sz w:val="18"/>
              </w:rPr>
              <w:t xml:space="preserve">Escalator effect</w:t>
            </w:r>
          </w:p>
        </w:tc>
        <w:tc>
          <w:tcPr>
            <w:tcW w:w="3600" w:type="dxa"/>
            <w:shd w:val="clear" w:fill="E8EDF1"/>
          </w:tcPr>
          <w:p>
            <w:pPr>
              <w:spacing w:after="20" w:line="264" w:lineRule="auto"/>
            </w:pPr>
            <w:r>
              <w:rPr>
                <w:rFonts w:ascii="Calibri" w:hAnsi="Calibri"/>
                <w:b/>
                <w:color w:val="2E4A62"/>
                <w:sz w:val="18"/>
              </w:rPr>
              <w:t xml:space="preserve">Other effect</w:t>
            </w:r>
          </w:p>
        </w:tc>
      </w:tr>
      <w:tr>
        <w:tc>
          <w:tcPr>
            <w:tcW w:w="2200" w:type="dxa"/>
          </w:tcPr>
          <w:p>
            <w:pPr>
              <w:spacing w:after="20" w:line="264" w:lineRule="auto"/>
            </w:pPr>
            <w:r>
              <w:rPr>
                <w:rFonts w:ascii="Calibri" w:hAnsi="Calibri"/>
                <w:color w:val="263238"/>
                <w:sz w:val="18"/>
              </w:rPr>
              <w:t xml:space="preserve">Tier 2 (first in 90 days)</w:t>
            </w:r>
          </w:p>
        </w:tc>
        <w:tc>
          <w:tcPr>
            <w:tcW w:w="3700" w:type="dxa"/>
          </w:tcPr>
          <w:p>
            <w:pPr>
              <w:spacing w:after="20" w:line="264" w:lineRule="auto"/>
            </w:pPr>
            <w:r>
              <w:rPr>
                <w:rFonts w:ascii="Calibri" w:hAnsi="Calibri"/>
                <w:color w:val="263238"/>
                <w:sz w:val="18"/>
              </w:rPr>
              <w:t xml:space="preserve">Accrual pauses for 2 weeks; unbanked streak resets to banked position</w:t>
            </w:r>
          </w:p>
        </w:tc>
        <w:tc>
          <w:tcPr>
            <w:tcW w:w="3600" w:type="dxa"/>
          </w:tcPr>
          <w:p>
            <w:pPr>
              <w:spacing w:after="20" w:line="264" w:lineRule="auto"/>
            </w:pPr>
            <w:r>
              <w:rPr>
                <w:rFonts w:ascii="Calibri" w:hAnsi="Calibri"/>
                <w:color w:val="263238"/>
                <w:sz w:val="18"/>
              </w:rPr>
              <w:t xml:space="preserve">Discretionary benefits of the affected function suspend</w:t>
            </w:r>
          </w:p>
        </w:tc>
      </w:tr>
      <w:tr>
        <w:tc>
          <w:tcPr>
            <w:tcW w:w="2200" w:type="dxa"/>
          </w:tcPr>
          <w:p>
            <w:pPr>
              <w:spacing w:after="20" w:line="264" w:lineRule="auto"/>
            </w:pPr>
            <w:r>
              <w:rPr>
                <w:rFonts w:ascii="Calibri" w:hAnsi="Calibri"/>
                <w:color w:val="263238"/>
                <w:sz w:val="18"/>
              </w:rPr>
              <w:t xml:space="preserve">Tier 2 (repeat in 90 days)</w:t>
            </w:r>
          </w:p>
        </w:tc>
        <w:tc>
          <w:tcPr>
            <w:tcW w:w="3700" w:type="dxa"/>
          </w:tcPr>
          <w:p>
            <w:pPr>
              <w:spacing w:after="20" w:line="264" w:lineRule="auto"/>
            </w:pPr>
            <w:r>
              <w:rPr>
                <w:rFonts w:ascii="Calibri" w:hAnsi="Calibri"/>
                <w:color w:val="263238"/>
                <w:sz w:val="18"/>
              </w:rPr>
              <w:t xml:space="preserve">Accrual pauses for 4 weeks; deduction of 10 accrued points above the floor</w:t>
            </w:r>
          </w:p>
        </w:tc>
        <w:tc>
          <w:tcPr>
            <w:tcW w:w="3600" w:type="dxa"/>
          </w:tcPr>
          <w:p>
            <w:pPr>
              <w:spacing w:after="20" w:line="264" w:lineRule="auto"/>
            </w:pPr>
            <w:r>
              <w:rPr>
                <w:rFonts w:ascii="Calibri" w:hAnsi="Calibri"/>
                <w:color w:val="263238"/>
                <w:sz w:val="18"/>
              </w:rPr>
              <w:t xml:space="preserve">As above, plus corrective plan within 30 days</w:t>
            </w:r>
          </w:p>
        </w:tc>
      </w:tr>
      <w:tr>
        <w:tc>
          <w:tcPr>
            <w:tcW w:w="2200" w:type="dxa"/>
          </w:tcPr>
          <w:p>
            <w:pPr>
              <w:spacing w:after="20" w:line="264" w:lineRule="auto"/>
            </w:pPr>
            <w:r>
              <w:rPr>
                <w:rFonts w:ascii="Calibri" w:hAnsi="Calibri"/>
                <w:color w:val="263238"/>
                <w:sz w:val="18"/>
              </w:rPr>
              <w:t xml:space="preserve">Tier 3</w:t>
            </w:r>
          </w:p>
        </w:tc>
        <w:tc>
          <w:tcPr>
            <w:tcW w:w="3700" w:type="dxa"/>
          </w:tcPr>
          <w:p>
            <w:pPr>
              <w:spacing w:after="20" w:line="264" w:lineRule="auto"/>
            </w:pPr>
            <w:r>
              <w:rPr>
                <w:rFonts w:ascii="Calibri" w:hAnsi="Calibri"/>
                <w:color w:val="263238"/>
                <w:sz w:val="18"/>
              </w:rPr>
              <w:t xml:space="preserve">Share reverts to the locked floor (60 percent) or to baseline (33 percent) if the floor has not locked; accrual pauses pending the Stillwater Watch</w:t>
            </w:r>
          </w:p>
        </w:tc>
        <w:tc>
          <w:tcPr>
            <w:tcW w:w="3600" w:type="dxa"/>
          </w:tcPr>
          <w:p>
            <w:pPr>
              <w:spacing w:after="20" w:line="264" w:lineRule="auto"/>
            </w:pPr>
            <w:r>
              <w:rPr>
                <w:rFonts w:ascii="Calibri" w:hAnsi="Calibri"/>
                <w:color w:val="263238"/>
                <w:sz w:val="18"/>
              </w:rPr>
              <w:t xml:space="preserve">Bridge Commission convenes within 72 hours</w:t>
            </w:r>
          </w:p>
        </w:tc>
      </w:tr>
    </w:tbl>
    <w:p>
      <w:pPr>
        <w:spacing w:after="160"/>
      </w:pPr>
    </w:p>
    <w:p>
      <w:pPr>
        <w:jc w:val="both"/>
      </w:pPr>
      <w:r>
        <w:rPr/>
        <w:t xml:space="preserve">A deduction never touches the locked floor, never touches banked points at or below the floor, and never touches the baseline. The table exhausts the escalator's penalties: no fine, no suspension of passage rights, and no expulsion exists anywhere in the mechanism.</w:t>
      </w:r>
    </w:p>
    <w:p>
      <w:pPr>
        <w:pStyle w:val="Heading2"/>
      </w:pPr>
      <w:bookmarkStart w:id="234" w:name="_Toc261100134"/>
      <w:r>
        <w:rPr>
          <w:rFonts w:ascii="Calibri" w:hAnsi="Calibri"/>
        </w:rPr>
        <w:t xml:space="preserve">H.5 The Earn-Back Schedule</w:t>
      </w:r>
      <w:bookmarkEnd w:id="234"/>
    </w:p>
    <w:p>
      <w:pPr>
        <w:jc w:val="both"/>
      </w:pPr>
      <w:r>
        <w:rPr/>
        <w:t xml:space="preserve">Restoration runs automatically on certification: (a) after a Tier 2 step-back, four consecutive certified clean weeks restore accrual and suspended benefits at the next Monday bulletin; (b) after a Tier 3 step-back, four consecutive certified clean weeks restore discretionary benefits and resume accrual from the banked floor, and the share rebuilds on the standard schedule of Section H.2; (c) restoration carries no admission of fault, no negotiation, and no political price. The Neutral Verification Office certifies restoration with the same evidence standard it certifies step-backs, and both publish symmetrically.</w:t>
      </w:r>
    </w:p>
    <w:p>
      <w:pPr>
        <w:pStyle w:val="Heading2"/>
      </w:pPr>
      <w:bookmarkStart w:id="235" w:name="_Toc261100135"/>
      <w:r>
        <w:rPr>
          <w:rFonts w:ascii="Calibri" w:hAnsi="Calibri"/>
        </w:rPr>
        <w:t xml:space="preserve">H.6 The Input Custody Map</w:t>
      </w:r>
      <w:bookmarkEnd w:id="235"/>
    </w:p>
    <w:p>
      <w:pPr>
        <w:jc w:val="both"/>
      </w:pPr>
      <w:r>
        <w:rPr/>
        <w:t xml:space="preserve">The independence test of Article 30.3 runs on this custody map. Independent input families: (1) Iranian coastal radar chain, Iranian custody; (2) Omani coastal radar chain, Omani custody; (3) automatic identification system receiver network, joint custody with satellite augmentation from Endorsing Stakeholder feeds; (4) patrol and watch floor logs, Authority custody; (5) survey sensors and diver reports, Joint Survey Cell custody; (6) financial records, Neutral Administrator custody; (7) observer reports, Neutral Verification Office custody. A convergence pair draws from two different families; an existential finding draws from three. The Integrity Cell audits the custody map quarterly against actual practice.</w:t>
      </w:r>
    </w:p>
    <w:p>
      <w:pPr>
        <w:pStyle w:val="Heading2"/>
      </w:pPr>
      <w:bookmarkStart w:id="236" w:name="_Toc261100136"/>
      <w:r>
        <w:rPr>
          <w:rFonts w:ascii="Calibri" w:hAnsi="Calibri"/>
        </w:rPr>
        <w:t xml:space="preserve">H.7 The Weighting Tables</w:t>
      </w:r>
      <w:bookmarkEnd w:id="236"/>
    </w:p>
    <w:p>
      <w:pPr>
        <w:jc w:val="both"/>
      </w:pPr>
      <w:r>
        <w:rPr/>
        <w:t xml:space="preserve">The corridor function set weights 100 points as Annex E, Section E.5, states: Northern set 33, Southern set 33, Central co-functions 20, system-level functions 14. The stage increments distribute as follows:</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1600"/>
        <w:gridCol w:w="4000"/>
        <w:gridCol w:w="1800"/>
        <w:gridCol w:w="2100"/>
      </w:tblGrid>
      <w:tr>
        <w:trPr>
          <w:tblHeader/>
        </w:trPr>
        <w:tc>
          <w:tcPr>
            <w:tcW w:w="1600" w:type="dxa"/>
            <w:shd w:val="clear" w:fill="E8EDF1"/>
          </w:tcPr>
          <w:p>
            <w:pPr>
              <w:spacing w:after="20" w:line="264" w:lineRule="auto"/>
            </w:pPr>
            <w:r>
              <w:rPr>
                <w:rFonts w:ascii="Calibri" w:hAnsi="Calibri"/>
                <w:b/>
                <w:color w:val="2E4A62"/>
                <w:sz w:val="18"/>
              </w:rPr>
              <w:t xml:space="preserve">Stage</w:t>
            </w:r>
          </w:p>
        </w:tc>
        <w:tc>
          <w:tcPr>
            <w:tcW w:w="4000" w:type="dxa"/>
            <w:shd w:val="clear" w:fill="E8EDF1"/>
          </w:tcPr>
          <w:p>
            <w:pPr>
              <w:spacing w:after="20" w:line="264" w:lineRule="auto"/>
            </w:pPr>
            <w:r>
              <w:rPr>
                <w:rFonts w:ascii="Calibri" w:hAnsi="Calibri"/>
                <w:b/>
                <w:color w:val="2E4A62"/>
                <w:sz w:val="18"/>
              </w:rPr>
              <w:t xml:space="preserve">Functions added</w:t>
            </w:r>
          </w:p>
        </w:tc>
        <w:tc>
          <w:tcPr>
            <w:tcW w:w="1800" w:type="dxa"/>
            <w:shd w:val="clear" w:fill="E8EDF1"/>
          </w:tcPr>
          <w:p>
            <w:pPr>
              <w:spacing w:after="20" w:line="264" w:lineRule="auto"/>
            </w:pPr>
            <w:r>
              <w:rPr>
                <w:rFonts w:ascii="Calibri" w:hAnsi="Calibri"/>
                <w:b/>
                <w:color w:val="2E4A62"/>
                <w:sz w:val="18"/>
              </w:rPr>
              <w:t xml:space="preserve">Points</w:t>
            </w:r>
          </w:p>
        </w:tc>
        <w:tc>
          <w:tcPr>
            <w:tcW w:w="2100" w:type="dxa"/>
            <w:shd w:val="clear" w:fill="E8EDF1"/>
          </w:tcPr>
          <w:p>
            <w:pPr>
              <w:spacing w:after="20" w:line="264" w:lineRule="auto"/>
            </w:pPr>
            <w:r>
              <w:rPr>
                <w:rFonts w:ascii="Calibri" w:hAnsi="Calibri"/>
                <w:b/>
                <w:color w:val="2E4A62"/>
                <w:sz w:val="18"/>
              </w:rPr>
              <w:t xml:space="preserve">Cumulative share</w:t>
            </w:r>
          </w:p>
        </w:tc>
      </w:tr>
      <w:tr>
        <w:tc>
          <w:tcPr>
            <w:tcW w:w="1600" w:type="dxa"/>
          </w:tcPr>
          <w:p>
            <w:pPr>
              <w:spacing w:after="20" w:line="264" w:lineRule="auto"/>
            </w:pPr>
            <w:r>
              <w:rPr>
                <w:rFonts w:ascii="Calibri" w:hAnsi="Calibri"/>
                <w:color w:val="263238"/>
                <w:sz w:val="18"/>
              </w:rPr>
              <w:t xml:space="preserve">0</w:t>
            </w:r>
          </w:p>
        </w:tc>
        <w:tc>
          <w:tcPr>
            <w:tcW w:w="4000" w:type="dxa"/>
          </w:tcPr>
          <w:p>
            <w:pPr>
              <w:spacing w:after="20" w:line="264" w:lineRule="auto"/>
            </w:pPr>
            <w:r>
              <w:rPr>
                <w:rFonts w:ascii="Calibri" w:hAnsi="Calibri"/>
                <w:color w:val="263238"/>
                <w:sz w:val="18"/>
              </w:rPr>
              <w:t xml:space="preserve">Northern set (F-1 through F-7, F-10 for the Northern Corridor)</w:t>
            </w:r>
          </w:p>
        </w:tc>
        <w:tc>
          <w:tcPr>
            <w:tcW w:w="1800" w:type="dxa"/>
          </w:tcPr>
          <w:p>
            <w:pPr>
              <w:spacing w:after="20" w:line="264" w:lineRule="auto"/>
            </w:pPr>
            <w:r>
              <w:rPr>
                <w:rFonts w:ascii="Calibri" w:hAnsi="Calibri"/>
                <w:color w:val="263238"/>
                <w:sz w:val="18"/>
              </w:rPr>
              <w:t xml:space="preserve">33</w:t>
            </w:r>
          </w:p>
        </w:tc>
        <w:tc>
          <w:tcPr>
            <w:tcW w:w="2100" w:type="dxa"/>
          </w:tcPr>
          <w:p>
            <w:pPr>
              <w:spacing w:after="20" w:line="264" w:lineRule="auto"/>
            </w:pPr>
            <w:r>
              <w:rPr>
                <w:rFonts w:ascii="Calibri" w:hAnsi="Calibri"/>
                <w:color w:val="263238"/>
                <w:sz w:val="18"/>
              </w:rPr>
              <w:t xml:space="preserve">33 percent</w:t>
            </w:r>
          </w:p>
        </w:tc>
      </w:tr>
      <w:tr>
        <w:tc>
          <w:tcPr>
            <w:tcW w:w="1600" w:type="dxa"/>
          </w:tcPr>
          <w:p>
            <w:pPr>
              <w:spacing w:after="20" w:line="264" w:lineRule="auto"/>
            </w:pPr>
            <w:r>
              <w:rPr>
                <w:rFonts w:ascii="Calibri" w:hAnsi="Calibri"/>
                <w:color w:val="263238"/>
                <w:sz w:val="18"/>
              </w:rPr>
              <w:t xml:space="preserve">1</w:t>
            </w:r>
          </w:p>
        </w:tc>
        <w:tc>
          <w:tcPr>
            <w:tcW w:w="4000" w:type="dxa"/>
          </w:tcPr>
          <w:p>
            <w:pPr>
              <w:spacing w:after="20" w:line="264" w:lineRule="auto"/>
            </w:pPr>
            <w:r>
              <w:rPr>
                <w:rFonts w:ascii="Calibri" w:hAnsi="Calibri"/>
                <w:color w:val="263238"/>
                <w:sz w:val="18"/>
              </w:rPr>
              <w:t xml:space="preserve">Central traffic management co-function</w:t>
            </w:r>
          </w:p>
        </w:tc>
        <w:tc>
          <w:tcPr>
            <w:tcW w:w="1800" w:type="dxa"/>
          </w:tcPr>
          <w:p>
            <w:pPr>
              <w:spacing w:after="20" w:line="264" w:lineRule="auto"/>
            </w:pPr>
            <w:r>
              <w:rPr>
                <w:rFonts w:ascii="Calibri" w:hAnsi="Calibri"/>
                <w:color w:val="263238"/>
                <w:sz w:val="18"/>
              </w:rPr>
              <w:t xml:space="preserve">10</w:t>
            </w:r>
          </w:p>
        </w:tc>
        <w:tc>
          <w:tcPr>
            <w:tcW w:w="2100" w:type="dxa"/>
          </w:tcPr>
          <w:p>
            <w:pPr>
              <w:spacing w:after="20" w:line="264" w:lineRule="auto"/>
            </w:pPr>
            <w:r>
              <w:rPr>
                <w:rFonts w:ascii="Calibri" w:hAnsi="Calibri"/>
                <w:color w:val="263238"/>
                <w:sz w:val="18"/>
              </w:rPr>
              <w:t xml:space="preserve">43 percent</w:t>
            </w:r>
          </w:p>
        </w:tc>
      </w:tr>
      <w:tr>
        <w:tc>
          <w:tcPr>
            <w:tcW w:w="1600" w:type="dxa"/>
          </w:tcPr>
          <w:p>
            <w:pPr>
              <w:spacing w:after="20" w:line="264" w:lineRule="auto"/>
            </w:pPr>
            <w:r>
              <w:rPr>
                <w:rFonts w:ascii="Calibri" w:hAnsi="Calibri"/>
                <w:color w:val="263238"/>
                <w:sz w:val="18"/>
              </w:rPr>
              <w:t xml:space="preserve">2</w:t>
            </w:r>
          </w:p>
        </w:tc>
        <w:tc>
          <w:tcPr>
            <w:tcW w:w="4000" w:type="dxa"/>
          </w:tcPr>
          <w:p>
            <w:pPr>
              <w:spacing w:after="20" w:line="264" w:lineRule="auto"/>
            </w:pPr>
            <w:r>
              <w:rPr>
                <w:rFonts w:ascii="Calibri" w:hAnsi="Calibri"/>
                <w:color w:val="263238"/>
                <w:sz w:val="18"/>
              </w:rPr>
              <w:t xml:space="preserve">Central survey co-lead and hazard reporting</w:t>
            </w:r>
          </w:p>
        </w:tc>
        <w:tc>
          <w:tcPr>
            <w:tcW w:w="1800" w:type="dxa"/>
          </w:tcPr>
          <w:p>
            <w:pPr>
              <w:spacing w:after="20" w:line="264" w:lineRule="auto"/>
            </w:pPr>
            <w:r>
              <w:rPr>
                <w:rFonts w:ascii="Calibri" w:hAnsi="Calibri"/>
                <w:color w:val="263238"/>
                <w:sz w:val="18"/>
              </w:rPr>
              <w:t xml:space="preserve">10</w:t>
            </w:r>
          </w:p>
        </w:tc>
        <w:tc>
          <w:tcPr>
            <w:tcW w:w="2100" w:type="dxa"/>
          </w:tcPr>
          <w:p>
            <w:pPr>
              <w:spacing w:after="20" w:line="264" w:lineRule="auto"/>
            </w:pPr>
            <w:r>
              <w:rPr>
                <w:rFonts w:ascii="Calibri" w:hAnsi="Calibri"/>
                <w:color w:val="263238"/>
                <w:sz w:val="18"/>
              </w:rPr>
              <w:t xml:space="preserve">53 percent</w:t>
            </w:r>
          </w:p>
        </w:tc>
      </w:tr>
      <w:tr>
        <w:tc>
          <w:tcPr>
            <w:tcW w:w="1600" w:type="dxa"/>
          </w:tcPr>
          <w:p>
            <w:pPr>
              <w:spacing w:after="20" w:line="264" w:lineRule="auto"/>
            </w:pPr>
            <w:r>
              <w:rPr>
                <w:rFonts w:ascii="Calibri" w:hAnsi="Calibri"/>
                <w:color w:val="263238"/>
                <w:sz w:val="18"/>
              </w:rPr>
              <w:t xml:space="preserve">3</w:t>
            </w:r>
          </w:p>
        </w:tc>
        <w:tc>
          <w:tcPr>
            <w:tcW w:w="4000" w:type="dxa"/>
          </w:tcPr>
          <w:p>
            <w:pPr>
              <w:spacing w:after="20" w:line="264" w:lineRule="auto"/>
            </w:pPr>
            <w:r>
              <w:rPr>
                <w:rFonts w:ascii="Calibri" w:hAnsi="Calibri"/>
                <w:color w:val="263238"/>
                <w:sz w:val="18"/>
              </w:rPr>
              <w:t xml:space="preserve">Bulletin co-custody; convoy coordination premium</w:t>
            </w:r>
          </w:p>
        </w:tc>
        <w:tc>
          <w:tcPr>
            <w:tcW w:w="1800" w:type="dxa"/>
          </w:tcPr>
          <w:p>
            <w:pPr>
              <w:spacing w:after="20" w:line="264" w:lineRule="auto"/>
            </w:pPr>
            <w:r>
              <w:rPr>
                <w:rFonts w:ascii="Calibri" w:hAnsi="Calibri"/>
                <w:color w:val="263238"/>
                <w:sz w:val="18"/>
              </w:rPr>
              <w:t xml:space="preserve">10</w:t>
            </w:r>
          </w:p>
        </w:tc>
        <w:tc>
          <w:tcPr>
            <w:tcW w:w="2100" w:type="dxa"/>
          </w:tcPr>
          <w:p>
            <w:pPr>
              <w:spacing w:after="20" w:line="264" w:lineRule="auto"/>
            </w:pPr>
            <w:r>
              <w:rPr>
                <w:rFonts w:ascii="Calibri" w:hAnsi="Calibri"/>
                <w:color w:val="263238"/>
                <w:sz w:val="18"/>
              </w:rPr>
              <w:t xml:space="preserve">63 percent</w:t>
            </w:r>
          </w:p>
        </w:tc>
      </w:tr>
      <w:tr>
        <w:tc>
          <w:tcPr>
            <w:tcW w:w="1600" w:type="dxa"/>
          </w:tcPr>
          <w:p>
            <w:pPr>
              <w:spacing w:after="20" w:line="264" w:lineRule="auto"/>
            </w:pPr>
            <w:r>
              <w:rPr>
                <w:rFonts w:ascii="Calibri" w:hAnsi="Calibri"/>
                <w:color w:val="263238"/>
                <w:sz w:val="18"/>
              </w:rPr>
              <w:t xml:space="preserve">4</w:t>
            </w:r>
          </w:p>
        </w:tc>
        <w:tc>
          <w:tcPr>
            <w:tcW w:w="4000" w:type="dxa"/>
          </w:tcPr>
          <w:p>
            <w:pPr>
              <w:spacing w:after="20" w:line="264" w:lineRule="auto"/>
            </w:pPr>
            <w:r>
              <w:rPr>
                <w:rFonts w:ascii="Calibri" w:hAnsi="Calibri"/>
                <w:color w:val="263238"/>
                <w:sz w:val="18"/>
              </w:rPr>
              <w:t xml:space="preserve">Southern deputy: environmental monitoring; SAR coordination</w:t>
            </w:r>
          </w:p>
        </w:tc>
        <w:tc>
          <w:tcPr>
            <w:tcW w:w="1800" w:type="dxa"/>
          </w:tcPr>
          <w:p>
            <w:pPr>
              <w:spacing w:after="20" w:line="264" w:lineRule="auto"/>
            </w:pPr>
            <w:r>
              <w:rPr>
                <w:rFonts w:ascii="Calibri" w:hAnsi="Calibri"/>
                <w:color w:val="263238"/>
                <w:sz w:val="18"/>
              </w:rPr>
              <w:t xml:space="preserve">10</w:t>
            </w:r>
          </w:p>
        </w:tc>
        <w:tc>
          <w:tcPr>
            <w:tcW w:w="2100" w:type="dxa"/>
          </w:tcPr>
          <w:p>
            <w:pPr>
              <w:spacing w:after="20" w:line="264" w:lineRule="auto"/>
            </w:pPr>
            <w:r>
              <w:rPr>
                <w:rFonts w:ascii="Calibri" w:hAnsi="Calibri"/>
                <w:color w:val="263238"/>
                <w:sz w:val="18"/>
              </w:rPr>
              <w:t xml:space="preserve">73 percent</w:t>
            </w:r>
          </w:p>
        </w:tc>
      </w:tr>
      <w:tr>
        <w:tc>
          <w:tcPr>
            <w:tcW w:w="1600" w:type="dxa"/>
          </w:tcPr>
          <w:p>
            <w:pPr>
              <w:spacing w:after="20" w:line="264" w:lineRule="auto"/>
            </w:pPr>
            <w:r>
              <w:rPr>
                <w:rFonts w:ascii="Calibri" w:hAnsi="Calibri"/>
                <w:color w:val="263238"/>
                <w:sz w:val="18"/>
              </w:rPr>
              <w:t xml:space="preserve">5</w:t>
            </w:r>
          </w:p>
        </w:tc>
        <w:tc>
          <w:tcPr>
            <w:tcW w:w="4000" w:type="dxa"/>
          </w:tcPr>
          <w:p>
            <w:pPr>
              <w:spacing w:after="20" w:line="264" w:lineRule="auto"/>
            </w:pPr>
            <w:r>
              <w:rPr>
                <w:rFonts w:ascii="Calibri" w:hAnsi="Calibri"/>
                <w:color w:val="263238"/>
                <w:sz w:val="18"/>
              </w:rPr>
              <w:t xml:space="preserve">Southern deputy: traffic management support; aids liaison</w:t>
            </w:r>
          </w:p>
        </w:tc>
        <w:tc>
          <w:tcPr>
            <w:tcW w:w="1800" w:type="dxa"/>
          </w:tcPr>
          <w:p>
            <w:pPr>
              <w:spacing w:after="20" w:line="264" w:lineRule="auto"/>
            </w:pPr>
            <w:r>
              <w:rPr>
                <w:rFonts w:ascii="Calibri" w:hAnsi="Calibri"/>
                <w:color w:val="263238"/>
                <w:sz w:val="18"/>
              </w:rPr>
              <w:t xml:space="preserve">10</w:t>
            </w:r>
          </w:p>
        </w:tc>
        <w:tc>
          <w:tcPr>
            <w:tcW w:w="2100" w:type="dxa"/>
          </w:tcPr>
          <w:p>
            <w:pPr>
              <w:spacing w:after="20" w:line="264" w:lineRule="auto"/>
            </w:pPr>
            <w:r>
              <w:rPr>
                <w:rFonts w:ascii="Calibri" w:hAnsi="Calibri"/>
                <w:color w:val="263238"/>
                <w:sz w:val="18"/>
              </w:rPr>
              <w:t xml:space="preserve">83 percent</w:t>
            </w:r>
          </w:p>
        </w:tc>
      </w:tr>
      <w:tr>
        <w:tc>
          <w:tcPr>
            <w:tcW w:w="1600" w:type="dxa"/>
          </w:tcPr>
          <w:p>
            <w:pPr>
              <w:spacing w:after="20" w:line="264" w:lineRule="auto"/>
            </w:pPr>
            <w:r>
              <w:rPr>
                <w:rFonts w:ascii="Calibri" w:hAnsi="Calibri"/>
                <w:color w:val="263238"/>
                <w:sz w:val="18"/>
              </w:rPr>
              <w:t xml:space="preserve">6</w:t>
            </w:r>
          </w:p>
        </w:tc>
        <w:tc>
          <w:tcPr>
            <w:tcW w:w="4000" w:type="dxa"/>
          </w:tcPr>
          <w:p>
            <w:pPr>
              <w:spacing w:after="20" w:line="264" w:lineRule="auto"/>
            </w:pPr>
            <w:r>
              <w:rPr>
                <w:rFonts w:ascii="Calibri" w:hAnsi="Calibri"/>
                <w:color w:val="263238"/>
                <w:sz w:val="18"/>
              </w:rPr>
              <w:t xml:space="preserve">System-level survey direction; data fusion co-custody</w:t>
            </w:r>
          </w:p>
        </w:tc>
        <w:tc>
          <w:tcPr>
            <w:tcW w:w="1800" w:type="dxa"/>
          </w:tcPr>
          <w:p>
            <w:pPr>
              <w:spacing w:after="20" w:line="264" w:lineRule="auto"/>
            </w:pPr>
            <w:r>
              <w:rPr>
                <w:rFonts w:ascii="Calibri" w:hAnsi="Calibri"/>
                <w:color w:val="263238"/>
                <w:sz w:val="18"/>
              </w:rPr>
              <w:t xml:space="preserve">10</w:t>
            </w:r>
          </w:p>
        </w:tc>
        <w:tc>
          <w:tcPr>
            <w:tcW w:w="2100" w:type="dxa"/>
          </w:tcPr>
          <w:p>
            <w:pPr>
              <w:spacing w:after="20" w:line="264" w:lineRule="auto"/>
            </w:pPr>
            <w:r>
              <w:rPr>
                <w:rFonts w:ascii="Calibri" w:hAnsi="Calibri"/>
                <w:color w:val="263238"/>
                <w:sz w:val="18"/>
              </w:rPr>
              <w:t xml:space="preserve">93 percent</w:t>
            </w:r>
          </w:p>
        </w:tc>
      </w:tr>
      <w:tr>
        <w:tc>
          <w:tcPr>
            <w:tcW w:w="1600" w:type="dxa"/>
          </w:tcPr>
          <w:p>
            <w:pPr>
              <w:spacing w:after="20" w:line="264" w:lineRule="auto"/>
            </w:pPr>
            <w:r>
              <w:rPr>
                <w:rFonts w:ascii="Calibri" w:hAnsi="Calibri"/>
                <w:color w:val="263238"/>
                <w:sz w:val="18"/>
              </w:rPr>
              <w:t xml:space="preserve">7</w:t>
            </w:r>
          </w:p>
        </w:tc>
        <w:tc>
          <w:tcPr>
            <w:tcW w:w="4000" w:type="dxa"/>
          </w:tcPr>
          <w:p>
            <w:pPr>
              <w:spacing w:after="20" w:line="264" w:lineRule="auto"/>
            </w:pPr>
            <w:r>
              <w:rPr>
                <w:rFonts w:ascii="Calibri" w:hAnsi="Calibri"/>
                <w:color w:val="263238"/>
                <w:sz w:val="18"/>
              </w:rPr>
              <w:t xml:space="preserve">Remaining system-level functions in full</w:t>
            </w:r>
          </w:p>
        </w:tc>
        <w:tc>
          <w:tcPr>
            <w:tcW w:w="1800" w:type="dxa"/>
          </w:tcPr>
          <w:p>
            <w:pPr>
              <w:spacing w:after="20" w:line="264" w:lineRule="auto"/>
            </w:pPr>
            <w:r>
              <w:rPr>
                <w:rFonts w:ascii="Calibri" w:hAnsi="Calibri"/>
                <w:color w:val="263238"/>
                <w:sz w:val="18"/>
              </w:rPr>
              <w:t xml:space="preserve">7</w:t>
            </w:r>
          </w:p>
        </w:tc>
        <w:tc>
          <w:tcPr>
            <w:tcW w:w="2100" w:type="dxa"/>
          </w:tcPr>
          <w:p>
            <w:pPr>
              <w:spacing w:after="20" w:line="264" w:lineRule="auto"/>
            </w:pPr>
            <w:r>
              <w:rPr>
                <w:rFonts w:ascii="Calibri" w:hAnsi="Calibri"/>
                <w:color w:val="263238"/>
                <w:sz w:val="18"/>
              </w:rPr>
              <w:t xml:space="preserve">100 percent</w:t>
            </w:r>
          </w:p>
        </w:tc>
      </w:tr>
    </w:tbl>
    <w:p>
      <w:pPr>
        <w:spacing w:after="160"/>
      </w:pPr>
    </w:p>
    <w:p>
      <w:pPr>
        <w:jc w:val="both"/>
      </w:pPr>
      <w:r>
        <w:rPr/>
        <w:t xml:space="preserve">Oman's share computes as the complement of Iran's within the same table at every state, and Oman's own certified performance expands its recognized functions on the same weekly standard in the dimensions the complement leaves open: Bulletin co-custody at its Stage 3 equivalent, system survey direction at its Stage 6 equivalent, and the standing co-lead of the Central Assurance functions. The two escalators interlock by construction, sum to 100 at every state, and give both littorals a permanent, symmetric, purely performance-based growth path.</w:t>
      </w:r>
    </w:p>
    <w:p>
      <w:pPr>
        <w:pStyle w:val="Heading2"/>
      </w:pPr>
      <w:bookmarkStart w:id="237" w:name="_Toc261100137"/>
      <w:r>
        <w:rPr>
          <w:rFonts w:ascii="Calibri" w:hAnsi="Calibri"/>
        </w:rPr>
        <w:t xml:space="preserve">H.8 The Escalator in One Paragraph</w:t>
      </w:r>
      <w:bookmarkEnd w:id="237"/>
    </w:p>
    <w:p>
      <w:pPr>
        <w:jc w:val="both"/>
      </w:pPr>
      <w:r>
        <w:rPr/>
        <w:t xml:space="preserve">For the reader who reads one paragraph of this Annex: Iran starts at 33 percent of the corridor function set, earns 10 points per certified clean week, locks a permanent 60 percent floor at week three, reaches full functional administration at week seven, keeps every banked gain forever, loses only unbanked momentum to verified breach, and earns everything back automatically on four clean weeks, with the Twin Key rule governing every consequential action at every level and sovereignty never entering the measure at all.</w:t>
      </w:r>
    </w:p>
    <w:p>
      <w:pPr>
        <w:pStyle w:val="Heading1"/>
        <w:pageBreakBefore/>
        <w:pBdr>
          <w:bottom w:val="single" w:color="B9C6CF" w:sz="6" w:space="4"/>
        </w:pBdr>
      </w:pPr>
      <w:bookmarkStart w:id="238" w:name="_Toc261100138"/>
      <w:r>
        <w:rPr>
          <w:rFonts w:ascii="Calibri" w:hAnsi="Calibri"/>
        </w:rPr>
        <w:t xml:space="preserve">Annex I: The Stability Audit: Metrics, Thresholds, and Method</w:t>
      </w:r>
      <w:bookmarkEnd w:id="238"/>
    </w:p>
    <w:p>
      <w:pPr>
        <w:jc w:val="both"/>
      </w:pPr>
      <w:r>
        <w:rPr/>
        <w:t xml:space="preserve">This Annex carries the Stability Audit of Article 38: five domains, twenty-five metrics, explicit thresholds, and the audit method. The audit determines whether the pilot phase graduates to steady state. Every metric traces to logged data; no metric rests on impression, and every threshold publishes before the pilot begins, so no participant learns the test after taking it.</w:t>
      </w:r>
    </w:p>
    <w:p>
      <w:pPr>
        <w:pStyle w:val="Heading2"/>
      </w:pPr>
      <w:bookmarkStart w:id="239" w:name="_Toc261100139"/>
      <w:r>
        <w:rPr>
          <w:rFonts w:ascii="Calibri" w:hAnsi="Calibri"/>
        </w:rPr>
        <w:t xml:space="preserve">I.1 Method</w:t>
      </w:r>
      <w:bookmarkEnd w:id="239"/>
    </w:p>
    <w:p>
      <w:pPr>
        <w:jc w:val="both"/>
      </w:pPr>
      <w:r>
        <w:rPr/>
        <w:t xml:space="preserve">The audit window runs from Day 55 to Day 90 of the activation timeline. The Neutral Verification Office computes every metric from the system's logs over the window, presents the computation with its data extracts, and certifies the domain results under the Human Anchor method. Each domain scores Pass, Conditional, or Extend against its thresholds; the overall outcome follows the rule of Article 38.3: all five Pass yields Pass; any Conditional with no Extend yields Conditional Pass; any Extend yields Extend in that domain only.</w:t>
      </w:r>
    </w:p>
    <w:p>
      <w:pPr>
        <w:pStyle w:val="Heading2"/>
      </w:pPr>
      <w:bookmarkStart w:id="240" w:name="_Toc261100140"/>
      <w:r>
        <w:rPr>
          <w:rFonts w:ascii="Calibri" w:hAnsi="Calibri"/>
        </w:rPr>
        <w:t xml:space="preserve">I.2 Domain 1: Navigation and Corridor Compliance</w:t>
      </w:r>
      <w:bookmarkEnd w:id="240"/>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3400"/>
        <w:gridCol w:w="3000"/>
        <w:gridCol w:w="3000"/>
      </w:tblGrid>
      <w:tr>
        <w:trPr>
          <w:tblHeader/>
        </w:trPr>
        <w:tc>
          <w:tcPr>
            <w:tcW w:w="3400" w:type="dxa"/>
            <w:shd w:val="clear" w:fill="E8EDF1"/>
          </w:tcPr>
          <w:p>
            <w:pPr>
              <w:spacing w:after="20" w:line="264" w:lineRule="auto"/>
            </w:pPr>
            <w:r>
              <w:rPr>
                <w:rFonts w:ascii="Calibri" w:hAnsi="Calibri"/>
                <w:b/>
                <w:color w:val="2E4A62"/>
                <w:sz w:val="18"/>
              </w:rPr>
              <w:t xml:space="preserve">Metric</w:t>
            </w:r>
          </w:p>
        </w:tc>
        <w:tc>
          <w:tcPr>
            <w:tcW w:w="3000" w:type="dxa"/>
            <w:shd w:val="clear" w:fill="E8EDF1"/>
          </w:tcPr>
          <w:p>
            <w:pPr>
              <w:spacing w:after="20" w:line="264" w:lineRule="auto"/>
            </w:pPr>
            <w:r>
              <w:rPr>
                <w:rFonts w:ascii="Calibri" w:hAnsi="Calibri"/>
                <w:b/>
                <w:color w:val="2E4A62"/>
                <w:sz w:val="18"/>
              </w:rPr>
              <w:t xml:space="preserve">Pass threshold</w:t>
            </w:r>
          </w:p>
        </w:tc>
        <w:tc>
          <w:tcPr>
            <w:tcW w:w="3000" w:type="dxa"/>
            <w:shd w:val="clear" w:fill="E8EDF1"/>
          </w:tcPr>
          <w:p>
            <w:pPr>
              <w:spacing w:after="20" w:line="264" w:lineRule="auto"/>
            </w:pPr>
            <w:r>
              <w:rPr>
                <w:rFonts w:ascii="Calibri" w:hAnsi="Calibri"/>
                <w:b/>
                <w:color w:val="2E4A62"/>
                <w:sz w:val="18"/>
              </w:rPr>
              <w:t xml:space="preserve">Conditional threshold</w:t>
            </w:r>
          </w:p>
        </w:tc>
      </w:tr>
      <w:tr>
        <w:tc>
          <w:tcPr>
            <w:tcW w:w="3400" w:type="dxa"/>
          </w:tcPr>
          <w:p>
            <w:pPr>
              <w:spacing w:after="20" w:line="264" w:lineRule="auto"/>
            </w:pPr>
            <w:r>
              <w:rPr>
                <w:rFonts w:ascii="Calibri" w:hAnsi="Calibri"/>
                <w:color w:val="263238"/>
                <w:sz w:val="18"/>
              </w:rPr>
              <w:t xml:space="preserve">Automatic identification system continuity rate</w:t>
            </w:r>
          </w:p>
        </w:tc>
        <w:tc>
          <w:tcPr>
            <w:tcW w:w="3000" w:type="dxa"/>
          </w:tcPr>
          <w:p>
            <w:pPr>
              <w:spacing w:after="20" w:line="264" w:lineRule="auto"/>
            </w:pPr>
            <w:r>
              <w:rPr>
                <w:rFonts w:ascii="Calibri" w:hAnsi="Calibri"/>
                <w:color w:val="263238"/>
                <w:sz w:val="18"/>
              </w:rPr>
              <w:t xml:space="preserve">At or above 99.0 percent</w:t>
            </w:r>
          </w:p>
        </w:tc>
        <w:tc>
          <w:tcPr>
            <w:tcW w:w="3000" w:type="dxa"/>
          </w:tcPr>
          <w:p>
            <w:pPr>
              <w:spacing w:after="20" w:line="264" w:lineRule="auto"/>
            </w:pPr>
            <w:r>
              <w:rPr>
                <w:rFonts w:ascii="Calibri" w:hAnsi="Calibri"/>
                <w:color w:val="263238"/>
                <w:sz w:val="18"/>
              </w:rPr>
              <w:t xml:space="preserve">97.0 to 99.0 percent</w:t>
            </w:r>
          </w:p>
        </w:tc>
      </w:tr>
      <w:tr>
        <w:tc>
          <w:tcPr>
            <w:tcW w:w="3400" w:type="dxa"/>
          </w:tcPr>
          <w:p>
            <w:pPr>
              <w:spacing w:after="20" w:line="264" w:lineRule="auto"/>
            </w:pPr>
            <w:r>
              <w:rPr>
                <w:rFonts w:ascii="Calibri" w:hAnsi="Calibri"/>
                <w:color w:val="263238"/>
                <w:sz w:val="18"/>
              </w:rPr>
              <w:t xml:space="preserve">Corridor adherence rate</w:t>
            </w:r>
          </w:p>
        </w:tc>
        <w:tc>
          <w:tcPr>
            <w:tcW w:w="3000" w:type="dxa"/>
          </w:tcPr>
          <w:p>
            <w:pPr>
              <w:spacing w:after="20" w:line="264" w:lineRule="auto"/>
            </w:pPr>
            <w:r>
              <w:rPr>
                <w:rFonts w:ascii="Calibri" w:hAnsi="Calibri"/>
                <w:color w:val="263238"/>
                <w:sz w:val="18"/>
              </w:rPr>
              <w:t xml:space="preserve">At or above 98.5 percent</w:t>
            </w:r>
          </w:p>
        </w:tc>
        <w:tc>
          <w:tcPr>
            <w:tcW w:w="3000" w:type="dxa"/>
          </w:tcPr>
          <w:p>
            <w:pPr>
              <w:spacing w:after="20" w:line="264" w:lineRule="auto"/>
            </w:pPr>
            <w:r>
              <w:rPr>
                <w:rFonts w:ascii="Calibri" w:hAnsi="Calibri"/>
                <w:color w:val="263238"/>
                <w:sz w:val="18"/>
              </w:rPr>
              <w:t xml:space="preserve">96.5 to 98.5 percent</w:t>
            </w:r>
          </w:p>
        </w:tc>
      </w:tr>
      <w:tr>
        <w:tc>
          <w:tcPr>
            <w:tcW w:w="3400" w:type="dxa"/>
          </w:tcPr>
          <w:p>
            <w:pPr>
              <w:spacing w:after="20" w:line="264" w:lineRule="auto"/>
            </w:pPr>
            <w:r>
              <w:rPr>
                <w:rFonts w:ascii="Calibri" w:hAnsi="Calibri"/>
                <w:color w:val="263238"/>
                <w:sz w:val="18"/>
              </w:rPr>
              <w:t xml:space="preserve">Unauthorized routing deviations</w:t>
            </w:r>
          </w:p>
        </w:tc>
        <w:tc>
          <w:tcPr>
            <w:tcW w:w="3000" w:type="dxa"/>
          </w:tcPr>
          <w:p>
            <w:pPr>
              <w:spacing w:after="20" w:line="264" w:lineRule="auto"/>
            </w:pPr>
            <w:r>
              <w:rPr>
                <w:rFonts w:ascii="Calibri" w:hAnsi="Calibri"/>
                <w:color w:val="263238"/>
                <w:sz w:val="18"/>
              </w:rPr>
              <w:t xml:space="preserve">Fewer than 3 per week</w:t>
            </w:r>
          </w:p>
        </w:tc>
        <w:tc>
          <w:tcPr>
            <w:tcW w:w="3000" w:type="dxa"/>
          </w:tcPr>
          <w:p>
            <w:pPr>
              <w:spacing w:after="20" w:line="264" w:lineRule="auto"/>
            </w:pPr>
            <w:r>
              <w:rPr>
                <w:rFonts w:ascii="Calibri" w:hAnsi="Calibri"/>
                <w:color w:val="263238"/>
                <w:sz w:val="18"/>
              </w:rPr>
              <w:t xml:space="preserve">3 to 6 per week</w:t>
            </w:r>
          </w:p>
        </w:tc>
      </w:tr>
      <w:tr>
        <w:tc>
          <w:tcPr>
            <w:tcW w:w="3400" w:type="dxa"/>
          </w:tcPr>
          <w:p>
            <w:pPr>
              <w:spacing w:after="20" w:line="264" w:lineRule="auto"/>
            </w:pPr>
            <w:r>
              <w:rPr>
                <w:rFonts w:ascii="Calibri" w:hAnsi="Calibri"/>
                <w:color w:val="263238"/>
                <w:sz w:val="18"/>
              </w:rPr>
              <w:t xml:space="preserve">Navigation incidents (collision, near miss, unsafe proximity)</w:t>
            </w:r>
          </w:p>
        </w:tc>
        <w:tc>
          <w:tcPr>
            <w:tcW w:w="3000" w:type="dxa"/>
          </w:tcPr>
          <w:p>
            <w:pPr>
              <w:spacing w:after="20" w:line="264" w:lineRule="auto"/>
            </w:pPr>
            <w:r>
              <w:rPr>
                <w:rFonts w:ascii="Calibri" w:hAnsi="Calibri"/>
                <w:color w:val="263238"/>
                <w:sz w:val="18"/>
              </w:rPr>
              <w:t xml:space="preserve">Zero attributable to corridor design</w:t>
            </w:r>
          </w:p>
        </w:tc>
        <w:tc>
          <w:tcPr>
            <w:tcW w:w="3000" w:type="dxa"/>
          </w:tcPr>
          <w:p>
            <w:pPr>
              <w:spacing w:after="20" w:line="264" w:lineRule="auto"/>
            </w:pPr>
            <w:r>
              <w:rPr>
                <w:rFonts w:ascii="Calibri" w:hAnsi="Calibri"/>
                <w:color w:val="263238"/>
                <w:sz w:val="18"/>
              </w:rPr>
              <w:t xml:space="preserve">1 attributable, corrected</w:t>
            </w:r>
          </w:p>
        </w:tc>
      </w:tr>
      <w:tr>
        <w:tc>
          <w:tcPr>
            <w:tcW w:w="3400" w:type="dxa"/>
          </w:tcPr>
          <w:p>
            <w:pPr>
              <w:spacing w:after="20" w:line="264" w:lineRule="auto"/>
            </w:pPr>
            <w:r>
              <w:rPr>
                <w:rFonts w:ascii="Calibri" w:hAnsi="Calibri"/>
                <w:color w:val="263238"/>
                <w:sz w:val="18"/>
              </w:rPr>
              <w:t xml:space="preserve">Emergency diversion drill success</w:t>
            </w:r>
          </w:p>
        </w:tc>
        <w:tc>
          <w:tcPr>
            <w:tcW w:w="3000" w:type="dxa"/>
          </w:tcPr>
          <w:p>
            <w:pPr>
              <w:spacing w:after="20" w:line="264" w:lineRule="auto"/>
            </w:pPr>
            <w:r>
              <w:rPr>
                <w:rFonts w:ascii="Calibri" w:hAnsi="Calibri"/>
                <w:color w:val="263238"/>
                <w:sz w:val="18"/>
              </w:rPr>
              <w:t xml:space="preserve">2 successful drills in window</w:t>
            </w:r>
          </w:p>
        </w:tc>
        <w:tc>
          <w:tcPr>
            <w:tcW w:w="3000" w:type="dxa"/>
          </w:tcPr>
          <w:p>
            <w:pPr>
              <w:spacing w:after="20" w:line="264" w:lineRule="auto"/>
            </w:pPr>
            <w:r>
              <w:rPr>
                <w:rFonts w:ascii="Calibri" w:hAnsi="Calibri"/>
                <w:color w:val="263238"/>
                <w:sz w:val="18"/>
              </w:rPr>
              <w:t xml:space="preserve">1 successful drill</w:t>
            </w:r>
          </w:p>
        </w:tc>
      </w:tr>
    </w:tbl>
    <w:p>
      <w:pPr>
        <w:spacing w:after="160"/>
      </w:pPr>
    </w:p>
    <w:p>
      <w:pPr>
        <w:pStyle w:val="Heading2"/>
      </w:pPr>
      <w:bookmarkStart w:id="241" w:name="_Toc261100141"/>
      <w:r>
        <w:rPr>
          <w:rFonts w:ascii="Calibri" w:hAnsi="Calibri"/>
        </w:rPr>
        <w:t xml:space="preserve">I.3 Domain 2: Security and Deconfliction</w:t>
      </w:r>
      <w:bookmarkEnd w:id="241"/>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3400"/>
        <w:gridCol w:w="3000"/>
        <w:gridCol w:w="3000"/>
      </w:tblGrid>
      <w:tr>
        <w:trPr>
          <w:tblHeader/>
        </w:trPr>
        <w:tc>
          <w:tcPr>
            <w:tcW w:w="3400" w:type="dxa"/>
            <w:shd w:val="clear" w:fill="E8EDF1"/>
          </w:tcPr>
          <w:p>
            <w:pPr>
              <w:spacing w:after="20" w:line="264" w:lineRule="auto"/>
            </w:pPr>
            <w:r>
              <w:rPr>
                <w:rFonts w:ascii="Calibri" w:hAnsi="Calibri"/>
                <w:b/>
                <w:color w:val="2E4A62"/>
                <w:sz w:val="18"/>
              </w:rPr>
              <w:t xml:space="preserve">Metric</w:t>
            </w:r>
          </w:p>
        </w:tc>
        <w:tc>
          <w:tcPr>
            <w:tcW w:w="3000" w:type="dxa"/>
            <w:shd w:val="clear" w:fill="E8EDF1"/>
          </w:tcPr>
          <w:p>
            <w:pPr>
              <w:spacing w:after="20" w:line="264" w:lineRule="auto"/>
            </w:pPr>
            <w:r>
              <w:rPr>
                <w:rFonts w:ascii="Calibri" w:hAnsi="Calibri"/>
                <w:b/>
                <w:color w:val="2E4A62"/>
                <w:sz w:val="18"/>
              </w:rPr>
              <w:t xml:space="preserve">Pass threshold</w:t>
            </w:r>
          </w:p>
        </w:tc>
        <w:tc>
          <w:tcPr>
            <w:tcW w:w="3000" w:type="dxa"/>
            <w:shd w:val="clear" w:fill="E8EDF1"/>
          </w:tcPr>
          <w:p>
            <w:pPr>
              <w:spacing w:after="20" w:line="264" w:lineRule="auto"/>
            </w:pPr>
            <w:r>
              <w:rPr>
                <w:rFonts w:ascii="Calibri" w:hAnsi="Calibri"/>
                <w:b/>
                <w:color w:val="2E4A62"/>
                <w:sz w:val="18"/>
              </w:rPr>
              <w:t xml:space="preserve">Conditional threshold</w:t>
            </w:r>
          </w:p>
        </w:tc>
      </w:tr>
      <w:tr>
        <w:tc>
          <w:tcPr>
            <w:tcW w:w="3400" w:type="dxa"/>
          </w:tcPr>
          <w:p>
            <w:pPr>
              <w:spacing w:after="20" w:line="264" w:lineRule="auto"/>
            </w:pPr>
            <w:r>
              <w:rPr>
                <w:rFonts w:ascii="Calibri" w:hAnsi="Calibri"/>
                <w:color w:val="263238"/>
                <w:sz w:val="18"/>
              </w:rPr>
              <w:t xml:space="preserve">Twin Key response compliance</w:t>
            </w:r>
          </w:p>
        </w:tc>
        <w:tc>
          <w:tcPr>
            <w:tcW w:w="3000" w:type="dxa"/>
          </w:tcPr>
          <w:p>
            <w:pPr>
              <w:spacing w:after="20" w:line="264" w:lineRule="auto"/>
            </w:pPr>
            <w:r>
              <w:rPr>
                <w:rFonts w:ascii="Calibri" w:hAnsi="Calibri"/>
                <w:color w:val="263238"/>
                <w:sz w:val="18"/>
              </w:rPr>
              <w:t xml:space="preserve">100 percent inside windows</w:t>
            </w:r>
          </w:p>
        </w:tc>
        <w:tc>
          <w:tcPr>
            <w:tcW w:w="3000" w:type="dxa"/>
          </w:tcPr>
          <w:p>
            <w:pPr>
              <w:spacing w:after="20" w:line="264" w:lineRule="auto"/>
            </w:pPr>
            <w:r>
              <w:rPr>
                <w:rFonts w:ascii="Calibri" w:hAnsi="Calibri"/>
                <w:color w:val="263238"/>
                <w:sz w:val="18"/>
              </w:rPr>
              <w:t xml:space="preserve">At or above 95 percent</w:t>
            </w:r>
          </w:p>
        </w:tc>
      </w:tr>
      <w:tr>
        <w:tc>
          <w:tcPr>
            <w:tcW w:w="3400" w:type="dxa"/>
          </w:tcPr>
          <w:p>
            <w:pPr>
              <w:spacing w:after="20" w:line="264" w:lineRule="auto"/>
            </w:pPr>
            <w:r>
              <w:rPr>
                <w:rFonts w:ascii="Calibri" w:hAnsi="Calibri"/>
                <w:color w:val="263238"/>
                <w:sz w:val="18"/>
              </w:rPr>
              <w:t xml:space="preserve">Unilateral interdiction attempts</w:t>
            </w:r>
          </w:p>
        </w:tc>
        <w:tc>
          <w:tcPr>
            <w:tcW w:w="3000" w:type="dxa"/>
          </w:tcPr>
          <w:p>
            <w:pPr>
              <w:spacing w:after="20" w:line="264" w:lineRule="auto"/>
            </w:pPr>
            <w:r>
              <w:rPr>
                <w:rFonts w:ascii="Calibri" w:hAnsi="Calibri"/>
                <w:color w:val="263238"/>
                <w:sz w:val="18"/>
              </w:rPr>
              <w:t xml:space="preserve">Zero</w:t>
            </w:r>
          </w:p>
        </w:tc>
        <w:tc>
          <w:tcPr>
            <w:tcW w:w="3000" w:type="dxa"/>
          </w:tcPr>
          <w:p>
            <w:pPr>
              <w:spacing w:after="20" w:line="264" w:lineRule="auto"/>
            </w:pPr>
            <w:r>
              <w:rPr>
                <w:rFonts w:ascii="Calibri" w:hAnsi="Calibri"/>
                <w:color w:val="263238"/>
                <w:sz w:val="18"/>
              </w:rPr>
              <w:t xml:space="preserve">Zero (any attempt extends the domain automatically)</w:t>
            </w:r>
          </w:p>
        </w:tc>
      </w:tr>
      <w:tr>
        <w:tc>
          <w:tcPr>
            <w:tcW w:w="3400" w:type="dxa"/>
          </w:tcPr>
          <w:p>
            <w:pPr>
              <w:spacing w:after="20" w:line="264" w:lineRule="auto"/>
            </w:pPr>
            <w:r>
              <w:rPr>
                <w:rFonts w:ascii="Calibri" w:hAnsi="Calibri"/>
                <w:color w:val="263238"/>
                <w:sz w:val="18"/>
              </w:rPr>
              <w:t xml:space="preserve">Military deconfliction response time</w:t>
            </w:r>
          </w:p>
        </w:tc>
        <w:tc>
          <w:tcPr>
            <w:tcW w:w="3000" w:type="dxa"/>
          </w:tcPr>
          <w:p>
            <w:pPr>
              <w:spacing w:after="20" w:line="264" w:lineRule="auto"/>
            </w:pPr>
            <w:r>
              <w:rPr>
                <w:rFonts w:ascii="Calibri" w:hAnsi="Calibri"/>
                <w:color w:val="263238"/>
                <w:sz w:val="18"/>
              </w:rPr>
              <w:t xml:space="preserve">At or under 15 minutes, 95th percentile</w:t>
            </w:r>
          </w:p>
        </w:tc>
        <w:tc>
          <w:tcPr>
            <w:tcW w:w="3000" w:type="dxa"/>
          </w:tcPr>
          <w:p>
            <w:pPr>
              <w:spacing w:after="20" w:line="264" w:lineRule="auto"/>
            </w:pPr>
            <w:r>
              <w:rPr>
                <w:rFonts w:ascii="Calibri" w:hAnsi="Calibri"/>
                <w:color w:val="263238"/>
                <w:sz w:val="18"/>
              </w:rPr>
              <w:t xml:space="preserve">At or under 25 minutes</w:t>
            </w:r>
          </w:p>
        </w:tc>
      </w:tr>
      <w:tr>
        <w:tc>
          <w:tcPr>
            <w:tcW w:w="3400" w:type="dxa"/>
          </w:tcPr>
          <w:p>
            <w:pPr>
              <w:spacing w:after="20" w:line="264" w:lineRule="auto"/>
            </w:pPr>
            <w:r>
              <w:rPr>
                <w:rFonts w:ascii="Calibri" w:hAnsi="Calibri"/>
                <w:color w:val="263238"/>
                <w:sz w:val="18"/>
              </w:rPr>
              <w:t xml:space="preserve">Standoff ladder activations resolved below Tier 2</w:t>
            </w:r>
          </w:p>
        </w:tc>
        <w:tc>
          <w:tcPr>
            <w:tcW w:w="3000" w:type="dxa"/>
          </w:tcPr>
          <w:p>
            <w:pPr>
              <w:spacing w:after="20" w:line="264" w:lineRule="auto"/>
            </w:pPr>
            <w:r>
              <w:rPr>
                <w:rFonts w:ascii="Calibri" w:hAnsi="Calibri"/>
                <w:color w:val="263238"/>
                <w:sz w:val="18"/>
              </w:rPr>
              <w:t xml:space="preserve">100 percent</w:t>
            </w:r>
          </w:p>
        </w:tc>
        <w:tc>
          <w:tcPr>
            <w:tcW w:w="3000" w:type="dxa"/>
          </w:tcPr>
          <w:p>
            <w:pPr>
              <w:spacing w:after="20" w:line="264" w:lineRule="auto"/>
            </w:pPr>
            <w:r>
              <w:rPr>
                <w:rFonts w:ascii="Calibri" w:hAnsi="Calibri"/>
                <w:color w:val="263238"/>
                <w:sz w:val="18"/>
              </w:rPr>
              <w:t xml:space="preserve">At or above 90 percent</w:t>
            </w:r>
          </w:p>
        </w:tc>
      </w:tr>
      <w:tr>
        <w:tc>
          <w:tcPr>
            <w:tcW w:w="3400" w:type="dxa"/>
          </w:tcPr>
          <w:p>
            <w:pPr>
              <w:spacing w:after="20" w:line="264" w:lineRule="auto"/>
            </w:pPr>
            <w:r>
              <w:rPr>
                <w:rFonts w:ascii="Calibri" w:hAnsi="Calibri"/>
                <w:color w:val="263238"/>
                <w:sz w:val="18"/>
              </w:rPr>
              <w:t xml:space="preserve">Mine-risk alerts handled inside 72 hours</w:t>
            </w:r>
          </w:p>
        </w:tc>
        <w:tc>
          <w:tcPr>
            <w:tcW w:w="3000" w:type="dxa"/>
          </w:tcPr>
          <w:p>
            <w:pPr>
              <w:spacing w:after="20" w:line="264" w:lineRule="auto"/>
            </w:pPr>
            <w:r>
              <w:rPr>
                <w:rFonts w:ascii="Calibri" w:hAnsi="Calibri"/>
                <w:color w:val="263238"/>
                <w:sz w:val="18"/>
              </w:rPr>
              <w:t xml:space="preserve">100 percent</w:t>
            </w:r>
          </w:p>
        </w:tc>
        <w:tc>
          <w:tcPr>
            <w:tcW w:w="3000" w:type="dxa"/>
          </w:tcPr>
          <w:p>
            <w:pPr>
              <w:spacing w:after="20" w:line="264" w:lineRule="auto"/>
            </w:pPr>
            <w:r>
              <w:rPr>
                <w:rFonts w:ascii="Calibri" w:hAnsi="Calibri"/>
                <w:color w:val="263238"/>
                <w:sz w:val="18"/>
              </w:rPr>
              <w:t xml:space="preserve">At or above 90 percent</w:t>
            </w:r>
          </w:p>
        </w:tc>
      </w:tr>
    </w:tbl>
    <w:p>
      <w:pPr>
        <w:spacing w:after="160"/>
      </w:pPr>
    </w:p>
    <w:p>
      <w:pPr>
        <w:pStyle w:val="Heading2"/>
      </w:pPr>
      <w:bookmarkStart w:id="242" w:name="_Toc261100142"/>
      <w:r>
        <w:rPr>
          <w:rFonts w:ascii="Calibri" w:hAnsi="Calibri"/>
        </w:rPr>
        <w:t xml:space="preserve">I.4 Domain 3: Monitoring and Transparency</w:t>
      </w:r>
      <w:bookmarkEnd w:id="242"/>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3400"/>
        <w:gridCol w:w="3000"/>
        <w:gridCol w:w="3000"/>
      </w:tblGrid>
      <w:tr>
        <w:trPr>
          <w:tblHeader/>
        </w:trPr>
        <w:tc>
          <w:tcPr>
            <w:tcW w:w="3400" w:type="dxa"/>
            <w:shd w:val="clear" w:fill="E8EDF1"/>
          </w:tcPr>
          <w:p>
            <w:pPr>
              <w:spacing w:after="20" w:line="264" w:lineRule="auto"/>
            </w:pPr>
            <w:r>
              <w:rPr>
                <w:rFonts w:ascii="Calibri" w:hAnsi="Calibri"/>
                <w:b/>
                <w:color w:val="2E4A62"/>
                <w:sz w:val="18"/>
              </w:rPr>
              <w:t xml:space="preserve">Metric</w:t>
            </w:r>
          </w:p>
        </w:tc>
        <w:tc>
          <w:tcPr>
            <w:tcW w:w="3000" w:type="dxa"/>
            <w:shd w:val="clear" w:fill="E8EDF1"/>
          </w:tcPr>
          <w:p>
            <w:pPr>
              <w:spacing w:after="20" w:line="264" w:lineRule="auto"/>
            </w:pPr>
            <w:r>
              <w:rPr>
                <w:rFonts w:ascii="Calibri" w:hAnsi="Calibri"/>
                <w:b/>
                <w:color w:val="2E4A62"/>
                <w:sz w:val="18"/>
              </w:rPr>
              <w:t xml:space="preserve">Pass threshold</w:t>
            </w:r>
          </w:p>
        </w:tc>
        <w:tc>
          <w:tcPr>
            <w:tcW w:w="3000" w:type="dxa"/>
            <w:shd w:val="clear" w:fill="E8EDF1"/>
          </w:tcPr>
          <w:p>
            <w:pPr>
              <w:spacing w:after="20" w:line="264" w:lineRule="auto"/>
            </w:pPr>
            <w:r>
              <w:rPr>
                <w:rFonts w:ascii="Calibri" w:hAnsi="Calibri"/>
                <w:b/>
                <w:color w:val="2E4A62"/>
                <w:sz w:val="18"/>
              </w:rPr>
              <w:t xml:space="preserve">Conditional threshold</w:t>
            </w:r>
          </w:p>
        </w:tc>
      </w:tr>
      <w:tr>
        <w:tc>
          <w:tcPr>
            <w:tcW w:w="3400" w:type="dxa"/>
          </w:tcPr>
          <w:p>
            <w:pPr>
              <w:spacing w:after="20" w:line="264" w:lineRule="auto"/>
            </w:pPr>
            <w:r>
              <w:rPr>
                <w:rFonts w:ascii="Calibri" w:hAnsi="Calibri"/>
                <w:color w:val="263238"/>
                <w:sz w:val="18"/>
              </w:rPr>
              <w:t xml:space="preserve">Radar and identification fusion accuracy</w:t>
            </w:r>
          </w:p>
        </w:tc>
        <w:tc>
          <w:tcPr>
            <w:tcW w:w="3000" w:type="dxa"/>
          </w:tcPr>
          <w:p>
            <w:pPr>
              <w:spacing w:after="20" w:line="264" w:lineRule="auto"/>
            </w:pPr>
            <w:r>
              <w:rPr>
                <w:rFonts w:ascii="Calibri" w:hAnsi="Calibri"/>
                <w:color w:val="263238"/>
                <w:sz w:val="18"/>
              </w:rPr>
              <w:t xml:space="preserve">At or above 98.5 percent</w:t>
            </w:r>
          </w:p>
        </w:tc>
        <w:tc>
          <w:tcPr>
            <w:tcW w:w="3000" w:type="dxa"/>
          </w:tcPr>
          <w:p>
            <w:pPr>
              <w:spacing w:after="20" w:line="264" w:lineRule="auto"/>
            </w:pPr>
            <w:r>
              <w:rPr>
                <w:rFonts w:ascii="Calibri" w:hAnsi="Calibri"/>
                <w:color w:val="263238"/>
                <w:sz w:val="18"/>
              </w:rPr>
              <w:t xml:space="preserve">At or above 96.0 percent</w:t>
            </w:r>
          </w:p>
        </w:tc>
      </w:tr>
      <w:tr>
        <w:tc>
          <w:tcPr>
            <w:tcW w:w="3400" w:type="dxa"/>
          </w:tcPr>
          <w:p>
            <w:pPr>
              <w:spacing w:after="20" w:line="264" w:lineRule="auto"/>
            </w:pPr>
            <w:r>
              <w:rPr>
                <w:rFonts w:ascii="Calibri" w:hAnsi="Calibri"/>
                <w:color w:val="263238"/>
                <w:sz w:val="18"/>
              </w:rPr>
              <w:t xml:space="preserve">Incident log timeliness (incident to public entry)</w:t>
            </w:r>
          </w:p>
        </w:tc>
        <w:tc>
          <w:tcPr>
            <w:tcW w:w="3000" w:type="dxa"/>
          </w:tcPr>
          <w:p>
            <w:pPr>
              <w:spacing w:after="20" w:line="264" w:lineRule="auto"/>
            </w:pPr>
            <w:r>
              <w:rPr>
                <w:rFonts w:ascii="Calibri" w:hAnsi="Calibri"/>
                <w:color w:val="263238"/>
                <w:sz w:val="18"/>
              </w:rPr>
              <w:t xml:space="preserve">At or under 2 hours median</w:t>
            </w:r>
          </w:p>
        </w:tc>
        <w:tc>
          <w:tcPr>
            <w:tcW w:w="3000" w:type="dxa"/>
          </w:tcPr>
          <w:p>
            <w:pPr>
              <w:spacing w:after="20" w:line="264" w:lineRule="auto"/>
            </w:pPr>
            <w:r>
              <w:rPr>
                <w:rFonts w:ascii="Calibri" w:hAnsi="Calibri"/>
                <w:color w:val="263238"/>
                <w:sz w:val="18"/>
              </w:rPr>
              <w:t xml:space="preserve">At or under 6 hours median</w:t>
            </w:r>
          </w:p>
        </w:tc>
      </w:tr>
      <w:tr>
        <w:tc>
          <w:tcPr>
            <w:tcW w:w="3400" w:type="dxa"/>
          </w:tcPr>
          <w:p>
            <w:pPr>
              <w:spacing w:after="20" w:line="264" w:lineRule="auto"/>
            </w:pPr>
            <w:r>
              <w:rPr>
                <w:rFonts w:ascii="Calibri" w:hAnsi="Calibri"/>
                <w:color w:val="263238"/>
                <w:sz w:val="18"/>
              </w:rPr>
              <w:t xml:space="preserve">Observer feed uptime</w:t>
            </w:r>
          </w:p>
        </w:tc>
        <w:tc>
          <w:tcPr>
            <w:tcW w:w="3000" w:type="dxa"/>
          </w:tcPr>
          <w:p>
            <w:pPr>
              <w:spacing w:after="20" w:line="264" w:lineRule="auto"/>
            </w:pPr>
            <w:r>
              <w:rPr>
                <w:rFonts w:ascii="Calibri" w:hAnsi="Calibri"/>
                <w:color w:val="263238"/>
                <w:sz w:val="18"/>
              </w:rPr>
              <w:t xml:space="preserve">At or above 99.5 percent</w:t>
            </w:r>
          </w:p>
        </w:tc>
        <w:tc>
          <w:tcPr>
            <w:tcW w:w="3000" w:type="dxa"/>
          </w:tcPr>
          <w:p>
            <w:pPr>
              <w:spacing w:after="20" w:line="264" w:lineRule="auto"/>
            </w:pPr>
            <w:r>
              <w:rPr>
                <w:rFonts w:ascii="Calibri" w:hAnsi="Calibri"/>
                <w:color w:val="263238"/>
                <w:sz w:val="18"/>
              </w:rPr>
              <w:t xml:space="preserve">At or above 98.0 percent</w:t>
            </w:r>
          </w:p>
        </w:tc>
      </w:tr>
      <w:tr>
        <w:tc>
          <w:tcPr>
            <w:tcW w:w="3400" w:type="dxa"/>
          </w:tcPr>
          <w:p>
            <w:pPr>
              <w:spacing w:after="20" w:line="264" w:lineRule="auto"/>
            </w:pPr>
            <w:r>
              <w:rPr>
                <w:rFonts w:ascii="Calibri" w:hAnsi="Calibri"/>
                <w:color w:val="263238"/>
                <w:sz w:val="18"/>
              </w:rPr>
              <w:t xml:space="preserve">Data integrity score (Integrity Cell probes)</w:t>
            </w:r>
          </w:p>
        </w:tc>
        <w:tc>
          <w:tcPr>
            <w:tcW w:w="3000" w:type="dxa"/>
          </w:tcPr>
          <w:p>
            <w:pPr>
              <w:spacing w:after="20" w:line="264" w:lineRule="auto"/>
            </w:pPr>
            <w:r>
              <w:rPr>
                <w:rFonts w:ascii="Calibri" w:hAnsi="Calibri"/>
                <w:color w:val="263238"/>
                <w:sz w:val="18"/>
              </w:rPr>
              <w:t xml:space="preserve">100 percent detection of injected anomalies</w:t>
            </w:r>
          </w:p>
        </w:tc>
        <w:tc>
          <w:tcPr>
            <w:tcW w:w="3000" w:type="dxa"/>
          </w:tcPr>
          <w:p>
            <w:pPr>
              <w:spacing w:after="20" w:line="264" w:lineRule="auto"/>
            </w:pPr>
            <w:r>
              <w:rPr>
                <w:rFonts w:ascii="Calibri" w:hAnsi="Calibri"/>
                <w:color w:val="263238"/>
                <w:sz w:val="18"/>
              </w:rPr>
              <w:t xml:space="preserve">At or above 90 percent</w:t>
            </w:r>
          </w:p>
        </w:tc>
      </w:tr>
      <w:tr>
        <w:tc>
          <w:tcPr>
            <w:tcW w:w="3400" w:type="dxa"/>
          </w:tcPr>
          <w:p>
            <w:pPr>
              <w:spacing w:after="20" w:line="264" w:lineRule="auto"/>
            </w:pPr>
            <w:r>
              <w:rPr>
                <w:rFonts w:ascii="Calibri" w:hAnsi="Calibri"/>
                <w:color w:val="263238"/>
                <w:sz w:val="18"/>
              </w:rPr>
              <w:t xml:space="preserve">Publication rhythm compliance</w:t>
            </w:r>
          </w:p>
        </w:tc>
        <w:tc>
          <w:tcPr>
            <w:tcW w:w="3000" w:type="dxa"/>
          </w:tcPr>
          <w:p>
            <w:pPr>
              <w:spacing w:after="20" w:line="264" w:lineRule="auto"/>
            </w:pPr>
            <w:r>
              <w:rPr>
                <w:rFonts w:ascii="Calibri" w:hAnsi="Calibri"/>
                <w:color w:val="263238"/>
                <w:sz w:val="18"/>
              </w:rPr>
              <w:t xml:space="preserve">Every publication on schedule</w:t>
            </w:r>
          </w:p>
        </w:tc>
        <w:tc>
          <w:tcPr>
            <w:tcW w:w="3000" w:type="dxa"/>
          </w:tcPr>
          <w:p>
            <w:pPr>
              <w:spacing w:after="20" w:line="264" w:lineRule="auto"/>
            </w:pPr>
            <w:r>
              <w:rPr>
                <w:rFonts w:ascii="Calibri" w:hAnsi="Calibri"/>
                <w:color w:val="263238"/>
                <w:sz w:val="18"/>
              </w:rPr>
              <w:t xml:space="preserve">At or above 95 percent on schedule</w:t>
            </w:r>
          </w:p>
        </w:tc>
      </w:tr>
    </w:tbl>
    <w:p>
      <w:pPr>
        <w:spacing w:after="160"/>
      </w:pPr>
    </w:p>
    <w:p>
      <w:pPr>
        <w:pStyle w:val="Heading2"/>
      </w:pPr>
      <w:bookmarkStart w:id="243" w:name="_Toc261100143"/>
      <w:r>
        <w:rPr>
          <w:rFonts w:ascii="Calibri" w:hAnsi="Calibri"/>
        </w:rPr>
        <w:t xml:space="preserve">I.5 Domain 4: Environment and Safety</w:t>
      </w:r>
      <w:bookmarkEnd w:id="243"/>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3400"/>
        <w:gridCol w:w="3000"/>
        <w:gridCol w:w="3000"/>
      </w:tblGrid>
      <w:tr>
        <w:trPr>
          <w:tblHeader/>
        </w:trPr>
        <w:tc>
          <w:tcPr>
            <w:tcW w:w="3400" w:type="dxa"/>
            <w:shd w:val="clear" w:fill="E8EDF1"/>
          </w:tcPr>
          <w:p>
            <w:pPr>
              <w:spacing w:after="20" w:line="264" w:lineRule="auto"/>
            </w:pPr>
            <w:r>
              <w:rPr>
                <w:rFonts w:ascii="Calibri" w:hAnsi="Calibri"/>
                <w:b/>
                <w:color w:val="2E4A62"/>
                <w:sz w:val="18"/>
              </w:rPr>
              <w:t xml:space="preserve">Metric</w:t>
            </w:r>
          </w:p>
        </w:tc>
        <w:tc>
          <w:tcPr>
            <w:tcW w:w="3000" w:type="dxa"/>
            <w:shd w:val="clear" w:fill="E8EDF1"/>
          </w:tcPr>
          <w:p>
            <w:pPr>
              <w:spacing w:after="20" w:line="264" w:lineRule="auto"/>
            </w:pPr>
            <w:r>
              <w:rPr>
                <w:rFonts w:ascii="Calibri" w:hAnsi="Calibri"/>
                <w:b/>
                <w:color w:val="2E4A62"/>
                <w:sz w:val="18"/>
              </w:rPr>
              <w:t xml:space="preserve">Pass threshold</w:t>
            </w:r>
          </w:p>
        </w:tc>
        <w:tc>
          <w:tcPr>
            <w:tcW w:w="3000" w:type="dxa"/>
            <w:shd w:val="clear" w:fill="E8EDF1"/>
          </w:tcPr>
          <w:p>
            <w:pPr>
              <w:spacing w:after="20" w:line="264" w:lineRule="auto"/>
            </w:pPr>
            <w:r>
              <w:rPr>
                <w:rFonts w:ascii="Calibri" w:hAnsi="Calibri"/>
                <w:b/>
                <w:color w:val="2E4A62"/>
                <w:sz w:val="18"/>
              </w:rPr>
              <w:t xml:space="preserve">Conditional threshold</w:t>
            </w:r>
          </w:p>
        </w:tc>
      </w:tr>
      <w:tr>
        <w:tc>
          <w:tcPr>
            <w:tcW w:w="3400" w:type="dxa"/>
          </w:tcPr>
          <w:p>
            <w:pPr>
              <w:spacing w:after="20" w:line="264" w:lineRule="auto"/>
            </w:pPr>
            <w:r>
              <w:rPr>
                <w:rFonts w:ascii="Calibri" w:hAnsi="Calibri"/>
                <w:color w:val="263238"/>
                <w:sz w:val="18"/>
              </w:rPr>
              <w:t xml:space="preserve">Environmental baseline deviation</w:t>
            </w:r>
          </w:p>
        </w:tc>
        <w:tc>
          <w:tcPr>
            <w:tcW w:w="3000" w:type="dxa"/>
          </w:tcPr>
          <w:p>
            <w:pPr>
              <w:spacing w:after="20" w:line="264" w:lineRule="auto"/>
            </w:pPr>
            <w:r>
              <w:rPr>
                <w:rFonts w:ascii="Calibri" w:hAnsi="Calibri"/>
                <w:color w:val="263238"/>
                <w:sz w:val="18"/>
              </w:rPr>
              <w:t xml:space="preserve">Within baseline band</w:t>
            </w:r>
          </w:p>
        </w:tc>
        <w:tc>
          <w:tcPr>
            <w:tcW w:w="3000" w:type="dxa"/>
          </w:tcPr>
          <w:p>
            <w:pPr>
              <w:spacing w:after="20" w:line="264" w:lineRule="auto"/>
            </w:pPr>
            <w:r>
              <w:rPr>
                <w:rFonts w:ascii="Calibri" w:hAnsi="Calibri"/>
                <w:color w:val="263238"/>
                <w:sz w:val="18"/>
              </w:rPr>
              <w:t xml:space="preserve">Within 1.5 times band</w:t>
            </w:r>
          </w:p>
        </w:tc>
      </w:tr>
      <w:tr>
        <w:tc>
          <w:tcPr>
            <w:tcW w:w="3400" w:type="dxa"/>
          </w:tcPr>
          <w:p>
            <w:pPr>
              <w:spacing w:after="20" w:line="264" w:lineRule="auto"/>
            </w:pPr>
            <w:r>
              <w:rPr>
                <w:rFonts w:ascii="Calibri" w:hAnsi="Calibri"/>
                <w:color w:val="263238"/>
                <w:sz w:val="18"/>
              </w:rPr>
              <w:t xml:space="preserve">Emergency response activation time</w:t>
            </w:r>
          </w:p>
        </w:tc>
        <w:tc>
          <w:tcPr>
            <w:tcW w:w="3000" w:type="dxa"/>
          </w:tcPr>
          <w:p>
            <w:pPr>
              <w:spacing w:after="20" w:line="264" w:lineRule="auto"/>
            </w:pPr>
            <w:r>
              <w:rPr>
                <w:rFonts w:ascii="Calibri" w:hAnsi="Calibri"/>
                <w:color w:val="263238"/>
                <w:sz w:val="18"/>
              </w:rPr>
              <w:t xml:space="preserve">At or under 30 minutes median</w:t>
            </w:r>
          </w:p>
        </w:tc>
        <w:tc>
          <w:tcPr>
            <w:tcW w:w="3000" w:type="dxa"/>
          </w:tcPr>
          <w:p>
            <w:pPr>
              <w:spacing w:after="20" w:line="264" w:lineRule="auto"/>
            </w:pPr>
            <w:r>
              <w:rPr>
                <w:rFonts w:ascii="Calibri" w:hAnsi="Calibri"/>
                <w:color w:val="263238"/>
                <w:sz w:val="18"/>
              </w:rPr>
              <w:t xml:space="preserve">At or under 45 minutes</w:t>
            </w:r>
          </w:p>
        </w:tc>
      </w:tr>
      <w:tr>
        <w:tc>
          <w:tcPr>
            <w:tcW w:w="3400" w:type="dxa"/>
          </w:tcPr>
          <w:p>
            <w:pPr>
              <w:spacing w:after="20" w:line="264" w:lineRule="auto"/>
            </w:pPr>
            <w:r>
              <w:rPr>
                <w:rFonts w:ascii="Calibri" w:hAnsi="Calibri"/>
                <w:color w:val="263238"/>
                <w:sz w:val="18"/>
              </w:rPr>
              <w:t xml:space="preserve">Search and rescue drill success</w:t>
            </w:r>
          </w:p>
        </w:tc>
        <w:tc>
          <w:tcPr>
            <w:tcW w:w="3000" w:type="dxa"/>
          </w:tcPr>
          <w:p>
            <w:pPr>
              <w:spacing w:after="20" w:line="264" w:lineRule="auto"/>
            </w:pPr>
            <w:r>
              <w:rPr>
                <w:rFonts w:ascii="Calibri" w:hAnsi="Calibri"/>
                <w:color w:val="263238"/>
                <w:sz w:val="18"/>
              </w:rPr>
              <w:t xml:space="preserve">2 successful drills in window</w:t>
            </w:r>
          </w:p>
        </w:tc>
        <w:tc>
          <w:tcPr>
            <w:tcW w:w="3000" w:type="dxa"/>
          </w:tcPr>
          <w:p>
            <w:pPr>
              <w:spacing w:after="20" w:line="264" w:lineRule="auto"/>
            </w:pPr>
            <w:r>
              <w:rPr>
                <w:rFonts w:ascii="Calibri" w:hAnsi="Calibri"/>
                <w:color w:val="263238"/>
                <w:sz w:val="18"/>
              </w:rPr>
              <w:t xml:space="preserve">1 successful drill</w:t>
            </w:r>
          </w:p>
        </w:tc>
      </w:tr>
      <w:tr>
        <w:tc>
          <w:tcPr>
            <w:tcW w:w="3400" w:type="dxa"/>
          </w:tcPr>
          <w:p>
            <w:pPr>
              <w:spacing w:after="20" w:line="264" w:lineRule="auto"/>
            </w:pPr>
            <w:r>
              <w:rPr>
                <w:rFonts w:ascii="Calibri" w:hAnsi="Calibri"/>
                <w:color w:val="263238"/>
                <w:sz w:val="18"/>
              </w:rPr>
              <w:t xml:space="preserve">Pollution events with response inside protocol time</w:t>
            </w:r>
          </w:p>
        </w:tc>
        <w:tc>
          <w:tcPr>
            <w:tcW w:w="3000" w:type="dxa"/>
          </w:tcPr>
          <w:p>
            <w:pPr>
              <w:spacing w:after="20" w:line="264" w:lineRule="auto"/>
            </w:pPr>
            <w:r>
              <w:rPr>
                <w:rFonts w:ascii="Calibri" w:hAnsi="Calibri"/>
                <w:color w:val="263238"/>
                <w:sz w:val="18"/>
              </w:rPr>
              <w:t xml:space="preserve">100 percent</w:t>
            </w:r>
          </w:p>
        </w:tc>
        <w:tc>
          <w:tcPr>
            <w:tcW w:w="3000" w:type="dxa"/>
          </w:tcPr>
          <w:p>
            <w:pPr>
              <w:spacing w:after="20" w:line="264" w:lineRule="auto"/>
            </w:pPr>
            <w:r>
              <w:rPr>
                <w:rFonts w:ascii="Calibri" w:hAnsi="Calibri"/>
                <w:color w:val="263238"/>
                <w:sz w:val="18"/>
              </w:rPr>
              <w:t xml:space="preserve">At or above 90 percent</w:t>
            </w:r>
          </w:p>
        </w:tc>
      </w:tr>
      <w:tr>
        <w:tc>
          <w:tcPr>
            <w:tcW w:w="3400" w:type="dxa"/>
          </w:tcPr>
          <w:p>
            <w:pPr>
              <w:spacing w:after="20" w:line="264" w:lineRule="auto"/>
            </w:pPr>
            <w:r>
              <w:rPr>
                <w:rFonts w:ascii="Calibri" w:hAnsi="Calibri"/>
                <w:color w:val="263238"/>
                <w:sz w:val="18"/>
              </w:rPr>
              <w:t xml:space="preserve">Safety compliance audit score</w:t>
            </w:r>
          </w:p>
        </w:tc>
        <w:tc>
          <w:tcPr>
            <w:tcW w:w="3000" w:type="dxa"/>
          </w:tcPr>
          <w:p>
            <w:pPr>
              <w:spacing w:after="20" w:line="264" w:lineRule="auto"/>
            </w:pPr>
            <w:r>
              <w:rPr>
                <w:rFonts w:ascii="Calibri" w:hAnsi="Calibri"/>
                <w:color w:val="263238"/>
                <w:sz w:val="18"/>
              </w:rPr>
              <w:t xml:space="preserve">At or above 95 percent</w:t>
            </w:r>
          </w:p>
        </w:tc>
        <w:tc>
          <w:tcPr>
            <w:tcW w:w="3000" w:type="dxa"/>
          </w:tcPr>
          <w:p>
            <w:pPr>
              <w:spacing w:after="20" w:line="264" w:lineRule="auto"/>
            </w:pPr>
            <w:r>
              <w:rPr>
                <w:rFonts w:ascii="Calibri" w:hAnsi="Calibri"/>
                <w:color w:val="263238"/>
                <w:sz w:val="18"/>
              </w:rPr>
              <w:t xml:space="preserve">At or above 88 percent</w:t>
            </w:r>
          </w:p>
        </w:tc>
      </w:tr>
    </w:tbl>
    <w:p>
      <w:pPr>
        <w:spacing w:after="160"/>
      </w:pPr>
    </w:p>
    <w:p>
      <w:pPr>
        <w:pStyle w:val="Heading2"/>
      </w:pPr>
      <w:bookmarkStart w:id="244" w:name="_Toc261100144"/>
      <w:r>
        <w:rPr>
          <w:rFonts w:ascii="Calibri" w:hAnsi="Calibri"/>
        </w:rPr>
        <w:t xml:space="preserve">I.6 Domain 5: Finance and Payments</w:t>
      </w:r>
      <w:bookmarkEnd w:id="244"/>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3400"/>
        <w:gridCol w:w="3000"/>
        <w:gridCol w:w="3000"/>
      </w:tblGrid>
      <w:tr>
        <w:trPr>
          <w:tblHeader/>
        </w:trPr>
        <w:tc>
          <w:tcPr>
            <w:tcW w:w="3400" w:type="dxa"/>
            <w:shd w:val="clear" w:fill="E8EDF1"/>
          </w:tcPr>
          <w:p>
            <w:pPr>
              <w:spacing w:after="20" w:line="264" w:lineRule="auto"/>
            </w:pPr>
            <w:r>
              <w:rPr>
                <w:rFonts w:ascii="Calibri" w:hAnsi="Calibri"/>
                <w:b/>
                <w:color w:val="2E4A62"/>
                <w:sz w:val="18"/>
              </w:rPr>
              <w:t xml:space="preserve">Metric</w:t>
            </w:r>
          </w:p>
        </w:tc>
        <w:tc>
          <w:tcPr>
            <w:tcW w:w="3000" w:type="dxa"/>
            <w:shd w:val="clear" w:fill="E8EDF1"/>
          </w:tcPr>
          <w:p>
            <w:pPr>
              <w:spacing w:after="20" w:line="264" w:lineRule="auto"/>
            </w:pPr>
            <w:r>
              <w:rPr>
                <w:rFonts w:ascii="Calibri" w:hAnsi="Calibri"/>
                <w:b/>
                <w:color w:val="2E4A62"/>
                <w:sz w:val="18"/>
              </w:rPr>
              <w:t xml:space="preserve">Pass threshold</w:t>
            </w:r>
          </w:p>
        </w:tc>
        <w:tc>
          <w:tcPr>
            <w:tcW w:w="3000" w:type="dxa"/>
            <w:shd w:val="clear" w:fill="E8EDF1"/>
          </w:tcPr>
          <w:p>
            <w:pPr>
              <w:spacing w:after="20" w:line="264" w:lineRule="auto"/>
            </w:pPr>
            <w:r>
              <w:rPr>
                <w:rFonts w:ascii="Calibri" w:hAnsi="Calibri"/>
                <w:b/>
                <w:color w:val="2E4A62"/>
                <w:sz w:val="18"/>
              </w:rPr>
              <w:t xml:space="preserve">Conditional threshold</w:t>
            </w:r>
          </w:p>
        </w:tc>
      </w:tr>
      <w:tr>
        <w:tc>
          <w:tcPr>
            <w:tcW w:w="3400" w:type="dxa"/>
          </w:tcPr>
          <w:p>
            <w:pPr>
              <w:spacing w:after="20" w:line="264" w:lineRule="auto"/>
            </w:pPr>
            <w:r>
              <w:rPr>
                <w:rFonts w:ascii="Calibri" w:hAnsi="Calibri"/>
                <w:color w:val="263238"/>
                <w:sz w:val="18"/>
              </w:rPr>
              <w:t xml:space="preserve">Payment routing success through firewall</w:t>
            </w:r>
          </w:p>
        </w:tc>
        <w:tc>
          <w:tcPr>
            <w:tcW w:w="3000" w:type="dxa"/>
          </w:tcPr>
          <w:p>
            <w:pPr>
              <w:spacing w:after="20" w:line="264" w:lineRule="auto"/>
            </w:pPr>
            <w:r>
              <w:rPr>
                <w:rFonts w:ascii="Calibri" w:hAnsi="Calibri"/>
                <w:color w:val="263238"/>
                <w:sz w:val="18"/>
              </w:rPr>
              <w:t xml:space="preserve">100 percent</w:t>
            </w:r>
          </w:p>
        </w:tc>
        <w:tc>
          <w:tcPr>
            <w:tcW w:w="3000" w:type="dxa"/>
          </w:tcPr>
          <w:p>
            <w:pPr>
              <w:spacing w:after="20" w:line="264" w:lineRule="auto"/>
            </w:pPr>
            <w:r>
              <w:rPr>
                <w:rFonts w:ascii="Calibri" w:hAnsi="Calibri"/>
                <w:color w:val="263238"/>
                <w:sz w:val="18"/>
              </w:rPr>
              <w:t xml:space="preserve">At or above 98 percent</w:t>
            </w:r>
          </w:p>
        </w:tc>
      </w:tr>
      <w:tr>
        <w:tc>
          <w:tcPr>
            <w:tcW w:w="3400" w:type="dxa"/>
          </w:tcPr>
          <w:p>
            <w:pPr>
              <w:spacing w:after="20" w:line="264" w:lineRule="auto"/>
            </w:pPr>
            <w:r>
              <w:rPr>
                <w:rFonts w:ascii="Calibri" w:hAnsi="Calibri"/>
                <w:color w:val="263238"/>
                <w:sz w:val="18"/>
              </w:rPr>
              <w:t xml:space="preserve">Audit findings without material exception</w:t>
            </w:r>
          </w:p>
        </w:tc>
        <w:tc>
          <w:tcPr>
            <w:tcW w:w="3000" w:type="dxa"/>
          </w:tcPr>
          <w:p>
            <w:pPr>
              <w:spacing w:after="20" w:line="264" w:lineRule="auto"/>
            </w:pPr>
            <w:r>
              <w:rPr>
                <w:rFonts w:ascii="Calibri" w:hAnsi="Calibri"/>
                <w:color w:val="263238"/>
                <w:sz w:val="18"/>
              </w:rPr>
              <w:t xml:space="preserve">Zero material exceptions</w:t>
            </w:r>
          </w:p>
        </w:tc>
        <w:tc>
          <w:tcPr>
            <w:tcW w:w="3000" w:type="dxa"/>
          </w:tcPr>
          <w:p>
            <w:pPr>
              <w:spacing w:after="20" w:line="264" w:lineRule="auto"/>
            </w:pPr>
            <w:r>
              <w:rPr>
                <w:rFonts w:ascii="Calibri" w:hAnsi="Calibri"/>
                <w:color w:val="263238"/>
                <w:sz w:val="18"/>
              </w:rPr>
              <w:t xml:space="preserve">1 material exception, remediated</w:t>
            </w:r>
          </w:p>
        </w:tc>
      </w:tr>
      <w:tr>
        <w:tc>
          <w:tcPr>
            <w:tcW w:w="3400" w:type="dxa"/>
          </w:tcPr>
          <w:p>
            <w:pPr>
              <w:spacing w:after="20" w:line="264" w:lineRule="auto"/>
            </w:pPr>
            <w:r>
              <w:rPr>
                <w:rFonts w:ascii="Calibri" w:hAnsi="Calibri"/>
                <w:color w:val="263238"/>
                <w:sz w:val="18"/>
              </w:rPr>
              <w:t xml:space="preserve">Fee dispute frequency</w:t>
            </w:r>
          </w:p>
        </w:tc>
        <w:tc>
          <w:tcPr>
            <w:tcW w:w="3000" w:type="dxa"/>
          </w:tcPr>
          <w:p>
            <w:pPr>
              <w:spacing w:after="20" w:line="264" w:lineRule="auto"/>
            </w:pPr>
            <w:r>
              <w:rPr>
                <w:rFonts w:ascii="Calibri" w:hAnsi="Calibri"/>
                <w:color w:val="263238"/>
                <w:sz w:val="18"/>
              </w:rPr>
              <w:t xml:space="preserve">Fewer than 2 per month</w:t>
            </w:r>
          </w:p>
        </w:tc>
        <w:tc>
          <w:tcPr>
            <w:tcW w:w="3000" w:type="dxa"/>
          </w:tcPr>
          <w:p>
            <w:pPr>
              <w:spacing w:after="20" w:line="264" w:lineRule="auto"/>
            </w:pPr>
            <w:r>
              <w:rPr>
                <w:rFonts w:ascii="Calibri" w:hAnsi="Calibri"/>
                <w:color w:val="263238"/>
                <w:sz w:val="18"/>
              </w:rPr>
              <w:t xml:space="preserve">2 to 5 per month</w:t>
            </w:r>
          </w:p>
        </w:tc>
      </w:tr>
      <w:tr>
        <w:tc>
          <w:tcPr>
            <w:tcW w:w="3400" w:type="dxa"/>
          </w:tcPr>
          <w:p>
            <w:pPr>
              <w:spacing w:after="20" w:line="264" w:lineRule="auto"/>
            </w:pPr>
            <w:r>
              <w:rPr>
                <w:rFonts w:ascii="Calibri" w:hAnsi="Calibri"/>
                <w:color w:val="263238"/>
                <w:sz w:val="18"/>
              </w:rPr>
              <w:t xml:space="preserve">Service certification timeliness</w:t>
            </w:r>
          </w:p>
        </w:tc>
        <w:tc>
          <w:tcPr>
            <w:tcW w:w="3000" w:type="dxa"/>
          </w:tcPr>
          <w:p>
            <w:pPr>
              <w:spacing w:after="20" w:line="264" w:lineRule="auto"/>
            </w:pPr>
            <w:r>
              <w:rPr>
                <w:rFonts w:ascii="Calibri" w:hAnsi="Calibri"/>
                <w:color w:val="263238"/>
                <w:sz w:val="18"/>
              </w:rPr>
              <w:t xml:space="preserve">100 percent on the monthly cycle</w:t>
            </w:r>
          </w:p>
        </w:tc>
        <w:tc>
          <w:tcPr>
            <w:tcW w:w="3000" w:type="dxa"/>
          </w:tcPr>
          <w:p>
            <w:pPr>
              <w:spacing w:after="20" w:line="264" w:lineRule="auto"/>
            </w:pPr>
            <w:r>
              <w:rPr>
                <w:rFonts w:ascii="Calibri" w:hAnsi="Calibri"/>
                <w:color w:val="263238"/>
                <w:sz w:val="18"/>
              </w:rPr>
              <w:t xml:space="preserve">At or above 90 percent</w:t>
            </w:r>
          </w:p>
        </w:tc>
      </w:tr>
      <w:tr>
        <w:tc>
          <w:tcPr>
            <w:tcW w:w="3400" w:type="dxa"/>
          </w:tcPr>
          <w:p>
            <w:pPr>
              <w:spacing w:after="20" w:line="264" w:lineRule="auto"/>
            </w:pPr>
            <w:r>
              <w:rPr>
                <w:rFonts w:ascii="Calibri" w:hAnsi="Calibri"/>
                <w:color w:val="263238"/>
                <w:sz w:val="18"/>
              </w:rPr>
              <w:t xml:space="preserve">Insurer risk-tier movement</w:t>
            </w:r>
          </w:p>
        </w:tc>
        <w:tc>
          <w:tcPr>
            <w:tcW w:w="3000" w:type="dxa"/>
          </w:tcPr>
          <w:p>
            <w:pPr>
              <w:spacing w:after="20" w:line="264" w:lineRule="auto"/>
            </w:pPr>
            <w:r>
              <w:rPr>
                <w:rFonts w:ascii="Calibri" w:hAnsi="Calibri"/>
                <w:color w:val="263238"/>
                <w:sz w:val="18"/>
              </w:rPr>
              <w:t xml:space="preserve">War-risk multiples trending to pre-crisis baseline</w:t>
            </w:r>
          </w:p>
        </w:tc>
        <w:tc>
          <w:tcPr>
            <w:tcW w:w="3000" w:type="dxa"/>
          </w:tcPr>
          <w:p>
            <w:pPr>
              <w:spacing w:after="20" w:line="264" w:lineRule="auto"/>
            </w:pPr>
            <w:r>
              <w:rPr>
                <w:rFonts w:ascii="Calibri" w:hAnsi="Calibri"/>
                <w:color w:val="263238"/>
                <w:sz w:val="18"/>
              </w:rPr>
              <w:t xml:space="preserve">Multiples declining month over month</w:t>
            </w:r>
          </w:p>
        </w:tc>
      </w:tr>
    </w:tbl>
    <w:p>
      <w:pPr>
        <w:spacing w:after="160"/>
      </w:pPr>
    </w:p>
    <w:p>
      <w:pPr>
        <w:pStyle w:val="Heading2"/>
      </w:pPr>
      <w:bookmarkStart w:id="245" w:name="_Toc261100145"/>
      <w:r>
        <w:rPr>
          <w:rFonts w:ascii="Calibri" w:hAnsi="Calibri"/>
        </w:rPr>
        <w:t xml:space="preserve">I.7 The Industry Panel Assessment</w:t>
      </w:r>
      <w:bookmarkEnd w:id="245"/>
    </w:p>
    <w:p>
      <w:pPr>
        <w:jc w:val="both"/>
      </w:pPr>
      <w:r>
        <w:rPr/>
        <w:t xml:space="preserve">The Stakeholder Panel's parallel assessment of Article 38.4 measures: traffic volume against the pre-crisis norm of roughly 90 transits per day; war-risk premium multiples against the pre-crisis baseline; schedule reliability reported by operators; port congestion at Gulf load ports; and a structured operator sentiment survey with at least 60 percent fleet participation. The Panel's assessment carries no gate function, and it publishes unedited alongside the audit: the market reads the referee and the players together.</w:t>
      </w:r>
    </w:p>
    <w:p>
      <w:pPr>
        <w:pStyle w:val="Heading2"/>
      </w:pPr>
      <w:bookmarkStart w:id="246" w:name="_Toc261100146"/>
      <w:r>
        <w:rPr>
          <w:rFonts w:ascii="Calibri" w:hAnsi="Calibri"/>
        </w:rPr>
        <w:t xml:space="preserve">I.8 Extend Handling</w:t>
      </w:r>
      <w:bookmarkEnd w:id="246"/>
    </w:p>
    <w:p>
      <w:pPr>
        <w:jc w:val="both"/>
      </w:pPr>
      <w:r>
        <w:rPr/>
        <w:t xml:space="preserve">Where a domain scores Extend: the audit names the failing metrics, the Technical Standards Committee designs the correction within 14 days, the correction implements, and the domain re-audits over a further window of up to 35 days. Every other domain holds its Pass permanently; the architecture re-tests only what failed, and it never re-opens what passed. An Extend outcome changes no rate, no share, and no schedule outside the named domain: the default continuity rule holds everything else in place.</w:t>
      </w:r>
    </w:p>
    <w:p>
      <w:pPr>
        <w:pStyle w:val="Heading2"/>
      </w:pPr>
      <w:bookmarkStart w:id="247" w:name="_Toc261100147"/>
      <w:r>
        <w:rPr>
          <w:rFonts w:ascii="Calibri" w:hAnsi="Calibri"/>
        </w:rPr>
        <w:t xml:space="preserve">I.9 Audit Publication</w:t>
      </w:r>
      <w:bookmarkEnd w:id="247"/>
    </w:p>
    <w:p>
      <w:pPr>
        <w:jc w:val="both"/>
      </w:pPr>
      <w:r>
        <w:rPr/>
        <w:t xml:space="preserve">The audit publishes in full: every metric, every computation, every data extract in summary, every certifier's name, and every threshold comparison. The Bridge Commission receives the audit at its Day-90 session, declares the outcome the same day, and the declaration publishes on the communications calendar. The market thereby learns the system's grade from the system's evidence, on a date it knew a year in advance.</w:t>
      </w:r>
    </w:p>
    <w:p>
      <w:pPr>
        <w:pStyle w:val="Heading1"/>
        <w:pageBreakBefore/>
        <w:pBdr>
          <w:bottom w:val="single" w:color="B9C6CF" w:sz="6" w:space="4"/>
        </w:pBdr>
      </w:pPr>
      <w:bookmarkStart w:id="248" w:name="_Toc261100148"/>
      <w:r>
        <w:rPr>
          <w:rFonts w:ascii="Calibri" w:hAnsi="Calibri"/>
        </w:rPr>
        <w:t xml:space="preserve">Annex J: The Activation Timeline, Checklists, and the Master Synchronization Calendar</w:t>
      </w:r>
      <w:bookmarkEnd w:id="248"/>
    </w:p>
    <w:p>
      <w:pPr>
        <w:jc w:val="both"/>
      </w:pPr>
      <w:r>
        <w:rPr/>
        <w:t xml:space="preserve">This Annex carries the operational detail of Part VII: the phase checklists, the minute-by-minute script of the Indivisible Hour, the Pairing Register of synchronized obligations, the wartime lane sunset schedule, and the communications calendar. Dates compute from Day 0, the day of entry into force under Article 45.3.</w:t>
      </w:r>
    </w:p>
    <w:p>
      <w:pPr>
        <w:pStyle w:val="Heading2"/>
      </w:pPr>
      <w:bookmarkStart w:id="249" w:name="_Toc261100149"/>
      <w:r>
        <w:rPr>
          <w:rFonts w:ascii="Calibri" w:hAnsi="Calibri"/>
        </w:rPr>
        <w:t xml:space="preserve">J.1 Phase Checklists</w:t>
      </w:r>
      <w:bookmarkEnd w:id="249"/>
    </w:p>
    <w:p>
      <w:pPr>
        <w:jc w:val="both"/>
      </w:pPr>
      <w:r>
        <w:rPr>
          <w:b/>
        </w:rPr>
        <w:t xml:space="preserve">Phase 1: Foundation (Days 0 to 10).</w:t>
      </w:r>
      <w:r>
        <w:rPr/>
        <w:t xml:space="preserve"> (1) The Bridge Commission convenes its constitutive session at Muscat. (2) The co-directors take office and the first paired watch staffs. (3) Provisional corridor guidance publishes: simplified corridor lines and general routing guidance, without the full coordinate registry. (4) The Joint Survey Cell forms and its co-leads take charge. (5) The hazard declarations of Article 17.2 file within 72 hours of Day 0. (6) The Deconfliction Desk opens and every liaison desk connects and tests. (7) The Stakeholder Panel convenes its first session. (8) The Neutral Administrator opens the Fund's accounts in standby mode. Completion test: the Commission certifies all eight items on Day 10.</w:t>
      </w:r>
    </w:p>
    <w:p>
      <w:pPr>
        <w:jc w:val="both"/>
      </w:pPr>
      <w:r>
        <w:rPr>
          <w:b/>
        </w:rPr>
        <w:t xml:space="preserve">Phase 2: Rehearsal (Days 10 to 20).</w:t>
      </w:r>
      <w:r>
        <w:rPr/>
        <w:t xml:space="preserve"> (1) The pilot announcement publishes: the corridor plan, the pilot rates, and the activation day. (2) Routing instructions issue to every operator, agent, and insurer of record. (3) The fused picture goes live internally across both facilities. (4) The Indivisible Hour script rehearses in a full-dress exercise with every track and every confirming officer, twice. (5) The survey of the Central Assurance Corridor completes and certifies. (6) The Bridge Commission declares the activation day and the appointed minute, and the declaration publishes a week in advance. Completion test: two clean rehearsals and the Central certification.</w:t>
      </w:r>
    </w:p>
    <w:p>
      <w:pPr>
        <w:jc w:val="both"/>
      </w:pPr>
      <w:r>
        <w:rPr>
          <w:b/>
        </w:rPr>
        <w:t xml:space="preserve">Phase 3: Sequential Activation (Days 20 to 40).</w:t>
      </w:r>
      <w:r>
        <w:rPr/>
        <w:t xml:space="preserve"> (1) The Indivisible Hour executes at Day 20 on the appointed minute. (2) The Central Assurance Corridor activates the same hour. (3) The Southern Outbound Corridor activates on its survey certification, target Day 27. (4) The Northern Inbound Corridor activates on its survey certification, target Day 34. (5) Crisis-era passage administration functions, staff, and records transfer under Article 37.4. (6) All three certifications publish by Day 40. Completion test: three certified corridors carrying traffic, and the public log showing normal flow.</w:t>
      </w:r>
    </w:p>
    <w:p>
      <w:pPr>
        <w:jc w:val="both"/>
      </w:pPr>
      <w:r>
        <w:rPr>
          <w:b/>
        </w:rPr>
        <w:t xml:space="preserve">Phase 4: Financial Activation (Days 40 to 55).</w:t>
      </w:r>
      <w:r>
        <w:rPr/>
        <w:t xml:space="preserve"> (1) The Hormuz Account structure opens fully. (2) Pilot service rates apply from the first full transit day. (3) The Voluntary Contribution Facility opens with the pilot contribution schedule. (4) The firewall completes its first monthly cycle and publishes. (5) The Payment Surety Bond's first compliance opinion publishes. Completion test: a full clean monthly financial cycle under audit.</w:t>
      </w:r>
    </w:p>
    <w:p>
      <w:pPr>
        <w:jc w:val="both"/>
      </w:pPr>
      <w:r>
        <w:rPr>
          <w:b/>
        </w:rPr>
        <w:t xml:space="preserve">Phase 5: Stability Audit (Days 55 to 90).</w:t>
      </w:r>
      <w:r>
        <w:rPr/>
        <w:t xml:space="preserve"> (1) The Neutral Verification Office runs the audit of Annex I across the five domains. (2) The Integrity Cell runs its first full-system exercise inside the window. (3) The Stakeholder Panel conducts its industry assessment. (4) The escalator completes its fifth weekly certification. Completion test: the audit and the industry assessment delivered to the Bridge Commission.</w:t>
      </w:r>
    </w:p>
    <w:p>
      <w:pPr>
        <w:jc w:val="both"/>
      </w:pPr>
      <w:r>
        <w:rPr>
          <w:b/>
        </w:rPr>
        <w:t xml:space="preserve">Phase 6: Full Operation (Days 90 to 120).</w:t>
      </w:r>
      <w:r>
        <w:rPr/>
        <w:t xml:space="preserve"> (1) The Bridge Commission receives the audit and declares the outcome. (2) Full rates apply from the declaration. (3) The wartime lanes sunset completes under Section J.4. (4) The first annual publication cycle locks into the Master Synchronization Calendar. (5) The Understanding enters steady state. Completion test: the architecture boring, the market back, the strait open.</w:t>
      </w:r>
    </w:p>
    <w:p>
      <w:pPr>
        <w:pStyle w:val="Heading2"/>
      </w:pPr>
      <w:bookmarkStart w:id="250" w:name="_Toc261100150"/>
      <w:r>
        <w:rPr>
          <w:rFonts w:ascii="Calibri" w:hAnsi="Calibri"/>
        </w:rPr>
        <w:t xml:space="preserve">J.2 The Script of the Indivisible Hour</w:t>
      </w:r>
      <w:bookmarkEnd w:id="250"/>
    </w:p>
    <w:p>
      <w:pPr>
        <w:jc w:val="both"/>
      </w:pPr>
      <w:r>
        <w:rPr/>
        <w:t xml:space="preserve">The Indivisible Hour runs on four tracks with four master confirmations. All times state in minutes from T, the appointed minute.</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1400"/>
        <w:gridCol w:w="8100"/>
      </w:tblGrid>
      <w:tr>
        <w:trPr>
          <w:tblHeader/>
        </w:trPr>
        <w:tc>
          <w:tcPr>
            <w:tcW w:w="1400" w:type="dxa"/>
            <w:shd w:val="clear" w:fill="E8EDF1"/>
          </w:tcPr>
          <w:p>
            <w:pPr>
              <w:spacing w:after="20" w:line="264" w:lineRule="auto"/>
            </w:pPr>
            <w:r>
              <w:rPr>
                <w:rFonts w:ascii="Calibri" w:hAnsi="Calibri"/>
                <w:b/>
                <w:color w:val="2E4A62"/>
                <w:sz w:val="18"/>
              </w:rPr>
              <w:t xml:space="preserve">Time</w:t>
            </w:r>
          </w:p>
        </w:tc>
        <w:tc>
          <w:tcPr>
            <w:tcW w:w="8100" w:type="dxa"/>
            <w:shd w:val="clear" w:fill="E8EDF1"/>
          </w:tcPr>
          <w:p>
            <w:pPr>
              <w:spacing w:after="20" w:line="264" w:lineRule="auto"/>
            </w:pPr>
            <w:r>
              <w:rPr>
                <w:rFonts w:ascii="Calibri" w:hAnsi="Calibri"/>
                <w:b/>
                <w:color w:val="2E4A62"/>
                <w:sz w:val="18"/>
              </w:rPr>
              <w:t xml:space="preserve">Action</w:t>
            </w:r>
          </w:p>
        </w:tc>
      </w:tr>
      <w:tr>
        <w:tc>
          <w:tcPr>
            <w:tcW w:w="1400" w:type="dxa"/>
          </w:tcPr>
          <w:p>
            <w:pPr>
              <w:spacing w:after="20" w:line="264" w:lineRule="auto"/>
            </w:pPr>
            <w:r>
              <w:rPr>
                <w:rFonts w:ascii="Calibri" w:hAnsi="Calibri"/>
                <w:color w:val="263238"/>
                <w:sz w:val="18"/>
              </w:rPr>
              <w:t xml:space="preserve">T minus 60</w:t>
            </w:r>
          </w:p>
        </w:tc>
        <w:tc>
          <w:tcPr>
            <w:tcW w:w="8100" w:type="dxa"/>
          </w:tcPr>
          <w:p>
            <w:pPr>
              <w:spacing w:after="20" w:line="264" w:lineRule="auto"/>
            </w:pPr>
            <w:r>
              <w:rPr>
                <w:rFonts w:ascii="Calibri" w:hAnsi="Calibri"/>
                <w:color w:val="263238"/>
                <w:sz w:val="18"/>
              </w:rPr>
              <w:t xml:space="preserve">All four tracks report ready on the hotline; the four confirming officers take station; the watch floor announces the hour on all channels</w:t>
            </w:r>
          </w:p>
        </w:tc>
      </w:tr>
      <w:tr>
        <w:tc>
          <w:tcPr>
            <w:tcW w:w="1400" w:type="dxa"/>
          </w:tcPr>
          <w:p>
            <w:pPr>
              <w:spacing w:after="20" w:line="264" w:lineRule="auto"/>
            </w:pPr>
            <w:r>
              <w:rPr>
                <w:rFonts w:ascii="Calibri" w:hAnsi="Calibri"/>
                <w:color w:val="263238"/>
                <w:sz w:val="18"/>
              </w:rPr>
              <w:t xml:space="preserve">T minus 30</w:t>
            </w:r>
          </w:p>
        </w:tc>
        <w:tc>
          <w:tcPr>
            <w:tcW w:w="8100" w:type="dxa"/>
          </w:tcPr>
          <w:p>
            <w:pPr>
              <w:spacing w:after="20" w:line="264" w:lineRule="auto"/>
            </w:pPr>
            <w:r>
              <w:rPr>
                <w:rFonts w:ascii="Calibri" w:hAnsi="Calibri"/>
                <w:color w:val="263238"/>
                <w:sz w:val="18"/>
              </w:rPr>
              <w:t xml:space="preserve">Naval track: blockade forces complete pre-positioning for stand-down; corridor track: Transit Desk loads the first bulletin; financial track: the Neutral Administrator opens the accounts in armed mode; communications track: all participants' statements stand ready</w:t>
            </w:r>
          </w:p>
        </w:tc>
      </w:tr>
      <w:tr>
        <w:tc>
          <w:tcPr>
            <w:tcW w:w="1400" w:type="dxa"/>
          </w:tcPr>
          <w:p>
            <w:pPr>
              <w:spacing w:after="20" w:line="264" w:lineRule="auto"/>
            </w:pPr>
            <w:r>
              <w:rPr>
                <w:rFonts w:ascii="Calibri" w:hAnsi="Calibri"/>
                <w:color w:val="263238"/>
                <w:sz w:val="18"/>
              </w:rPr>
              <w:t xml:space="preserve">T minus 10</w:t>
            </w:r>
          </w:p>
        </w:tc>
        <w:tc>
          <w:tcPr>
            <w:tcW w:w="8100" w:type="dxa"/>
          </w:tcPr>
          <w:p>
            <w:pPr>
              <w:spacing w:after="20" w:line="264" w:lineRule="auto"/>
            </w:pPr>
            <w:r>
              <w:rPr>
                <w:rFonts w:ascii="Calibri" w:hAnsi="Calibri"/>
                <w:color w:val="263238"/>
                <w:sz w:val="18"/>
              </w:rPr>
              <w:t xml:space="preserve">Final go poll on the hotline; any officer calls hold under Article 36.4, or the hour proceeds</w:t>
            </w:r>
          </w:p>
        </w:tc>
      </w:tr>
      <w:tr>
        <w:tc>
          <w:tcPr>
            <w:tcW w:w="1400" w:type="dxa"/>
          </w:tcPr>
          <w:p>
            <w:pPr>
              <w:spacing w:after="20" w:line="264" w:lineRule="auto"/>
            </w:pPr>
            <w:r>
              <w:rPr>
                <w:rFonts w:ascii="Calibri" w:hAnsi="Calibri"/>
                <w:color w:val="263238"/>
                <w:sz w:val="18"/>
              </w:rPr>
              <w:t xml:space="preserve">T</w:t>
            </w:r>
          </w:p>
        </w:tc>
        <w:tc>
          <w:tcPr>
            <w:tcW w:w="8100" w:type="dxa"/>
          </w:tcPr>
          <w:p>
            <w:pPr>
              <w:spacing w:after="20" w:line="264" w:lineRule="auto"/>
            </w:pPr>
            <w:r>
              <w:rPr>
                <w:rFonts w:ascii="Calibri" w:hAnsi="Calibri"/>
                <w:color w:val="263238"/>
                <w:sz w:val="18"/>
              </w:rPr>
              <w:t xml:space="preserve">Naval track: the blockade termination order executes and publishes; corridor track: the three corridors activate and the first Open Water Bulletin of the new system issues; financial track: the Hormuz Account opens and the firewall certification publishes; administrative track: every wartime permit, fee, tariff, route-approval, and insurance condition dissolves by operation of this Understanding</w:t>
            </w:r>
          </w:p>
        </w:tc>
      </w:tr>
      <w:tr>
        <w:tc>
          <w:tcPr>
            <w:tcW w:w="1400" w:type="dxa"/>
          </w:tcPr>
          <w:p>
            <w:pPr>
              <w:spacing w:after="20" w:line="264" w:lineRule="auto"/>
            </w:pPr>
            <w:r>
              <w:rPr>
                <w:rFonts w:ascii="Calibri" w:hAnsi="Calibri"/>
                <w:color w:val="263238"/>
                <w:sz w:val="18"/>
              </w:rPr>
              <w:t xml:space="preserve">T plus 15</w:t>
            </w:r>
          </w:p>
        </w:tc>
        <w:tc>
          <w:tcPr>
            <w:tcW w:w="8100" w:type="dxa"/>
          </w:tcPr>
          <w:p>
            <w:pPr>
              <w:spacing w:after="20" w:line="264" w:lineRule="auto"/>
            </w:pPr>
            <w:r>
              <w:rPr>
                <w:rFonts w:ascii="Calibri" w:hAnsi="Calibri"/>
                <w:color w:val="263238"/>
                <w:sz w:val="18"/>
              </w:rPr>
              <w:t xml:space="preserve">The first transit of the new system enters the Central Assurance Corridor on bulletin guidance; the fused picture goes live to every observer</w:t>
            </w:r>
          </w:p>
        </w:tc>
      </w:tr>
      <w:tr>
        <w:tc>
          <w:tcPr>
            <w:tcW w:w="1400" w:type="dxa"/>
          </w:tcPr>
          <w:p>
            <w:pPr>
              <w:spacing w:after="20" w:line="264" w:lineRule="auto"/>
            </w:pPr>
            <w:r>
              <w:rPr>
                <w:rFonts w:ascii="Calibri" w:hAnsi="Calibri"/>
                <w:color w:val="263238"/>
                <w:sz w:val="18"/>
              </w:rPr>
              <w:t xml:space="preserve">T plus 30</w:t>
            </w:r>
          </w:p>
        </w:tc>
        <w:tc>
          <w:tcPr>
            <w:tcW w:w="8100" w:type="dxa"/>
          </w:tcPr>
          <w:p>
            <w:pPr>
              <w:spacing w:after="20" w:line="264" w:lineRule="auto"/>
            </w:pPr>
            <w:r>
              <w:rPr>
                <w:rFonts w:ascii="Calibri" w:hAnsi="Calibri"/>
                <w:color w:val="263238"/>
                <w:sz w:val="18"/>
              </w:rPr>
              <w:t xml:space="preserve">The four confirming officers exchange master confirmations on the hotline</w:t>
            </w:r>
          </w:p>
        </w:tc>
      </w:tr>
      <w:tr>
        <w:tc>
          <w:tcPr>
            <w:tcW w:w="1400" w:type="dxa"/>
          </w:tcPr>
          <w:p>
            <w:pPr>
              <w:spacing w:after="20" w:line="264" w:lineRule="auto"/>
            </w:pPr>
            <w:r>
              <w:rPr>
                <w:rFonts w:ascii="Calibri" w:hAnsi="Calibri"/>
                <w:color w:val="263238"/>
                <w:sz w:val="18"/>
              </w:rPr>
              <w:t xml:space="preserve">T plus 45</w:t>
            </w:r>
          </w:p>
        </w:tc>
        <w:tc>
          <w:tcPr>
            <w:tcW w:w="8100" w:type="dxa"/>
          </w:tcPr>
          <w:p>
            <w:pPr>
              <w:spacing w:after="20" w:line="264" w:lineRule="auto"/>
            </w:pPr>
            <w:r>
              <w:rPr>
                <w:rFonts w:ascii="Calibri" w:hAnsi="Calibri"/>
                <w:color w:val="263238"/>
                <w:sz w:val="18"/>
              </w:rPr>
              <w:t xml:space="preserve">The crisis-era passage administration functions complete transfer to the Authority</w:t>
            </w:r>
          </w:p>
        </w:tc>
      </w:tr>
      <w:tr>
        <w:tc>
          <w:tcPr>
            <w:tcW w:w="1400" w:type="dxa"/>
          </w:tcPr>
          <w:p>
            <w:pPr>
              <w:spacing w:after="20" w:line="264" w:lineRule="auto"/>
            </w:pPr>
            <w:r>
              <w:rPr>
                <w:rFonts w:ascii="Calibri" w:hAnsi="Calibri"/>
                <w:color w:val="263238"/>
                <w:sz w:val="18"/>
              </w:rPr>
              <w:t xml:space="preserve">T plus 60</w:t>
            </w:r>
          </w:p>
        </w:tc>
        <w:tc>
          <w:tcPr>
            <w:tcW w:w="8100" w:type="dxa"/>
          </w:tcPr>
          <w:p>
            <w:pPr>
              <w:spacing w:after="20" w:line="264" w:lineRule="auto"/>
            </w:pPr>
            <w:r>
              <w:rPr>
                <w:rFonts w:ascii="Calibri" w:hAnsi="Calibri"/>
                <w:color w:val="263238"/>
                <w:sz w:val="18"/>
              </w:rPr>
              <w:t xml:space="preserve">Communications track: every participant publishes its statement in its own words at the same minute; the Bridge Commission declares the Indivisible Hour complete</w:t>
            </w:r>
          </w:p>
        </w:tc>
      </w:tr>
    </w:tbl>
    <w:p>
      <w:pPr>
        <w:spacing w:after="160"/>
      </w:pPr>
    </w:p>
    <w:p>
      <w:pPr>
        <w:jc w:val="both"/>
      </w:pPr>
      <w:r>
        <w:rPr/>
        <w:t xml:space="preserve">The failure handling of Article 36.4 governs any failed confirmation: one 60-minute extension, then rescheduling of the entire event to the next day at the same minute. No track ever executes alone.</w:t>
      </w:r>
    </w:p>
    <w:p>
      <w:pPr>
        <w:pStyle w:val="Heading2"/>
      </w:pPr>
      <w:bookmarkStart w:id="251" w:name="_Toc261100151"/>
      <w:r>
        <w:rPr>
          <w:rFonts w:ascii="Calibri" w:hAnsi="Calibri"/>
        </w:rPr>
        <w:t xml:space="preserve">J.3 The Pairing Register</w:t>
      </w:r>
      <w:bookmarkEnd w:id="251"/>
    </w:p>
    <w:p>
      <w:pPr>
        <w:jc w:val="both"/>
      </w:pPr>
      <w:r>
        <w:rPr/>
        <w:t xml:space="preserve">The following obligation pairs execute as one event under the synchronization principle of Article 6.2. The register forms a closed list; additions proceed only through Article 41.</w:t>
      </w:r>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4500"/>
        <w:gridCol w:w="4500"/>
      </w:tblGrid>
      <w:tr>
        <w:trPr>
          <w:tblHeader/>
        </w:trPr>
        <w:tc>
          <w:tcPr>
            <w:tcW w:w="4500" w:type="dxa"/>
            <w:shd w:val="clear" w:fill="E8EDF1"/>
          </w:tcPr>
          <w:p>
            <w:pPr>
              <w:spacing w:after="20" w:line="264" w:lineRule="auto"/>
            </w:pPr>
            <w:r>
              <w:rPr>
                <w:rFonts w:ascii="Calibri" w:hAnsi="Calibri"/>
                <w:b/>
                <w:color w:val="2E4A62"/>
                <w:sz w:val="18"/>
              </w:rPr>
              <w:t xml:space="preserve">Obligation A</w:t>
            </w:r>
          </w:p>
        </w:tc>
        <w:tc>
          <w:tcPr>
            <w:tcW w:w="4500" w:type="dxa"/>
            <w:shd w:val="clear" w:fill="E8EDF1"/>
          </w:tcPr>
          <w:p>
            <w:pPr>
              <w:spacing w:after="20" w:line="264" w:lineRule="auto"/>
            </w:pPr>
            <w:r>
              <w:rPr>
                <w:rFonts w:ascii="Calibri" w:hAnsi="Calibri"/>
                <w:b/>
                <w:color w:val="2E4A62"/>
                <w:sz w:val="18"/>
              </w:rPr>
              <w:t xml:space="preserve">Obligation B (paired)</w:t>
            </w:r>
          </w:p>
        </w:tc>
      </w:tr>
      <w:tr>
        <w:tc>
          <w:tcPr>
            <w:tcW w:w="4500" w:type="dxa"/>
          </w:tcPr>
          <w:p>
            <w:pPr>
              <w:spacing w:after="20" w:line="264" w:lineRule="auto"/>
            </w:pPr>
            <w:r>
              <w:rPr>
                <w:rFonts w:ascii="Calibri" w:hAnsi="Calibri"/>
                <w:color w:val="263238"/>
                <w:sz w:val="18"/>
              </w:rPr>
              <w:t xml:space="preserve">Corridor activation</w:t>
            </w:r>
          </w:p>
        </w:tc>
        <w:tc>
          <w:tcPr>
            <w:tcW w:w="4500" w:type="dxa"/>
          </w:tcPr>
          <w:p>
            <w:pPr>
              <w:spacing w:after="20" w:line="264" w:lineRule="auto"/>
            </w:pPr>
            <w:r>
              <w:rPr>
                <w:rFonts w:ascii="Calibri" w:hAnsi="Calibri"/>
                <w:color w:val="263238"/>
                <w:sz w:val="18"/>
              </w:rPr>
              <w:t xml:space="preserve">Termination of every blockade measure and impediment</w:t>
            </w:r>
          </w:p>
        </w:tc>
      </w:tr>
      <w:tr>
        <w:tc>
          <w:tcPr>
            <w:tcW w:w="4500" w:type="dxa"/>
          </w:tcPr>
          <w:p>
            <w:pPr>
              <w:spacing w:after="20" w:line="264" w:lineRule="auto"/>
            </w:pPr>
            <w:r>
              <w:rPr>
                <w:rFonts w:ascii="Calibri" w:hAnsi="Calibri"/>
                <w:color w:val="263238"/>
                <w:sz w:val="18"/>
              </w:rPr>
              <w:t xml:space="preserve">Dissolution of wartime permit machinery</w:t>
            </w:r>
          </w:p>
        </w:tc>
        <w:tc>
          <w:tcPr>
            <w:tcW w:w="4500" w:type="dxa"/>
          </w:tcPr>
          <w:p>
            <w:pPr>
              <w:spacing w:after="20" w:line="264" w:lineRule="auto"/>
            </w:pPr>
            <w:r>
              <w:rPr>
                <w:rFonts w:ascii="Calibri" w:hAnsi="Calibri"/>
                <w:color w:val="263238"/>
                <w:sz w:val="18"/>
              </w:rPr>
              <w:t xml:space="preserve">Transfer of its functions to the Authority</w:t>
            </w:r>
          </w:p>
        </w:tc>
      </w:tr>
      <w:tr>
        <w:tc>
          <w:tcPr>
            <w:tcW w:w="4500" w:type="dxa"/>
          </w:tcPr>
          <w:p>
            <w:pPr>
              <w:spacing w:after="20" w:line="264" w:lineRule="auto"/>
            </w:pPr>
            <w:r>
              <w:rPr>
                <w:rFonts w:ascii="Calibri" w:hAnsi="Calibri"/>
                <w:color w:val="263238"/>
                <w:sz w:val="18"/>
              </w:rPr>
              <w:t xml:space="preserve">Opening of the Hormuz Account</w:t>
            </w:r>
          </w:p>
        </w:tc>
        <w:tc>
          <w:tcPr>
            <w:tcW w:w="4500" w:type="dxa"/>
          </w:tcPr>
          <w:p>
            <w:pPr>
              <w:spacing w:after="20" w:line="264" w:lineRule="auto"/>
            </w:pPr>
            <w:r>
              <w:rPr>
                <w:rFonts w:ascii="Calibri" w:hAnsi="Calibri"/>
                <w:color w:val="263238"/>
                <w:sz w:val="18"/>
              </w:rPr>
              <w:t xml:space="preserve">Publication of the firewall certification</w:t>
            </w:r>
          </w:p>
        </w:tc>
      </w:tr>
      <w:tr>
        <w:tc>
          <w:tcPr>
            <w:tcW w:w="4500" w:type="dxa"/>
          </w:tcPr>
          <w:p>
            <w:pPr>
              <w:spacing w:after="20" w:line="264" w:lineRule="auto"/>
            </w:pPr>
            <w:r>
              <w:rPr>
                <w:rFonts w:ascii="Calibri" w:hAnsi="Calibri"/>
                <w:color w:val="263238"/>
                <w:sz w:val="18"/>
              </w:rPr>
              <w:t xml:space="preserve">First service disbursement</w:t>
            </w:r>
          </w:p>
        </w:tc>
        <w:tc>
          <w:tcPr>
            <w:tcW w:w="4500" w:type="dxa"/>
          </w:tcPr>
          <w:p>
            <w:pPr>
              <w:spacing w:after="20" w:line="264" w:lineRule="auto"/>
            </w:pPr>
            <w:r>
              <w:rPr>
                <w:rFonts w:ascii="Calibri" w:hAnsi="Calibri"/>
                <w:color w:val="263238"/>
                <w:sz w:val="18"/>
              </w:rPr>
              <w:t xml:space="preserve">First performance certification</w:t>
            </w:r>
          </w:p>
        </w:tc>
      </w:tr>
      <w:tr>
        <w:tc>
          <w:tcPr>
            <w:tcW w:w="4500" w:type="dxa"/>
          </w:tcPr>
          <w:p>
            <w:pPr>
              <w:spacing w:after="20" w:line="264" w:lineRule="auto"/>
            </w:pPr>
            <w:r>
              <w:rPr>
                <w:rFonts w:ascii="Calibri" w:hAnsi="Calibri"/>
                <w:color w:val="263238"/>
                <w:sz w:val="18"/>
              </w:rPr>
              <w:t xml:space="preserve">Escalator share step</w:t>
            </w:r>
          </w:p>
        </w:tc>
        <w:tc>
          <w:tcPr>
            <w:tcW w:w="4500" w:type="dxa"/>
          </w:tcPr>
          <w:p>
            <w:pPr>
              <w:spacing w:after="20" w:line="264" w:lineRule="auto"/>
            </w:pPr>
            <w:r>
              <w:rPr>
                <w:rFonts w:ascii="Calibri" w:hAnsi="Calibri"/>
                <w:color w:val="263238"/>
                <w:sz w:val="18"/>
              </w:rPr>
              <w:t xml:space="preserve">Weekly verification certification</w:t>
            </w:r>
          </w:p>
        </w:tc>
      </w:tr>
      <w:tr>
        <w:tc>
          <w:tcPr>
            <w:tcW w:w="4500" w:type="dxa"/>
          </w:tcPr>
          <w:p>
            <w:pPr>
              <w:spacing w:after="20" w:line="264" w:lineRule="auto"/>
            </w:pPr>
            <w:r>
              <w:rPr>
                <w:rFonts w:ascii="Calibri" w:hAnsi="Calibri"/>
                <w:color w:val="263238"/>
                <w:sz w:val="18"/>
              </w:rPr>
              <w:t xml:space="preserve">Pilot rate application</w:t>
            </w:r>
          </w:p>
        </w:tc>
        <w:tc>
          <w:tcPr>
            <w:tcW w:w="4500" w:type="dxa"/>
          </w:tcPr>
          <w:p>
            <w:pPr>
              <w:spacing w:after="20" w:line="264" w:lineRule="auto"/>
            </w:pPr>
            <w:r>
              <w:rPr>
                <w:rFonts w:ascii="Calibri" w:hAnsi="Calibri"/>
                <w:color w:val="263238"/>
                <w:sz w:val="18"/>
              </w:rPr>
              <w:t xml:space="preserve">Pilot traffic and monitoring intensity</w:t>
            </w:r>
          </w:p>
        </w:tc>
      </w:tr>
      <w:tr>
        <w:tc>
          <w:tcPr>
            <w:tcW w:w="4500" w:type="dxa"/>
          </w:tcPr>
          <w:p>
            <w:pPr>
              <w:spacing w:after="20" w:line="264" w:lineRule="auto"/>
            </w:pPr>
            <w:r>
              <w:rPr>
                <w:rFonts w:ascii="Calibri" w:hAnsi="Calibri"/>
                <w:color w:val="263238"/>
                <w:sz w:val="18"/>
              </w:rPr>
              <w:t xml:space="preserve">Endorsement instrument deposit</w:t>
            </w:r>
          </w:p>
        </w:tc>
        <w:tc>
          <w:tcPr>
            <w:tcW w:w="4500" w:type="dxa"/>
          </w:tcPr>
          <w:p>
            <w:pPr>
              <w:spacing w:after="20" w:line="264" w:lineRule="auto"/>
            </w:pPr>
            <w:r>
              <w:rPr>
                <w:rFonts w:ascii="Calibri" w:hAnsi="Calibri"/>
                <w:color w:val="263238"/>
                <w:sz w:val="18"/>
              </w:rPr>
              <w:t xml:space="preserve">Synchronized obligations stated on the instrument's face</w:t>
            </w:r>
          </w:p>
        </w:tc>
      </w:tr>
      <w:tr>
        <w:tc>
          <w:tcPr>
            <w:tcW w:w="4500" w:type="dxa"/>
          </w:tcPr>
          <w:p>
            <w:pPr>
              <w:spacing w:after="20" w:line="264" w:lineRule="auto"/>
            </w:pPr>
            <w:r>
              <w:rPr>
                <w:rFonts w:ascii="Calibri" w:hAnsi="Calibri"/>
                <w:color w:val="263238"/>
                <w:sz w:val="18"/>
              </w:rPr>
              <w:t xml:space="preserve">Full rate application</w:t>
            </w:r>
          </w:p>
        </w:tc>
        <w:tc>
          <w:tcPr>
            <w:tcW w:w="4500" w:type="dxa"/>
          </w:tcPr>
          <w:p>
            <w:pPr>
              <w:spacing w:after="20" w:line="264" w:lineRule="auto"/>
            </w:pPr>
            <w:r>
              <w:rPr>
                <w:rFonts w:ascii="Calibri" w:hAnsi="Calibri"/>
                <w:color w:val="263238"/>
                <w:sz w:val="18"/>
              </w:rPr>
              <w:t xml:space="preserve">Stability Audit Pass declaration</w:t>
            </w:r>
          </w:p>
        </w:tc>
      </w:tr>
    </w:tbl>
    <w:p>
      <w:pPr>
        <w:spacing w:after="160"/>
      </w:pPr>
    </w:p>
    <w:p>
      <w:pPr>
        <w:pStyle w:val="Heading2"/>
      </w:pPr>
      <w:bookmarkStart w:id="252" w:name="_Toc261100152"/>
      <w:r>
        <w:rPr>
          <w:rFonts w:ascii="Calibri" w:hAnsi="Calibri"/>
        </w:rPr>
        <w:t xml:space="preserve">J.4 The Wartime Lane Sunset</w:t>
      </w:r>
      <w:bookmarkEnd w:id="252"/>
    </w:p>
    <w:p>
      <w:pPr>
        <w:jc w:val="both"/>
      </w:pPr>
      <w:r>
        <w:rPr/>
        <w:t xml:space="preserve">The temporary wartime lanes close to new entries at T of the Indivisible Hour. Vessels already committed to a wartime lane complete their transit under the old routing with full protection. The lanes remain charted as emergency alternates for 60 days, de-chart on Day 80, and disappear from all publications at the Phase 6 declaration. Their coordinates remain in the Authority's archive as a matter of record, and no vessel ever faces enforcement for having used them during the crisis.</w:t>
      </w:r>
    </w:p>
    <w:p>
      <w:pPr>
        <w:pStyle w:val="Heading2"/>
      </w:pPr>
      <w:bookmarkStart w:id="253" w:name="_Toc261100153"/>
      <w:r>
        <w:rPr>
          <w:rFonts w:ascii="Calibri" w:hAnsi="Calibri"/>
        </w:rPr>
        <w:t xml:space="preserve">J.5 The Master Synchronization Calendar</w:t>
      </w:r>
      <w:bookmarkEnd w:id="253"/>
    </w:p>
    <w:p>
      <w:pPr>
        <w:jc w:val="both"/>
      </w:pPr>
      <w:r>
        <w:rPr/>
        <w:t xml:space="preserve">The Secretariat maintains the Master Synchronization Calendar and publishes it twelve months forward. The calendar carries: the six-hourly bulletin rhythm; the Monday escalator certification; the monthly financial statement and service disbursement; the quarterly audit, Bridge Commission session, and environmental baseline; the semiannual compliance opinion; the annual rate card, contribution schedule, comprehensive audit, and Handbook test. Every organ, participant, and observer reads the same dates, and every publication issues at the minute the calendar states.</w:t>
      </w:r>
    </w:p>
    <w:p>
      <w:pPr>
        <w:pStyle w:val="Heading2"/>
      </w:pPr>
      <w:bookmarkStart w:id="254" w:name="_Toc261100154"/>
      <w:r>
        <w:rPr>
          <w:rFonts w:ascii="Calibri" w:hAnsi="Calibri"/>
        </w:rPr>
        <w:t xml:space="preserve">J.6 The Rehearsal Record</w:t>
      </w:r>
      <w:bookmarkEnd w:id="254"/>
    </w:p>
    <w:p>
      <w:pPr>
        <w:jc w:val="both"/>
      </w:pPr>
      <w:r>
        <w:rPr/>
        <w:t xml:space="preserve">The full-dress rehearsals of Phase 2 document every track, every officer, every failure, and every fix. The record lodges with the Neutral Verification Office and summarizes in the Stability Audit, so the appointed minute arrives rehearsed rather than hoped for.</w:t>
      </w:r>
    </w:p>
    <w:p>
      <w:pPr>
        <w:pStyle w:val="Heading2"/>
      </w:pPr>
      <w:bookmarkStart w:id="255" w:name="_Toc261100155"/>
      <w:r>
        <w:rPr>
          <w:rFonts w:ascii="Calibri" w:hAnsi="Calibri"/>
        </w:rPr>
        <w:t xml:space="preserve">J.7 The Communications Calendar</w:t>
      </w:r>
      <w:bookmarkEnd w:id="255"/>
    </w:p>
    <w:p>
      <w:pPr>
        <w:jc w:val="both"/>
      </w:pPr>
      <w:r>
        <w:rPr/>
        <w:t xml:space="preserve">Publications follow this fixed rhythm: Open Water Bulletin every six hours; Weekly Verification Bulletin every Monday; financial statement within 10 days of month end; quarterly audit within 30 days of quarter end; environmental baseline quarterly; comprehensive annual audit and report each April; rate card and contribution schedule each October. Every publication issues simultaneously in the three languages from Muscat and Bandar Abbas at the stated minute, and every publication archives permanently at both facilities and with the Depositary.</w:t>
      </w:r>
    </w:p>
    <w:p>
      <w:pPr>
        <w:pStyle w:val="Heading1"/>
        <w:pageBreakBefore/>
        <w:pBdr>
          <w:bottom w:val="single" w:color="B9C6CF" w:sz="6" w:space="4"/>
        </w:pBdr>
      </w:pPr>
      <w:bookmarkStart w:id="256" w:name="_Toc261100156"/>
      <w:r>
        <w:rPr>
          <w:rFonts w:ascii="Calibri" w:hAnsi="Calibri"/>
        </w:rPr>
        <w:t xml:space="preserve">Annex K: The Demand Reconciliation Register</w:t>
      </w:r>
      <w:bookmarkEnd w:id="256"/>
    </w:p>
    <w:p>
      <w:pPr>
        <w:jc w:val="both"/>
      </w:pPr>
      <w:r>
        <w:rPr/>
        <w:t xml:space="preserve">This Register maps every stated position of every participant to the provision of this Understanding that answers it. It exists so that no delegation, parliament, or public reads this instrument and concludes that its side's demands went unheard. Each entry states the demand as the participant's public record presents it, and names the articles and annexes that deliver it. The Register publishes with the instrument and updates with every accession.</w:t>
      </w:r>
    </w:p>
    <w:p>
      <w:pPr>
        <w:pStyle w:val="Heading2"/>
      </w:pPr>
      <w:bookmarkStart w:id="257" w:name="_Toc261100157"/>
      <w:r>
        <w:rPr>
          <w:rFonts w:ascii="Calibri" w:hAnsi="Calibri"/>
        </w:rPr>
        <w:t xml:space="preserve">K.1 The United States</w:t>
      </w:r>
      <w:bookmarkEnd w:id="257"/>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5200"/>
        <w:gridCol w:w="4300"/>
      </w:tblGrid>
      <w:tr>
        <w:trPr>
          <w:tblHeader/>
        </w:trPr>
        <w:tc>
          <w:tcPr>
            <w:tcW w:w="5200" w:type="dxa"/>
            <w:shd w:val="clear" w:fill="E8EDF1"/>
          </w:tcPr>
          <w:p>
            <w:pPr>
              <w:spacing w:after="20" w:line="264" w:lineRule="auto"/>
            </w:pPr>
            <w:r>
              <w:rPr>
                <w:rFonts w:ascii="Calibri" w:hAnsi="Calibri"/>
                <w:b/>
                <w:color w:val="2E4A62"/>
                <w:sz w:val="18"/>
              </w:rPr>
              <w:t xml:space="preserve">Stated position</w:t>
            </w:r>
          </w:p>
        </w:tc>
        <w:tc>
          <w:tcPr>
            <w:tcW w:w="4300" w:type="dxa"/>
            <w:shd w:val="clear" w:fill="E8EDF1"/>
          </w:tcPr>
          <w:p>
            <w:pPr>
              <w:spacing w:after="20" w:line="264" w:lineRule="auto"/>
            </w:pPr>
            <w:r>
              <w:rPr>
                <w:rFonts w:ascii="Calibri" w:hAnsi="Calibri"/>
                <w:b/>
                <w:color w:val="2E4A62"/>
                <w:sz w:val="18"/>
              </w:rPr>
              <w:t xml:space="preserve">Answered by</w:t>
            </w:r>
          </w:p>
        </w:tc>
      </w:tr>
      <w:tr>
        <w:tc>
          <w:tcPr>
            <w:tcW w:w="5200" w:type="dxa"/>
          </w:tcPr>
          <w:p>
            <w:pPr>
              <w:spacing w:after="20" w:line="264" w:lineRule="auto"/>
            </w:pPr>
            <w:r>
              <w:rPr>
                <w:rFonts w:ascii="Calibri" w:hAnsi="Calibri"/>
                <w:color w:val="263238"/>
                <w:sz w:val="18"/>
              </w:rPr>
              <w:t xml:space="preserve">No Iranian unilateral control of the strait or of any corridor</w:t>
            </w:r>
          </w:p>
        </w:tc>
        <w:tc>
          <w:tcPr>
            <w:tcW w:w="4300" w:type="dxa"/>
          </w:tcPr>
          <w:p>
            <w:pPr>
              <w:spacing w:after="20" w:line="264" w:lineRule="auto"/>
            </w:pPr>
            <w:r>
              <w:rPr>
                <w:rFonts w:ascii="Calibri" w:hAnsi="Calibri"/>
                <w:color w:val="263238"/>
                <w:sz w:val="18"/>
              </w:rPr>
              <w:t xml:space="preserve">Twin Key rule, Article 14; Annex E, Table E.3; IPR-13; no approval power exists anywhere (Article 10)</w:t>
            </w:r>
          </w:p>
        </w:tc>
      </w:tr>
      <w:tr>
        <w:tc>
          <w:tcPr>
            <w:tcW w:w="5200" w:type="dxa"/>
          </w:tcPr>
          <w:p>
            <w:pPr>
              <w:spacing w:after="20" w:line="264" w:lineRule="auto"/>
            </w:pPr>
            <w:r>
              <w:rPr>
                <w:rFonts w:ascii="Calibri" w:hAnsi="Calibri"/>
                <w:color w:val="263238"/>
                <w:sz w:val="18"/>
              </w:rPr>
              <w:t xml:space="preserve">No tolls on transit; passage free as before the war</w:t>
            </w:r>
          </w:p>
        </w:tc>
        <w:tc>
          <w:tcPr>
            <w:tcW w:w="4300" w:type="dxa"/>
          </w:tcPr>
          <w:p>
            <w:pPr>
              <w:spacing w:after="20" w:line="264" w:lineRule="auto"/>
            </w:pPr>
            <w:r>
              <w:rPr>
                <w:rFonts w:ascii="Calibri" w:hAnsi="Calibri"/>
                <w:color w:val="263238"/>
                <w:sz w:val="18"/>
              </w:rPr>
              <w:t xml:space="preserve">Zero-Toll Rule, Article 25; IPR-1; substance test, Annex D, Section D.6</w:t>
            </w:r>
          </w:p>
        </w:tc>
      </w:tr>
      <w:tr>
        <w:tc>
          <w:tcPr>
            <w:tcW w:w="5200" w:type="dxa"/>
          </w:tcPr>
          <w:p>
            <w:pPr>
              <w:spacing w:after="20" w:line="264" w:lineRule="auto"/>
            </w:pPr>
            <w:r>
              <w:rPr>
                <w:rFonts w:ascii="Calibri" w:hAnsi="Calibri"/>
                <w:color w:val="263238"/>
                <w:sz w:val="18"/>
              </w:rPr>
              <w:t xml:space="preserve">Multilateral oversight including Oman, GCC, United States, and international bodies</w:t>
            </w:r>
          </w:p>
        </w:tc>
        <w:tc>
          <w:tcPr>
            <w:tcW w:w="4300" w:type="dxa"/>
          </w:tcPr>
          <w:p>
            <w:pPr>
              <w:spacing w:after="20" w:line="264" w:lineRule="auto"/>
            </w:pPr>
            <w:r>
              <w:rPr>
                <w:rFonts w:ascii="Calibri" w:hAnsi="Calibri"/>
                <w:color w:val="263238"/>
                <w:sz w:val="18"/>
              </w:rPr>
              <w:t xml:space="preserve">Part IV in full; GCC standing invitation, Article 24.1; Endorsing Stakeholder model, Article 24.2; technical observers, Article 24.5</w:t>
            </w:r>
          </w:p>
        </w:tc>
      </w:tr>
      <w:tr>
        <w:tc>
          <w:tcPr>
            <w:tcW w:w="5200" w:type="dxa"/>
          </w:tcPr>
          <w:p>
            <w:pPr>
              <w:spacing w:after="20" w:line="264" w:lineRule="auto"/>
            </w:pPr>
            <w:r>
              <w:rPr>
                <w:rFonts w:ascii="Calibri" w:hAnsi="Calibri"/>
                <w:color w:val="263238"/>
                <w:sz w:val="18"/>
              </w:rPr>
              <w:t xml:space="preserve">Full publication and international registration of corridor coordinates</w:t>
            </w:r>
          </w:p>
        </w:tc>
        <w:tc>
          <w:tcPr>
            <w:tcW w:w="4300" w:type="dxa"/>
          </w:tcPr>
          <w:p>
            <w:pPr>
              <w:spacing w:after="20" w:line="264" w:lineRule="auto"/>
            </w:pPr>
            <w:r>
              <w:rPr>
                <w:rFonts w:ascii="Calibri" w:hAnsi="Calibri"/>
                <w:color w:val="263238"/>
                <w:sz w:val="18"/>
              </w:rPr>
              <w:t xml:space="preserve">Article 7.4; Annex A registry; IMO and IHO deposit</w:t>
            </w:r>
          </w:p>
        </w:tc>
      </w:tr>
      <w:tr>
        <w:tc>
          <w:tcPr>
            <w:tcW w:w="5200" w:type="dxa"/>
          </w:tcPr>
          <w:p>
            <w:pPr>
              <w:spacing w:after="20" w:line="264" w:lineRule="auto"/>
            </w:pPr>
            <w:r>
              <w:rPr>
                <w:rFonts w:ascii="Calibri" w:hAnsi="Calibri"/>
                <w:color w:val="263238"/>
                <w:sz w:val="18"/>
              </w:rPr>
              <w:t xml:space="preserve">Joint, functional security roles rather than sovereign claims</w:t>
            </w:r>
          </w:p>
        </w:tc>
        <w:tc>
          <w:tcPr>
            <w:tcW w:w="4300" w:type="dxa"/>
          </w:tcPr>
          <w:p>
            <w:pPr>
              <w:spacing w:after="20" w:line="264" w:lineRule="auto"/>
            </w:pPr>
            <w:r>
              <w:rPr>
                <w:rFonts w:ascii="Calibri" w:hAnsi="Calibri"/>
                <w:color w:val="263238"/>
                <w:sz w:val="18"/>
              </w:rPr>
              <w:t xml:space="preserve">Article 13; Annex E; functions-not-sovereignty principle, Article 3.1</w:t>
            </w:r>
          </w:p>
        </w:tc>
      </w:tr>
      <w:tr>
        <w:tc>
          <w:tcPr>
            <w:tcW w:w="5200" w:type="dxa"/>
          </w:tcPr>
          <w:p>
            <w:pPr>
              <w:spacing w:after="20" w:line="264" w:lineRule="auto"/>
            </w:pPr>
            <w:r>
              <w:rPr>
                <w:rFonts w:ascii="Calibri" w:hAnsi="Calibri"/>
                <w:color w:val="263238"/>
                <w:sz w:val="18"/>
              </w:rPr>
              <w:t xml:space="preserve">Guaranteed freedom of navigation for commercial and military transit</w:t>
            </w:r>
          </w:p>
        </w:tc>
        <w:tc>
          <w:tcPr>
            <w:tcW w:w="4300" w:type="dxa"/>
          </w:tcPr>
          <w:p>
            <w:pPr>
              <w:spacing w:after="20" w:line="264" w:lineRule="auto"/>
            </w:pPr>
            <w:r>
              <w:rPr>
                <w:rFonts w:ascii="Calibri" w:hAnsi="Calibri"/>
                <w:color w:val="263238"/>
                <w:sz w:val="18"/>
              </w:rPr>
              <w:t xml:space="preserve">Article 12; Article 15.3 and Annex L for naval transit; IPR-5</w:t>
            </w:r>
          </w:p>
        </w:tc>
      </w:tr>
      <w:tr>
        <w:tc>
          <w:tcPr>
            <w:tcW w:w="5200" w:type="dxa"/>
          </w:tcPr>
          <w:p>
            <w:pPr>
              <w:spacing w:after="20" w:line="264" w:lineRule="auto"/>
            </w:pPr>
            <w:r>
              <w:rPr>
                <w:rFonts w:ascii="Calibri" w:hAnsi="Calibri"/>
                <w:color w:val="263238"/>
                <w:sz w:val="18"/>
              </w:rPr>
              <w:t xml:space="preserve">Sanctions-compatible financial mechanics</w:t>
            </w:r>
          </w:p>
        </w:tc>
        <w:tc>
          <w:tcPr>
            <w:tcW w:w="4300" w:type="dxa"/>
          </w:tcPr>
          <w:p>
            <w:pPr>
              <w:spacing w:after="20" w:line="264" w:lineRule="auto"/>
            </w:pPr>
            <w:r>
              <w:rPr>
                <w:rFonts w:ascii="Calibri" w:hAnsi="Calibri"/>
                <w:color w:val="263238"/>
                <w:sz w:val="18"/>
              </w:rPr>
              <w:t xml:space="preserve">Article 28; Annex D in full; Payment Surety Bond, Annex D, Section D.4</w:t>
            </w:r>
          </w:p>
        </w:tc>
      </w:tr>
      <w:tr>
        <w:tc>
          <w:tcPr>
            <w:tcW w:w="5200" w:type="dxa"/>
          </w:tcPr>
          <w:p>
            <w:pPr>
              <w:spacing w:after="20" w:line="264" w:lineRule="auto"/>
            </w:pPr>
            <w:r>
              <w:rPr>
                <w:rFonts w:ascii="Calibri" w:hAnsi="Calibri"/>
                <w:color w:val="263238"/>
                <w:sz w:val="18"/>
              </w:rPr>
              <w:t xml:space="preserve">Transparent, internationally audited fees</w:t>
            </w:r>
          </w:p>
        </w:tc>
        <w:tc>
          <w:tcPr>
            <w:tcW w:w="4300" w:type="dxa"/>
          </w:tcPr>
          <w:p>
            <w:pPr>
              <w:spacing w:after="20" w:line="264" w:lineRule="auto"/>
            </w:pPr>
            <w:r>
              <w:rPr>
                <w:rFonts w:ascii="Calibri" w:hAnsi="Calibri"/>
                <w:color w:val="263238"/>
                <w:sz w:val="18"/>
              </w:rPr>
              <w:t xml:space="preserve">Article 29.1; Annex C, Section C.7; published cost basis, Annex B, Section B.4</w:t>
            </w:r>
          </w:p>
        </w:tc>
      </w:tr>
      <w:tr>
        <w:tc>
          <w:tcPr>
            <w:tcW w:w="5200" w:type="dxa"/>
          </w:tcPr>
          <w:p>
            <w:pPr>
              <w:spacing w:after="20" w:line="264" w:lineRule="auto"/>
            </w:pPr>
            <w:r>
              <w:rPr>
                <w:rFonts w:ascii="Calibri" w:hAnsi="Calibri"/>
                <w:color w:val="263238"/>
                <w:sz w:val="18"/>
              </w:rPr>
              <w:t xml:space="preserve">Neutral dispute resolution</w:t>
            </w:r>
          </w:p>
        </w:tc>
        <w:tc>
          <w:tcPr>
            <w:tcW w:w="4300" w:type="dxa"/>
          </w:tcPr>
          <w:p>
            <w:pPr>
              <w:spacing w:after="20" w:line="264" w:lineRule="auto"/>
            </w:pPr>
            <w:r>
              <w:rPr>
                <w:rFonts w:ascii="Calibri" w:hAnsi="Calibri"/>
                <w:color w:val="263238"/>
                <w:sz w:val="18"/>
              </w:rPr>
              <w:t xml:space="preserve">Article 39; Article 40; no Party adjudicates its own dispute</w:t>
            </w:r>
          </w:p>
        </w:tc>
      </w:tr>
      <w:tr>
        <w:tc>
          <w:tcPr>
            <w:tcW w:w="5200" w:type="dxa"/>
          </w:tcPr>
          <w:p>
            <w:pPr>
              <w:spacing w:after="20" w:line="264" w:lineRule="auto"/>
            </w:pPr>
            <w:r>
              <w:rPr>
                <w:rFonts w:ascii="Calibri" w:hAnsi="Calibri"/>
                <w:color w:val="263238"/>
                <w:sz w:val="18"/>
              </w:rPr>
              <w:t xml:space="preserve">Shared radar and monitoring picture accessible to the United States</w:t>
            </w:r>
          </w:p>
        </w:tc>
        <w:tc>
          <w:tcPr>
            <w:tcW w:w="4300" w:type="dxa"/>
          </w:tcPr>
          <w:p>
            <w:pPr>
              <w:spacing w:after="20" w:line="264" w:lineRule="auto"/>
            </w:pPr>
            <w:r>
              <w:rPr>
                <w:rFonts w:ascii="Calibri" w:hAnsi="Calibri"/>
                <w:color w:val="263238"/>
                <w:sz w:val="18"/>
              </w:rPr>
              <w:t xml:space="preserve">Article 19.3; Article 24.2(a); liaison desk, Article 16.1</w:t>
            </w:r>
          </w:p>
        </w:tc>
      </w:tr>
      <w:tr>
        <w:tc>
          <w:tcPr>
            <w:tcW w:w="5200" w:type="dxa"/>
          </w:tcPr>
          <w:p>
            <w:pPr>
              <w:spacing w:after="20" w:line="264" w:lineRule="auto"/>
            </w:pPr>
            <w:r>
              <w:rPr>
                <w:rFonts w:ascii="Calibri" w:hAnsi="Calibri"/>
                <w:color w:val="263238"/>
                <w:sz w:val="18"/>
              </w:rPr>
              <w:t xml:space="preserve">No unilateral corridor changes</w:t>
            </w:r>
          </w:p>
        </w:tc>
        <w:tc>
          <w:tcPr>
            <w:tcW w:w="4300" w:type="dxa"/>
          </w:tcPr>
          <w:p>
            <w:pPr>
              <w:spacing w:after="20" w:line="264" w:lineRule="auto"/>
            </w:pPr>
            <w:r>
              <w:rPr>
                <w:rFonts w:ascii="Calibri" w:hAnsi="Calibri"/>
                <w:color w:val="263238"/>
                <w:sz w:val="18"/>
              </w:rPr>
              <w:t xml:space="preserve">Article 8.6; IPR-15</w:t>
            </w:r>
          </w:p>
        </w:tc>
      </w:tr>
      <w:tr>
        <w:tc>
          <w:tcPr>
            <w:tcW w:w="5200" w:type="dxa"/>
          </w:tcPr>
          <w:p>
            <w:pPr>
              <w:spacing w:after="20" w:line="264" w:lineRule="auto"/>
            </w:pPr>
            <w:r>
              <w:rPr>
                <w:rFonts w:ascii="Calibri" w:hAnsi="Calibri"/>
                <w:color w:val="263238"/>
                <w:sz w:val="18"/>
              </w:rPr>
              <w:t xml:space="preserve">Incident-reporting transparency</w:t>
            </w:r>
          </w:p>
        </w:tc>
        <w:tc>
          <w:tcPr>
            <w:tcW w:w="4300" w:type="dxa"/>
          </w:tcPr>
          <w:p>
            <w:pPr>
              <w:spacing w:after="20" w:line="264" w:lineRule="auto"/>
            </w:pPr>
            <w:r>
              <w:rPr>
                <w:rFonts w:ascii="Calibri" w:hAnsi="Calibri"/>
                <w:color w:val="263238"/>
                <w:sz w:val="18"/>
              </w:rPr>
              <w:t xml:space="preserve">Article 20.3; Article 11.4; Annex I, Domain 3</w:t>
            </w:r>
          </w:p>
        </w:tc>
      </w:tr>
      <w:tr>
        <w:tc>
          <w:tcPr>
            <w:tcW w:w="5200" w:type="dxa"/>
          </w:tcPr>
          <w:p>
            <w:pPr>
              <w:spacing w:after="20" w:line="264" w:lineRule="auto"/>
            </w:pPr>
            <w:r>
              <w:rPr>
                <w:rFonts w:ascii="Calibri" w:hAnsi="Calibri"/>
                <w:color w:val="263238"/>
                <w:sz w:val="18"/>
              </w:rPr>
              <w:t xml:space="preserve">Observer access for United States naval forces</w:t>
            </w:r>
          </w:p>
        </w:tc>
        <w:tc>
          <w:tcPr>
            <w:tcW w:w="4300" w:type="dxa"/>
          </w:tcPr>
          <w:p>
            <w:pPr>
              <w:spacing w:after="20" w:line="264" w:lineRule="auto"/>
            </w:pPr>
            <w:r>
              <w:rPr>
                <w:rFonts w:ascii="Calibri" w:hAnsi="Calibri"/>
                <w:color w:val="263238"/>
                <w:sz w:val="18"/>
              </w:rPr>
              <w:t xml:space="preserve">Article 16.1(d); Article 24.3; Annex L</w:t>
            </w:r>
          </w:p>
        </w:tc>
      </w:tr>
      <w:tr>
        <w:tc>
          <w:tcPr>
            <w:tcW w:w="5200" w:type="dxa"/>
          </w:tcPr>
          <w:p>
            <w:pPr>
              <w:spacing w:after="20" w:line="264" w:lineRule="auto"/>
            </w:pPr>
            <w:r>
              <w:rPr>
                <w:rFonts w:ascii="Calibri" w:hAnsi="Calibri"/>
                <w:color w:val="263238"/>
                <w:sz w:val="18"/>
              </w:rPr>
              <w:t xml:space="preserve">Termination of the blockade synchronized with reopening</w:t>
            </w:r>
          </w:p>
        </w:tc>
        <w:tc>
          <w:tcPr>
            <w:tcW w:w="4300" w:type="dxa"/>
          </w:tcPr>
          <w:p>
            <w:pPr>
              <w:spacing w:after="20" w:line="264" w:lineRule="auto"/>
            </w:pPr>
            <w:r>
              <w:rPr>
                <w:rFonts w:ascii="Calibri" w:hAnsi="Calibri"/>
                <w:color w:val="263238"/>
                <w:sz w:val="18"/>
              </w:rPr>
              <w:t xml:space="preserve">IPR-16; Article 36; Annex J, Section J.2</w:t>
            </w:r>
          </w:p>
        </w:tc>
      </w:tr>
      <w:tr>
        <w:tc>
          <w:tcPr>
            <w:tcW w:w="5200" w:type="dxa"/>
          </w:tcPr>
          <w:p>
            <w:pPr>
              <w:spacing w:after="20" w:line="264" w:lineRule="auto"/>
            </w:pPr>
            <w:r>
              <w:rPr>
                <w:rFonts w:ascii="Calibri" w:hAnsi="Calibri"/>
                <w:color w:val="263238"/>
                <w:sz w:val="18"/>
              </w:rPr>
              <w:t xml:space="preserve">Protection fee claims of the crisis period settled</w:t>
            </w:r>
          </w:p>
        </w:tc>
        <w:tc>
          <w:tcPr>
            <w:tcW w:w="4300" w:type="dxa"/>
          </w:tcPr>
          <w:p>
            <w:pPr>
              <w:spacing w:after="20" w:line="264" w:lineRule="auto"/>
            </w:pPr>
            <w:r>
              <w:rPr>
                <w:rFonts w:ascii="Calibri" w:hAnsi="Calibri"/>
                <w:color w:val="263238"/>
                <w:sz w:val="18"/>
              </w:rPr>
              <w:t xml:space="preserve">Article 25.4: both wartime fee claims dissolve in the Indivisible Hour</w:t>
            </w:r>
          </w:p>
        </w:tc>
      </w:tr>
    </w:tbl>
    <w:p>
      <w:pPr>
        <w:spacing w:after="160"/>
      </w:pPr>
    </w:p>
    <w:p>
      <w:pPr>
        <w:pStyle w:val="Heading2"/>
      </w:pPr>
      <w:bookmarkStart w:id="258" w:name="_Toc261100158"/>
      <w:r>
        <w:rPr>
          <w:rFonts w:ascii="Calibri" w:hAnsi="Calibri"/>
        </w:rPr>
        <w:t xml:space="preserve">K.2 The Islamic Republic of Iran</w:t>
      </w:r>
      <w:bookmarkEnd w:id="258"/>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5200"/>
        <w:gridCol w:w="4300"/>
      </w:tblGrid>
      <w:tr>
        <w:trPr>
          <w:tblHeader/>
        </w:trPr>
        <w:tc>
          <w:tcPr>
            <w:tcW w:w="5200" w:type="dxa"/>
            <w:shd w:val="clear" w:fill="E8EDF1"/>
          </w:tcPr>
          <w:p>
            <w:pPr>
              <w:spacing w:after="20" w:line="264" w:lineRule="auto"/>
            </w:pPr>
            <w:r>
              <w:rPr>
                <w:rFonts w:ascii="Calibri" w:hAnsi="Calibri"/>
                <w:b/>
                <w:color w:val="2E4A62"/>
                <w:sz w:val="18"/>
              </w:rPr>
              <w:t xml:space="preserve">Stated position</w:t>
            </w:r>
          </w:p>
        </w:tc>
        <w:tc>
          <w:tcPr>
            <w:tcW w:w="4300" w:type="dxa"/>
            <w:shd w:val="clear" w:fill="E8EDF1"/>
          </w:tcPr>
          <w:p>
            <w:pPr>
              <w:spacing w:after="20" w:line="264" w:lineRule="auto"/>
            </w:pPr>
            <w:r>
              <w:rPr>
                <w:rFonts w:ascii="Calibri" w:hAnsi="Calibri"/>
                <w:b/>
                <w:color w:val="2E4A62"/>
                <w:sz w:val="18"/>
              </w:rPr>
              <w:t xml:space="preserve">Answered by</w:t>
            </w:r>
          </w:p>
        </w:tc>
      </w:tr>
      <w:tr>
        <w:tc>
          <w:tcPr>
            <w:tcW w:w="5200" w:type="dxa"/>
          </w:tcPr>
          <w:p>
            <w:pPr>
              <w:spacing w:after="20" w:line="264" w:lineRule="auto"/>
            </w:pPr>
            <w:r>
              <w:rPr>
                <w:rFonts w:ascii="Calibri" w:hAnsi="Calibri"/>
                <w:color w:val="263238"/>
                <w:sz w:val="18"/>
              </w:rPr>
              <w:t xml:space="preserve">Recognized functional administration of inbound traffic in its own waters</w:t>
            </w:r>
          </w:p>
        </w:tc>
        <w:tc>
          <w:tcPr>
            <w:tcW w:w="4300" w:type="dxa"/>
          </w:tcPr>
          <w:p>
            <w:pPr>
              <w:spacing w:after="20" w:line="264" w:lineRule="auto"/>
            </w:pPr>
            <w:r>
              <w:rPr>
                <w:rFonts w:ascii="Calibri" w:hAnsi="Calibri"/>
                <w:color w:val="263238"/>
                <w:sz w:val="18"/>
              </w:rPr>
              <w:t xml:space="preserve">Article 8.2; Article 13.2; Annex E; IPR-3</w:t>
            </w:r>
          </w:p>
        </w:tc>
      </w:tr>
      <w:tr>
        <w:tc>
          <w:tcPr>
            <w:tcW w:w="5200" w:type="dxa"/>
          </w:tcPr>
          <w:p>
            <w:pPr>
              <w:spacing w:after="20" w:line="264" w:lineRule="auto"/>
            </w:pPr>
            <w:r>
              <w:rPr>
                <w:rFonts w:ascii="Calibri" w:hAnsi="Calibri"/>
                <w:color w:val="263238"/>
                <w:sz w:val="18"/>
              </w:rPr>
              <w:t xml:space="preserve">Formal recognition of its mine-risk and survey role</w:t>
            </w:r>
          </w:p>
        </w:tc>
        <w:tc>
          <w:tcPr>
            <w:tcW w:w="4300" w:type="dxa"/>
          </w:tcPr>
          <w:p>
            <w:pPr>
              <w:spacing w:after="20" w:line="264" w:lineRule="auto"/>
            </w:pPr>
            <w:r>
              <w:rPr>
                <w:rFonts w:ascii="Calibri" w:hAnsi="Calibri"/>
                <w:color w:val="263238"/>
                <w:sz w:val="18"/>
              </w:rPr>
              <w:t xml:space="preserve">Article 17.3: Joint Survey Cell co-lead; Annex E, Table E.2</w:t>
            </w:r>
          </w:p>
        </w:tc>
      </w:tr>
      <w:tr>
        <w:tc>
          <w:tcPr>
            <w:tcW w:w="5200" w:type="dxa"/>
          </w:tcPr>
          <w:p>
            <w:pPr>
              <w:spacing w:after="20" w:line="264" w:lineRule="auto"/>
            </w:pPr>
            <w:r>
              <w:rPr>
                <w:rFonts w:ascii="Calibri" w:hAnsi="Calibri"/>
                <w:color w:val="263238"/>
                <w:sz w:val="18"/>
              </w:rPr>
              <w:t xml:space="preserve">Environmental monitoring authority in its corridor</w:t>
            </w:r>
          </w:p>
        </w:tc>
        <w:tc>
          <w:tcPr>
            <w:tcW w:w="4300" w:type="dxa"/>
          </w:tcPr>
          <w:p>
            <w:pPr>
              <w:spacing w:after="20" w:line="264" w:lineRule="auto"/>
            </w:pPr>
            <w:r>
              <w:rPr>
                <w:rFonts w:ascii="Calibri" w:hAnsi="Calibri"/>
                <w:color w:val="263238"/>
                <w:sz w:val="18"/>
              </w:rPr>
              <w:t xml:space="preserve">Annex E, Table E.2, F-4; service line S-4, Annex B</w:t>
            </w:r>
          </w:p>
        </w:tc>
      </w:tr>
      <w:tr>
        <w:tc>
          <w:tcPr>
            <w:tcW w:w="5200" w:type="dxa"/>
          </w:tcPr>
          <w:p>
            <w:pPr>
              <w:spacing w:after="20" w:line="264" w:lineRule="auto"/>
            </w:pPr>
            <w:r>
              <w:rPr>
                <w:rFonts w:ascii="Calibri" w:hAnsi="Calibri"/>
                <w:color w:val="263238"/>
                <w:sz w:val="18"/>
              </w:rPr>
              <w:t xml:space="preserve">Lawful revenue for services performed</w:t>
            </w:r>
          </w:p>
        </w:tc>
        <w:tc>
          <w:tcPr>
            <w:tcW w:w="4300" w:type="dxa"/>
          </w:tcPr>
          <w:p>
            <w:pPr>
              <w:spacing w:after="20" w:line="264" w:lineRule="auto"/>
            </w:pPr>
            <w:r>
              <w:rPr>
                <w:rFonts w:ascii="Calibri" w:hAnsi="Calibri"/>
                <w:color w:val="263238"/>
                <w:sz w:val="18"/>
              </w:rPr>
              <w:t xml:space="preserve">Article 26; Annex B rate card; monthly certified disbursement, Annex D, Section D.3</w:t>
            </w:r>
          </w:p>
        </w:tc>
      </w:tr>
      <w:tr>
        <w:tc>
          <w:tcPr>
            <w:tcW w:w="5200" w:type="dxa"/>
          </w:tcPr>
          <w:p>
            <w:pPr>
              <w:spacing w:after="20" w:line="264" w:lineRule="auto"/>
            </w:pPr>
            <w:r>
              <w:rPr>
                <w:rFonts w:ascii="Calibri" w:hAnsi="Calibri"/>
                <w:color w:val="263238"/>
                <w:sz w:val="18"/>
              </w:rPr>
              <w:t xml:space="preserve">Sanctions-insulated payment routing</w:t>
            </w:r>
          </w:p>
        </w:tc>
        <w:tc>
          <w:tcPr>
            <w:tcW w:w="4300" w:type="dxa"/>
          </w:tcPr>
          <w:p>
            <w:pPr>
              <w:spacing w:after="20" w:line="264" w:lineRule="auto"/>
            </w:pPr>
            <w:r>
              <w:rPr>
                <w:rFonts w:ascii="Calibri" w:hAnsi="Calibri"/>
                <w:color w:val="263238"/>
                <w:sz w:val="18"/>
              </w:rPr>
              <w:t xml:space="preserve">Article 28; Annex D; escrow rule protecting blocked money as the recipient's property</w:t>
            </w:r>
          </w:p>
        </w:tc>
      </w:tr>
      <w:tr>
        <w:tc>
          <w:tcPr>
            <w:tcW w:w="5200" w:type="dxa"/>
          </w:tcPr>
          <w:p>
            <w:pPr>
              <w:spacing w:after="20" w:line="264" w:lineRule="auto"/>
            </w:pPr>
            <w:r>
              <w:rPr>
                <w:rFonts w:ascii="Calibri" w:hAnsi="Calibri"/>
                <w:color w:val="263238"/>
                <w:sz w:val="18"/>
              </w:rPr>
              <w:t xml:space="preserve">Joint radar and monitoring integration, including its own systems</w:t>
            </w:r>
          </w:p>
        </w:tc>
        <w:tc>
          <w:tcPr>
            <w:tcW w:w="4300" w:type="dxa"/>
          </w:tcPr>
          <w:p>
            <w:pPr>
              <w:spacing w:after="20" w:line="264" w:lineRule="auto"/>
            </w:pPr>
            <w:r>
              <w:rPr>
                <w:rFonts w:ascii="Calibri" w:hAnsi="Calibri"/>
                <w:color w:val="263238"/>
                <w:sz w:val="18"/>
              </w:rPr>
              <w:t xml:space="preserve">Article 19.3: the fused picture fuses both littorals' chains; custody map, Annex H, Section H.6</w:t>
            </w:r>
          </w:p>
        </w:tc>
      </w:tr>
      <w:tr>
        <w:tc>
          <w:tcPr>
            <w:tcW w:w="5200" w:type="dxa"/>
          </w:tcPr>
          <w:p>
            <w:pPr>
              <w:spacing w:after="20" w:line="264" w:lineRule="auto"/>
            </w:pPr>
            <w:r>
              <w:rPr>
                <w:rFonts w:ascii="Calibri" w:hAnsi="Calibri"/>
                <w:color w:val="263238"/>
                <w:sz w:val="18"/>
              </w:rPr>
              <w:t xml:space="preserve">Treaty acknowledgment of routing through Iranian waters</w:t>
            </w:r>
          </w:p>
        </w:tc>
        <w:tc>
          <w:tcPr>
            <w:tcW w:w="4300" w:type="dxa"/>
          </w:tcPr>
          <w:p>
            <w:pPr>
              <w:spacing w:after="20" w:line="264" w:lineRule="auto"/>
            </w:pPr>
            <w:r>
              <w:rPr>
                <w:rFonts w:ascii="Calibri" w:hAnsi="Calibri"/>
                <w:color w:val="263238"/>
                <w:sz w:val="18"/>
              </w:rPr>
              <w:t xml:space="preserve">Article 7.3; Article 8.2; Annex A registry</w:t>
            </w:r>
          </w:p>
        </w:tc>
      </w:tr>
      <w:tr>
        <w:tc>
          <w:tcPr>
            <w:tcW w:w="5200" w:type="dxa"/>
          </w:tcPr>
          <w:p>
            <w:pPr>
              <w:spacing w:after="20" w:line="264" w:lineRule="auto"/>
            </w:pPr>
            <w:r>
              <w:rPr>
                <w:rFonts w:ascii="Calibri" w:hAnsi="Calibri"/>
                <w:color w:val="263238"/>
                <w:sz w:val="18"/>
              </w:rPr>
              <w:t xml:space="preserve">Shared authority in emergency response</w:t>
            </w:r>
          </w:p>
        </w:tc>
        <w:tc>
          <w:tcPr>
            <w:tcW w:w="4300" w:type="dxa"/>
          </w:tcPr>
          <w:p>
            <w:pPr>
              <w:spacing w:after="20" w:line="264" w:lineRule="auto"/>
            </w:pPr>
            <w:r>
              <w:rPr>
                <w:rFonts w:ascii="Calibri" w:hAnsi="Calibri"/>
                <w:color w:val="263238"/>
                <w:sz w:val="18"/>
              </w:rPr>
              <w:t xml:space="preserve">Annex E, Table E.2: co-functions in the Central Assurance Corridor; Twin Key K-1 and K-2</w:t>
            </w:r>
          </w:p>
        </w:tc>
      </w:tr>
      <w:tr>
        <w:tc>
          <w:tcPr>
            <w:tcW w:w="5200" w:type="dxa"/>
          </w:tcPr>
          <w:p>
            <w:pPr>
              <w:spacing w:after="20" w:line="264" w:lineRule="auto"/>
            </w:pPr>
            <w:r>
              <w:rPr>
                <w:rFonts w:ascii="Calibri" w:hAnsi="Calibri"/>
                <w:color w:val="263238"/>
                <w:sz w:val="18"/>
              </w:rPr>
              <w:t xml:space="preserve">Equal representation in the governance body</w:t>
            </w:r>
          </w:p>
        </w:tc>
        <w:tc>
          <w:tcPr>
            <w:tcW w:w="4300" w:type="dxa"/>
          </w:tcPr>
          <w:p>
            <w:pPr>
              <w:spacing w:after="20" w:line="264" w:lineRule="auto"/>
            </w:pPr>
            <w:r>
              <w:rPr>
                <w:rFonts w:ascii="Calibri" w:hAnsi="Calibri"/>
                <w:color w:val="263238"/>
                <w:sz w:val="18"/>
              </w:rPr>
              <w:t xml:space="preserve">Article 18.3: co-directorship; Article 22.2: paired vote; pairing rule, Annex E, Section E.4</w:t>
            </w:r>
          </w:p>
        </w:tc>
      </w:tr>
      <w:tr>
        <w:tc>
          <w:tcPr>
            <w:tcW w:w="5200" w:type="dxa"/>
          </w:tcPr>
          <w:p>
            <w:pPr>
              <w:spacing w:after="20" w:line="264" w:lineRule="auto"/>
            </w:pPr>
            <w:r>
              <w:rPr>
                <w:rFonts w:ascii="Calibri" w:hAnsi="Calibri"/>
                <w:color w:val="263238"/>
                <w:sz w:val="18"/>
              </w:rPr>
              <w:t xml:space="preserve">Protection of Iranian commercial shipping</w:t>
            </w:r>
          </w:p>
        </w:tc>
        <w:tc>
          <w:tcPr>
            <w:tcW w:w="4300" w:type="dxa"/>
          </w:tcPr>
          <w:p>
            <w:pPr>
              <w:spacing w:after="20" w:line="264" w:lineRule="auto"/>
            </w:pPr>
            <w:r>
              <w:rPr>
                <w:rFonts w:ascii="Calibri" w:hAnsi="Calibri"/>
                <w:color w:val="263238"/>
                <w:sz w:val="18"/>
              </w:rPr>
              <w:t xml:space="preserve">Article 12.5: identical protection for every littoral's vessels</w:t>
            </w:r>
          </w:p>
        </w:tc>
      </w:tr>
      <w:tr>
        <w:tc>
          <w:tcPr>
            <w:tcW w:w="5200" w:type="dxa"/>
          </w:tcPr>
          <w:p>
            <w:pPr>
              <w:spacing w:after="20" w:line="264" w:lineRule="auto"/>
            </w:pPr>
            <w:r>
              <w:rPr>
                <w:rFonts w:ascii="Calibri" w:hAnsi="Calibri"/>
                <w:color w:val="263238"/>
                <w:sz w:val="18"/>
              </w:rPr>
              <w:t xml:space="preserve">Neutral dispute resolution rather than external adjudication</w:t>
            </w:r>
          </w:p>
        </w:tc>
        <w:tc>
          <w:tcPr>
            <w:tcW w:w="4300" w:type="dxa"/>
          </w:tcPr>
          <w:p>
            <w:pPr>
              <w:spacing w:after="20" w:line="264" w:lineRule="auto"/>
            </w:pPr>
            <w:r>
              <w:rPr>
                <w:rFonts w:ascii="Calibri" w:hAnsi="Calibri"/>
                <w:color w:val="263238"/>
                <w:sz w:val="18"/>
              </w:rPr>
              <w:t xml:space="preserve">Article 39; Article 40</w:t>
            </w:r>
          </w:p>
        </w:tc>
      </w:tr>
      <w:tr>
        <w:tc>
          <w:tcPr>
            <w:tcW w:w="5200" w:type="dxa"/>
          </w:tcPr>
          <w:p>
            <w:pPr>
              <w:spacing w:after="20" w:line="264" w:lineRule="auto"/>
            </w:pPr>
            <w:r>
              <w:rPr>
                <w:rFonts w:ascii="Calibri" w:hAnsi="Calibri"/>
                <w:color w:val="263238"/>
                <w:sz w:val="18"/>
              </w:rPr>
              <w:t xml:space="preserve">Pilot-phase flexibility for inbound procedures</w:t>
            </w:r>
          </w:p>
        </w:tc>
        <w:tc>
          <w:tcPr>
            <w:tcW w:w="4300" w:type="dxa"/>
          </w:tcPr>
          <w:p>
            <w:pPr>
              <w:spacing w:after="20" w:line="264" w:lineRule="auto"/>
            </w:pPr>
            <w:r>
              <w:rPr>
                <w:rFonts w:ascii="Calibri" w:hAnsi="Calibri"/>
                <w:color w:val="263238"/>
                <w:sz w:val="18"/>
              </w:rPr>
              <w:t xml:space="preserve">Article 37.3; Article 8.6 provisional adjustments</w:t>
            </w:r>
          </w:p>
        </w:tc>
      </w:tr>
      <w:tr>
        <w:tc>
          <w:tcPr>
            <w:tcW w:w="5200" w:type="dxa"/>
          </w:tcPr>
          <w:p>
            <w:pPr>
              <w:spacing w:after="20" w:line="264" w:lineRule="auto"/>
            </w:pPr>
            <w:r>
              <w:rPr>
                <w:rFonts w:ascii="Calibri" w:hAnsi="Calibri"/>
                <w:color w:val="263238"/>
                <w:sz w:val="18"/>
              </w:rPr>
              <w:t xml:space="preserve">Recognition of its deconfliction role</w:t>
            </w:r>
          </w:p>
        </w:tc>
        <w:tc>
          <w:tcPr>
            <w:tcW w:w="4300" w:type="dxa"/>
          </w:tcPr>
          <w:p>
            <w:pPr>
              <w:spacing w:after="20" w:line="264" w:lineRule="auto"/>
            </w:pPr>
            <w:r>
              <w:rPr>
                <w:rFonts w:ascii="Calibri" w:hAnsi="Calibri"/>
                <w:color w:val="263238"/>
                <w:sz w:val="18"/>
              </w:rPr>
              <w:t xml:space="preserve">Article 16.1(b); liaison desk parity</w:t>
            </w:r>
          </w:p>
        </w:tc>
      </w:tr>
      <w:tr>
        <w:tc>
          <w:tcPr>
            <w:tcW w:w="5200" w:type="dxa"/>
          </w:tcPr>
          <w:p>
            <w:pPr>
              <w:spacing w:after="20" w:line="264" w:lineRule="auto"/>
            </w:pPr>
            <w:r>
              <w:rPr>
                <w:rFonts w:ascii="Calibri" w:hAnsi="Calibri"/>
                <w:color w:val="263238"/>
                <w:sz w:val="18"/>
              </w:rPr>
              <w:t xml:space="preserve">A role that grows with performance and that no political shift ever strips</w:t>
            </w:r>
          </w:p>
        </w:tc>
        <w:tc>
          <w:tcPr>
            <w:tcW w:w="4300" w:type="dxa"/>
          </w:tcPr>
          <w:p>
            <w:pPr>
              <w:spacing w:after="20" w:line="264" w:lineRule="auto"/>
            </w:pPr>
            <w:r>
              <w:rPr>
                <w:rFonts w:ascii="Calibri" w:hAnsi="Calibri"/>
                <w:color w:val="263238"/>
                <w:sz w:val="18"/>
              </w:rPr>
              <w:t xml:space="preserve">Article 34; Annex H: the escalator, the 60 percent permanent floor, and banked performance</w:t>
            </w:r>
          </w:p>
        </w:tc>
      </w:tr>
      <w:tr>
        <w:tc>
          <w:tcPr>
            <w:tcW w:w="5200" w:type="dxa"/>
          </w:tcPr>
          <w:p>
            <w:pPr>
              <w:spacing w:after="20" w:line="264" w:lineRule="auto"/>
            </w:pPr>
            <w:r>
              <w:rPr>
                <w:rFonts w:ascii="Calibri" w:hAnsi="Calibri"/>
                <w:color w:val="263238"/>
                <w:sz w:val="18"/>
              </w:rPr>
              <w:t xml:space="preserve">No foreign sovereign tolls or command in its waters</w:t>
            </w:r>
          </w:p>
        </w:tc>
        <w:tc>
          <w:tcPr>
            <w:tcW w:w="4300" w:type="dxa"/>
          </w:tcPr>
          <w:p>
            <w:pPr>
              <w:spacing w:after="20" w:line="264" w:lineRule="auto"/>
            </w:pPr>
            <w:r>
              <w:rPr>
                <w:rFonts w:ascii="Calibri" w:hAnsi="Calibri"/>
                <w:color w:val="263238"/>
                <w:sz w:val="18"/>
              </w:rPr>
              <w:t xml:space="preserve">IPR-14; Article 24.6; Article 15.5</w:t>
            </w:r>
          </w:p>
        </w:tc>
      </w:tr>
    </w:tbl>
    <w:p>
      <w:pPr>
        <w:spacing w:after="160"/>
      </w:pPr>
    </w:p>
    <w:p>
      <w:pPr>
        <w:pStyle w:val="Heading2"/>
      </w:pPr>
      <w:bookmarkStart w:id="259" w:name="_Toc261100159"/>
      <w:r>
        <w:rPr>
          <w:rFonts w:ascii="Calibri" w:hAnsi="Calibri"/>
        </w:rPr>
        <w:t xml:space="preserve">K.3 The Sultanate of Oman</w:t>
      </w:r>
      <w:bookmarkEnd w:id="259"/>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5200"/>
        <w:gridCol w:w="4300"/>
      </w:tblGrid>
      <w:tr>
        <w:trPr>
          <w:tblHeader/>
        </w:trPr>
        <w:tc>
          <w:tcPr>
            <w:tcW w:w="5200" w:type="dxa"/>
            <w:shd w:val="clear" w:fill="E8EDF1"/>
          </w:tcPr>
          <w:p>
            <w:pPr>
              <w:spacing w:after="20" w:line="264" w:lineRule="auto"/>
            </w:pPr>
            <w:r>
              <w:rPr>
                <w:rFonts w:ascii="Calibri" w:hAnsi="Calibri"/>
                <w:b/>
                <w:color w:val="2E4A62"/>
                <w:sz w:val="18"/>
              </w:rPr>
              <w:t xml:space="preserve">Stated position</w:t>
            </w:r>
          </w:p>
        </w:tc>
        <w:tc>
          <w:tcPr>
            <w:tcW w:w="4300" w:type="dxa"/>
            <w:shd w:val="clear" w:fill="E8EDF1"/>
          </w:tcPr>
          <w:p>
            <w:pPr>
              <w:spacing w:after="20" w:line="264" w:lineRule="auto"/>
            </w:pPr>
            <w:r>
              <w:rPr>
                <w:rFonts w:ascii="Calibri" w:hAnsi="Calibri"/>
                <w:b/>
                <w:color w:val="2E4A62"/>
                <w:sz w:val="18"/>
              </w:rPr>
              <w:t xml:space="preserve">Answered by</w:t>
            </w:r>
          </w:p>
        </w:tc>
      </w:tr>
      <w:tr>
        <w:tc>
          <w:tcPr>
            <w:tcW w:w="5200" w:type="dxa"/>
          </w:tcPr>
          <w:p>
            <w:pPr>
              <w:spacing w:after="20" w:line="264" w:lineRule="auto"/>
            </w:pPr>
            <w:r>
              <w:rPr>
                <w:rFonts w:ascii="Calibri" w:hAnsi="Calibri"/>
                <w:color w:val="263238"/>
                <w:sz w:val="18"/>
              </w:rPr>
              <w:t xml:space="preserve">Recognized administration of outbound traffic</w:t>
            </w:r>
          </w:p>
        </w:tc>
        <w:tc>
          <w:tcPr>
            <w:tcW w:w="4300" w:type="dxa"/>
          </w:tcPr>
          <w:p>
            <w:pPr>
              <w:spacing w:after="20" w:line="264" w:lineRule="auto"/>
            </w:pPr>
            <w:r>
              <w:rPr>
                <w:rFonts w:ascii="Calibri" w:hAnsi="Calibri"/>
                <w:color w:val="263238"/>
                <w:sz w:val="18"/>
              </w:rPr>
              <w:t xml:space="preserve">Article 8.3; Annex E; IPR-4</w:t>
            </w:r>
          </w:p>
        </w:tc>
      </w:tr>
      <w:tr>
        <w:tc>
          <w:tcPr>
            <w:tcW w:w="5200" w:type="dxa"/>
          </w:tcPr>
          <w:p>
            <w:pPr>
              <w:spacing w:after="20" w:line="264" w:lineRule="auto"/>
            </w:pPr>
            <w:r>
              <w:rPr>
                <w:rFonts w:ascii="Calibri" w:hAnsi="Calibri"/>
                <w:color w:val="263238"/>
                <w:sz w:val="18"/>
              </w:rPr>
              <w:t xml:space="preserve">Recognition as the neutral anchor and mediator of the architecture</w:t>
            </w:r>
          </w:p>
        </w:tc>
        <w:tc>
          <w:tcPr>
            <w:tcW w:w="4300" w:type="dxa"/>
          </w:tcPr>
          <w:p>
            <w:pPr>
              <w:spacing w:after="20" w:line="264" w:lineRule="auto"/>
            </w:pPr>
            <w:r>
              <w:rPr>
                <w:rFonts w:ascii="Calibri" w:hAnsi="Calibri"/>
                <w:color w:val="263238"/>
                <w:sz w:val="18"/>
              </w:rPr>
              <w:t xml:space="preserve">Mediator of Record throughout; Article 39.1 rung three; the Muscat seat, Article 18.1</w:t>
            </w:r>
          </w:p>
        </w:tc>
      </w:tr>
      <w:tr>
        <w:tc>
          <w:tcPr>
            <w:tcW w:w="5200" w:type="dxa"/>
          </w:tcPr>
          <w:p>
            <w:pPr>
              <w:spacing w:after="20" w:line="264" w:lineRule="auto"/>
            </w:pPr>
            <w:r>
              <w:rPr>
                <w:rFonts w:ascii="Calibri" w:hAnsi="Calibri"/>
                <w:color w:val="263238"/>
                <w:sz w:val="18"/>
              </w:rPr>
              <w:t xml:space="preserve">Joint radar and identification fusion center hosted in Oman</w:t>
            </w:r>
          </w:p>
        </w:tc>
        <w:tc>
          <w:tcPr>
            <w:tcW w:w="4300" w:type="dxa"/>
          </w:tcPr>
          <w:p>
            <w:pPr>
              <w:spacing w:after="20" w:line="264" w:lineRule="auto"/>
            </w:pPr>
            <w:r>
              <w:rPr>
                <w:rFonts w:ascii="Calibri" w:hAnsi="Calibri"/>
                <w:color w:val="263238"/>
                <w:sz w:val="18"/>
              </w:rPr>
              <w:t xml:space="preserve">Article 19.1: the watch floor seats in Muscat; Mirror Facility parity, Article 18.6</w:t>
            </w:r>
          </w:p>
        </w:tc>
      </w:tr>
      <w:tr>
        <w:tc>
          <w:tcPr>
            <w:tcW w:w="5200" w:type="dxa"/>
          </w:tcPr>
          <w:p>
            <w:pPr>
              <w:spacing w:after="20" w:line="264" w:lineRule="auto"/>
            </w:pPr>
            <w:r>
              <w:rPr>
                <w:rFonts w:ascii="Calibri" w:hAnsi="Calibri"/>
                <w:color w:val="263238"/>
                <w:sz w:val="18"/>
              </w:rPr>
              <w:t xml:space="preserve">Equal representation</w:t>
            </w:r>
          </w:p>
        </w:tc>
        <w:tc>
          <w:tcPr>
            <w:tcW w:w="4300" w:type="dxa"/>
          </w:tcPr>
          <w:p>
            <w:pPr>
              <w:spacing w:after="20" w:line="264" w:lineRule="auto"/>
            </w:pPr>
            <w:r>
              <w:rPr>
                <w:rFonts w:ascii="Calibri" w:hAnsi="Calibri"/>
                <w:color w:val="263238"/>
                <w:sz w:val="18"/>
              </w:rPr>
              <w:t xml:space="preserve">Co-directorship, Article 18.3; paired vote, Article 22.2</w:t>
            </w:r>
          </w:p>
        </w:tc>
      </w:tr>
      <w:tr>
        <w:tc>
          <w:tcPr>
            <w:tcW w:w="5200" w:type="dxa"/>
          </w:tcPr>
          <w:p>
            <w:pPr>
              <w:spacing w:after="20" w:line="264" w:lineRule="auto"/>
            </w:pPr>
            <w:r>
              <w:rPr>
                <w:rFonts w:ascii="Calibri" w:hAnsi="Calibri"/>
                <w:color w:val="263238"/>
                <w:sz w:val="18"/>
              </w:rPr>
              <w:t xml:space="preserve">Lawful service revenue for outbound functions</w:t>
            </w:r>
          </w:p>
        </w:tc>
        <w:tc>
          <w:tcPr>
            <w:tcW w:w="4300" w:type="dxa"/>
          </w:tcPr>
          <w:p>
            <w:pPr>
              <w:spacing w:after="20" w:line="264" w:lineRule="auto"/>
            </w:pPr>
            <w:r>
              <w:rPr>
                <w:rFonts w:ascii="Calibri" w:hAnsi="Calibri"/>
                <w:color w:val="263238"/>
                <w:sz w:val="18"/>
              </w:rPr>
              <w:t xml:space="preserve">Article 26.3; Annex B; Annex D, Section D.3</w:t>
            </w:r>
          </w:p>
        </w:tc>
      </w:tr>
      <w:tr>
        <w:tc>
          <w:tcPr>
            <w:tcW w:w="5200" w:type="dxa"/>
          </w:tcPr>
          <w:p>
            <w:pPr>
              <w:spacing w:after="20" w:line="264" w:lineRule="auto"/>
            </w:pPr>
            <w:r>
              <w:rPr>
                <w:rFonts w:ascii="Calibri" w:hAnsi="Calibri"/>
                <w:color w:val="263238"/>
                <w:sz w:val="18"/>
              </w:rPr>
              <w:t xml:space="preserve">Hosting and facilitation of neutral dispute resolution</w:t>
            </w:r>
          </w:p>
        </w:tc>
        <w:tc>
          <w:tcPr>
            <w:tcW w:w="4300" w:type="dxa"/>
          </w:tcPr>
          <w:p>
            <w:pPr>
              <w:spacing w:after="20" w:line="264" w:lineRule="auto"/>
            </w:pPr>
            <w:r>
              <w:rPr>
                <w:rFonts w:ascii="Calibri" w:hAnsi="Calibri"/>
                <w:color w:val="263238"/>
                <w:sz w:val="18"/>
              </w:rPr>
              <w:t xml:space="preserve">Article 39; Depositary, Article 45.1</w:t>
            </w:r>
          </w:p>
        </w:tc>
      </w:tr>
      <w:tr>
        <w:tc>
          <w:tcPr>
            <w:tcW w:w="5200" w:type="dxa"/>
          </w:tcPr>
          <w:p>
            <w:pPr>
              <w:spacing w:after="20" w:line="264" w:lineRule="auto"/>
            </w:pPr>
            <w:r>
              <w:rPr>
                <w:rFonts w:ascii="Calibri" w:hAnsi="Calibri"/>
                <w:color w:val="263238"/>
                <w:sz w:val="18"/>
              </w:rPr>
              <w:t xml:space="preserve">Visibility into inbound operations</w:t>
            </w:r>
          </w:p>
        </w:tc>
        <w:tc>
          <w:tcPr>
            <w:tcW w:w="4300" w:type="dxa"/>
          </w:tcPr>
          <w:p>
            <w:pPr>
              <w:spacing w:after="20" w:line="264" w:lineRule="auto"/>
            </w:pPr>
            <w:r>
              <w:rPr>
                <w:rFonts w:ascii="Calibri" w:hAnsi="Calibri"/>
                <w:color w:val="263238"/>
                <w:sz w:val="18"/>
              </w:rPr>
              <w:t xml:space="preserve">Article 19.3: the fused picture; pairing rule; Mirror Facility equality of information</w:t>
            </w:r>
          </w:p>
        </w:tc>
      </w:tr>
      <w:tr>
        <w:tc>
          <w:tcPr>
            <w:tcW w:w="5200" w:type="dxa"/>
          </w:tcPr>
          <w:p>
            <w:pPr>
              <w:spacing w:after="20" w:line="264" w:lineRule="auto"/>
            </w:pPr>
            <w:r>
              <w:rPr>
                <w:rFonts w:ascii="Calibri" w:hAnsi="Calibri"/>
                <w:color w:val="263238"/>
                <w:sz w:val="18"/>
              </w:rPr>
              <w:t xml:space="preserve">Joint emergency-response authority</w:t>
            </w:r>
          </w:p>
        </w:tc>
        <w:tc>
          <w:tcPr>
            <w:tcW w:w="4300" w:type="dxa"/>
          </w:tcPr>
          <w:p>
            <w:pPr>
              <w:spacing w:after="20" w:line="264" w:lineRule="auto"/>
            </w:pPr>
            <w:r>
              <w:rPr>
                <w:rFonts w:ascii="Calibri" w:hAnsi="Calibri"/>
                <w:color w:val="263238"/>
                <w:sz w:val="18"/>
              </w:rPr>
              <w:t xml:space="preserve">Annex E: Central co-functions; Twin Key schedule</w:t>
            </w:r>
          </w:p>
        </w:tc>
      </w:tr>
      <w:tr>
        <w:tc>
          <w:tcPr>
            <w:tcW w:w="5200" w:type="dxa"/>
          </w:tcPr>
          <w:p>
            <w:pPr>
              <w:spacing w:after="20" w:line="264" w:lineRule="auto"/>
            </w:pPr>
            <w:r>
              <w:rPr>
                <w:rFonts w:ascii="Calibri" w:hAnsi="Calibri"/>
                <w:color w:val="263238"/>
                <w:sz w:val="18"/>
              </w:rPr>
              <w:t xml:space="preserve">Pilot-phase flexibility</w:t>
            </w:r>
          </w:p>
        </w:tc>
        <w:tc>
          <w:tcPr>
            <w:tcW w:w="4300" w:type="dxa"/>
          </w:tcPr>
          <w:p>
            <w:pPr>
              <w:spacing w:after="20" w:line="264" w:lineRule="auto"/>
            </w:pPr>
            <w:r>
              <w:rPr>
                <w:rFonts w:ascii="Calibri" w:hAnsi="Calibri"/>
                <w:color w:val="263238"/>
                <w:sz w:val="18"/>
              </w:rPr>
              <w:t xml:space="preserve">Article 37.3; Article 8.6</w:t>
            </w:r>
          </w:p>
        </w:tc>
      </w:tr>
      <w:tr>
        <w:tc>
          <w:tcPr>
            <w:tcW w:w="5200" w:type="dxa"/>
          </w:tcPr>
          <w:p>
            <w:pPr>
              <w:spacing w:after="20" w:line="264" w:lineRule="auto"/>
            </w:pPr>
            <w:r>
              <w:rPr>
                <w:rFonts w:ascii="Calibri" w:hAnsi="Calibri"/>
                <w:color w:val="263238"/>
                <w:sz w:val="18"/>
              </w:rPr>
              <w:t xml:space="preserve">International registration of coordinates</w:t>
            </w:r>
          </w:p>
        </w:tc>
        <w:tc>
          <w:tcPr>
            <w:tcW w:w="4300" w:type="dxa"/>
          </w:tcPr>
          <w:p>
            <w:pPr>
              <w:spacing w:after="20" w:line="264" w:lineRule="auto"/>
            </w:pPr>
            <w:r>
              <w:rPr>
                <w:rFonts w:ascii="Calibri" w:hAnsi="Calibri"/>
                <w:color w:val="263238"/>
                <w:sz w:val="18"/>
              </w:rPr>
              <w:t xml:space="preserve">Article 7.4; Annex A</w:t>
            </w:r>
          </w:p>
        </w:tc>
      </w:tr>
      <w:tr>
        <w:tc>
          <w:tcPr>
            <w:tcW w:w="5200" w:type="dxa"/>
          </w:tcPr>
          <w:p>
            <w:pPr>
              <w:spacing w:after="20" w:line="264" w:lineRule="auto"/>
            </w:pPr>
            <w:r>
              <w:rPr>
                <w:rFonts w:ascii="Calibri" w:hAnsi="Calibri"/>
                <w:color w:val="263238"/>
                <w:sz w:val="18"/>
              </w:rPr>
              <w:t xml:space="preserve">Shared environmental oversight</w:t>
            </w:r>
          </w:p>
        </w:tc>
        <w:tc>
          <w:tcPr>
            <w:tcW w:w="4300" w:type="dxa"/>
          </w:tcPr>
          <w:p>
            <w:pPr>
              <w:spacing w:after="20" w:line="264" w:lineRule="auto"/>
            </w:pPr>
            <w:r>
              <w:rPr>
                <w:rFonts w:ascii="Calibri" w:hAnsi="Calibri"/>
                <w:color w:val="263238"/>
                <w:sz w:val="18"/>
              </w:rPr>
              <w:t xml:space="preserve">Annex E, F-4 rows; service line S-4</w:t>
            </w:r>
          </w:p>
        </w:tc>
      </w:tr>
      <w:tr>
        <w:tc>
          <w:tcPr>
            <w:tcW w:w="5200" w:type="dxa"/>
          </w:tcPr>
          <w:p>
            <w:pPr>
              <w:spacing w:after="20" w:line="264" w:lineRule="auto"/>
            </w:pPr>
            <w:r>
              <w:rPr>
                <w:rFonts w:ascii="Calibri" w:hAnsi="Calibri"/>
                <w:color w:val="263238"/>
                <w:sz w:val="18"/>
              </w:rPr>
              <w:t xml:space="preserve">Co-management of the central corridor</w:t>
            </w:r>
          </w:p>
        </w:tc>
        <w:tc>
          <w:tcPr>
            <w:tcW w:w="4300" w:type="dxa"/>
          </w:tcPr>
          <w:p>
            <w:pPr>
              <w:spacing w:after="20" w:line="264" w:lineRule="auto"/>
            </w:pPr>
            <w:r>
              <w:rPr>
                <w:rFonts w:ascii="Calibri" w:hAnsi="Calibri"/>
                <w:color w:val="263238"/>
                <w:sz w:val="18"/>
              </w:rPr>
              <w:t xml:space="preserve">Article 8.4; Annex E</w:t>
            </w:r>
          </w:p>
        </w:tc>
      </w:tr>
      <w:tr>
        <w:tc>
          <w:tcPr>
            <w:tcW w:w="5200" w:type="dxa"/>
          </w:tcPr>
          <w:p>
            <w:pPr>
              <w:spacing w:after="20" w:line="264" w:lineRule="auto"/>
            </w:pPr>
            <w:r>
              <w:rPr>
                <w:rFonts w:ascii="Calibri" w:hAnsi="Calibri"/>
                <w:color w:val="263238"/>
                <w:sz w:val="18"/>
              </w:rPr>
              <w:t xml:space="preserve">Administration of escrow and clearing channels</w:t>
            </w:r>
          </w:p>
        </w:tc>
        <w:tc>
          <w:tcPr>
            <w:tcW w:w="4300" w:type="dxa"/>
          </w:tcPr>
          <w:p>
            <w:pPr>
              <w:spacing w:after="20" w:line="264" w:lineRule="auto"/>
            </w:pPr>
            <w:r>
              <w:rPr>
                <w:rFonts w:ascii="Calibri" w:hAnsi="Calibri"/>
                <w:color w:val="263238"/>
                <w:sz w:val="18"/>
              </w:rPr>
              <w:t xml:space="preserve">Neutral Administrator structure with Omani facilitation, Articles 27 and 28; Annex D</w:t>
            </w:r>
          </w:p>
        </w:tc>
      </w:tr>
      <w:tr>
        <w:tc>
          <w:tcPr>
            <w:tcW w:w="5200" w:type="dxa"/>
          </w:tcPr>
          <w:p>
            <w:pPr>
              <w:spacing w:after="20" w:line="264" w:lineRule="auto"/>
            </w:pPr>
            <w:r>
              <w:rPr>
                <w:rFonts w:ascii="Calibri" w:hAnsi="Calibri"/>
                <w:color w:val="263238"/>
                <w:sz w:val="18"/>
              </w:rPr>
              <w:t xml:space="preserve">GCC observer participation</w:t>
            </w:r>
          </w:p>
        </w:tc>
        <w:tc>
          <w:tcPr>
            <w:tcW w:w="4300" w:type="dxa"/>
          </w:tcPr>
          <w:p>
            <w:pPr>
              <w:spacing w:after="20" w:line="264" w:lineRule="auto"/>
            </w:pPr>
            <w:r>
              <w:rPr>
                <w:rFonts w:ascii="Calibri" w:hAnsi="Calibri"/>
                <w:color w:val="263238"/>
                <w:sz w:val="18"/>
              </w:rPr>
              <w:t xml:space="preserve">Article 24.1; Annex M</w:t>
            </w:r>
          </w:p>
        </w:tc>
      </w:tr>
      <w:tr>
        <w:tc>
          <w:tcPr>
            <w:tcW w:w="5200" w:type="dxa"/>
          </w:tcPr>
          <w:p>
            <w:pPr>
              <w:spacing w:after="20" w:line="264" w:lineRule="auto"/>
            </w:pPr>
            <w:r>
              <w:rPr>
                <w:rFonts w:ascii="Calibri" w:hAnsi="Calibri"/>
                <w:color w:val="263238"/>
                <w:sz w:val="18"/>
              </w:rPr>
              <w:t xml:space="preserve">No foreign sovereign tolls</w:t>
            </w:r>
          </w:p>
        </w:tc>
        <w:tc>
          <w:tcPr>
            <w:tcW w:w="4300" w:type="dxa"/>
          </w:tcPr>
          <w:p>
            <w:pPr>
              <w:spacing w:after="20" w:line="264" w:lineRule="auto"/>
            </w:pPr>
            <w:r>
              <w:rPr>
                <w:rFonts w:ascii="Calibri" w:hAnsi="Calibri"/>
                <w:color w:val="263238"/>
                <w:sz w:val="18"/>
              </w:rPr>
              <w:t xml:space="preserve">IPR-1; IPR-14; Article 24.6</w:t>
            </w:r>
          </w:p>
        </w:tc>
      </w:tr>
    </w:tbl>
    <w:p>
      <w:pPr>
        <w:spacing w:after="160"/>
      </w:pPr>
    </w:p>
    <w:p>
      <w:pPr>
        <w:pStyle w:val="Heading2"/>
      </w:pPr>
      <w:bookmarkStart w:id="260" w:name="_Toc261100160"/>
      <w:r>
        <w:rPr>
          <w:rFonts w:ascii="Calibri" w:hAnsi="Calibri"/>
        </w:rPr>
        <w:t xml:space="preserve">K.4 The Gulf Cooperation Council States</w:t>
      </w:r>
      <w:bookmarkEnd w:id="260"/>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5200"/>
        <w:gridCol w:w="4300"/>
      </w:tblGrid>
      <w:tr>
        <w:trPr>
          <w:tblHeader/>
        </w:trPr>
        <w:tc>
          <w:tcPr>
            <w:tcW w:w="5200" w:type="dxa"/>
            <w:shd w:val="clear" w:fill="E8EDF1"/>
          </w:tcPr>
          <w:p>
            <w:pPr>
              <w:spacing w:after="20" w:line="264" w:lineRule="auto"/>
            </w:pPr>
            <w:r>
              <w:rPr>
                <w:rFonts w:ascii="Calibri" w:hAnsi="Calibri"/>
                <w:b/>
                <w:color w:val="2E4A62"/>
                <w:sz w:val="18"/>
              </w:rPr>
              <w:t xml:space="preserve">Stated position</w:t>
            </w:r>
          </w:p>
        </w:tc>
        <w:tc>
          <w:tcPr>
            <w:tcW w:w="4300" w:type="dxa"/>
            <w:shd w:val="clear" w:fill="E8EDF1"/>
          </w:tcPr>
          <w:p>
            <w:pPr>
              <w:spacing w:after="20" w:line="264" w:lineRule="auto"/>
            </w:pPr>
            <w:r>
              <w:rPr>
                <w:rFonts w:ascii="Calibri" w:hAnsi="Calibri"/>
                <w:b/>
                <w:color w:val="2E4A62"/>
                <w:sz w:val="18"/>
              </w:rPr>
              <w:t xml:space="preserve">Answered by</w:t>
            </w:r>
          </w:p>
        </w:tc>
      </w:tr>
      <w:tr>
        <w:tc>
          <w:tcPr>
            <w:tcW w:w="5200" w:type="dxa"/>
          </w:tcPr>
          <w:p>
            <w:pPr>
              <w:spacing w:after="20" w:line="264" w:lineRule="auto"/>
            </w:pPr>
            <w:r>
              <w:rPr>
                <w:rFonts w:ascii="Calibri" w:hAnsi="Calibri"/>
                <w:color w:val="263238"/>
                <w:sz w:val="18"/>
              </w:rPr>
              <w:t xml:space="preserve">Formal observer status and an accession path</w:t>
            </w:r>
          </w:p>
        </w:tc>
        <w:tc>
          <w:tcPr>
            <w:tcW w:w="4300" w:type="dxa"/>
          </w:tcPr>
          <w:p>
            <w:pPr>
              <w:spacing w:after="20" w:line="264" w:lineRule="auto"/>
            </w:pPr>
            <w:r>
              <w:rPr>
                <w:rFonts w:ascii="Calibri" w:hAnsi="Calibri"/>
                <w:color w:val="263238"/>
                <w:sz w:val="18"/>
              </w:rPr>
              <w:t xml:space="preserve">Article 24.1 standing invitation; Article 43.1; Annex M</w:t>
            </w:r>
          </w:p>
        </w:tc>
      </w:tr>
      <w:tr>
        <w:tc>
          <w:tcPr>
            <w:tcW w:w="5200" w:type="dxa"/>
          </w:tcPr>
          <w:p>
            <w:pPr>
              <w:spacing w:after="20" w:line="264" w:lineRule="auto"/>
            </w:pPr>
            <w:r>
              <w:rPr>
                <w:rFonts w:ascii="Calibri" w:hAnsi="Calibri"/>
                <w:color w:val="263238"/>
                <w:sz w:val="18"/>
              </w:rPr>
              <w:t xml:space="preserve">Shared emergency-response participation</w:t>
            </w:r>
          </w:p>
        </w:tc>
        <w:tc>
          <w:tcPr>
            <w:tcW w:w="4300" w:type="dxa"/>
          </w:tcPr>
          <w:p>
            <w:pPr>
              <w:spacing w:after="20" w:line="264" w:lineRule="auto"/>
            </w:pPr>
            <w:r>
              <w:rPr>
                <w:rFonts w:ascii="Calibri" w:hAnsi="Calibri"/>
                <w:color w:val="263238"/>
                <w:sz w:val="18"/>
              </w:rPr>
              <w:t xml:space="preserve">Annex E key pairs; watch officer contribution, Annex M</w:t>
            </w:r>
          </w:p>
        </w:tc>
      </w:tr>
      <w:tr>
        <w:tc>
          <w:tcPr>
            <w:tcW w:w="5200" w:type="dxa"/>
          </w:tcPr>
          <w:p>
            <w:pPr>
              <w:spacing w:after="20" w:line="264" w:lineRule="auto"/>
            </w:pPr>
            <w:r>
              <w:rPr>
                <w:rFonts w:ascii="Calibri" w:hAnsi="Calibri"/>
                <w:color w:val="263238"/>
                <w:sz w:val="18"/>
              </w:rPr>
              <w:t xml:space="preserve">Transparency into both corridors</w:t>
            </w:r>
          </w:p>
        </w:tc>
        <w:tc>
          <w:tcPr>
            <w:tcW w:w="4300" w:type="dxa"/>
          </w:tcPr>
          <w:p>
            <w:pPr>
              <w:spacing w:after="20" w:line="264" w:lineRule="auto"/>
            </w:pPr>
            <w:r>
              <w:rPr>
                <w:rFonts w:ascii="Calibri" w:hAnsi="Calibri"/>
                <w:color w:val="263238"/>
                <w:sz w:val="18"/>
              </w:rPr>
              <w:t xml:space="preserve">Fused picture access, Article 24.1; public logs, Article 20.3</w:t>
            </w:r>
          </w:p>
        </w:tc>
      </w:tr>
      <w:tr>
        <w:tc>
          <w:tcPr>
            <w:tcW w:w="5200" w:type="dxa"/>
          </w:tcPr>
          <w:p>
            <w:pPr>
              <w:spacing w:after="20" w:line="264" w:lineRule="auto"/>
            </w:pPr>
            <w:r>
              <w:rPr>
                <w:rFonts w:ascii="Calibri" w:hAnsi="Calibri"/>
                <w:color w:val="263238"/>
                <w:sz w:val="18"/>
              </w:rPr>
              <w:t xml:space="preserve">Protection of GCC commercial shipping</w:t>
            </w:r>
          </w:p>
        </w:tc>
        <w:tc>
          <w:tcPr>
            <w:tcW w:w="4300" w:type="dxa"/>
          </w:tcPr>
          <w:p>
            <w:pPr>
              <w:spacing w:after="20" w:line="264" w:lineRule="auto"/>
            </w:pPr>
            <w:r>
              <w:rPr>
                <w:rFonts w:ascii="Calibri" w:hAnsi="Calibri"/>
                <w:color w:val="263238"/>
                <w:sz w:val="18"/>
              </w:rPr>
              <w:t xml:space="preserve">Article 12.5; the non-interdiction protocol, Article 12.2</w:t>
            </w:r>
          </w:p>
        </w:tc>
      </w:tr>
      <w:tr>
        <w:tc>
          <w:tcPr>
            <w:tcW w:w="5200" w:type="dxa"/>
          </w:tcPr>
          <w:p>
            <w:pPr>
              <w:spacing w:after="20" w:line="264" w:lineRule="auto"/>
            </w:pPr>
            <w:r>
              <w:rPr>
                <w:rFonts w:ascii="Calibri" w:hAnsi="Calibri"/>
                <w:color w:val="263238"/>
                <w:sz w:val="18"/>
              </w:rPr>
              <w:t xml:space="preserve">Access to the fused monitoring picture</w:t>
            </w:r>
          </w:p>
        </w:tc>
        <w:tc>
          <w:tcPr>
            <w:tcW w:w="4300" w:type="dxa"/>
          </w:tcPr>
          <w:p>
            <w:pPr>
              <w:spacing w:after="20" w:line="264" w:lineRule="auto"/>
            </w:pPr>
            <w:r>
              <w:rPr>
                <w:rFonts w:ascii="Calibri" w:hAnsi="Calibri"/>
                <w:color w:val="263238"/>
                <w:sz w:val="18"/>
              </w:rPr>
              <w:t xml:space="preserve">Article 19.3; Article 24.1</w:t>
            </w:r>
          </w:p>
        </w:tc>
      </w:tr>
      <w:tr>
        <w:tc>
          <w:tcPr>
            <w:tcW w:w="5200" w:type="dxa"/>
          </w:tcPr>
          <w:p>
            <w:pPr>
              <w:spacing w:after="20" w:line="264" w:lineRule="auto"/>
            </w:pPr>
            <w:r>
              <w:rPr>
                <w:rFonts w:ascii="Calibri" w:hAnsi="Calibri"/>
                <w:color w:val="263238"/>
                <w:sz w:val="18"/>
              </w:rPr>
              <w:t xml:space="preserve">Neutral dispute resolution</w:t>
            </w:r>
          </w:p>
        </w:tc>
        <w:tc>
          <w:tcPr>
            <w:tcW w:w="4300" w:type="dxa"/>
          </w:tcPr>
          <w:p>
            <w:pPr>
              <w:spacing w:after="20" w:line="264" w:lineRule="auto"/>
            </w:pPr>
            <w:r>
              <w:rPr>
                <w:rFonts w:ascii="Calibri" w:hAnsi="Calibri"/>
                <w:color w:val="263238"/>
                <w:sz w:val="18"/>
              </w:rPr>
              <w:t xml:space="preserve">Articles 39 and 40</w:t>
            </w:r>
          </w:p>
        </w:tc>
      </w:tr>
      <w:tr>
        <w:tc>
          <w:tcPr>
            <w:tcW w:w="5200" w:type="dxa"/>
          </w:tcPr>
          <w:p>
            <w:pPr>
              <w:spacing w:after="20" w:line="264" w:lineRule="auto"/>
            </w:pPr>
            <w:r>
              <w:rPr>
                <w:rFonts w:ascii="Calibri" w:hAnsi="Calibri"/>
                <w:color w:val="263238"/>
                <w:sz w:val="18"/>
              </w:rPr>
              <w:t xml:space="preserve">Environmental guarantees</w:t>
            </w:r>
          </w:p>
        </w:tc>
        <w:tc>
          <w:tcPr>
            <w:tcW w:w="4300" w:type="dxa"/>
          </w:tcPr>
          <w:p>
            <w:pPr>
              <w:spacing w:after="20" w:line="264" w:lineRule="auto"/>
            </w:pPr>
            <w:r>
              <w:rPr>
                <w:rFonts w:ascii="Calibri" w:hAnsi="Calibri"/>
                <w:color w:val="263238"/>
                <w:sz w:val="18"/>
              </w:rPr>
              <w:t xml:space="preserve">IPR-18; Annex I, Domain 4; quarterly baseline</w:t>
            </w:r>
          </w:p>
        </w:tc>
      </w:tr>
      <w:tr>
        <w:tc>
          <w:tcPr>
            <w:tcW w:w="5200" w:type="dxa"/>
          </w:tcPr>
          <w:p>
            <w:pPr>
              <w:spacing w:after="20" w:line="264" w:lineRule="auto"/>
            </w:pPr>
            <w:r>
              <w:rPr>
                <w:rFonts w:ascii="Calibri" w:hAnsi="Calibri"/>
                <w:color w:val="263238"/>
                <w:sz w:val="18"/>
              </w:rPr>
              <w:t xml:space="preserve">No unilateral Iranian interdiction</w:t>
            </w:r>
          </w:p>
        </w:tc>
        <w:tc>
          <w:tcPr>
            <w:tcW w:w="4300" w:type="dxa"/>
          </w:tcPr>
          <w:p>
            <w:pPr>
              <w:spacing w:after="20" w:line="264" w:lineRule="auto"/>
            </w:pPr>
            <w:r>
              <w:rPr>
                <w:rFonts w:ascii="Calibri" w:hAnsi="Calibri"/>
                <w:color w:val="263238"/>
                <w:sz w:val="18"/>
              </w:rPr>
              <w:t xml:space="preserve">Article 12.2; Annex E, Section E.6; Twin Key, Article 14</w:t>
            </w:r>
          </w:p>
        </w:tc>
      </w:tr>
      <w:tr>
        <w:tc>
          <w:tcPr>
            <w:tcW w:w="5200" w:type="dxa"/>
          </w:tcPr>
          <w:p>
            <w:pPr>
              <w:spacing w:after="20" w:line="264" w:lineRule="auto"/>
            </w:pPr>
            <w:r>
              <w:rPr>
                <w:rFonts w:ascii="Calibri" w:hAnsi="Calibri"/>
                <w:color w:val="263238"/>
                <w:sz w:val="18"/>
              </w:rPr>
              <w:t xml:space="preserve">Shared or observer role in the central corridor</w:t>
            </w:r>
          </w:p>
        </w:tc>
        <w:tc>
          <w:tcPr>
            <w:tcW w:w="4300" w:type="dxa"/>
          </w:tcPr>
          <w:p>
            <w:pPr>
              <w:spacing w:after="20" w:line="264" w:lineRule="auto"/>
            </w:pPr>
            <w:r>
              <w:rPr>
                <w:rFonts w:ascii="Calibri" w:hAnsi="Calibri"/>
                <w:color w:val="263238"/>
                <w:sz w:val="18"/>
              </w:rPr>
              <w:t xml:space="preserve">Article 24.1 observer access; Article 8.4 co-administration</w:t>
            </w:r>
          </w:p>
        </w:tc>
      </w:tr>
      <w:tr>
        <w:tc>
          <w:tcPr>
            <w:tcW w:w="5200" w:type="dxa"/>
          </w:tcPr>
          <w:p>
            <w:pPr>
              <w:spacing w:after="20" w:line="264" w:lineRule="auto"/>
            </w:pPr>
            <w:r>
              <w:rPr>
                <w:rFonts w:ascii="Calibri" w:hAnsi="Calibri"/>
                <w:color w:val="263238"/>
                <w:sz w:val="18"/>
              </w:rPr>
              <w:t xml:space="preserve">International registration of coordinates</w:t>
            </w:r>
          </w:p>
        </w:tc>
        <w:tc>
          <w:tcPr>
            <w:tcW w:w="4300" w:type="dxa"/>
          </w:tcPr>
          <w:p>
            <w:pPr>
              <w:spacing w:after="20" w:line="264" w:lineRule="auto"/>
            </w:pPr>
            <w:r>
              <w:rPr>
                <w:rFonts w:ascii="Calibri" w:hAnsi="Calibri"/>
                <w:color w:val="263238"/>
                <w:sz w:val="18"/>
              </w:rPr>
              <w:t xml:space="preserve">Article 7.4</w:t>
            </w:r>
          </w:p>
        </w:tc>
      </w:tr>
      <w:tr>
        <w:tc>
          <w:tcPr>
            <w:tcW w:w="5200" w:type="dxa"/>
          </w:tcPr>
          <w:p>
            <w:pPr>
              <w:spacing w:after="20" w:line="264" w:lineRule="auto"/>
            </w:pPr>
            <w:r>
              <w:rPr>
                <w:rFonts w:ascii="Calibri" w:hAnsi="Calibri"/>
                <w:color w:val="263238"/>
                <w:sz w:val="18"/>
              </w:rPr>
              <w:t xml:space="preserve">Predictable fee structure</w:t>
            </w:r>
          </w:p>
        </w:tc>
        <w:tc>
          <w:tcPr>
            <w:tcW w:w="4300" w:type="dxa"/>
          </w:tcPr>
          <w:p>
            <w:pPr>
              <w:spacing w:after="20" w:line="264" w:lineRule="auto"/>
            </w:pPr>
            <w:r>
              <w:rPr>
                <w:rFonts w:ascii="Calibri" w:hAnsi="Calibri"/>
                <w:color w:val="263238"/>
                <w:sz w:val="18"/>
              </w:rPr>
              <w:t xml:space="preserve">Article 26.2; Annex B; annual rhythm, Article 29.2</w:t>
            </w:r>
          </w:p>
        </w:tc>
      </w:tr>
      <w:tr>
        <w:tc>
          <w:tcPr>
            <w:tcW w:w="5200" w:type="dxa"/>
          </w:tcPr>
          <w:p>
            <w:pPr>
              <w:spacing w:after="20" w:line="264" w:lineRule="auto"/>
            </w:pPr>
            <w:r>
              <w:rPr>
                <w:rFonts w:ascii="Calibri" w:hAnsi="Calibri"/>
                <w:color w:val="263238"/>
                <w:sz w:val="18"/>
              </w:rPr>
              <w:t xml:space="preserve">Sanctions-compatible payments</w:t>
            </w:r>
          </w:p>
        </w:tc>
        <w:tc>
          <w:tcPr>
            <w:tcW w:w="4300" w:type="dxa"/>
          </w:tcPr>
          <w:p>
            <w:pPr>
              <w:spacing w:after="20" w:line="264" w:lineRule="auto"/>
            </w:pPr>
            <w:r>
              <w:rPr>
                <w:rFonts w:ascii="Calibri" w:hAnsi="Calibri"/>
                <w:color w:val="263238"/>
                <w:sz w:val="18"/>
              </w:rPr>
              <w:t xml:space="preserve">Article 28; Annex D</w:t>
            </w:r>
          </w:p>
        </w:tc>
      </w:tr>
      <w:tr>
        <w:tc>
          <w:tcPr>
            <w:tcW w:w="5200" w:type="dxa"/>
          </w:tcPr>
          <w:p>
            <w:pPr>
              <w:spacing w:after="20" w:line="264" w:lineRule="auto"/>
            </w:pPr>
            <w:r>
              <w:rPr>
                <w:rFonts w:ascii="Calibri" w:hAnsi="Calibri"/>
                <w:color w:val="263238"/>
                <w:sz w:val="18"/>
              </w:rPr>
              <w:t xml:space="preserve">Pilot-phase monitoring access</w:t>
            </w:r>
          </w:p>
        </w:tc>
        <w:tc>
          <w:tcPr>
            <w:tcW w:w="4300" w:type="dxa"/>
          </w:tcPr>
          <w:p>
            <w:pPr>
              <w:spacing w:after="20" w:line="264" w:lineRule="auto"/>
            </w:pPr>
            <w:r>
              <w:rPr>
                <w:rFonts w:ascii="Calibri" w:hAnsi="Calibri"/>
                <w:color w:val="263238"/>
                <w:sz w:val="18"/>
              </w:rPr>
              <w:t xml:space="preserve">Article 38.1: full-intensity monitoring; observer feeds from Day 1</w:t>
            </w:r>
          </w:p>
        </w:tc>
      </w:tr>
      <w:tr>
        <w:tc>
          <w:tcPr>
            <w:tcW w:w="5200" w:type="dxa"/>
          </w:tcPr>
          <w:p>
            <w:pPr>
              <w:spacing w:after="20" w:line="264" w:lineRule="auto"/>
            </w:pPr>
            <w:r>
              <w:rPr>
                <w:rFonts w:ascii="Calibri" w:hAnsi="Calibri"/>
                <w:color w:val="263238"/>
                <w:sz w:val="18"/>
              </w:rPr>
              <w:t xml:space="preserve">Clear military deconfliction rules</w:t>
            </w:r>
          </w:p>
        </w:tc>
        <w:tc>
          <w:tcPr>
            <w:tcW w:w="4300" w:type="dxa"/>
          </w:tcPr>
          <w:p>
            <w:pPr>
              <w:spacing w:after="20" w:line="264" w:lineRule="auto"/>
            </w:pPr>
            <w:r>
              <w:rPr>
                <w:rFonts w:ascii="Calibri" w:hAnsi="Calibri"/>
                <w:color w:val="263238"/>
                <w:sz w:val="18"/>
              </w:rPr>
              <w:t xml:space="preserve">Articles 15 and 16; Annex L</w:t>
            </w:r>
          </w:p>
        </w:tc>
      </w:tr>
      <w:tr>
        <w:tc>
          <w:tcPr>
            <w:tcW w:w="5200" w:type="dxa"/>
          </w:tcPr>
          <w:p>
            <w:pPr>
              <w:spacing w:after="20" w:line="264" w:lineRule="auto"/>
            </w:pPr>
            <w:r>
              <w:rPr>
                <w:rFonts w:ascii="Calibri" w:hAnsi="Calibri"/>
                <w:color w:val="263238"/>
                <w:sz w:val="18"/>
              </w:rPr>
              <w:t xml:space="preserve">No sovereign tolls</w:t>
            </w:r>
          </w:p>
        </w:tc>
        <w:tc>
          <w:tcPr>
            <w:tcW w:w="4300" w:type="dxa"/>
          </w:tcPr>
          <w:p>
            <w:pPr>
              <w:spacing w:after="20" w:line="264" w:lineRule="auto"/>
            </w:pPr>
            <w:r>
              <w:rPr>
                <w:rFonts w:ascii="Calibri" w:hAnsi="Calibri"/>
                <w:color w:val="263238"/>
                <w:sz w:val="18"/>
              </w:rPr>
              <w:t xml:space="preserve">IPR-1; substance test, Annex D, Section D.6</w:t>
            </w:r>
          </w:p>
        </w:tc>
      </w:tr>
    </w:tbl>
    <w:p>
      <w:pPr>
        <w:spacing w:after="160"/>
      </w:pPr>
    </w:p>
    <w:p>
      <w:pPr>
        <w:pStyle w:val="Heading2"/>
      </w:pPr>
      <w:bookmarkStart w:id="261" w:name="_Toc261100161"/>
      <w:r>
        <w:rPr>
          <w:rFonts w:ascii="Calibri" w:hAnsi="Calibri"/>
        </w:rPr>
        <w:t xml:space="preserve">K.5 The European States and Maritime Bodies</w:t>
      </w:r>
      <w:bookmarkEnd w:id="261"/>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5200"/>
        <w:gridCol w:w="4300"/>
      </w:tblGrid>
      <w:tr>
        <w:trPr>
          <w:tblHeader/>
        </w:trPr>
        <w:tc>
          <w:tcPr>
            <w:tcW w:w="5200" w:type="dxa"/>
            <w:shd w:val="clear" w:fill="E8EDF1"/>
          </w:tcPr>
          <w:p>
            <w:pPr>
              <w:spacing w:after="20" w:line="264" w:lineRule="auto"/>
            </w:pPr>
            <w:r>
              <w:rPr>
                <w:rFonts w:ascii="Calibri" w:hAnsi="Calibri"/>
                <w:b/>
                <w:color w:val="2E4A62"/>
                <w:sz w:val="18"/>
              </w:rPr>
              <w:t xml:space="preserve">Stated position</w:t>
            </w:r>
          </w:p>
        </w:tc>
        <w:tc>
          <w:tcPr>
            <w:tcW w:w="4300" w:type="dxa"/>
            <w:shd w:val="clear" w:fill="E8EDF1"/>
          </w:tcPr>
          <w:p>
            <w:pPr>
              <w:spacing w:after="20" w:line="264" w:lineRule="auto"/>
            </w:pPr>
            <w:r>
              <w:rPr>
                <w:rFonts w:ascii="Calibri" w:hAnsi="Calibri"/>
                <w:b/>
                <w:color w:val="2E4A62"/>
                <w:sz w:val="18"/>
              </w:rPr>
              <w:t xml:space="preserve">Answered by</w:t>
            </w:r>
          </w:p>
        </w:tc>
      </w:tr>
      <w:tr>
        <w:tc>
          <w:tcPr>
            <w:tcW w:w="5200" w:type="dxa"/>
          </w:tcPr>
          <w:p>
            <w:pPr>
              <w:spacing w:after="20" w:line="264" w:lineRule="auto"/>
            </w:pPr>
            <w:r>
              <w:rPr>
                <w:rFonts w:ascii="Calibri" w:hAnsi="Calibri"/>
                <w:color w:val="263238"/>
                <w:sz w:val="18"/>
              </w:rPr>
              <w:t xml:space="preserve">IMO-registered corridor coordinates</w:t>
            </w:r>
          </w:p>
        </w:tc>
        <w:tc>
          <w:tcPr>
            <w:tcW w:w="4300" w:type="dxa"/>
          </w:tcPr>
          <w:p>
            <w:pPr>
              <w:spacing w:after="20" w:line="264" w:lineRule="auto"/>
            </w:pPr>
            <w:r>
              <w:rPr>
                <w:rFonts w:ascii="Calibri" w:hAnsi="Calibri"/>
                <w:color w:val="263238"/>
                <w:sz w:val="18"/>
              </w:rPr>
              <w:t xml:space="preserve">Article 7.4; Annex A; Article 24.5 IMO notation</w:t>
            </w:r>
          </w:p>
        </w:tc>
      </w:tr>
      <w:tr>
        <w:tc>
          <w:tcPr>
            <w:tcW w:w="5200" w:type="dxa"/>
          </w:tcPr>
          <w:p>
            <w:pPr>
              <w:spacing w:after="20" w:line="264" w:lineRule="auto"/>
            </w:pPr>
            <w:r>
              <w:rPr>
                <w:rFonts w:ascii="Calibri" w:hAnsi="Calibri"/>
                <w:color w:val="263238"/>
                <w:sz w:val="18"/>
              </w:rPr>
              <w:t xml:space="preserve">Full incident-reporting transparency</w:t>
            </w:r>
          </w:p>
        </w:tc>
        <w:tc>
          <w:tcPr>
            <w:tcW w:w="4300" w:type="dxa"/>
          </w:tcPr>
          <w:p>
            <w:pPr>
              <w:spacing w:after="20" w:line="264" w:lineRule="auto"/>
            </w:pPr>
            <w:r>
              <w:rPr>
                <w:rFonts w:ascii="Calibri" w:hAnsi="Calibri"/>
                <w:color w:val="263238"/>
                <w:sz w:val="18"/>
              </w:rPr>
              <w:t xml:space="preserve">Article 20.3; Annex I, Domain 3</w:t>
            </w:r>
          </w:p>
        </w:tc>
      </w:tr>
      <w:tr>
        <w:tc>
          <w:tcPr>
            <w:tcW w:w="5200" w:type="dxa"/>
          </w:tcPr>
          <w:p>
            <w:pPr>
              <w:spacing w:after="20" w:line="264" w:lineRule="auto"/>
            </w:pPr>
            <w:r>
              <w:rPr>
                <w:rFonts w:ascii="Calibri" w:hAnsi="Calibri"/>
                <w:color w:val="263238"/>
                <w:sz w:val="18"/>
              </w:rPr>
              <w:t xml:space="preserve">Environmental audits and third-party verification</w:t>
            </w:r>
          </w:p>
        </w:tc>
        <w:tc>
          <w:tcPr>
            <w:tcW w:w="4300" w:type="dxa"/>
          </w:tcPr>
          <w:p>
            <w:pPr>
              <w:spacing w:after="20" w:line="264" w:lineRule="auto"/>
            </w:pPr>
            <w:r>
              <w:rPr>
                <w:rFonts w:ascii="Calibri" w:hAnsi="Calibri"/>
                <w:color w:val="263238"/>
                <w:sz w:val="18"/>
              </w:rPr>
              <w:t xml:space="preserve">Article 21.2(d); Annex I, Domain 4; annual international audit</w:t>
            </w:r>
          </w:p>
        </w:tc>
      </w:tr>
      <w:tr>
        <w:tc>
          <w:tcPr>
            <w:tcW w:w="5200" w:type="dxa"/>
          </w:tcPr>
          <w:p>
            <w:pPr>
              <w:spacing w:after="20" w:line="264" w:lineRule="auto"/>
            </w:pPr>
            <w:r>
              <w:rPr>
                <w:rFonts w:ascii="Calibri" w:hAnsi="Calibri"/>
                <w:color w:val="263238"/>
                <w:sz w:val="18"/>
              </w:rPr>
              <w:t xml:space="preserve">Uniform, high safety standards</w:t>
            </w:r>
          </w:p>
        </w:tc>
        <w:tc>
          <w:tcPr>
            <w:tcW w:w="4300" w:type="dxa"/>
          </w:tcPr>
          <w:p>
            <w:pPr>
              <w:spacing w:after="20" w:line="264" w:lineRule="auto"/>
            </w:pPr>
            <w:r>
              <w:rPr>
                <w:rFonts w:ascii="Calibri" w:hAnsi="Calibri"/>
                <w:color w:val="263238"/>
                <w:sz w:val="18"/>
              </w:rPr>
              <w:t xml:space="preserve">Annex A, Section A.5; Annex I thresholds</w:t>
            </w:r>
          </w:p>
        </w:tc>
      </w:tr>
      <w:tr>
        <w:tc>
          <w:tcPr>
            <w:tcW w:w="5200" w:type="dxa"/>
          </w:tcPr>
          <w:p>
            <w:pPr>
              <w:spacing w:after="20" w:line="264" w:lineRule="auto"/>
            </w:pPr>
            <w:r>
              <w:rPr>
                <w:rFonts w:ascii="Calibri" w:hAnsi="Calibri"/>
                <w:color w:val="263238"/>
                <w:sz w:val="18"/>
              </w:rPr>
              <w:t xml:space="preserve">Access to the shared monitoring picture</w:t>
            </w:r>
          </w:p>
        </w:tc>
        <w:tc>
          <w:tcPr>
            <w:tcW w:w="4300" w:type="dxa"/>
          </w:tcPr>
          <w:p>
            <w:pPr>
              <w:spacing w:after="20" w:line="264" w:lineRule="auto"/>
            </w:pPr>
            <w:r>
              <w:rPr>
                <w:rFonts w:ascii="Calibri" w:hAnsi="Calibri"/>
                <w:color w:val="263238"/>
                <w:sz w:val="18"/>
              </w:rPr>
              <w:t xml:space="preserve">Article 24.4: the European mission as Endorsing Stakeholder; Article 24.5</w:t>
            </w:r>
          </w:p>
        </w:tc>
      </w:tr>
      <w:tr>
        <w:tc>
          <w:tcPr>
            <w:tcW w:w="5200" w:type="dxa"/>
          </w:tcPr>
          <w:p>
            <w:pPr>
              <w:spacing w:after="20" w:line="264" w:lineRule="auto"/>
            </w:pPr>
            <w:r>
              <w:rPr>
                <w:rFonts w:ascii="Calibri" w:hAnsi="Calibri"/>
                <w:color w:val="263238"/>
                <w:sz w:val="18"/>
              </w:rPr>
              <w:t xml:space="preserve">Neutral dispute resolution</w:t>
            </w:r>
          </w:p>
        </w:tc>
        <w:tc>
          <w:tcPr>
            <w:tcW w:w="4300" w:type="dxa"/>
          </w:tcPr>
          <w:p>
            <w:pPr>
              <w:spacing w:after="20" w:line="264" w:lineRule="auto"/>
            </w:pPr>
            <w:r>
              <w:rPr>
                <w:rFonts w:ascii="Calibri" w:hAnsi="Calibri"/>
                <w:color w:val="263238"/>
                <w:sz w:val="18"/>
              </w:rPr>
              <w:t xml:space="preserve">Articles 39 and 40</w:t>
            </w:r>
          </w:p>
        </w:tc>
      </w:tr>
      <w:tr>
        <w:tc>
          <w:tcPr>
            <w:tcW w:w="5200" w:type="dxa"/>
          </w:tcPr>
          <w:p>
            <w:pPr>
              <w:spacing w:after="20" w:line="264" w:lineRule="auto"/>
            </w:pPr>
            <w:r>
              <w:rPr>
                <w:rFonts w:ascii="Calibri" w:hAnsi="Calibri"/>
                <w:color w:val="263238"/>
                <w:sz w:val="18"/>
              </w:rPr>
              <w:t xml:space="preserve">Predictable, published fees</w:t>
            </w:r>
          </w:p>
        </w:tc>
        <w:tc>
          <w:tcPr>
            <w:tcW w:w="4300" w:type="dxa"/>
          </w:tcPr>
          <w:p>
            <w:pPr>
              <w:spacing w:after="20" w:line="264" w:lineRule="auto"/>
            </w:pPr>
            <w:r>
              <w:rPr>
                <w:rFonts w:ascii="Calibri" w:hAnsi="Calibri"/>
                <w:color w:val="263238"/>
                <w:sz w:val="18"/>
              </w:rPr>
              <w:t xml:space="preserve">Annex B rate card; Article 29.2</w:t>
            </w:r>
          </w:p>
        </w:tc>
      </w:tr>
      <w:tr>
        <w:tc>
          <w:tcPr>
            <w:tcW w:w="5200" w:type="dxa"/>
          </w:tcPr>
          <w:p>
            <w:pPr>
              <w:spacing w:after="20" w:line="264" w:lineRule="auto"/>
            </w:pPr>
            <w:r>
              <w:rPr>
                <w:rFonts w:ascii="Calibri" w:hAnsi="Calibri"/>
                <w:color w:val="263238"/>
                <w:sz w:val="18"/>
              </w:rPr>
              <w:t xml:space="preserve">No sovereign tolls</w:t>
            </w:r>
          </w:p>
        </w:tc>
        <w:tc>
          <w:tcPr>
            <w:tcW w:w="4300" w:type="dxa"/>
          </w:tcPr>
          <w:p>
            <w:pPr>
              <w:spacing w:after="20" w:line="264" w:lineRule="auto"/>
            </w:pPr>
            <w:r>
              <w:rPr>
                <w:rFonts w:ascii="Calibri" w:hAnsi="Calibri"/>
                <w:color w:val="263238"/>
                <w:sz w:val="18"/>
              </w:rPr>
              <w:t xml:space="preserve">Article 25; IPR-1</w:t>
            </w:r>
          </w:p>
        </w:tc>
      </w:tr>
      <w:tr>
        <w:tc>
          <w:tcPr>
            <w:tcW w:w="5200" w:type="dxa"/>
          </w:tcPr>
          <w:p>
            <w:pPr>
              <w:spacing w:after="20" w:line="264" w:lineRule="auto"/>
            </w:pPr>
            <w:r>
              <w:rPr>
                <w:rFonts w:ascii="Calibri" w:hAnsi="Calibri"/>
                <w:color w:val="263238"/>
                <w:sz w:val="18"/>
              </w:rPr>
              <w:t xml:space="preserve">Freedom of navigation guaranteed</w:t>
            </w:r>
          </w:p>
        </w:tc>
        <w:tc>
          <w:tcPr>
            <w:tcW w:w="4300" w:type="dxa"/>
          </w:tcPr>
          <w:p>
            <w:pPr>
              <w:spacing w:after="20" w:line="264" w:lineRule="auto"/>
            </w:pPr>
            <w:r>
              <w:rPr>
                <w:rFonts w:ascii="Calibri" w:hAnsi="Calibri"/>
                <w:color w:val="263238"/>
                <w:sz w:val="18"/>
              </w:rPr>
              <w:t xml:space="preserve">Article 12; IPR-5; Resolution 2817 alignment, Preamble</w:t>
            </w:r>
          </w:p>
        </w:tc>
      </w:tr>
      <w:tr>
        <w:tc>
          <w:tcPr>
            <w:tcW w:w="5200" w:type="dxa"/>
          </w:tcPr>
          <w:p>
            <w:pPr>
              <w:spacing w:after="20" w:line="264" w:lineRule="auto"/>
            </w:pPr>
            <w:r>
              <w:rPr>
                <w:rFonts w:ascii="Calibri" w:hAnsi="Calibri"/>
                <w:color w:val="263238"/>
                <w:sz w:val="18"/>
              </w:rPr>
              <w:t xml:space="preserve">Clear military deconfliction rules</w:t>
            </w:r>
          </w:p>
        </w:tc>
        <w:tc>
          <w:tcPr>
            <w:tcW w:w="4300" w:type="dxa"/>
          </w:tcPr>
          <w:p>
            <w:pPr>
              <w:spacing w:after="20" w:line="264" w:lineRule="auto"/>
            </w:pPr>
            <w:r>
              <w:rPr>
                <w:rFonts w:ascii="Calibri" w:hAnsi="Calibri"/>
                <w:color w:val="263238"/>
                <w:sz w:val="18"/>
              </w:rPr>
              <w:t xml:space="preserve">Articles 15 and 16; Annex L</w:t>
            </w:r>
          </w:p>
        </w:tc>
      </w:tr>
      <w:tr>
        <w:tc>
          <w:tcPr>
            <w:tcW w:w="5200" w:type="dxa"/>
          </w:tcPr>
          <w:p>
            <w:pPr>
              <w:spacing w:after="20" w:line="264" w:lineRule="auto"/>
            </w:pPr>
            <w:r>
              <w:rPr>
                <w:rFonts w:ascii="Calibri" w:hAnsi="Calibri"/>
                <w:color w:val="263238"/>
                <w:sz w:val="18"/>
              </w:rPr>
              <w:t xml:space="preserve">Emergency-response coordination</w:t>
            </w:r>
          </w:p>
        </w:tc>
        <w:tc>
          <w:tcPr>
            <w:tcW w:w="4300" w:type="dxa"/>
          </w:tcPr>
          <w:p>
            <w:pPr>
              <w:spacing w:after="20" w:line="264" w:lineRule="auto"/>
            </w:pPr>
            <w:r>
              <w:rPr>
                <w:rFonts w:ascii="Calibri" w:hAnsi="Calibri"/>
                <w:color w:val="263238"/>
                <w:sz w:val="18"/>
              </w:rPr>
              <w:t xml:space="preserve">Article 16.4; Annex E key schedule</w:t>
            </w:r>
          </w:p>
        </w:tc>
      </w:tr>
      <w:tr>
        <w:tc>
          <w:tcPr>
            <w:tcW w:w="5200" w:type="dxa"/>
          </w:tcPr>
          <w:p>
            <w:pPr>
              <w:spacing w:after="20" w:line="264" w:lineRule="auto"/>
            </w:pPr>
            <w:r>
              <w:rPr>
                <w:rFonts w:ascii="Calibri" w:hAnsi="Calibri"/>
                <w:color w:val="263238"/>
                <w:sz w:val="18"/>
              </w:rPr>
              <w:t xml:space="preserve">Pilot-phase transparency</w:t>
            </w:r>
          </w:p>
        </w:tc>
        <w:tc>
          <w:tcPr>
            <w:tcW w:w="4300" w:type="dxa"/>
          </w:tcPr>
          <w:p>
            <w:pPr>
              <w:spacing w:after="20" w:line="264" w:lineRule="auto"/>
            </w:pPr>
            <w:r>
              <w:rPr>
                <w:rFonts w:ascii="Calibri" w:hAnsi="Calibri"/>
                <w:color w:val="263238"/>
                <w:sz w:val="18"/>
              </w:rPr>
              <w:t xml:space="preserve">Article 38.1; observer feeds from Day 1</w:t>
            </w:r>
          </w:p>
        </w:tc>
      </w:tr>
      <w:tr>
        <w:tc>
          <w:tcPr>
            <w:tcW w:w="5200" w:type="dxa"/>
          </w:tcPr>
          <w:p>
            <w:pPr>
              <w:spacing w:after="20" w:line="264" w:lineRule="auto"/>
            </w:pPr>
            <w:r>
              <w:rPr>
                <w:rFonts w:ascii="Calibri" w:hAnsi="Calibri"/>
                <w:color w:val="263238"/>
                <w:sz w:val="18"/>
              </w:rPr>
              <w:t xml:space="preserve">Sanctions-compatible payment routing</w:t>
            </w:r>
          </w:p>
        </w:tc>
        <w:tc>
          <w:tcPr>
            <w:tcW w:w="4300" w:type="dxa"/>
          </w:tcPr>
          <w:p>
            <w:pPr>
              <w:spacing w:after="20" w:line="264" w:lineRule="auto"/>
            </w:pPr>
            <w:r>
              <w:rPr>
                <w:rFonts w:ascii="Calibri" w:hAnsi="Calibri"/>
                <w:color w:val="263238"/>
                <w:sz w:val="18"/>
              </w:rPr>
              <w:t xml:space="preserve">Annex D, Section D.4, including the European frameworks</w:t>
            </w:r>
          </w:p>
        </w:tc>
      </w:tr>
      <w:tr>
        <w:tc>
          <w:tcPr>
            <w:tcW w:w="5200" w:type="dxa"/>
          </w:tcPr>
          <w:p>
            <w:pPr>
              <w:spacing w:after="20" w:line="264" w:lineRule="auto"/>
            </w:pPr>
            <w:r>
              <w:rPr>
                <w:rFonts w:ascii="Calibri" w:hAnsi="Calibri"/>
                <w:color w:val="263238"/>
                <w:sz w:val="18"/>
              </w:rPr>
              <w:t xml:space="preserve">Buffer corridor safety guarantees</w:t>
            </w:r>
          </w:p>
        </w:tc>
        <w:tc>
          <w:tcPr>
            <w:tcW w:w="4300" w:type="dxa"/>
          </w:tcPr>
          <w:p>
            <w:pPr>
              <w:spacing w:after="20" w:line="264" w:lineRule="auto"/>
            </w:pPr>
            <w:r>
              <w:rPr>
                <w:rFonts w:ascii="Calibri" w:hAnsi="Calibri"/>
                <w:color w:val="263238"/>
                <w:sz w:val="18"/>
              </w:rPr>
              <w:t xml:space="preserve">Article 8.4; Annex A, Section A.5; Domain 1 metrics</w:t>
            </w:r>
          </w:p>
        </w:tc>
      </w:tr>
      <w:tr>
        <w:tc>
          <w:tcPr>
            <w:tcW w:w="5200" w:type="dxa"/>
          </w:tcPr>
          <w:p>
            <w:pPr>
              <w:spacing w:after="20" w:line="264" w:lineRule="auto"/>
            </w:pPr>
            <w:r>
              <w:rPr>
                <w:rFonts w:ascii="Calibri" w:hAnsi="Calibri"/>
                <w:color w:val="263238"/>
                <w:sz w:val="18"/>
              </w:rPr>
              <w:t xml:space="preserve">Public corridor documentation</w:t>
            </w:r>
          </w:p>
        </w:tc>
        <w:tc>
          <w:tcPr>
            <w:tcW w:w="4300" w:type="dxa"/>
          </w:tcPr>
          <w:p>
            <w:pPr>
              <w:spacing w:after="20" w:line="264" w:lineRule="auto"/>
            </w:pPr>
            <w:r>
              <w:rPr>
                <w:rFonts w:ascii="Calibri" w:hAnsi="Calibri"/>
                <w:color w:val="263238"/>
                <w:sz w:val="18"/>
              </w:rPr>
              <w:t xml:space="preserve">Annex F: Handbook, bulletins, charts; Article 44.2</w:t>
            </w:r>
          </w:p>
        </w:tc>
      </w:tr>
    </w:tbl>
    <w:p>
      <w:pPr>
        <w:spacing w:after="160"/>
      </w:pPr>
    </w:p>
    <w:p>
      <w:pPr>
        <w:pStyle w:val="Heading2"/>
      </w:pPr>
      <w:bookmarkStart w:id="262" w:name="_Toc261100162"/>
      <w:r>
        <w:rPr>
          <w:rFonts w:ascii="Calibri" w:hAnsi="Calibri"/>
        </w:rPr>
        <w:t xml:space="preserve">K.6 The Shipping and Insurance Industries</w:t>
      </w:r>
      <w:bookmarkEnd w:id="262"/>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5200"/>
        <w:gridCol w:w="4300"/>
      </w:tblGrid>
      <w:tr>
        <w:trPr>
          <w:tblHeader/>
        </w:trPr>
        <w:tc>
          <w:tcPr>
            <w:tcW w:w="5200" w:type="dxa"/>
            <w:shd w:val="clear" w:fill="E8EDF1"/>
          </w:tcPr>
          <w:p>
            <w:pPr>
              <w:spacing w:after="20" w:line="264" w:lineRule="auto"/>
            </w:pPr>
            <w:r>
              <w:rPr>
                <w:rFonts w:ascii="Calibri" w:hAnsi="Calibri"/>
                <w:b/>
                <w:color w:val="2E4A62"/>
                <w:sz w:val="18"/>
              </w:rPr>
              <w:t xml:space="preserve">Stated position</w:t>
            </w:r>
          </w:p>
        </w:tc>
        <w:tc>
          <w:tcPr>
            <w:tcW w:w="4300" w:type="dxa"/>
            <w:shd w:val="clear" w:fill="E8EDF1"/>
          </w:tcPr>
          <w:p>
            <w:pPr>
              <w:spacing w:after="20" w:line="264" w:lineRule="auto"/>
            </w:pPr>
            <w:r>
              <w:rPr>
                <w:rFonts w:ascii="Calibri" w:hAnsi="Calibri"/>
                <w:b/>
                <w:color w:val="2E4A62"/>
                <w:sz w:val="18"/>
              </w:rPr>
              <w:t xml:space="preserve">Answered by</w:t>
            </w:r>
          </w:p>
        </w:tc>
      </w:tr>
      <w:tr>
        <w:tc>
          <w:tcPr>
            <w:tcW w:w="5200" w:type="dxa"/>
          </w:tcPr>
          <w:p>
            <w:pPr>
              <w:spacing w:after="20" w:line="264" w:lineRule="auto"/>
            </w:pPr>
            <w:r>
              <w:rPr>
                <w:rFonts w:ascii="Calibri" w:hAnsi="Calibri"/>
                <w:color w:val="263238"/>
                <w:sz w:val="18"/>
              </w:rPr>
              <w:t xml:space="preserve">Predictable, published risk environment</w:t>
            </w:r>
          </w:p>
        </w:tc>
        <w:tc>
          <w:tcPr>
            <w:tcW w:w="4300" w:type="dxa"/>
          </w:tcPr>
          <w:p>
            <w:pPr>
              <w:spacing w:after="20" w:line="264" w:lineRule="auto"/>
            </w:pPr>
            <w:r>
              <w:rPr>
                <w:rFonts w:ascii="Calibri" w:hAnsi="Calibri"/>
                <w:color w:val="263238"/>
                <w:sz w:val="18"/>
              </w:rPr>
              <w:t xml:space="preserve">Flow state doctrine, Article 11; Route Assurance Data Service, Annex B, Section B.5</w:t>
            </w:r>
          </w:p>
        </w:tc>
      </w:tr>
      <w:tr>
        <w:tc>
          <w:tcPr>
            <w:tcW w:w="5200" w:type="dxa"/>
          </w:tcPr>
          <w:p>
            <w:pPr>
              <w:spacing w:after="20" w:line="264" w:lineRule="auto"/>
            </w:pPr>
            <w:r>
              <w:rPr>
                <w:rFonts w:ascii="Calibri" w:hAnsi="Calibri"/>
                <w:color w:val="263238"/>
                <w:sz w:val="18"/>
              </w:rPr>
              <w:t xml:space="preserve">Transparent incident reporting for actuarial use</w:t>
            </w:r>
          </w:p>
        </w:tc>
        <w:tc>
          <w:tcPr>
            <w:tcW w:w="4300" w:type="dxa"/>
          </w:tcPr>
          <w:p>
            <w:pPr>
              <w:spacing w:after="20" w:line="264" w:lineRule="auto"/>
            </w:pPr>
            <w:r>
              <w:rPr>
                <w:rFonts w:ascii="Calibri" w:hAnsi="Calibri"/>
                <w:color w:val="263238"/>
                <w:sz w:val="18"/>
              </w:rPr>
              <w:t xml:space="preserve">Article 20.3; Annex I, Domain 3</w:t>
            </w:r>
          </w:p>
        </w:tc>
      </w:tr>
      <w:tr>
        <w:tc>
          <w:tcPr>
            <w:tcW w:w="5200" w:type="dxa"/>
          </w:tcPr>
          <w:p>
            <w:pPr>
              <w:spacing w:after="20" w:line="264" w:lineRule="auto"/>
            </w:pPr>
            <w:r>
              <w:rPr>
                <w:rFonts w:ascii="Calibri" w:hAnsi="Calibri"/>
                <w:color w:val="263238"/>
                <w:sz w:val="18"/>
              </w:rPr>
              <w:t xml:space="preserve">Clear deconfliction protocols</w:t>
            </w:r>
          </w:p>
        </w:tc>
        <w:tc>
          <w:tcPr>
            <w:tcW w:w="4300" w:type="dxa"/>
          </w:tcPr>
          <w:p>
            <w:pPr>
              <w:spacing w:after="20" w:line="264" w:lineRule="auto"/>
            </w:pPr>
            <w:r>
              <w:rPr>
                <w:rFonts w:ascii="Calibri" w:hAnsi="Calibri"/>
                <w:color w:val="263238"/>
                <w:sz w:val="18"/>
              </w:rPr>
              <w:t xml:space="preserve">Articles 15 and 16; Annex L</w:t>
            </w:r>
          </w:p>
        </w:tc>
      </w:tr>
      <w:tr>
        <w:tc>
          <w:tcPr>
            <w:tcW w:w="5200" w:type="dxa"/>
          </w:tcPr>
          <w:p>
            <w:pPr>
              <w:spacing w:after="20" w:line="264" w:lineRule="auto"/>
            </w:pPr>
            <w:r>
              <w:rPr>
                <w:rFonts w:ascii="Calibri" w:hAnsi="Calibri"/>
                <w:color w:val="263238"/>
                <w:sz w:val="18"/>
              </w:rPr>
              <w:t xml:space="preserve">Monitoring access to verify routing compliance</w:t>
            </w:r>
          </w:p>
        </w:tc>
        <w:tc>
          <w:tcPr>
            <w:tcW w:w="4300" w:type="dxa"/>
          </w:tcPr>
          <w:p>
            <w:pPr>
              <w:spacing w:after="20" w:line="264" w:lineRule="auto"/>
            </w:pPr>
            <w:r>
              <w:rPr>
                <w:rFonts w:ascii="Calibri" w:hAnsi="Calibri"/>
                <w:color w:val="263238"/>
                <w:sz w:val="18"/>
              </w:rPr>
              <w:t xml:space="preserve">Stakeholder Panel streams, Article 19.3; adherence certificates, Annex B, Section B.5</w:t>
            </w:r>
          </w:p>
        </w:tc>
      </w:tr>
      <w:tr>
        <w:tc>
          <w:tcPr>
            <w:tcW w:w="5200" w:type="dxa"/>
          </w:tcPr>
          <w:p>
            <w:pPr>
              <w:spacing w:after="20" w:line="264" w:lineRule="auto"/>
            </w:pPr>
            <w:r>
              <w:rPr>
                <w:rFonts w:ascii="Calibri" w:hAnsi="Calibri"/>
                <w:color w:val="263238"/>
                <w:sz w:val="18"/>
              </w:rPr>
              <w:t xml:space="preserve">Stable, predictable costs</w:t>
            </w:r>
          </w:p>
        </w:tc>
        <w:tc>
          <w:tcPr>
            <w:tcW w:w="4300" w:type="dxa"/>
          </w:tcPr>
          <w:p>
            <w:pPr>
              <w:spacing w:after="20" w:line="264" w:lineRule="auto"/>
            </w:pPr>
            <w:r>
              <w:rPr>
                <w:rFonts w:ascii="Calibri" w:hAnsi="Calibri"/>
                <w:color w:val="263238"/>
                <w:sz w:val="18"/>
              </w:rPr>
              <w:t xml:space="preserve">Heavy-user cap, Annex C, Section C.4; annual rate rhythm</w:t>
            </w:r>
          </w:p>
        </w:tc>
      </w:tr>
      <w:tr>
        <w:tc>
          <w:tcPr>
            <w:tcW w:w="5200" w:type="dxa"/>
          </w:tcPr>
          <w:p>
            <w:pPr>
              <w:spacing w:after="20" w:line="264" w:lineRule="auto"/>
            </w:pPr>
            <w:r>
              <w:rPr>
                <w:rFonts w:ascii="Calibri" w:hAnsi="Calibri"/>
                <w:color w:val="263238"/>
                <w:sz w:val="18"/>
              </w:rPr>
              <w:t xml:space="preserve">Environmental data for liability assessment</w:t>
            </w:r>
          </w:p>
        </w:tc>
        <w:tc>
          <w:tcPr>
            <w:tcW w:w="4300" w:type="dxa"/>
          </w:tcPr>
          <w:p>
            <w:pPr>
              <w:spacing w:after="20" w:line="264" w:lineRule="auto"/>
            </w:pPr>
            <w:r>
              <w:rPr>
                <w:rFonts w:ascii="Calibri" w:hAnsi="Calibri"/>
                <w:color w:val="263238"/>
                <w:sz w:val="18"/>
              </w:rPr>
              <w:t xml:space="preserve">Quarterly baseline; Annex I, Domain 4</w:t>
            </w:r>
          </w:p>
        </w:tc>
      </w:tr>
      <w:tr>
        <w:tc>
          <w:tcPr>
            <w:tcW w:w="5200" w:type="dxa"/>
          </w:tcPr>
          <w:p>
            <w:pPr>
              <w:spacing w:after="20" w:line="264" w:lineRule="auto"/>
            </w:pPr>
            <w:r>
              <w:rPr>
                <w:rFonts w:ascii="Calibri" w:hAnsi="Calibri"/>
                <w:color w:val="263238"/>
                <w:sz w:val="18"/>
              </w:rPr>
              <w:t xml:space="preserve">Emergency-response guarantees</w:t>
            </w:r>
          </w:p>
        </w:tc>
        <w:tc>
          <w:tcPr>
            <w:tcW w:w="4300" w:type="dxa"/>
          </w:tcPr>
          <w:p>
            <w:pPr>
              <w:spacing w:after="20" w:line="264" w:lineRule="auto"/>
            </w:pPr>
            <w:r>
              <w:rPr>
                <w:rFonts w:ascii="Calibri" w:hAnsi="Calibri"/>
                <w:color w:val="263238"/>
                <w:sz w:val="18"/>
              </w:rPr>
              <w:t xml:space="preserve">Article 16.4; Annex I, Domain 4 thresholds</w:t>
            </w:r>
          </w:p>
        </w:tc>
      </w:tr>
      <w:tr>
        <w:tc>
          <w:tcPr>
            <w:tcW w:w="5200" w:type="dxa"/>
          </w:tcPr>
          <w:p>
            <w:pPr>
              <w:spacing w:after="20" w:line="264" w:lineRule="auto"/>
            </w:pPr>
            <w:r>
              <w:rPr>
                <w:rFonts w:ascii="Calibri" w:hAnsi="Calibri"/>
                <w:color w:val="263238"/>
                <w:sz w:val="18"/>
              </w:rPr>
              <w:t xml:space="preserve">No unilateral interdiction</w:t>
            </w:r>
          </w:p>
        </w:tc>
        <w:tc>
          <w:tcPr>
            <w:tcW w:w="4300" w:type="dxa"/>
          </w:tcPr>
          <w:p>
            <w:pPr>
              <w:spacing w:after="20" w:line="264" w:lineRule="auto"/>
            </w:pPr>
            <w:r>
              <w:rPr>
                <w:rFonts w:ascii="Calibri" w:hAnsi="Calibri"/>
                <w:color w:val="263238"/>
                <w:sz w:val="18"/>
              </w:rPr>
              <w:t xml:space="preserve">Article 12.2; IPR-5</w:t>
            </w:r>
          </w:p>
        </w:tc>
      </w:tr>
      <w:tr>
        <w:tc>
          <w:tcPr>
            <w:tcW w:w="5200" w:type="dxa"/>
          </w:tcPr>
          <w:p>
            <w:pPr>
              <w:spacing w:after="20" w:line="264" w:lineRule="auto"/>
            </w:pPr>
            <w:r>
              <w:rPr>
                <w:rFonts w:ascii="Calibri" w:hAnsi="Calibri"/>
                <w:color w:val="263238"/>
                <w:sz w:val="18"/>
              </w:rPr>
              <w:t xml:space="preserve">Pilot-phase transparency</w:t>
            </w:r>
          </w:p>
        </w:tc>
        <w:tc>
          <w:tcPr>
            <w:tcW w:w="4300" w:type="dxa"/>
          </w:tcPr>
          <w:p>
            <w:pPr>
              <w:spacing w:after="20" w:line="264" w:lineRule="auto"/>
            </w:pPr>
            <w:r>
              <w:rPr>
                <w:rFonts w:ascii="Calibri" w:hAnsi="Calibri"/>
                <w:color w:val="263238"/>
                <w:sz w:val="18"/>
              </w:rPr>
              <w:t xml:space="preserve">Article 38.1; Annex I publication</w:t>
            </w:r>
          </w:p>
        </w:tc>
      </w:tr>
      <w:tr>
        <w:tc>
          <w:tcPr>
            <w:tcW w:w="5200" w:type="dxa"/>
          </w:tcPr>
          <w:p>
            <w:pPr>
              <w:spacing w:after="20" w:line="264" w:lineRule="auto"/>
            </w:pPr>
            <w:r>
              <w:rPr>
                <w:rFonts w:ascii="Calibri" w:hAnsi="Calibri"/>
                <w:color w:val="263238"/>
                <w:sz w:val="18"/>
              </w:rPr>
              <w:t xml:space="preserve">Published final coordinates</w:t>
            </w:r>
          </w:p>
        </w:tc>
        <w:tc>
          <w:tcPr>
            <w:tcW w:w="4300" w:type="dxa"/>
          </w:tcPr>
          <w:p>
            <w:pPr>
              <w:spacing w:after="20" w:line="264" w:lineRule="auto"/>
            </w:pPr>
            <w:r>
              <w:rPr>
                <w:rFonts w:ascii="Calibri" w:hAnsi="Calibri"/>
                <w:color w:val="263238"/>
                <w:sz w:val="18"/>
              </w:rPr>
              <w:t xml:space="preserve">Annex A registry; IMO deposit</w:t>
            </w:r>
          </w:p>
        </w:tc>
      </w:tr>
      <w:tr>
        <w:tc>
          <w:tcPr>
            <w:tcW w:w="5200" w:type="dxa"/>
          </w:tcPr>
          <w:p>
            <w:pPr>
              <w:spacing w:after="20" w:line="264" w:lineRule="auto"/>
            </w:pPr>
            <w:r>
              <w:rPr>
                <w:rFonts w:ascii="Calibri" w:hAnsi="Calibri"/>
                <w:color w:val="263238"/>
                <w:sz w:val="18"/>
              </w:rPr>
              <w:t xml:space="preserve">Neutral claims and dispute handling</w:t>
            </w:r>
          </w:p>
        </w:tc>
        <w:tc>
          <w:tcPr>
            <w:tcW w:w="4300" w:type="dxa"/>
          </w:tcPr>
          <w:p>
            <w:pPr>
              <w:spacing w:after="20" w:line="264" w:lineRule="auto"/>
            </w:pPr>
            <w:r>
              <w:rPr>
                <w:rFonts w:ascii="Calibri" w:hAnsi="Calibri"/>
                <w:color w:val="263238"/>
                <w:sz w:val="18"/>
              </w:rPr>
              <w:t xml:space="preserve">Article 40.2(b) and (c)</w:t>
            </w:r>
          </w:p>
        </w:tc>
      </w:tr>
      <w:tr>
        <w:tc>
          <w:tcPr>
            <w:tcW w:w="5200" w:type="dxa"/>
          </w:tcPr>
          <w:p>
            <w:pPr>
              <w:spacing w:after="20" w:line="264" w:lineRule="auto"/>
            </w:pPr>
            <w:r>
              <w:rPr>
                <w:rFonts w:ascii="Calibri" w:hAnsi="Calibri"/>
                <w:color w:val="263238"/>
                <w:sz w:val="18"/>
              </w:rPr>
              <w:t xml:space="preserve">Sanctions-safe payment mechanics</w:t>
            </w:r>
          </w:p>
        </w:tc>
        <w:tc>
          <w:tcPr>
            <w:tcW w:w="4300" w:type="dxa"/>
          </w:tcPr>
          <w:p>
            <w:pPr>
              <w:spacing w:after="20" w:line="264" w:lineRule="auto"/>
            </w:pPr>
            <w:r>
              <w:rPr>
                <w:rFonts w:ascii="Calibri" w:hAnsi="Calibri"/>
                <w:color w:val="263238"/>
                <w:sz w:val="18"/>
              </w:rPr>
              <w:t xml:space="preserve">Annex D; compliance opinions, Annex D, Section D.4</w:t>
            </w:r>
          </w:p>
        </w:tc>
      </w:tr>
      <w:tr>
        <w:tc>
          <w:tcPr>
            <w:tcW w:w="5200" w:type="dxa"/>
          </w:tcPr>
          <w:p>
            <w:pPr>
              <w:spacing w:after="20" w:line="264" w:lineRule="auto"/>
            </w:pPr>
            <w:r>
              <w:rPr>
                <w:rFonts w:ascii="Calibri" w:hAnsi="Calibri"/>
                <w:color w:val="263238"/>
                <w:sz w:val="18"/>
              </w:rPr>
              <w:t xml:space="preserve">Buffer corridor safety rules</w:t>
            </w:r>
          </w:p>
        </w:tc>
        <w:tc>
          <w:tcPr>
            <w:tcW w:w="4300" w:type="dxa"/>
          </w:tcPr>
          <w:p>
            <w:pPr>
              <w:spacing w:after="20" w:line="264" w:lineRule="auto"/>
            </w:pPr>
            <w:r>
              <w:rPr>
                <w:rFonts w:ascii="Calibri" w:hAnsi="Calibri"/>
                <w:color w:val="263238"/>
                <w:sz w:val="18"/>
              </w:rPr>
              <w:t xml:space="preserve">Article 8.4; Annex A</w:t>
            </w:r>
          </w:p>
        </w:tc>
      </w:tr>
      <w:tr>
        <w:tc>
          <w:tcPr>
            <w:tcW w:w="5200" w:type="dxa"/>
          </w:tcPr>
          <w:p>
            <w:pPr>
              <w:spacing w:after="20" w:line="264" w:lineRule="auto"/>
            </w:pPr>
            <w:r>
              <w:rPr>
                <w:rFonts w:ascii="Calibri" w:hAnsi="Calibri"/>
                <w:color w:val="263238"/>
                <w:sz w:val="18"/>
              </w:rPr>
              <w:t xml:space="preserve">Continuous identification broadcasting by all vessels</w:t>
            </w:r>
          </w:p>
        </w:tc>
        <w:tc>
          <w:tcPr>
            <w:tcW w:w="4300" w:type="dxa"/>
          </w:tcPr>
          <w:p>
            <w:pPr>
              <w:spacing w:after="20" w:line="264" w:lineRule="auto"/>
            </w:pPr>
            <w:r>
              <w:rPr>
                <w:rFonts w:ascii="Calibri" w:hAnsi="Calibri"/>
                <w:color w:val="263238"/>
                <w:sz w:val="18"/>
              </w:rPr>
              <w:t xml:space="preserve">Article 13.5 patrol rule; Domain 1 metrics; Handbook, Annex F</w:t>
            </w:r>
          </w:p>
        </w:tc>
      </w:tr>
      <w:tr>
        <w:tc>
          <w:tcPr>
            <w:tcW w:w="5200" w:type="dxa"/>
          </w:tcPr>
          <w:p>
            <w:pPr>
              <w:spacing w:after="20" w:line="264" w:lineRule="auto"/>
            </w:pPr>
            <w:r>
              <w:rPr>
                <w:rFonts w:ascii="Calibri" w:hAnsi="Calibri"/>
                <w:color w:val="263238"/>
                <w:sz w:val="18"/>
              </w:rPr>
              <w:t xml:space="preserve">Public operational manuals</w:t>
            </w:r>
          </w:p>
        </w:tc>
        <w:tc>
          <w:tcPr>
            <w:tcW w:w="4300" w:type="dxa"/>
          </w:tcPr>
          <w:p>
            <w:pPr>
              <w:spacing w:after="20" w:line="264" w:lineRule="auto"/>
            </w:pPr>
            <w:r>
              <w:rPr>
                <w:rFonts w:ascii="Calibri" w:hAnsi="Calibri"/>
                <w:color w:val="263238"/>
                <w:sz w:val="18"/>
              </w:rPr>
              <w:t xml:space="preserve">Annex F: the Mariners' Handbook, free in three languages</w:t>
            </w:r>
          </w:p>
        </w:tc>
      </w:tr>
    </w:tbl>
    <w:p>
      <w:pPr>
        <w:spacing w:after="160"/>
      </w:pPr>
    </w:p>
    <w:p>
      <w:pPr>
        <w:pStyle w:val="Heading2"/>
      </w:pPr>
      <w:bookmarkStart w:id="263" w:name="_Toc261100163"/>
      <w:r>
        <w:rPr>
          <w:rFonts w:ascii="Calibri" w:hAnsi="Calibri"/>
        </w:rPr>
        <w:t xml:space="preserve">K.7 The Register's Use</w:t>
      </w:r>
      <w:bookmarkEnd w:id="263"/>
    </w:p>
    <w:p>
      <w:pPr>
        <w:jc w:val="both"/>
      </w:pPr>
      <w:r>
        <w:rPr/>
        <w:t xml:space="preserve">A participant preparing its domestic presentation of this Understanding reads its bloc's table first: every line it demanded in public stands mapped to black-letter provision. Where a reader finds a demand unmapped, the reader registers the gap with the Secretariat under Article 39, and the Bridge Commission answers it in writing within 30 days, either by pointing to the provision or by acknowledging the gap and routing it to the annex track of Article 41. The Register thereby stays honest, stays current, and keeps every participant's domestic case for the architecture provable from the text itself.</w:t>
      </w:r>
    </w:p>
    <w:p>
      <w:pPr>
        <w:pStyle w:val="Heading1"/>
        <w:pageBreakBefore/>
        <w:pBdr>
          <w:bottom w:val="single" w:color="B9C6CF" w:sz="6" w:space="4"/>
        </w:pBdr>
      </w:pPr>
      <w:bookmarkStart w:id="264" w:name="_Toc261100164"/>
      <w:r>
        <w:rPr>
          <w:rFonts w:ascii="Calibri" w:hAnsi="Calibri"/>
        </w:rPr>
        <w:t xml:space="preserve">Annex L: Deconfliction and Hotline Protocols</w:t>
      </w:r>
      <w:bookmarkEnd w:id="264"/>
    </w:p>
    <w:p>
      <w:pPr>
        <w:jc w:val="both"/>
      </w:pPr>
      <w:r>
        <w:rPr/>
        <w:t xml:space="preserve">This Annex carries the detailed protocols of Articles 15 and 16: hotline operating procedures, message formats, naval transit notification, the standoff escalation ladder, the convoy window protocol, and the rules for contributed assets of Endorsing Stakeholders. Every protocol obeys the five-step limit and the one-page principle.</w:t>
      </w:r>
    </w:p>
    <w:p>
      <w:pPr>
        <w:pStyle w:val="Heading2"/>
      </w:pPr>
      <w:bookmarkStart w:id="265" w:name="_Toc261100165"/>
      <w:r>
        <w:rPr>
          <w:rFonts w:ascii="Calibri" w:hAnsi="Calibri"/>
        </w:rPr>
        <w:t xml:space="preserve">L.1 Hotline Operating Procedures</w:t>
      </w:r>
      <w:bookmarkEnd w:id="265"/>
    </w:p>
    <w:p>
      <w:pPr>
        <w:jc w:val="both"/>
      </w:pPr>
      <w:r>
        <w:rPr/>
        <w:t xml:space="preserve">The deconfliction hotline of Article 16.1 operates under these procedures: (1) every connected desk staffs continuously and answers within 60 seconds; (2) an incident notification transmits within 15 minutes of detection, stating time, position, description, and immediate actions; (3) a clarification request receives a substantive answer within 2 hours; (4) every exchange records and archives under the custody rules of Article 10.4; and (5) the Neutral Verification Office audits response performance monthly and publishes the results. The hotline carries voice and structured data, and its common language is English with interpretation support in Persian and Arabic at every desk.</w:t>
      </w:r>
    </w:p>
    <w:p>
      <w:pPr>
        <w:pStyle w:val="Heading2"/>
      </w:pPr>
      <w:bookmarkStart w:id="266" w:name="_Toc261100166"/>
      <w:r>
        <w:rPr>
          <w:rFonts w:ascii="Calibri" w:hAnsi="Calibri"/>
        </w:rPr>
        <w:t xml:space="preserve">L.2 Message Formats</w:t>
      </w:r>
      <w:bookmarkEnd w:id="266"/>
    </w:p>
    <w:p>
      <w:pPr>
        <w:jc w:val="both"/>
      </w:pPr>
      <w:r>
        <w:rPr/>
        <w:t xml:space="preserve">Hotline traffic uses three standard messages. </w:t>
      </w:r>
      <w:r>
        <w:rPr>
          <w:b/>
        </w:rPr>
        <w:t xml:space="preserve">Message ALPHA</w:t>
      </w:r>
      <w:r>
        <w:rPr/>
        <w:t xml:space="preserve"> (incident): time, position, unit or vessel involved, nature of incident, action in progress, assistance needed. </w:t>
      </w:r>
      <w:r>
        <w:rPr>
          <w:b/>
        </w:rPr>
        <w:t xml:space="preserve">Message BRAVO</w:t>
      </w:r>
      <w:r>
        <w:rPr/>
        <w:t xml:space="preserve"> (clarification request): reference to the observed event, the specific question, the requested response time. </w:t>
      </w:r>
      <w:r>
        <w:rPr>
          <w:b/>
        </w:rPr>
        <w:t xml:space="preserve">Message CHARLIE</w:t>
      </w:r>
      <w:r>
        <w:rPr/>
        <w:t xml:space="preserve"> (coordination): planned movement or activity, time window, area, deconfliction request. Each message transmits on the structured channel and acknowledges within 5 minutes of receipt. The formats appear in full in the Mariners' Handbook's companion volume for liaison desks.</w:t>
      </w:r>
    </w:p>
    <w:p>
      <w:pPr>
        <w:pStyle w:val="Heading2"/>
      </w:pPr>
      <w:bookmarkStart w:id="267" w:name="_Toc261100167"/>
      <w:r>
        <w:rPr>
          <w:rFonts w:ascii="Calibri" w:hAnsi="Calibri"/>
        </w:rPr>
        <w:t xml:space="preserve">L.3 Naval Transit Notification</w:t>
      </w:r>
      <w:bookmarkEnd w:id="267"/>
    </w:p>
    <w:p>
      <w:pPr>
        <w:jc w:val="both"/>
      </w:pPr>
      <w:r>
        <w:rPr/>
        <w:t xml:space="preserve">A V-4 vessel intending to transit the Governance Area files the naval transit notification with the Deconfliction Desk between 48 and 6 hours before entry: vessel type and hull number at the level of category; course band and speed band; entry time and expected exit time; and a liaison contact. The Desk issues deconfliction routing within 3 hours of filing, keeping the vessel clear of commercial traffic peaks and of survey operations. The Desk holds no refusal power: notification serves deconfliction, never permission, and IPR-2 applies to warships exactly as to merchants.</w:t>
      </w:r>
    </w:p>
    <w:p>
      <w:pPr>
        <w:pStyle w:val="Heading2"/>
      </w:pPr>
      <w:bookmarkStart w:id="268" w:name="_Toc261100168"/>
      <w:r>
        <w:rPr>
          <w:rFonts w:ascii="Calibri" w:hAnsi="Calibri"/>
        </w:rPr>
        <w:t xml:space="preserve">L.4 The Standoff Escalation Ladder</w:t>
      </w:r>
      <w:bookmarkEnd w:id="268"/>
    </w:p>
    <w:p>
      <w:pPr>
        <w:jc w:val="both"/>
      </w:pPr>
      <w:r>
        <w:rPr/>
        <w:t xml:space="preserve">The ladder of Article 15.2 operates in four steps: (1) hail and log: the Joint Coordination Center hails the approaching vessel on the common channel and logs the approach with track data; (2) notify: the Deconfliction Desk sends Message BRAVO to the vessel's state liaison desk; (3) publish: the approach enters the public incident log with the track; (4) classify: a persistent approach beyond 60 minutes classifies under Article 32 with the convergent evidence attached. The ladder contains no rung for force. Its power is transparency: every approach becomes a public, evidenced, attributed record within hours.</w:t>
      </w:r>
    </w:p>
    <w:p>
      <w:pPr>
        <w:pStyle w:val="Heading2"/>
      </w:pPr>
      <w:bookmarkStart w:id="269" w:name="_Toc261100169"/>
      <w:r>
        <w:rPr>
          <w:rFonts w:ascii="Calibri" w:hAnsi="Calibri"/>
        </w:rPr>
        <w:t xml:space="preserve">L.5 The Convoy Window Protocol</w:t>
      </w:r>
      <w:bookmarkEnd w:id="269"/>
    </w:p>
    <w:p>
      <w:pPr>
        <w:jc w:val="both"/>
      </w:pPr>
      <w:r>
        <w:rPr/>
        <w:t xml:space="preserve">Convoy windows operate under service line S-9 on this protocol: (1) the Transit Desk publishes the week's convoy windows in every Bulletin; (2) an operator books a window through the agent portal, stating vessel, class, and preferred window; (3) the Desk confirms the window and issues the joining instructions: rendezvous at Anchorage Charlie or the western precautionary area, speed band, spacing, and channel; (4) the convoy transits with dedicated watch attention and, at the operator's request, coast guard presence along the corridor under Annex E; (5) the Desk issues each vessel's post-transit adherence certificate for its insurer. A convoy window changes no vessel's passage rights; it adds assurance to passage that is already free.</w:t>
      </w:r>
    </w:p>
    <w:p>
      <w:pPr>
        <w:pStyle w:val="Heading2"/>
      </w:pPr>
      <w:bookmarkStart w:id="270" w:name="_Toc261100170"/>
      <w:r>
        <w:rPr>
          <w:rFonts w:ascii="Calibri" w:hAnsi="Calibri"/>
        </w:rPr>
        <w:t xml:space="preserve">L.6 Contributed Assets of Endorsing Stakeholders</w:t>
      </w:r>
      <w:bookmarkEnd w:id="270"/>
    </w:p>
    <w:p>
      <w:pPr>
        <w:jc w:val="both"/>
      </w:pPr>
      <w:r>
        <w:rPr/>
        <w:t xml:space="preserve">Endorsing Stakeholders contribute assets to the architecture under these rules: (a) survey and mine countermeasure assets, including the autonomous mine-hunting systems offered by the France-United Kingdom mission, operate inside the Governance Area under the Joint Survey Cell's civilian direction, transmitting identification continuously and logging every operation in the Hazard Registry; (b) escort capacity stands available to the convoy window protocol at the Authority's request, operating in the Gulf of Oman approaches and inside the corridors only as part of a requested convoy window; (c) contributed sensors feed the fused picture under the custody rules; and (d) every contributed asset operates under the non-interdiction protocol and the civilian character principle: contributed assets protect and survey, and they never interdict, inspect, or condition any vessel. These rules convert the multinational mission's standing offer into a lawful, welcomed, and bounded contribution, coordinated with the coastal states rather than contested by them.</w:t>
      </w:r>
    </w:p>
    <w:p>
      <w:pPr>
        <w:pStyle w:val="Heading2"/>
      </w:pPr>
      <w:bookmarkStart w:id="271" w:name="_Toc261100171"/>
      <w:r>
        <w:rPr>
          <w:rFonts w:ascii="Calibri" w:hAnsi="Calibri"/>
        </w:rPr>
        <w:t xml:space="preserve">L.7 The Group Response Drill</w:t>
      </w:r>
      <w:bookmarkEnd w:id="271"/>
    </w:p>
    <w:p>
      <w:pPr>
        <w:jc w:val="both"/>
      </w:pPr>
      <w:r>
        <w:rPr/>
        <w:t xml:space="preserve">The Parties exercise the Group Response Commitment of Article 16.4 every 90 days: a simulated unattributed incident, the protective movement of patrol assets, the opening of the Central Assurance Corridor for emergency routing, the deployment of the Joint Survey Cell, and the Twin Key conference. The drill record publishes, and the Stability Audit reads it in Domain 2. The drill makes the commitment muscle memory rather than paper, so the first real unattributed incident meets a rehearsed collective response instead of an improvised unilateral one.</w:t>
      </w:r>
    </w:p>
    <w:p>
      <w:pPr>
        <w:pStyle w:val="Heading2"/>
      </w:pPr>
      <w:bookmarkStart w:id="272" w:name="_Toc261100172"/>
      <w:r>
        <w:rPr>
          <w:rFonts w:ascii="Calibri" w:hAnsi="Calibri"/>
        </w:rPr>
        <w:t xml:space="preserve">L.8 Signal Integrity Protocol</w:t>
      </w:r>
      <w:bookmarkEnd w:id="272"/>
    </w:p>
    <w:p>
      <w:pPr>
        <w:jc w:val="both"/>
      </w:pPr>
      <w:r>
        <w:rPr/>
        <w:t xml:space="preserve">The framework treats satellite navigation and identification signal integrity as a safety-critical utility: (a) the Integrity Cell monitors signal quality across the Governance Area continuously; (b) any detected jamming or spoofing triggers immediate publication with the affected area, so mariners switch to the redundant positioning procedures of the Handbook; (c) the event classifies as Tier 3 under Article 15.4; and (d) the fused picture's radar and inertial redundancy keeps the corridors navigable through the interference. The protocol exists because interference with navigation signals kills mariners quietly, and the architecture answers it loudly, instantly, and publicly.</w:t>
      </w:r>
    </w:p>
    <w:p>
      <w:pPr>
        <w:pStyle w:val="Heading1"/>
        <w:pageBreakBefore/>
        <w:pBdr>
          <w:bottom w:val="single" w:color="B9C6CF" w:sz="6" w:space="4"/>
        </w:pBdr>
      </w:pPr>
      <w:bookmarkStart w:id="273" w:name="_Toc261100173"/>
      <w:r>
        <w:rPr>
          <w:rFonts w:ascii="Calibri" w:hAnsi="Calibri"/>
        </w:rPr>
        <w:t xml:space="preserve">Annex M: Accession, Adherence, and Participation Instruments</w:t>
      </w:r>
      <w:bookmarkEnd w:id="273"/>
    </w:p>
    <w:p>
      <w:pPr>
        <w:jc w:val="both"/>
      </w:pPr>
      <w:r>
        <w:rPr/>
        <w:t xml:space="preserve">This Annex carries the model instruments for accession, endorsement, and observer participation. Each instrument executes in the three languages of this Understanding, deposits with the Depositary, and publishes in full. Each states on its face the synchronized obligations that attach to it under IPR-16, so that no participant signs anything whose pairing it has not read.</w:t>
      </w:r>
    </w:p>
    <w:p>
      <w:pPr>
        <w:pStyle w:val="Heading2"/>
      </w:pPr>
      <w:bookmarkStart w:id="274" w:name="_Toc261100174"/>
      <w:r>
        <w:rPr>
          <w:rFonts w:ascii="Calibri" w:hAnsi="Calibri"/>
        </w:rPr>
        <w:t xml:space="preserve">M.1 Participation Levels</w:t>
      </w:r>
      <w:bookmarkEnd w:id="274"/>
    </w:p>
    <w:p>
      <w:pPr>
        <w:jc w:val="both"/>
      </w:pPr>
      <w:r>
        <w:rPr/>
        <w:t xml:space="preserve">The architecture offers four participation levels, and every participant sees its path upward: (1) </w:t>
      </w:r>
      <w:r>
        <w:rPr>
          <w:b/>
        </w:rPr>
        <w:t xml:space="preserve">Observer</w:t>
      </w:r>
      <w:r>
        <w:rPr/>
        <w:t xml:space="preserve">: fused picture access, incident log access, attendance without vote; open to GCC states from Day 1 and to other states by Bridge Commission consent. (2) </w:t>
      </w:r>
      <w:r>
        <w:rPr>
          <w:b/>
        </w:rPr>
        <w:t xml:space="preserve">Endorsing Stakeholder</w:t>
      </w:r>
      <w:r>
        <w:rPr/>
        <w:t xml:space="preserve">: the observer package plus a deconfliction channel, a standing observer seat, and contribution rights under Annex L, Section L.6; open to states and coalitions that endorse the instrument. (3) </w:t>
      </w:r>
      <w:r>
        <w:rPr>
          <w:b/>
        </w:rPr>
        <w:t xml:space="preserve">Acceding Party</w:t>
      </w:r>
      <w:r>
        <w:rPr/>
        <w:t xml:space="preserve">: full participation for Gulf littoral states: collective voting weight in the Bridge Commission, watch officer contribution, liaison desk connection, and every right of Part IV. (4) </w:t>
      </w:r>
      <w:r>
        <w:rPr>
          <w:b/>
        </w:rPr>
        <w:t xml:space="preserve">Founding Party</w:t>
      </w:r>
      <w:r>
        <w:rPr/>
        <w:t xml:space="preserve">: the two coastal sovereigns, with the paired vote and the Twin Key.</w:t>
      </w:r>
    </w:p>
    <w:p>
      <w:pPr>
        <w:pStyle w:val="Heading2"/>
      </w:pPr>
      <w:bookmarkStart w:id="275" w:name="_Toc261100175"/>
      <w:r>
        <w:rPr>
          <w:rFonts w:ascii="Calibri" w:hAnsi="Calibri"/>
        </w:rPr>
        <w:t xml:space="preserve">M.2 Model Accession Instrument (Gulf Littoral States)</w:t>
      </w:r>
      <w:bookmarkEnd w:id="275"/>
    </w:p>
    <w:p>
      <w:pPr>
        <w:jc w:val="both"/>
      </w:pPr>
      <w:r>
        <w:rPr/>
        <w:t xml:space="preserve">The accession instrument reads in substance: The [acceding state], sharing the principles of the Hormuz Multilateral Peace Understanding and accepting its obligations in full, accedes to the Understanding as an Acceding Party. The instrument acknowledges: the Inviolable Principles Register as the measure of the system; the Zero-Toll Rule and the non-interdiction protocol as untouchable; the acceding state's rights under Part IV; and the Standing Continuity Guarantee. The instrument takes effect on deposit, and the acceding state's watch officers join the pairing pool within 90 days under the training standard of the Secretariat.</w:t>
      </w:r>
    </w:p>
    <w:p>
      <w:pPr>
        <w:pStyle w:val="Heading2"/>
      </w:pPr>
      <w:bookmarkStart w:id="276" w:name="_Toc261100176"/>
      <w:r>
        <w:rPr>
          <w:rFonts w:ascii="Calibri" w:hAnsi="Calibri"/>
        </w:rPr>
        <w:t xml:space="preserve">M.3 Model Endorsement Instrument (Endorsing Stakeholders)</w:t>
      </w:r>
      <w:bookmarkEnd w:id="276"/>
    </w:p>
    <w:p>
      <w:pPr>
        <w:jc w:val="both"/>
      </w:pPr>
      <w:r>
        <w:rPr/>
        <w:t xml:space="preserve">The endorsement instrument reads in substance: The [endorsing state or coalition] endorses the Hormuz Multilateral Peace Understanding, accepts the Endorsing Stakeholder model of Article 24.2, and registers with the Depositary. The instrument states on its face: the synchronized obligations of IPR-16 that attach to the endorser, including, for the United States, the termination of every blockade measure and impediment to passage in the Synchronized Indivisible Event; the endorser's monitoring access, deconfliction channel, and standing observer seat; the endorser's acceptance that it holds no command, veto, or enforcement role; and the endorser's contribution rights under Annex L, Section L.6. The instrument takes effect on deposit, and the synchronized obligations execute as Article 36 states.</w:t>
      </w:r>
    </w:p>
    <w:p>
      <w:pPr>
        <w:pStyle w:val="Heading2"/>
      </w:pPr>
      <w:bookmarkStart w:id="277" w:name="_Toc261100177"/>
      <w:r>
        <w:rPr>
          <w:rFonts w:ascii="Calibri" w:hAnsi="Calibri"/>
        </w:rPr>
        <w:t xml:space="preserve">M.4 The United States Instrument</w:t>
      </w:r>
      <w:bookmarkEnd w:id="277"/>
    </w:p>
    <w:p>
      <w:pPr>
        <w:jc w:val="both"/>
      </w:pPr>
      <w:r>
        <w:rPr/>
        <w:t xml:space="preserve">The adherence of the United States of America executes on the model of Section M.3 with the following particular terms: (a) the instrument names the blockade measures of July 2026 and terminates them in the Indivisible Hour; (b) it connects the United States Central Command liaison desk to the hotline of Article 16.1; (c) it records the protective presence the United States offers the region as operating outside the corridor system under Article 15.5, in consultation with the Deconfliction Desk; and (d) it records the United States' endorsement of the Zero-Toll Rule and its acceptance that the financial architecture of Part V satisfies its published position that passage carries no charge. The instrument thereby converts the relationship between the United States and the strait's governance from confrontation to chartered observation, at zero cost to the United States' red lines and zero cost to the Founding Parties' sovereignty.</w:t>
      </w:r>
    </w:p>
    <w:p>
      <w:pPr>
        <w:pStyle w:val="Heading2"/>
      </w:pPr>
      <w:bookmarkStart w:id="278" w:name="_Toc261100178"/>
      <w:r>
        <w:rPr>
          <w:rFonts w:ascii="Calibri" w:hAnsi="Calibri"/>
        </w:rPr>
        <w:t xml:space="preserve">M.5 The France-United Kingdom Mission Instrument</w:t>
      </w:r>
      <w:bookmarkEnd w:id="278"/>
    </w:p>
    <w:p>
      <w:pPr>
        <w:jc w:val="both"/>
      </w:pPr>
      <w:r>
        <w:rPr/>
        <w:t xml:space="preserve">The adherence of the France-United Kingdom Multinational Maritime Mission executes on the model of Section M.3 with the following particular terms: (a) the mission's mine-hunting, survey, and counter-drone capabilities contribute to the Joint Survey Cell under civilian direction; (b) the mission's escort capacity stands available to the convoy window protocol at the Authority's request; (c) the mission's contributing states connect liaison desks to the hotline; and (d) the instrument records the mission's strictly defensive character and its subordination to the civilian architecture, in full respect of the position of the coastal states that foreign warships hold no governance role in the Strait. The instrument gives the forty-nation coalition a defined, useful, lawful function inside the architecture rather than a contested presence beside it.</w:t>
      </w:r>
    </w:p>
    <w:p>
      <w:pPr>
        <w:pStyle w:val="Heading2"/>
      </w:pPr>
      <w:bookmarkStart w:id="279" w:name="_Toc261100179"/>
      <w:r>
        <w:rPr>
          <w:rFonts w:ascii="Calibri" w:hAnsi="Calibri"/>
        </w:rPr>
        <w:t xml:space="preserve">M.6 Observer Instruments</w:t>
      </w:r>
      <w:bookmarkEnd w:id="279"/>
    </w:p>
    <w:p>
      <w:pPr>
        <w:jc w:val="both"/>
      </w:pPr>
      <w:r>
        <w:rPr/>
        <w:t xml:space="preserve">The observer instrument for the IMO, the IHO, and the United Nations Mine Action Service reads in substance: the organization accepts standing technical observer status, receives the survey data, geometry registry, and audit outputs, and performs the interface functions its mandate covers, holding no governance role. Observer instruments for states follow the model of Section M.1, level 1. Each observer instrument restates the data sanctity principle of IPR-12 as a condition of access.</w:t>
      </w:r>
    </w:p>
    <w:p>
      <w:pPr>
        <w:pStyle w:val="Heading2"/>
      </w:pPr>
      <w:bookmarkStart w:id="280" w:name="_Toc261100180"/>
      <w:r>
        <w:rPr>
          <w:rFonts w:ascii="Calibri" w:hAnsi="Calibri"/>
        </w:rPr>
        <w:t xml:space="preserve">M.7 Signature and Deposit Procedure</w:t>
      </w:r>
      <w:bookmarkEnd w:id="280"/>
    </w:p>
    <w:p>
      <w:pPr>
        <w:jc w:val="both"/>
      </w:pPr>
      <w:r>
        <w:rPr/>
        <w:t xml:space="preserve">Every instrument under this Annex executes in three originals, one in each language; deposits with the Depositary at Muscat; registers with the United Nations under Article 45.1; and publishes in the transparency rhythm of Article 44.2. The Depositary issues certified copies to every participant within seven days of each deposit, and the Master Synchronization Calendar records every deposit and its effects.</w:t>
      </w:r>
    </w:p>
    <w:p>
      <w:pPr>
        <w:pStyle w:val="Heading1"/>
        <w:pageBreakBefore/>
        <w:pBdr>
          <w:bottom w:val="single" w:color="B9C6CF" w:sz="6" w:space="4"/>
        </w:pBdr>
      </w:pPr>
      <w:bookmarkStart w:id="281" w:name="_Toc261100181"/>
      <w:r>
        <w:rPr>
          <w:rFonts w:ascii="Calibri" w:hAnsi="Calibri"/>
        </w:rPr>
        <w:t xml:space="preserve">Annex N: Glossary and Definitions</w:t>
      </w:r>
      <w:bookmarkEnd w:id="281"/>
    </w:p>
    <w:p>
      <w:pPr>
        <w:jc w:val="both"/>
      </w:pPr>
      <w:r>
        <w:rPr/>
        <w:t xml:space="preserve">This Annex carries the complete glossary of this Understanding. Article 2.1 states the core definitions; this Annex completes them. Where a term appears in both Article 2.1 and this Annex, the entries read together. Every definition drafts in plain language, and the Technical Standards Committee maintains this Annex under the annex track of Article 41.</w:t>
      </w:r>
    </w:p>
    <w:p>
      <w:pPr>
        <w:pStyle w:val="Heading2"/>
      </w:pPr>
      <w:bookmarkStart w:id="282" w:name="_Toc261100182"/>
      <w:r>
        <w:rPr>
          <w:rFonts w:ascii="Calibri" w:hAnsi="Calibri"/>
        </w:rPr>
        <w:t xml:space="preserve">N.1 Terms</w:t>
      </w:r>
      <w:bookmarkEnd w:id="282"/>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2600"/>
        <w:gridCol w:w="6900"/>
      </w:tblGrid>
      <w:tr>
        <w:trPr>
          <w:tblHeader/>
        </w:trPr>
        <w:tc>
          <w:tcPr>
            <w:tcW w:w="2600" w:type="dxa"/>
            <w:shd w:val="clear" w:fill="E8EDF1"/>
          </w:tcPr>
          <w:p>
            <w:pPr>
              <w:spacing w:after="20" w:line="264" w:lineRule="auto"/>
            </w:pPr>
            <w:r>
              <w:rPr>
                <w:rFonts w:ascii="Calibri" w:hAnsi="Calibri"/>
                <w:b/>
                <w:color w:val="2E4A62"/>
                <w:sz w:val="18"/>
              </w:rPr>
              <w:t xml:space="preserve">Term</w:t>
            </w:r>
          </w:p>
        </w:tc>
        <w:tc>
          <w:tcPr>
            <w:tcW w:w="6900" w:type="dxa"/>
            <w:shd w:val="clear" w:fill="E8EDF1"/>
          </w:tcPr>
          <w:p>
            <w:pPr>
              <w:spacing w:after="20" w:line="264" w:lineRule="auto"/>
            </w:pPr>
            <w:r>
              <w:rPr>
                <w:rFonts w:ascii="Calibri" w:hAnsi="Calibri"/>
                <w:b/>
                <w:color w:val="2E4A62"/>
                <w:sz w:val="18"/>
              </w:rPr>
              <w:t xml:space="preserve">Definition</w:t>
            </w:r>
          </w:p>
        </w:tc>
      </w:tr>
      <w:tr>
        <w:tc>
          <w:tcPr>
            <w:tcW w:w="2600" w:type="dxa"/>
          </w:tcPr>
          <w:p>
            <w:pPr>
              <w:spacing w:after="20" w:line="264" w:lineRule="auto"/>
            </w:pPr>
            <w:r>
              <w:rPr>
                <w:rFonts w:ascii="Calibri" w:hAnsi="Calibri"/>
                <w:color w:val="263238"/>
                <w:sz w:val="18"/>
              </w:rPr>
              <w:t xml:space="preserve">Acceding Party</w:t>
            </w:r>
          </w:p>
        </w:tc>
        <w:tc>
          <w:tcPr>
            <w:tcW w:w="6900" w:type="dxa"/>
          </w:tcPr>
          <w:p>
            <w:pPr>
              <w:spacing w:after="20" w:line="264" w:lineRule="auto"/>
            </w:pPr>
            <w:r>
              <w:rPr>
                <w:rFonts w:ascii="Calibri" w:hAnsi="Calibri"/>
                <w:color w:val="263238"/>
                <w:sz w:val="18"/>
              </w:rPr>
              <w:t xml:space="preserve">A Gulf littoral state that deposits the accession instrument of Annex M, Section M.2, and holds the rights of Part IV</w:t>
            </w:r>
          </w:p>
        </w:tc>
      </w:tr>
      <w:tr>
        <w:tc>
          <w:tcPr>
            <w:tcW w:w="2600" w:type="dxa"/>
          </w:tcPr>
          <w:p>
            <w:pPr>
              <w:spacing w:after="20" w:line="264" w:lineRule="auto"/>
            </w:pPr>
            <w:r>
              <w:rPr>
                <w:rFonts w:ascii="Calibri" w:hAnsi="Calibri"/>
                <w:color w:val="263238"/>
                <w:sz w:val="18"/>
              </w:rPr>
              <w:t xml:space="preserve">Acknowledgment</w:t>
            </w:r>
          </w:p>
        </w:tc>
        <w:tc>
          <w:tcPr>
            <w:tcW w:w="6900" w:type="dxa"/>
          </w:tcPr>
          <w:p>
            <w:pPr>
              <w:spacing w:after="20" w:line="264" w:lineRule="auto"/>
            </w:pPr>
            <w:r>
              <w:rPr>
                <w:rFonts w:ascii="Calibri" w:hAnsi="Calibri"/>
                <w:color w:val="263238"/>
                <w:sz w:val="18"/>
              </w:rPr>
              <w:t xml:space="preserve">The Transit Desk's confirmation of receipt and completeness of a transit notice; never an approval</w:t>
            </w:r>
          </w:p>
        </w:tc>
      </w:tr>
      <w:tr>
        <w:tc>
          <w:tcPr>
            <w:tcW w:w="2600" w:type="dxa"/>
          </w:tcPr>
          <w:p>
            <w:pPr>
              <w:spacing w:after="20" w:line="264" w:lineRule="auto"/>
            </w:pPr>
            <w:r>
              <w:rPr>
                <w:rFonts w:ascii="Calibri" w:hAnsi="Calibri"/>
                <w:color w:val="263238"/>
                <w:sz w:val="18"/>
              </w:rPr>
              <w:t xml:space="preserve">Activation day</w:t>
            </w:r>
          </w:p>
        </w:tc>
        <w:tc>
          <w:tcPr>
            <w:tcW w:w="6900" w:type="dxa"/>
          </w:tcPr>
          <w:p>
            <w:pPr>
              <w:spacing w:after="20" w:line="264" w:lineRule="auto"/>
            </w:pPr>
            <w:r>
              <w:rPr>
                <w:rFonts w:ascii="Calibri" w:hAnsi="Calibri"/>
                <w:color w:val="263238"/>
                <w:sz w:val="18"/>
              </w:rPr>
              <w:t xml:space="preserve">The day the Bridge Commission declares for the Synchronized Indivisible Event, Day 20 of the activation timeline</w:t>
            </w:r>
          </w:p>
        </w:tc>
      </w:tr>
      <w:tr>
        <w:tc>
          <w:tcPr>
            <w:tcW w:w="2600" w:type="dxa"/>
          </w:tcPr>
          <w:p>
            <w:pPr>
              <w:spacing w:after="20" w:line="264" w:lineRule="auto"/>
            </w:pPr>
            <w:r>
              <w:rPr>
                <w:rFonts w:ascii="Calibri" w:hAnsi="Calibri"/>
                <w:color w:val="263238"/>
                <w:sz w:val="18"/>
              </w:rPr>
              <w:t xml:space="preserve">Authority</w:t>
            </w:r>
          </w:p>
        </w:tc>
        <w:tc>
          <w:tcPr>
            <w:tcW w:w="6900" w:type="dxa"/>
          </w:tcPr>
          <w:p>
            <w:pPr>
              <w:spacing w:after="20" w:line="264" w:lineRule="auto"/>
            </w:pPr>
            <w:r>
              <w:rPr>
                <w:rFonts w:ascii="Calibri" w:hAnsi="Calibri"/>
                <w:color w:val="263238"/>
                <w:sz w:val="18"/>
              </w:rPr>
              <w:t xml:space="preserve">The Horizon Maritime Authority, established by Article 18</w:t>
            </w:r>
          </w:p>
        </w:tc>
      </w:tr>
      <w:tr>
        <w:tc>
          <w:tcPr>
            <w:tcW w:w="2600" w:type="dxa"/>
          </w:tcPr>
          <w:p>
            <w:pPr>
              <w:spacing w:after="20" w:line="264" w:lineRule="auto"/>
            </w:pPr>
            <w:r>
              <w:rPr>
                <w:rFonts w:ascii="Calibri" w:hAnsi="Calibri"/>
                <w:color w:val="263238"/>
                <w:sz w:val="18"/>
              </w:rPr>
              <w:t xml:space="preserve">Banked performance</w:t>
            </w:r>
          </w:p>
        </w:tc>
        <w:tc>
          <w:tcPr>
            <w:tcW w:w="6900" w:type="dxa"/>
          </w:tcPr>
          <w:p>
            <w:pPr>
              <w:spacing w:after="20" w:line="264" w:lineRule="auto"/>
            </w:pPr>
            <w:r>
              <w:rPr>
                <w:rFonts w:ascii="Calibri" w:hAnsi="Calibri"/>
                <w:color w:val="263238"/>
                <w:sz w:val="18"/>
              </w:rPr>
              <w:t xml:space="preserve">Verified performance certified and permanently retained under Article 5.3</w:t>
            </w:r>
          </w:p>
        </w:tc>
      </w:tr>
      <w:tr>
        <w:tc>
          <w:tcPr>
            <w:tcW w:w="2600" w:type="dxa"/>
          </w:tcPr>
          <w:p>
            <w:pPr>
              <w:spacing w:after="20" w:line="264" w:lineRule="auto"/>
            </w:pPr>
            <w:r>
              <w:rPr>
                <w:rFonts w:ascii="Calibri" w:hAnsi="Calibri"/>
                <w:color w:val="263238"/>
                <w:sz w:val="18"/>
              </w:rPr>
              <w:t xml:space="preserve">Bridge Commission</w:t>
            </w:r>
          </w:p>
        </w:tc>
        <w:tc>
          <w:tcPr>
            <w:tcW w:w="6900" w:type="dxa"/>
          </w:tcPr>
          <w:p>
            <w:pPr>
              <w:spacing w:after="20" w:line="264" w:lineRule="auto"/>
            </w:pPr>
            <w:r>
              <w:rPr>
                <w:rFonts w:ascii="Calibri" w:hAnsi="Calibri"/>
                <w:color w:val="263238"/>
                <w:sz w:val="18"/>
              </w:rPr>
              <w:t xml:space="preserve">The Hormuz Bridge Commission, the senior organ of Article 22</w:t>
            </w:r>
          </w:p>
        </w:tc>
      </w:tr>
      <w:tr>
        <w:tc>
          <w:tcPr>
            <w:tcW w:w="2600" w:type="dxa"/>
          </w:tcPr>
          <w:p>
            <w:pPr>
              <w:spacing w:after="20" w:line="264" w:lineRule="auto"/>
            </w:pPr>
            <w:r>
              <w:rPr>
                <w:rFonts w:ascii="Calibri" w:hAnsi="Calibri"/>
                <w:color w:val="263238"/>
                <w:sz w:val="18"/>
              </w:rPr>
              <w:t xml:space="preserve">Central Assurance Corridor</w:t>
            </w:r>
          </w:p>
        </w:tc>
        <w:tc>
          <w:tcPr>
            <w:tcW w:w="6900" w:type="dxa"/>
          </w:tcPr>
          <w:p>
            <w:pPr>
              <w:spacing w:after="20" w:line="264" w:lineRule="auto"/>
            </w:pPr>
            <w:r>
              <w:rPr>
                <w:rFonts w:ascii="Calibri" w:hAnsi="Calibri"/>
                <w:color w:val="263238"/>
                <w:sz w:val="18"/>
              </w:rPr>
              <w:t xml:space="preserve">The co-administered safety and separation corridor of Article 8.4</w:t>
            </w:r>
          </w:p>
        </w:tc>
      </w:tr>
      <w:tr>
        <w:tc>
          <w:tcPr>
            <w:tcW w:w="2600" w:type="dxa"/>
          </w:tcPr>
          <w:p>
            <w:pPr>
              <w:spacing w:after="20" w:line="264" w:lineRule="auto"/>
            </w:pPr>
            <w:r>
              <w:rPr>
                <w:rFonts w:ascii="Calibri" w:hAnsi="Calibri"/>
                <w:color w:val="263238"/>
                <w:sz w:val="18"/>
              </w:rPr>
              <w:t xml:space="preserve">Charge</w:t>
            </w:r>
          </w:p>
        </w:tc>
        <w:tc>
          <w:tcPr>
            <w:tcW w:w="6900" w:type="dxa"/>
          </w:tcPr>
          <w:p>
            <w:pPr>
              <w:spacing w:after="20" w:line="264" w:lineRule="auto"/>
            </w:pPr>
            <w:r>
              <w:rPr>
                <w:rFonts w:ascii="Calibri" w:hAnsi="Calibri"/>
                <w:color w:val="263238"/>
                <w:sz w:val="18"/>
              </w:rPr>
              <w:t xml:space="preserve">Any demand for payment connected with passage, as Article 2.1 defines</w:t>
            </w:r>
          </w:p>
        </w:tc>
      </w:tr>
      <w:tr>
        <w:tc>
          <w:tcPr>
            <w:tcW w:w="2600" w:type="dxa"/>
          </w:tcPr>
          <w:p>
            <w:pPr>
              <w:spacing w:after="20" w:line="264" w:lineRule="auto"/>
            </w:pPr>
            <w:r>
              <w:rPr>
                <w:rFonts w:ascii="Calibri" w:hAnsi="Calibri"/>
                <w:color w:val="263238"/>
                <w:sz w:val="18"/>
              </w:rPr>
              <w:t xml:space="preserve">Clean week</w:t>
            </w:r>
          </w:p>
        </w:tc>
        <w:tc>
          <w:tcPr>
            <w:tcW w:w="6900" w:type="dxa"/>
          </w:tcPr>
          <w:p>
            <w:pPr>
              <w:spacing w:after="20" w:line="264" w:lineRule="auto"/>
            </w:pPr>
            <w:r>
              <w:rPr>
                <w:rFonts w:ascii="Calibri" w:hAnsi="Calibri"/>
                <w:color w:val="263238"/>
                <w:sz w:val="18"/>
              </w:rPr>
              <w:t xml:space="preserve">A week certified under Annex H, Section H.1, with no Tier 2 or Tier 3 event attaching to a Party</w:t>
            </w:r>
          </w:p>
        </w:tc>
      </w:tr>
      <w:tr>
        <w:tc>
          <w:tcPr>
            <w:tcW w:w="2600" w:type="dxa"/>
          </w:tcPr>
          <w:p>
            <w:pPr>
              <w:spacing w:after="20" w:line="264" w:lineRule="auto"/>
            </w:pPr>
            <w:r>
              <w:rPr>
                <w:rFonts w:ascii="Calibri" w:hAnsi="Calibri"/>
                <w:color w:val="263238"/>
                <w:sz w:val="18"/>
              </w:rPr>
              <w:t xml:space="preserve">Consequential action</w:t>
            </w:r>
          </w:p>
        </w:tc>
        <w:tc>
          <w:tcPr>
            <w:tcW w:w="6900" w:type="dxa"/>
          </w:tcPr>
          <w:p>
            <w:pPr>
              <w:spacing w:after="20" w:line="264" w:lineRule="auto"/>
            </w:pPr>
            <w:r>
              <w:rPr>
                <w:rFonts w:ascii="Calibri" w:hAnsi="Calibri"/>
                <w:color w:val="263238"/>
                <w:sz w:val="18"/>
              </w:rPr>
              <w:t xml:space="preserve">One of the eight actions of Article 14.2 that carries the Twin Key rule</w:t>
            </w:r>
          </w:p>
        </w:tc>
      </w:tr>
      <w:tr>
        <w:tc>
          <w:tcPr>
            <w:tcW w:w="2600" w:type="dxa"/>
          </w:tcPr>
          <w:p>
            <w:pPr>
              <w:spacing w:after="20" w:line="264" w:lineRule="auto"/>
            </w:pPr>
            <w:r>
              <w:rPr>
                <w:rFonts w:ascii="Calibri" w:hAnsi="Calibri"/>
                <w:color w:val="263238"/>
                <w:sz w:val="18"/>
              </w:rPr>
              <w:t xml:space="preserve">Contribution</w:t>
            </w:r>
          </w:p>
        </w:tc>
        <w:tc>
          <w:tcPr>
            <w:tcW w:w="6900" w:type="dxa"/>
          </w:tcPr>
          <w:p>
            <w:pPr>
              <w:spacing w:after="20" w:line="264" w:lineRule="auto"/>
            </w:pPr>
            <w:r>
              <w:rPr>
                <w:rFonts w:ascii="Calibri" w:hAnsi="Calibri"/>
                <w:color w:val="263238"/>
                <w:sz w:val="18"/>
              </w:rPr>
              <w:t xml:space="preserve">A voluntary payment into the Fund under Article 27; never a condition of passage</w:t>
            </w:r>
          </w:p>
        </w:tc>
      </w:tr>
      <w:tr>
        <w:tc>
          <w:tcPr>
            <w:tcW w:w="2600" w:type="dxa"/>
          </w:tcPr>
          <w:p>
            <w:pPr>
              <w:spacing w:after="20" w:line="264" w:lineRule="auto"/>
            </w:pPr>
            <w:r>
              <w:rPr>
                <w:rFonts w:ascii="Calibri" w:hAnsi="Calibri"/>
                <w:color w:val="263238"/>
                <w:sz w:val="18"/>
              </w:rPr>
              <w:t xml:space="preserve">Convergence Standard</w:t>
            </w:r>
          </w:p>
        </w:tc>
        <w:tc>
          <w:tcPr>
            <w:tcW w:w="6900" w:type="dxa"/>
          </w:tcPr>
          <w:p>
            <w:pPr>
              <w:spacing w:after="20" w:line="264" w:lineRule="auto"/>
            </w:pPr>
            <w:r>
              <w:rPr>
                <w:rFonts w:ascii="Calibri" w:hAnsi="Calibri"/>
                <w:color w:val="263238"/>
                <w:sz w:val="18"/>
              </w:rPr>
              <w:t xml:space="preserve">The rule of Article 30.2: no consequential finding rests on fewer than two independent inputs</w:t>
            </w:r>
          </w:p>
        </w:tc>
      </w:tr>
      <w:tr>
        <w:tc>
          <w:tcPr>
            <w:tcW w:w="2600" w:type="dxa"/>
          </w:tcPr>
          <w:p>
            <w:pPr>
              <w:spacing w:after="20" w:line="264" w:lineRule="auto"/>
            </w:pPr>
            <w:r>
              <w:rPr>
                <w:rFonts w:ascii="Calibri" w:hAnsi="Calibri"/>
                <w:color w:val="263238"/>
                <w:sz w:val="18"/>
              </w:rPr>
              <w:t xml:space="preserve">Corridor function</w:t>
            </w:r>
          </w:p>
        </w:tc>
        <w:tc>
          <w:tcPr>
            <w:tcW w:w="6900" w:type="dxa"/>
          </w:tcPr>
          <w:p>
            <w:pPr>
              <w:spacing w:after="20" w:line="264" w:lineRule="auto"/>
            </w:pPr>
            <w:r>
              <w:rPr>
                <w:rFonts w:ascii="Calibri" w:hAnsi="Calibri"/>
                <w:color w:val="263238"/>
                <w:sz w:val="18"/>
              </w:rPr>
              <w:t xml:space="preserve">One of the ten operational tasks of Article 13.3</w:t>
            </w:r>
          </w:p>
        </w:tc>
      </w:tr>
      <w:tr>
        <w:tc>
          <w:tcPr>
            <w:tcW w:w="2600" w:type="dxa"/>
          </w:tcPr>
          <w:p>
            <w:pPr>
              <w:spacing w:after="20" w:line="264" w:lineRule="auto"/>
            </w:pPr>
            <w:r>
              <w:rPr>
                <w:rFonts w:ascii="Calibri" w:hAnsi="Calibri"/>
                <w:color w:val="263238"/>
                <w:sz w:val="18"/>
              </w:rPr>
              <w:t xml:space="preserve">Deconfliction Desk</w:t>
            </w:r>
          </w:p>
        </w:tc>
        <w:tc>
          <w:tcPr>
            <w:tcW w:w="6900" w:type="dxa"/>
          </w:tcPr>
          <w:p>
            <w:pPr>
              <w:spacing w:after="20" w:line="264" w:lineRule="auto"/>
            </w:pPr>
            <w:r>
              <w:rPr>
                <w:rFonts w:ascii="Calibri" w:hAnsi="Calibri"/>
                <w:color w:val="263238"/>
                <w:sz w:val="18"/>
              </w:rPr>
              <w:t xml:space="preserve">The desk of Article 16 that manages military liaison and naval transit notification</w:t>
            </w:r>
          </w:p>
        </w:tc>
      </w:tr>
      <w:tr>
        <w:tc>
          <w:tcPr>
            <w:tcW w:w="2600" w:type="dxa"/>
          </w:tcPr>
          <w:p>
            <w:pPr>
              <w:spacing w:after="20" w:line="264" w:lineRule="auto"/>
            </w:pPr>
            <w:r>
              <w:rPr>
                <w:rFonts w:ascii="Calibri" w:hAnsi="Calibri"/>
                <w:color w:val="263238"/>
                <w:sz w:val="18"/>
              </w:rPr>
              <w:t xml:space="preserve">Depositary</w:t>
            </w:r>
          </w:p>
        </w:tc>
        <w:tc>
          <w:tcPr>
            <w:tcW w:w="6900" w:type="dxa"/>
          </w:tcPr>
          <w:p>
            <w:pPr>
              <w:spacing w:after="20" w:line="264" w:lineRule="auto"/>
            </w:pPr>
            <w:r>
              <w:rPr>
                <w:rFonts w:ascii="Calibri" w:hAnsi="Calibri"/>
                <w:color w:val="263238"/>
                <w:sz w:val="18"/>
              </w:rPr>
              <w:t xml:space="preserve">The Sultanate of Oman, Ministry of Foreign Affairs</w:t>
            </w:r>
          </w:p>
        </w:tc>
      </w:tr>
      <w:tr>
        <w:tc>
          <w:tcPr>
            <w:tcW w:w="2600" w:type="dxa"/>
          </w:tcPr>
          <w:p>
            <w:pPr>
              <w:spacing w:after="20" w:line="264" w:lineRule="auto"/>
            </w:pPr>
            <w:r>
              <w:rPr>
                <w:rFonts w:ascii="Calibri" w:hAnsi="Calibri"/>
                <w:color w:val="263238"/>
                <w:sz w:val="18"/>
              </w:rPr>
              <w:t xml:space="preserve">Endorsing Stakeholder</w:t>
            </w:r>
          </w:p>
        </w:tc>
        <w:tc>
          <w:tcPr>
            <w:tcW w:w="6900" w:type="dxa"/>
          </w:tcPr>
          <w:p>
            <w:pPr>
              <w:spacing w:after="20" w:line="264" w:lineRule="auto"/>
            </w:pPr>
            <w:r>
              <w:rPr>
                <w:rFonts w:ascii="Calibri" w:hAnsi="Calibri"/>
                <w:color w:val="263238"/>
                <w:sz w:val="18"/>
              </w:rPr>
              <w:t xml:space="preserve">A state or coalition registered under Article 24.2 with monitoring access, a deconfliction channel, and a standing observer seat</w:t>
            </w:r>
          </w:p>
        </w:tc>
      </w:tr>
      <w:tr>
        <w:tc>
          <w:tcPr>
            <w:tcW w:w="2600" w:type="dxa"/>
          </w:tcPr>
          <w:p>
            <w:pPr>
              <w:spacing w:after="20" w:line="264" w:lineRule="auto"/>
            </w:pPr>
            <w:r>
              <w:rPr>
                <w:rFonts w:ascii="Calibri" w:hAnsi="Calibri"/>
                <w:color w:val="263238"/>
                <w:sz w:val="18"/>
              </w:rPr>
              <w:t xml:space="preserve">Escalator</w:t>
            </w:r>
          </w:p>
        </w:tc>
        <w:tc>
          <w:tcPr>
            <w:tcW w:w="6900" w:type="dxa"/>
          </w:tcPr>
          <w:p>
            <w:pPr>
              <w:spacing w:after="20" w:line="264" w:lineRule="auto"/>
            </w:pPr>
            <w:r>
              <w:rPr>
                <w:rFonts w:ascii="Calibri" w:hAnsi="Calibri"/>
                <w:color w:val="263238"/>
                <w:sz w:val="18"/>
              </w:rPr>
              <w:t xml:space="preserve">The Good Behavior Escalator of Article 34 and Annex H</w:t>
            </w:r>
          </w:p>
        </w:tc>
      </w:tr>
      <w:tr>
        <w:tc>
          <w:tcPr>
            <w:tcW w:w="2600" w:type="dxa"/>
          </w:tcPr>
          <w:p>
            <w:pPr>
              <w:spacing w:after="20" w:line="264" w:lineRule="auto"/>
            </w:pPr>
            <w:r>
              <w:rPr>
                <w:rFonts w:ascii="Calibri" w:hAnsi="Calibri"/>
                <w:color w:val="263238"/>
                <w:sz w:val="18"/>
              </w:rPr>
              <w:t xml:space="preserve">Flow state</w:t>
            </w:r>
          </w:p>
        </w:tc>
        <w:tc>
          <w:tcPr>
            <w:tcW w:w="6900" w:type="dxa"/>
          </w:tcPr>
          <w:p>
            <w:pPr>
              <w:spacing w:after="20" w:line="264" w:lineRule="auto"/>
            </w:pPr>
            <w:r>
              <w:rPr>
                <w:rFonts w:ascii="Calibri" w:hAnsi="Calibri"/>
                <w:color w:val="263238"/>
                <w:sz w:val="18"/>
              </w:rPr>
              <w:t xml:space="preserve">Free Flow, Managed Flow, or Suspended Flow under Article 11</w:t>
            </w:r>
          </w:p>
        </w:tc>
      </w:tr>
      <w:tr>
        <w:tc>
          <w:tcPr>
            <w:tcW w:w="2600" w:type="dxa"/>
          </w:tcPr>
          <w:p>
            <w:pPr>
              <w:spacing w:after="20" w:line="264" w:lineRule="auto"/>
            </w:pPr>
            <w:r>
              <w:rPr>
                <w:rFonts w:ascii="Calibri" w:hAnsi="Calibri"/>
                <w:color w:val="263238"/>
                <w:sz w:val="18"/>
              </w:rPr>
              <w:t xml:space="preserve">Founding Party</w:t>
            </w:r>
          </w:p>
        </w:tc>
        <w:tc>
          <w:tcPr>
            <w:tcW w:w="6900" w:type="dxa"/>
          </w:tcPr>
          <w:p>
            <w:pPr>
              <w:spacing w:after="20" w:line="264" w:lineRule="auto"/>
            </w:pPr>
            <w:r>
              <w:rPr>
                <w:rFonts w:ascii="Calibri" w:hAnsi="Calibri"/>
                <w:color w:val="263238"/>
                <w:sz w:val="18"/>
              </w:rPr>
              <w:t xml:space="preserve">The Islamic Republic of Iran or the Sultanate of Oman</w:t>
            </w:r>
          </w:p>
        </w:tc>
      </w:tr>
      <w:tr>
        <w:tc>
          <w:tcPr>
            <w:tcW w:w="2600" w:type="dxa"/>
          </w:tcPr>
          <w:p>
            <w:pPr>
              <w:spacing w:after="20" w:line="264" w:lineRule="auto"/>
            </w:pPr>
            <w:r>
              <w:rPr>
                <w:rFonts w:ascii="Calibri" w:hAnsi="Calibri"/>
                <w:color w:val="263238"/>
                <w:sz w:val="18"/>
              </w:rPr>
              <w:t xml:space="preserve">Functional administration</w:t>
            </w:r>
          </w:p>
        </w:tc>
        <w:tc>
          <w:tcPr>
            <w:tcW w:w="6900" w:type="dxa"/>
          </w:tcPr>
          <w:p>
            <w:pPr>
              <w:spacing w:after="20" w:line="264" w:lineRule="auto"/>
            </w:pPr>
            <w:r>
              <w:rPr>
                <w:rFonts w:ascii="Calibri" w:hAnsi="Calibri"/>
                <w:color w:val="263238"/>
                <w:sz w:val="18"/>
              </w:rPr>
              <w:t xml:space="preserve">The performance of corridor functions without any implication for sovereignty</w:t>
            </w:r>
          </w:p>
        </w:tc>
      </w:tr>
      <w:tr>
        <w:tc>
          <w:tcPr>
            <w:tcW w:w="2600" w:type="dxa"/>
          </w:tcPr>
          <w:p>
            <w:pPr>
              <w:spacing w:after="20" w:line="264" w:lineRule="auto"/>
            </w:pPr>
            <w:r>
              <w:rPr>
                <w:rFonts w:ascii="Calibri" w:hAnsi="Calibri"/>
                <w:color w:val="263238"/>
                <w:sz w:val="18"/>
              </w:rPr>
              <w:t xml:space="preserve">Functional share</w:t>
            </w:r>
          </w:p>
        </w:tc>
        <w:tc>
          <w:tcPr>
            <w:tcW w:w="6900" w:type="dxa"/>
          </w:tcPr>
          <w:p>
            <w:pPr>
              <w:spacing w:after="20" w:line="264" w:lineRule="auto"/>
            </w:pPr>
            <w:r>
              <w:rPr>
                <w:rFonts w:ascii="Calibri" w:hAnsi="Calibri"/>
                <w:color w:val="263238"/>
                <w:sz w:val="18"/>
              </w:rPr>
              <w:t xml:space="preserve">The percentage of the corridor function set a Party performs, per Annex H</w:t>
            </w:r>
          </w:p>
        </w:tc>
      </w:tr>
      <w:tr>
        <w:tc>
          <w:tcPr>
            <w:tcW w:w="2600" w:type="dxa"/>
          </w:tcPr>
          <w:p>
            <w:pPr>
              <w:spacing w:after="20" w:line="264" w:lineRule="auto"/>
            </w:pPr>
            <w:r>
              <w:rPr>
                <w:rFonts w:ascii="Calibri" w:hAnsi="Calibri"/>
                <w:color w:val="263238"/>
                <w:sz w:val="18"/>
              </w:rPr>
              <w:t xml:space="preserve">Fund</w:t>
            </w:r>
          </w:p>
        </w:tc>
        <w:tc>
          <w:tcPr>
            <w:tcW w:w="6900" w:type="dxa"/>
          </w:tcPr>
          <w:p>
            <w:pPr>
              <w:spacing w:after="20" w:line="264" w:lineRule="auto"/>
            </w:pPr>
            <w:r>
              <w:rPr>
                <w:rFonts w:ascii="Calibri" w:hAnsi="Calibri"/>
                <w:color w:val="263238"/>
                <w:sz w:val="18"/>
              </w:rPr>
              <w:t xml:space="preserve">The Hormuz Maritime Services Fund of Article 27 and Annex C</w:t>
            </w:r>
          </w:p>
        </w:tc>
      </w:tr>
      <w:tr>
        <w:tc>
          <w:tcPr>
            <w:tcW w:w="2600" w:type="dxa"/>
          </w:tcPr>
          <w:p>
            <w:pPr>
              <w:spacing w:after="20" w:line="264" w:lineRule="auto"/>
            </w:pPr>
            <w:r>
              <w:rPr>
                <w:rFonts w:ascii="Calibri" w:hAnsi="Calibri"/>
                <w:color w:val="263238"/>
                <w:sz w:val="18"/>
              </w:rPr>
              <w:t xml:space="preserve">Fused picture</w:t>
            </w:r>
          </w:p>
        </w:tc>
        <w:tc>
          <w:tcPr>
            <w:tcW w:w="6900" w:type="dxa"/>
          </w:tcPr>
          <w:p>
            <w:pPr>
              <w:spacing w:after="20" w:line="264" w:lineRule="auto"/>
            </w:pPr>
            <w:r>
              <w:rPr>
                <w:rFonts w:ascii="Calibri" w:hAnsi="Calibri"/>
                <w:color w:val="263238"/>
                <w:sz w:val="18"/>
              </w:rPr>
              <w:t xml:space="preserve">The common monitoring picture of Article 19.3</w:t>
            </w:r>
          </w:p>
        </w:tc>
      </w:tr>
      <w:tr>
        <w:tc>
          <w:tcPr>
            <w:tcW w:w="2600" w:type="dxa"/>
          </w:tcPr>
          <w:p>
            <w:pPr>
              <w:spacing w:after="20" w:line="264" w:lineRule="auto"/>
            </w:pPr>
            <w:r>
              <w:rPr>
                <w:rFonts w:ascii="Calibri" w:hAnsi="Calibri"/>
                <w:color w:val="263238"/>
                <w:sz w:val="18"/>
              </w:rPr>
              <w:t xml:space="preserve">Governance Area</w:t>
            </w:r>
          </w:p>
        </w:tc>
        <w:tc>
          <w:tcPr>
            <w:tcW w:w="6900" w:type="dxa"/>
          </w:tcPr>
          <w:p>
            <w:pPr>
              <w:spacing w:after="20" w:line="264" w:lineRule="auto"/>
            </w:pPr>
            <w:r>
              <w:rPr>
                <w:rFonts w:ascii="Calibri" w:hAnsi="Calibri"/>
                <w:color w:val="263238"/>
                <w:sz w:val="18"/>
              </w:rPr>
              <w:t xml:space="preserve">The polygon of Annex A, Table A.1</w:t>
            </w:r>
          </w:p>
        </w:tc>
      </w:tr>
      <w:tr>
        <w:tc>
          <w:tcPr>
            <w:tcW w:w="2600" w:type="dxa"/>
          </w:tcPr>
          <w:p>
            <w:pPr>
              <w:spacing w:after="20" w:line="264" w:lineRule="auto"/>
            </w:pPr>
            <w:r>
              <w:rPr>
                <w:rFonts w:ascii="Calibri" w:hAnsi="Calibri"/>
                <w:color w:val="263238"/>
                <w:sz w:val="18"/>
              </w:rPr>
              <w:t xml:space="preserve">Group Response Commitment</w:t>
            </w:r>
          </w:p>
        </w:tc>
        <w:tc>
          <w:tcPr>
            <w:tcW w:w="6900" w:type="dxa"/>
          </w:tcPr>
          <w:p>
            <w:pPr>
              <w:spacing w:after="20" w:line="264" w:lineRule="auto"/>
            </w:pPr>
            <w:r>
              <w:rPr>
                <w:rFonts w:ascii="Calibri" w:hAnsi="Calibri"/>
                <w:color w:val="263238"/>
                <w:sz w:val="18"/>
              </w:rPr>
              <w:t xml:space="preserve">The collective protective response of Article 16.4</w:t>
            </w:r>
          </w:p>
        </w:tc>
      </w:tr>
      <w:tr>
        <w:tc>
          <w:tcPr>
            <w:tcW w:w="2600" w:type="dxa"/>
          </w:tcPr>
          <w:p>
            <w:pPr>
              <w:spacing w:after="20" w:line="264" w:lineRule="auto"/>
            </w:pPr>
            <w:r>
              <w:rPr>
                <w:rFonts w:ascii="Calibri" w:hAnsi="Calibri"/>
                <w:color w:val="263238"/>
                <w:sz w:val="18"/>
              </w:rPr>
              <w:t xml:space="preserve">Heavy-user cap</w:t>
            </w:r>
          </w:p>
        </w:tc>
        <w:tc>
          <w:tcPr>
            <w:tcW w:w="6900" w:type="dxa"/>
          </w:tcPr>
          <w:p>
            <w:pPr>
              <w:spacing w:after="20" w:line="264" w:lineRule="auto"/>
            </w:pPr>
            <w:r>
              <w:rPr>
                <w:rFonts w:ascii="Calibri" w:hAnsi="Calibri"/>
                <w:color w:val="263238"/>
                <w:sz w:val="18"/>
              </w:rPr>
              <w:t xml:space="preserve">The annual contribution ceiling of Annex C, Section C.4</w:t>
            </w:r>
          </w:p>
        </w:tc>
      </w:tr>
      <w:tr>
        <w:tc>
          <w:tcPr>
            <w:tcW w:w="2600" w:type="dxa"/>
          </w:tcPr>
          <w:p>
            <w:pPr>
              <w:spacing w:after="20" w:line="264" w:lineRule="auto"/>
            </w:pPr>
            <w:r>
              <w:rPr>
                <w:rFonts w:ascii="Calibri" w:hAnsi="Calibri"/>
                <w:color w:val="263238"/>
                <w:sz w:val="18"/>
              </w:rPr>
              <w:t xml:space="preserve">Hormuz Account</w:t>
            </w:r>
          </w:p>
        </w:tc>
        <w:tc>
          <w:tcPr>
            <w:tcW w:w="6900" w:type="dxa"/>
          </w:tcPr>
          <w:p>
            <w:pPr>
              <w:spacing w:after="20" w:line="264" w:lineRule="auto"/>
            </w:pPr>
            <w:r>
              <w:rPr>
                <w:rFonts w:ascii="Calibri" w:hAnsi="Calibri"/>
                <w:color w:val="263238"/>
                <w:sz w:val="18"/>
              </w:rPr>
              <w:t xml:space="preserve">The account structure of Annex D, Section D.1, in Bern</w:t>
            </w:r>
          </w:p>
        </w:tc>
      </w:tr>
      <w:tr>
        <w:tc>
          <w:tcPr>
            <w:tcW w:w="2600" w:type="dxa"/>
          </w:tcPr>
          <w:p>
            <w:pPr>
              <w:spacing w:after="20" w:line="264" w:lineRule="auto"/>
            </w:pPr>
            <w:r>
              <w:rPr>
                <w:rFonts w:ascii="Calibri" w:hAnsi="Calibri"/>
                <w:color w:val="263238"/>
                <w:sz w:val="18"/>
              </w:rPr>
              <w:t xml:space="preserve">Human Anchor</w:t>
            </w:r>
          </w:p>
        </w:tc>
        <w:tc>
          <w:tcPr>
            <w:tcW w:w="6900" w:type="dxa"/>
          </w:tcPr>
          <w:p>
            <w:pPr>
              <w:spacing w:after="20" w:line="264" w:lineRule="auto"/>
            </w:pPr>
            <w:r>
              <w:rPr>
                <w:rFonts w:ascii="Calibri" w:hAnsi="Calibri"/>
                <w:color w:val="263238"/>
                <w:sz w:val="18"/>
              </w:rPr>
              <w:t xml:space="preserve">The verification method of Article 30: sensors inform, named humans certify</w:t>
            </w:r>
          </w:p>
        </w:tc>
      </w:tr>
      <w:tr>
        <w:tc>
          <w:tcPr>
            <w:tcW w:w="2600" w:type="dxa"/>
          </w:tcPr>
          <w:p>
            <w:pPr>
              <w:spacing w:after="20" w:line="264" w:lineRule="auto"/>
            </w:pPr>
            <w:r>
              <w:rPr>
                <w:rFonts w:ascii="Calibri" w:hAnsi="Calibri"/>
                <w:color w:val="263238"/>
                <w:sz w:val="18"/>
              </w:rPr>
              <w:t xml:space="preserve">Indivisible Hour</w:t>
            </w:r>
          </w:p>
        </w:tc>
        <w:tc>
          <w:tcPr>
            <w:tcW w:w="6900" w:type="dxa"/>
          </w:tcPr>
          <w:p>
            <w:pPr>
              <w:spacing w:after="20" w:line="264" w:lineRule="auto"/>
            </w:pPr>
            <w:r>
              <w:rPr>
                <w:rFonts w:ascii="Calibri" w:hAnsi="Calibri"/>
                <w:color w:val="263238"/>
                <w:sz w:val="18"/>
              </w:rPr>
              <w:t xml:space="preserve">The one-hour synchronized execution of Article 36 and Annex J, Section J.2</w:t>
            </w:r>
          </w:p>
        </w:tc>
      </w:tr>
      <w:tr>
        <w:tc>
          <w:tcPr>
            <w:tcW w:w="2600" w:type="dxa"/>
          </w:tcPr>
          <w:p>
            <w:pPr>
              <w:spacing w:after="20" w:line="264" w:lineRule="auto"/>
            </w:pPr>
            <w:r>
              <w:rPr>
                <w:rFonts w:ascii="Calibri" w:hAnsi="Calibri"/>
                <w:color w:val="263238"/>
                <w:sz w:val="18"/>
              </w:rPr>
              <w:t xml:space="preserve">Integrity Cell</w:t>
            </w:r>
          </w:p>
        </w:tc>
        <w:tc>
          <w:tcPr>
            <w:tcW w:w="6900" w:type="dxa"/>
          </w:tcPr>
          <w:p>
            <w:pPr>
              <w:spacing w:after="20" w:line="264" w:lineRule="auto"/>
            </w:pPr>
            <w:r>
              <w:rPr>
                <w:rFonts w:ascii="Calibri" w:hAnsi="Calibri"/>
                <w:color w:val="263238"/>
                <w:sz w:val="18"/>
              </w:rPr>
              <w:t xml:space="preserve">The standing red team of Article 31</w:t>
            </w:r>
          </w:p>
        </w:tc>
      </w:tr>
      <w:tr>
        <w:tc>
          <w:tcPr>
            <w:tcW w:w="2600" w:type="dxa"/>
          </w:tcPr>
          <w:p>
            <w:pPr>
              <w:spacing w:after="20" w:line="264" w:lineRule="auto"/>
            </w:pPr>
            <w:r>
              <w:rPr>
                <w:rFonts w:ascii="Calibri" w:hAnsi="Calibri"/>
                <w:color w:val="263238"/>
                <w:sz w:val="18"/>
              </w:rPr>
              <w:t xml:space="preserve">Inviolable Principles</w:t>
            </w:r>
          </w:p>
        </w:tc>
        <w:tc>
          <w:tcPr>
            <w:tcW w:w="6900" w:type="dxa"/>
          </w:tcPr>
          <w:p>
            <w:pPr>
              <w:spacing w:after="20" w:line="264" w:lineRule="auto"/>
            </w:pPr>
            <w:r>
              <w:rPr>
                <w:rFonts w:ascii="Calibri" w:hAnsi="Calibri"/>
                <w:color w:val="263238"/>
                <w:sz w:val="18"/>
              </w:rPr>
              <w:t xml:space="preserve">The twenty principles of the Declaration and Annex G</w:t>
            </w:r>
          </w:p>
        </w:tc>
      </w:tr>
      <w:tr>
        <w:tc>
          <w:tcPr>
            <w:tcW w:w="2600" w:type="dxa"/>
          </w:tcPr>
          <w:p>
            <w:pPr>
              <w:spacing w:after="20" w:line="264" w:lineRule="auto"/>
            </w:pPr>
            <w:r>
              <w:rPr>
                <w:rFonts w:ascii="Calibri" w:hAnsi="Calibri"/>
                <w:color w:val="263238"/>
                <w:sz w:val="18"/>
              </w:rPr>
              <w:t xml:space="preserve">Joint Survey Cell</w:t>
            </w:r>
          </w:p>
        </w:tc>
        <w:tc>
          <w:tcPr>
            <w:tcW w:w="6900" w:type="dxa"/>
          </w:tcPr>
          <w:p>
            <w:pPr>
              <w:spacing w:after="20" w:line="264" w:lineRule="auto"/>
            </w:pPr>
            <w:r>
              <w:rPr>
                <w:rFonts w:ascii="Calibri" w:hAnsi="Calibri"/>
                <w:color w:val="263238"/>
                <w:sz w:val="18"/>
              </w:rPr>
              <w:t xml:space="preserve">The co-led survey and certification body of Article 17.3</w:t>
            </w:r>
          </w:p>
        </w:tc>
      </w:tr>
      <w:tr>
        <w:tc>
          <w:tcPr>
            <w:tcW w:w="2600" w:type="dxa"/>
          </w:tcPr>
          <w:p>
            <w:pPr>
              <w:spacing w:after="20" w:line="264" w:lineRule="auto"/>
            </w:pPr>
            <w:r>
              <w:rPr>
                <w:rFonts w:ascii="Calibri" w:hAnsi="Calibri"/>
                <w:color w:val="263238"/>
                <w:sz w:val="18"/>
              </w:rPr>
              <w:t xml:space="preserve">Managed Flow</w:t>
            </w:r>
          </w:p>
        </w:tc>
        <w:tc>
          <w:tcPr>
            <w:tcW w:w="6900" w:type="dxa"/>
          </w:tcPr>
          <w:p>
            <w:pPr>
              <w:spacing w:after="20" w:line="264" w:lineRule="auto"/>
            </w:pPr>
            <w:r>
              <w:rPr>
                <w:rFonts w:ascii="Calibri" w:hAnsi="Calibri"/>
                <w:color w:val="263238"/>
                <w:sz w:val="18"/>
              </w:rPr>
              <w:t xml:space="preserve">The enhanced-caution flow state of Article 11.1</w:t>
            </w:r>
          </w:p>
        </w:tc>
      </w:tr>
      <w:tr>
        <w:tc>
          <w:tcPr>
            <w:tcW w:w="2600" w:type="dxa"/>
          </w:tcPr>
          <w:p>
            <w:pPr>
              <w:spacing w:after="20" w:line="264" w:lineRule="auto"/>
            </w:pPr>
            <w:r>
              <w:rPr>
                <w:rFonts w:ascii="Calibri" w:hAnsi="Calibri"/>
                <w:color w:val="263238"/>
                <w:sz w:val="18"/>
              </w:rPr>
              <w:t xml:space="preserve">Mariners' Handbook</w:t>
            </w:r>
          </w:p>
        </w:tc>
        <w:tc>
          <w:tcPr>
            <w:tcW w:w="6900" w:type="dxa"/>
          </w:tcPr>
          <w:p>
            <w:pPr>
              <w:spacing w:after="20" w:line="264" w:lineRule="auto"/>
            </w:pPr>
            <w:r>
              <w:rPr>
                <w:rFonts w:ascii="Calibri" w:hAnsi="Calibri"/>
                <w:color w:val="263238"/>
                <w:sz w:val="18"/>
              </w:rPr>
              <w:t xml:space="preserve">The operational guide of Annex F, Section F.6</w:t>
            </w:r>
          </w:p>
        </w:tc>
      </w:tr>
      <w:tr>
        <w:tc>
          <w:tcPr>
            <w:tcW w:w="2600" w:type="dxa"/>
          </w:tcPr>
          <w:p>
            <w:pPr>
              <w:spacing w:after="20" w:line="264" w:lineRule="auto"/>
            </w:pPr>
            <w:r>
              <w:rPr>
                <w:rFonts w:ascii="Calibri" w:hAnsi="Calibri"/>
                <w:color w:val="263238"/>
                <w:sz w:val="18"/>
              </w:rPr>
              <w:t xml:space="preserve">Mirror Facility</w:t>
            </w:r>
          </w:p>
        </w:tc>
        <w:tc>
          <w:tcPr>
            <w:tcW w:w="6900" w:type="dxa"/>
          </w:tcPr>
          <w:p>
            <w:pPr>
              <w:spacing w:after="20" w:line="264" w:lineRule="auto"/>
            </w:pPr>
            <w:r>
              <w:rPr>
                <w:rFonts w:ascii="Calibri" w:hAnsi="Calibri"/>
                <w:color w:val="263238"/>
                <w:sz w:val="18"/>
              </w:rPr>
              <w:t xml:space="preserve">The Bandar Abbas facility of equal rank with the Muscat seat, Article 18.6</w:t>
            </w:r>
          </w:p>
        </w:tc>
      </w:tr>
      <w:tr>
        <w:tc>
          <w:tcPr>
            <w:tcW w:w="2600" w:type="dxa"/>
          </w:tcPr>
          <w:p>
            <w:pPr>
              <w:spacing w:after="20" w:line="264" w:lineRule="auto"/>
            </w:pPr>
            <w:r>
              <w:rPr>
                <w:rFonts w:ascii="Calibri" w:hAnsi="Calibri"/>
                <w:color w:val="263238"/>
                <w:sz w:val="18"/>
              </w:rPr>
              <w:t xml:space="preserve">Neutral Administrator</w:t>
            </w:r>
          </w:p>
        </w:tc>
        <w:tc>
          <w:tcPr>
            <w:tcW w:w="6900" w:type="dxa"/>
          </w:tcPr>
          <w:p>
            <w:pPr>
              <w:spacing w:after="20" w:line="264" w:lineRule="auto"/>
            </w:pPr>
            <w:r>
              <w:rPr>
                <w:rFonts w:ascii="Calibri" w:hAnsi="Calibri"/>
                <w:color w:val="263238"/>
                <w:sz w:val="18"/>
              </w:rPr>
              <w:t xml:space="preserve">The Swiss Confederation, acting through its designated entity</w:t>
            </w:r>
          </w:p>
        </w:tc>
      </w:tr>
      <w:tr>
        <w:tc>
          <w:tcPr>
            <w:tcW w:w="2600" w:type="dxa"/>
          </w:tcPr>
          <w:p>
            <w:pPr>
              <w:spacing w:after="20" w:line="264" w:lineRule="auto"/>
            </w:pPr>
            <w:r>
              <w:rPr>
                <w:rFonts w:ascii="Calibri" w:hAnsi="Calibri"/>
                <w:color w:val="263238"/>
                <w:sz w:val="18"/>
              </w:rPr>
              <w:t xml:space="preserve">Neutral Verification Office</w:t>
            </w:r>
          </w:p>
        </w:tc>
        <w:tc>
          <w:tcPr>
            <w:tcW w:w="6900" w:type="dxa"/>
          </w:tcPr>
          <w:p>
            <w:pPr>
              <w:spacing w:after="20" w:line="264" w:lineRule="auto"/>
            </w:pPr>
            <w:r>
              <w:rPr>
                <w:rFonts w:ascii="Calibri" w:hAnsi="Calibri"/>
                <w:color w:val="263238"/>
                <w:sz w:val="18"/>
              </w:rPr>
              <w:t xml:space="preserve">The independent verification organ of Article 21</w:t>
            </w:r>
          </w:p>
        </w:tc>
      </w:tr>
      <w:tr>
        <w:tc>
          <w:tcPr>
            <w:tcW w:w="2600" w:type="dxa"/>
          </w:tcPr>
          <w:p>
            <w:pPr>
              <w:spacing w:after="20" w:line="264" w:lineRule="auto"/>
            </w:pPr>
            <w:r>
              <w:rPr>
                <w:rFonts w:ascii="Calibri" w:hAnsi="Calibri"/>
                <w:color w:val="263238"/>
                <w:sz w:val="18"/>
              </w:rPr>
              <w:t xml:space="preserve">Northern Inbound Corridor</w:t>
            </w:r>
          </w:p>
        </w:tc>
        <w:tc>
          <w:tcPr>
            <w:tcW w:w="6900" w:type="dxa"/>
          </w:tcPr>
          <w:p>
            <w:pPr>
              <w:spacing w:after="20" w:line="264" w:lineRule="auto"/>
            </w:pPr>
            <w:r>
              <w:rPr>
                <w:rFonts w:ascii="Calibri" w:hAnsi="Calibri"/>
                <w:color w:val="263238"/>
                <w:sz w:val="18"/>
              </w:rPr>
              <w:t xml:space="preserve">The inbound corridor of Article 8.2</w:t>
            </w:r>
          </w:p>
        </w:tc>
      </w:tr>
      <w:tr>
        <w:tc>
          <w:tcPr>
            <w:tcW w:w="2600" w:type="dxa"/>
          </w:tcPr>
          <w:p>
            <w:pPr>
              <w:spacing w:after="20" w:line="264" w:lineRule="auto"/>
            </w:pPr>
            <w:r>
              <w:rPr>
                <w:rFonts w:ascii="Calibri" w:hAnsi="Calibri"/>
                <w:color w:val="263238"/>
                <w:sz w:val="18"/>
              </w:rPr>
              <w:t xml:space="preserve">Open Water Bulletin</w:t>
            </w:r>
          </w:p>
        </w:tc>
        <w:tc>
          <w:tcPr>
            <w:tcW w:w="6900" w:type="dxa"/>
          </w:tcPr>
          <w:p>
            <w:pPr>
              <w:spacing w:after="20" w:line="264" w:lineRule="auto"/>
            </w:pPr>
            <w:r>
              <w:rPr>
                <w:rFonts w:ascii="Calibri" w:hAnsi="Calibri"/>
                <w:color w:val="263238"/>
                <w:sz w:val="18"/>
              </w:rPr>
              <w:t xml:space="preserve">The six-hourly operational bulletin of Article 20.2</w:t>
            </w:r>
          </w:p>
        </w:tc>
      </w:tr>
      <w:tr>
        <w:tc>
          <w:tcPr>
            <w:tcW w:w="2600" w:type="dxa"/>
          </w:tcPr>
          <w:p>
            <w:pPr>
              <w:spacing w:after="20" w:line="264" w:lineRule="auto"/>
            </w:pPr>
            <w:r>
              <w:rPr>
                <w:rFonts w:ascii="Calibri" w:hAnsi="Calibri"/>
                <w:color w:val="263238"/>
                <w:sz w:val="18"/>
              </w:rPr>
              <w:t xml:space="preserve">Paired vote</w:t>
            </w:r>
          </w:p>
        </w:tc>
        <w:tc>
          <w:tcPr>
            <w:tcW w:w="6900" w:type="dxa"/>
          </w:tcPr>
          <w:p>
            <w:pPr>
              <w:spacing w:after="20" w:line="264" w:lineRule="auto"/>
            </w:pPr>
            <w:r>
              <w:rPr>
                <w:rFonts w:ascii="Calibri" w:hAnsi="Calibri"/>
                <w:color w:val="263238"/>
                <w:sz w:val="18"/>
              </w:rPr>
              <w:t xml:space="preserve">The voting rule of Article 22.2: one vote per Founding Party and one collective acceding-state vote, both concurring</w:t>
            </w:r>
          </w:p>
        </w:tc>
      </w:tr>
      <w:tr>
        <w:tc>
          <w:tcPr>
            <w:tcW w:w="2600" w:type="dxa"/>
          </w:tcPr>
          <w:p>
            <w:pPr>
              <w:spacing w:after="20" w:line="264" w:lineRule="auto"/>
            </w:pPr>
            <w:r>
              <w:rPr>
                <w:rFonts w:ascii="Calibri" w:hAnsi="Calibri"/>
                <w:color w:val="263238"/>
                <w:sz w:val="18"/>
              </w:rPr>
              <w:t xml:space="preserve">Pairing rule</w:t>
            </w:r>
          </w:p>
        </w:tc>
        <w:tc>
          <w:tcPr>
            <w:tcW w:w="6900" w:type="dxa"/>
          </w:tcPr>
          <w:p>
            <w:pPr>
              <w:spacing w:after="20" w:line="264" w:lineRule="auto"/>
            </w:pPr>
            <w:r>
              <w:rPr>
                <w:rFonts w:ascii="Calibri" w:hAnsi="Calibri"/>
                <w:color w:val="263238"/>
                <w:sz w:val="18"/>
              </w:rPr>
              <w:t xml:space="preserve">The staffing rule of Article 19.2: one Iranian and one Omani officer at every operational post</w:t>
            </w:r>
          </w:p>
        </w:tc>
      </w:tr>
      <w:tr>
        <w:tc>
          <w:tcPr>
            <w:tcW w:w="2600" w:type="dxa"/>
          </w:tcPr>
          <w:p>
            <w:pPr>
              <w:spacing w:after="20" w:line="264" w:lineRule="auto"/>
            </w:pPr>
            <w:r>
              <w:rPr>
                <w:rFonts w:ascii="Calibri" w:hAnsi="Calibri"/>
                <w:color w:val="263238"/>
                <w:sz w:val="18"/>
              </w:rPr>
              <w:t xml:space="preserve">Payment Surety Bond</w:t>
            </w:r>
          </w:p>
        </w:tc>
        <w:tc>
          <w:tcPr>
            <w:tcW w:w="6900" w:type="dxa"/>
          </w:tcPr>
          <w:p>
            <w:pPr>
              <w:spacing w:after="20" w:line="264" w:lineRule="auto"/>
            </w:pPr>
            <w:r>
              <w:rPr>
                <w:rFonts w:ascii="Calibri" w:hAnsi="Calibri"/>
                <w:color w:val="263238"/>
                <w:sz w:val="18"/>
              </w:rPr>
              <w:t xml:space="preserve">The twin guarantee structure of Annex D, Section D.4</w:t>
            </w:r>
          </w:p>
        </w:tc>
      </w:tr>
      <w:tr>
        <w:tc>
          <w:tcPr>
            <w:tcW w:w="2600" w:type="dxa"/>
          </w:tcPr>
          <w:p>
            <w:pPr>
              <w:spacing w:after="20" w:line="264" w:lineRule="auto"/>
            </w:pPr>
            <w:r>
              <w:rPr>
                <w:rFonts w:ascii="Calibri" w:hAnsi="Calibri"/>
                <w:color w:val="263238"/>
                <w:sz w:val="18"/>
              </w:rPr>
              <w:t xml:space="preserve">Pilot phase</w:t>
            </w:r>
          </w:p>
        </w:tc>
        <w:tc>
          <w:tcPr>
            <w:tcW w:w="6900" w:type="dxa"/>
          </w:tcPr>
          <w:p>
            <w:pPr>
              <w:spacing w:after="20" w:line="264" w:lineRule="auto"/>
            </w:pPr>
            <w:r>
              <w:rPr>
                <w:rFonts w:ascii="Calibri" w:hAnsi="Calibri"/>
                <w:color w:val="263238"/>
                <w:sz w:val="18"/>
              </w:rPr>
              <w:t xml:space="preserve">The period from the Indivisible Hour to the completion of Phase 5, Article 38.1</w:t>
            </w:r>
          </w:p>
        </w:tc>
      </w:tr>
      <w:tr>
        <w:tc>
          <w:tcPr>
            <w:tcW w:w="2600" w:type="dxa"/>
          </w:tcPr>
          <w:p>
            <w:pPr>
              <w:spacing w:after="20" w:line="264" w:lineRule="auto"/>
            </w:pPr>
            <w:r>
              <w:rPr>
                <w:rFonts w:ascii="Calibri" w:hAnsi="Calibri"/>
                <w:color w:val="263238"/>
                <w:sz w:val="18"/>
              </w:rPr>
              <w:t xml:space="preserve">Port processing</w:t>
            </w:r>
          </w:p>
        </w:tc>
        <w:tc>
          <w:tcPr>
            <w:tcW w:w="6900" w:type="dxa"/>
          </w:tcPr>
          <w:p>
            <w:pPr>
              <w:spacing w:after="20" w:line="264" w:lineRule="auto"/>
            </w:pPr>
            <w:r>
              <w:rPr>
                <w:rFonts w:ascii="Calibri" w:hAnsi="Calibri"/>
                <w:color w:val="263238"/>
                <w:sz w:val="18"/>
              </w:rPr>
              <w:t xml:space="preserve">The one-way valve of Article 29.3: charges attach to port calls, never to passage</w:t>
            </w:r>
          </w:p>
        </w:tc>
      </w:tr>
      <w:tr>
        <w:tc>
          <w:tcPr>
            <w:tcW w:w="2600" w:type="dxa"/>
          </w:tcPr>
          <w:p>
            <w:pPr>
              <w:spacing w:after="20" w:line="264" w:lineRule="auto"/>
            </w:pPr>
            <w:r>
              <w:rPr>
                <w:rFonts w:ascii="Calibri" w:hAnsi="Calibri"/>
                <w:color w:val="263238"/>
                <w:sz w:val="18"/>
              </w:rPr>
              <w:t xml:space="preserve">Route Assurance Data Service</w:t>
            </w:r>
          </w:p>
        </w:tc>
        <w:tc>
          <w:tcPr>
            <w:tcW w:w="6900" w:type="dxa"/>
          </w:tcPr>
          <w:p>
            <w:pPr>
              <w:spacing w:after="20" w:line="264" w:lineRule="auto"/>
            </w:pPr>
            <w:r>
              <w:rPr>
                <w:rFonts w:ascii="Calibri" w:hAnsi="Calibri"/>
                <w:color w:val="263238"/>
                <w:sz w:val="18"/>
              </w:rPr>
              <w:t xml:space="preserve">The subscription data product of Annex B, Section B.5</w:t>
            </w:r>
          </w:p>
        </w:tc>
      </w:tr>
      <w:tr>
        <w:tc>
          <w:tcPr>
            <w:tcW w:w="2600" w:type="dxa"/>
          </w:tcPr>
          <w:p>
            <w:pPr>
              <w:spacing w:after="20" w:line="264" w:lineRule="auto"/>
            </w:pPr>
            <w:r>
              <w:rPr>
                <w:rFonts w:ascii="Calibri" w:hAnsi="Calibri"/>
                <w:color w:val="263238"/>
                <w:sz w:val="18"/>
              </w:rPr>
              <w:t xml:space="preserve">Silence-is-consent</w:t>
            </w:r>
          </w:p>
        </w:tc>
        <w:tc>
          <w:tcPr>
            <w:tcW w:w="6900" w:type="dxa"/>
          </w:tcPr>
          <w:p>
            <w:pPr>
              <w:spacing w:after="20" w:line="264" w:lineRule="auto"/>
            </w:pPr>
            <w:r>
              <w:rPr>
                <w:rFonts w:ascii="Calibri" w:hAnsi="Calibri"/>
                <w:color w:val="263238"/>
                <w:sz w:val="18"/>
              </w:rPr>
              <w:t xml:space="preserve">The rule of Article 10.1: silence past 30 minutes acknowledges a transit notice</w:t>
            </w:r>
          </w:p>
        </w:tc>
      </w:tr>
      <w:tr>
        <w:tc>
          <w:tcPr>
            <w:tcW w:w="2600" w:type="dxa"/>
          </w:tcPr>
          <w:p>
            <w:pPr>
              <w:spacing w:after="20" w:line="264" w:lineRule="auto"/>
            </w:pPr>
            <w:r>
              <w:rPr>
                <w:rFonts w:ascii="Calibri" w:hAnsi="Calibri"/>
                <w:color w:val="263238"/>
                <w:sz w:val="18"/>
              </w:rPr>
              <w:t xml:space="preserve">Southern Outbound Corridor</w:t>
            </w:r>
          </w:p>
        </w:tc>
        <w:tc>
          <w:tcPr>
            <w:tcW w:w="6900" w:type="dxa"/>
          </w:tcPr>
          <w:p>
            <w:pPr>
              <w:spacing w:after="20" w:line="264" w:lineRule="auto"/>
            </w:pPr>
            <w:r>
              <w:rPr>
                <w:rFonts w:ascii="Calibri" w:hAnsi="Calibri"/>
                <w:color w:val="263238"/>
                <w:sz w:val="18"/>
              </w:rPr>
              <w:t xml:space="preserve">The outbound corridor of Article 8.3</w:t>
            </w:r>
          </w:p>
        </w:tc>
      </w:tr>
      <w:tr>
        <w:tc>
          <w:tcPr>
            <w:tcW w:w="2600" w:type="dxa"/>
          </w:tcPr>
          <w:p>
            <w:pPr>
              <w:spacing w:after="20" w:line="264" w:lineRule="auto"/>
            </w:pPr>
            <w:r>
              <w:rPr>
                <w:rFonts w:ascii="Calibri" w:hAnsi="Calibri"/>
                <w:color w:val="263238"/>
                <w:sz w:val="18"/>
              </w:rPr>
              <w:t xml:space="preserve">Stability Audit</w:t>
            </w:r>
          </w:p>
        </w:tc>
        <w:tc>
          <w:tcPr>
            <w:tcW w:w="6900" w:type="dxa"/>
          </w:tcPr>
          <w:p>
            <w:pPr>
              <w:spacing w:after="20" w:line="264" w:lineRule="auto"/>
            </w:pPr>
            <w:r>
              <w:rPr>
                <w:rFonts w:ascii="Calibri" w:hAnsi="Calibri"/>
                <w:color w:val="263238"/>
                <w:sz w:val="18"/>
              </w:rPr>
              <w:t xml:space="preserve">The five-domain audit of Article 38 and Annex I</w:t>
            </w:r>
          </w:p>
        </w:tc>
      </w:tr>
      <w:tr>
        <w:tc>
          <w:tcPr>
            <w:tcW w:w="2600" w:type="dxa"/>
          </w:tcPr>
          <w:p>
            <w:pPr>
              <w:spacing w:after="20" w:line="264" w:lineRule="auto"/>
            </w:pPr>
            <w:r>
              <w:rPr>
                <w:rFonts w:ascii="Calibri" w:hAnsi="Calibri"/>
                <w:color w:val="263238"/>
                <w:sz w:val="18"/>
              </w:rPr>
              <w:t xml:space="preserve">Stakeholder Panel</w:t>
            </w:r>
          </w:p>
        </w:tc>
        <w:tc>
          <w:tcPr>
            <w:tcW w:w="6900" w:type="dxa"/>
          </w:tcPr>
          <w:p>
            <w:pPr>
              <w:spacing w:after="20" w:line="264" w:lineRule="auto"/>
            </w:pPr>
            <w:r>
              <w:rPr>
                <w:rFonts w:ascii="Calibri" w:hAnsi="Calibri"/>
                <w:color w:val="263238"/>
                <w:sz w:val="18"/>
              </w:rPr>
              <w:t xml:space="preserve">The industry advisory body of Article 23</w:t>
            </w:r>
          </w:p>
        </w:tc>
      </w:tr>
      <w:tr>
        <w:tc>
          <w:tcPr>
            <w:tcW w:w="2600" w:type="dxa"/>
          </w:tcPr>
          <w:p>
            <w:pPr>
              <w:spacing w:after="20" w:line="264" w:lineRule="auto"/>
            </w:pPr>
            <w:r>
              <w:rPr>
                <w:rFonts w:ascii="Calibri" w:hAnsi="Calibri"/>
                <w:color w:val="263238"/>
                <w:sz w:val="18"/>
              </w:rPr>
              <w:t xml:space="preserve">Step-back</w:t>
            </w:r>
          </w:p>
        </w:tc>
        <w:tc>
          <w:tcPr>
            <w:tcW w:w="6900" w:type="dxa"/>
          </w:tcPr>
          <w:p>
            <w:pPr>
              <w:spacing w:after="20" w:line="264" w:lineRule="auto"/>
            </w:pPr>
            <w:r>
              <w:rPr>
                <w:rFonts w:ascii="Calibri" w:hAnsi="Calibri"/>
                <w:color w:val="263238"/>
                <w:sz w:val="18"/>
              </w:rPr>
              <w:t xml:space="preserve">A graduated, reversible consequence under Article 33</w:t>
            </w:r>
          </w:p>
        </w:tc>
      </w:tr>
      <w:tr>
        <w:tc>
          <w:tcPr>
            <w:tcW w:w="2600" w:type="dxa"/>
          </w:tcPr>
          <w:p>
            <w:pPr>
              <w:spacing w:after="20" w:line="264" w:lineRule="auto"/>
            </w:pPr>
            <w:r>
              <w:rPr>
                <w:rFonts w:ascii="Calibri" w:hAnsi="Calibri"/>
                <w:color w:val="263238"/>
                <w:sz w:val="18"/>
              </w:rPr>
              <w:t xml:space="preserve">Stillwater Watch</w:t>
            </w:r>
          </w:p>
        </w:tc>
        <w:tc>
          <w:tcPr>
            <w:tcW w:w="6900" w:type="dxa"/>
          </w:tcPr>
          <w:p>
            <w:pPr>
              <w:spacing w:after="20" w:line="264" w:lineRule="auto"/>
            </w:pPr>
            <w:r>
              <w:rPr>
                <w:rFonts w:ascii="Calibri" w:hAnsi="Calibri"/>
                <w:color w:val="263238"/>
                <w:sz w:val="18"/>
              </w:rPr>
              <w:t xml:space="preserve">The 72-hour circuit breaker of Article 35</w:t>
            </w:r>
          </w:p>
        </w:tc>
      </w:tr>
      <w:tr>
        <w:tc>
          <w:tcPr>
            <w:tcW w:w="2600" w:type="dxa"/>
          </w:tcPr>
          <w:p>
            <w:pPr>
              <w:spacing w:after="20" w:line="264" w:lineRule="auto"/>
            </w:pPr>
            <w:r>
              <w:rPr>
                <w:rFonts w:ascii="Calibri" w:hAnsi="Calibri"/>
                <w:color w:val="263238"/>
                <w:sz w:val="18"/>
              </w:rPr>
              <w:t xml:space="preserve">Substance test</w:t>
            </w:r>
          </w:p>
        </w:tc>
        <w:tc>
          <w:tcPr>
            <w:tcW w:w="6900" w:type="dxa"/>
          </w:tcPr>
          <w:p>
            <w:pPr>
              <w:spacing w:after="20" w:line="264" w:lineRule="auto"/>
            </w:pPr>
            <w:r>
              <w:rPr>
                <w:rFonts w:ascii="Calibri" w:hAnsi="Calibri"/>
                <w:color w:val="263238"/>
                <w:sz w:val="18"/>
              </w:rPr>
              <w:t xml:space="preserve">The anti-circumvention test of Annex D, Section D.6</w:t>
            </w:r>
          </w:p>
        </w:tc>
      </w:tr>
      <w:tr>
        <w:tc>
          <w:tcPr>
            <w:tcW w:w="2600" w:type="dxa"/>
          </w:tcPr>
          <w:p>
            <w:pPr>
              <w:spacing w:after="20" w:line="264" w:lineRule="auto"/>
            </w:pPr>
            <w:r>
              <w:rPr>
                <w:rFonts w:ascii="Calibri" w:hAnsi="Calibri"/>
                <w:color w:val="263238"/>
                <w:sz w:val="18"/>
              </w:rPr>
              <w:t xml:space="preserve">Suspended Flow</w:t>
            </w:r>
          </w:p>
        </w:tc>
        <w:tc>
          <w:tcPr>
            <w:tcW w:w="6900" w:type="dxa"/>
          </w:tcPr>
          <w:p>
            <w:pPr>
              <w:spacing w:after="20" w:line="264" w:lineRule="auto"/>
            </w:pPr>
            <w:r>
              <w:rPr>
                <w:rFonts w:ascii="Calibri" w:hAnsi="Calibri"/>
                <w:color w:val="263238"/>
                <w:sz w:val="18"/>
              </w:rPr>
              <w:t xml:space="preserve">The time-limited, sector-specific pause of Article 11.1, never exceeding 72 hours</w:t>
            </w:r>
          </w:p>
        </w:tc>
      </w:tr>
      <w:tr>
        <w:tc>
          <w:tcPr>
            <w:tcW w:w="2600" w:type="dxa"/>
          </w:tcPr>
          <w:p>
            <w:pPr>
              <w:spacing w:after="20" w:line="264" w:lineRule="auto"/>
            </w:pPr>
            <w:r>
              <w:rPr>
                <w:rFonts w:ascii="Calibri" w:hAnsi="Calibri"/>
                <w:color w:val="263238"/>
                <w:sz w:val="18"/>
              </w:rPr>
              <w:t xml:space="preserve">Transit Desk</w:t>
            </w:r>
          </w:p>
        </w:tc>
        <w:tc>
          <w:tcPr>
            <w:tcW w:w="6900" w:type="dxa"/>
          </w:tcPr>
          <w:p>
            <w:pPr>
              <w:spacing w:after="20" w:line="264" w:lineRule="auto"/>
            </w:pPr>
            <w:r>
              <w:rPr>
                <w:rFonts w:ascii="Calibri" w:hAnsi="Calibri"/>
                <w:color w:val="263238"/>
                <w:sz w:val="18"/>
              </w:rPr>
              <w:t xml:space="preserve">The notification and bulletin desk of Article 20</w:t>
            </w:r>
          </w:p>
        </w:tc>
      </w:tr>
      <w:tr>
        <w:tc>
          <w:tcPr>
            <w:tcW w:w="2600" w:type="dxa"/>
          </w:tcPr>
          <w:p>
            <w:pPr>
              <w:spacing w:after="20" w:line="264" w:lineRule="auto"/>
            </w:pPr>
            <w:r>
              <w:rPr>
                <w:rFonts w:ascii="Calibri" w:hAnsi="Calibri"/>
                <w:color w:val="263238"/>
                <w:sz w:val="18"/>
              </w:rPr>
              <w:t xml:space="preserve">Twin Key</w:t>
            </w:r>
          </w:p>
        </w:tc>
        <w:tc>
          <w:tcPr>
            <w:tcW w:w="6900" w:type="dxa"/>
          </w:tcPr>
          <w:p>
            <w:pPr>
              <w:spacing w:after="20" w:line="264" w:lineRule="auto"/>
            </w:pPr>
            <w:r>
              <w:rPr>
                <w:rFonts w:ascii="Calibri" w:hAnsi="Calibri"/>
                <w:color w:val="263238"/>
                <w:sz w:val="18"/>
              </w:rPr>
              <w:t xml:space="preserve">The dual-concurrence rule of Article 14</w:t>
            </w:r>
          </w:p>
        </w:tc>
      </w:tr>
      <w:tr>
        <w:tc>
          <w:tcPr>
            <w:tcW w:w="2600" w:type="dxa"/>
          </w:tcPr>
          <w:p>
            <w:pPr>
              <w:spacing w:after="20" w:line="264" w:lineRule="auto"/>
            </w:pPr>
            <w:r>
              <w:rPr>
                <w:rFonts w:ascii="Calibri" w:hAnsi="Calibri"/>
                <w:color w:val="263238"/>
                <w:sz w:val="18"/>
              </w:rPr>
              <w:t xml:space="preserve">V-1 to V-5</w:t>
            </w:r>
          </w:p>
        </w:tc>
        <w:tc>
          <w:tcPr>
            <w:tcW w:w="6900" w:type="dxa"/>
          </w:tcPr>
          <w:p>
            <w:pPr>
              <w:spacing w:after="20" w:line="264" w:lineRule="auto"/>
            </w:pPr>
            <w:r>
              <w:rPr>
                <w:rFonts w:ascii="Calibri" w:hAnsi="Calibri"/>
                <w:color w:val="263238"/>
                <w:sz w:val="18"/>
              </w:rPr>
              <w:t xml:space="preserve">The five vessel classes of Article 9</w:t>
            </w:r>
          </w:p>
        </w:tc>
      </w:tr>
      <w:tr>
        <w:tc>
          <w:tcPr>
            <w:tcW w:w="2600" w:type="dxa"/>
          </w:tcPr>
          <w:p>
            <w:pPr>
              <w:spacing w:after="20" w:line="264" w:lineRule="auto"/>
            </w:pPr>
            <w:r>
              <w:rPr>
                <w:rFonts w:ascii="Calibri" w:hAnsi="Calibri"/>
                <w:color w:val="263238"/>
                <w:sz w:val="18"/>
              </w:rPr>
              <w:t xml:space="preserve">Verified Services Catalog</w:t>
            </w:r>
          </w:p>
        </w:tc>
        <w:tc>
          <w:tcPr>
            <w:tcW w:w="6900" w:type="dxa"/>
          </w:tcPr>
          <w:p>
            <w:pPr>
              <w:spacing w:after="20" w:line="264" w:lineRule="auto"/>
            </w:pPr>
            <w:r>
              <w:rPr>
                <w:rFonts w:ascii="Calibri" w:hAnsi="Calibri"/>
                <w:color w:val="263238"/>
                <w:sz w:val="18"/>
              </w:rPr>
              <w:t xml:space="preserve">The closed service list of Article 26 and Annex B</w:t>
            </w:r>
          </w:p>
        </w:tc>
      </w:tr>
      <w:tr>
        <w:tc>
          <w:tcPr>
            <w:tcW w:w="2600" w:type="dxa"/>
          </w:tcPr>
          <w:p>
            <w:pPr>
              <w:spacing w:after="20" w:line="264" w:lineRule="auto"/>
            </w:pPr>
            <w:r>
              <w:rPr>
                <w:rFonts w:ascii="Calibri" w:hAnsi="Calibri"/>
                <w:color w:val="263238"/>
                <w:sz w:val="18"/>
              </w:rPr>
              <w:t xml:space="preserve">Wartime lanes</w:t>
            </w:r>
          </w:p>
        </w:tc>
        <w:tc>
          <w:tcPr>
            <w:tcW w:w="6900" w:type="dxa"/>
          </w:tcPr>
          <w:p>
            <w:pPr>
              <w:spacing w:after="20" w:line="264" w:lineRule="auto"/>
            </w:pPr>
            <w:r>
              <w:rPr>
                <w:rFonts w:ascii="Calibri" w:hAnsi="Calibri"/>
                <w:color w:val="263238"/>
                <w:sz w:val="18"/>
              </w:rPr>
              <w:t xml:space="preserve">The temporary crisis-era routing, sunset under Annex J, Section J.4</w:t>
            </w:r>
          </w:p>
        </w:tc>
      </w:tr>
      <w:tr>
        <w:tc>
          <w:tcPr>
            <w:tcW w:w="2600" w:type="dxa"/>
          </w:tcPr>
          <w:p>
            <w:pPr>
              <w:spacing w:after="20" w:line="264" w:lineRule="auto"/>
            </w:pPr>
            <w:r>
              <w:rPr>
                <w:rFonts w:ascii="Calibri" w:hAnsi="Calibri"/>
                <w:color w:val="263238"/>
                <w:sz w:val="18"/>
              </w:rPr>
              <w:t xml:space="preserve">Weekly Verification Bulletin</w:t>
            </w:r>
          </w:p>
        </w:tc>
        <w:tc>
          <w:tcPr>
            <w:tcW w:w="6900" w:type="dxa"/>
          </w:tcPr>
          <w:p>
            <w:pPr>
              <w:spacing w:after="20" w:line="264" w:lineRule="auto"/>
            </w:pPr>
            <w:r>
              <w:rPr>
                <w:rFonts w:ascii="Calibri" w:hAnsi="Calibri"/>
                <w:color w:val="263238"/>
                <w:sz w:val="18"/>
              </w:rPr>
              <w:t xml:space="preserve">The Monday publication of the Neutral Verification Office</w:t>
            </w:r>
          </w:p>
        </w:tc>
      </w:tr>
    </w:tbl>
    <w:p>
      <w:pPr>
        <w:spacing w:after="160"/>
      </w:pPr>
    </w:p>
    <w:p>
      <w:pPr>
        <w:pStyle w:val="Heading2"/>
      </w:pPr>
      <w:bookmarkStart w:id="283" w:name="_Toc261100183"/>
      <w:r>
        <w:rPr>
          <w:rFonts w:ascii="Calibri" w:hAnsi="Calibri"/>
        </w:rPr>
        <w:t xml:space="preserve">N.2 Abbreviations</w:t>
      </w:r>
      <w:bookmarkEnd w:id="283"/>
    </w:p>
    <w:tbl>
      <w:tblPr>
        <w:tblW w:w="5000" w:type="pct"/>
        <w:tblBorders>
          <w:top w:val="single" w:color="2E4A62" w:sz="12"/>
          <w:left w:val="nil"/>
          <w:bottom w:val="single" w:color="2E4A62" w:sz="12"/>
          <w:right w:val="nil"/>
          <w:insideH w:val="single" w:color="B9C6CF" w:sz="4"/>
          <w:insideV w:val="nil"/>
        </w:tblBorders>
        <w:tblCellMar>
          <w:top w:w="60" w:type="dxa"/>
          <w:left w:w="108" w:type="dxa"/>
          <w:bottom w:w="60" w:type="dxa"/>
          <w:right w:w="108" w:type="dxa"/>
        </w:tblCellMar>
      </w:tblPr>
      <w:tblGrid>
        <w:gridCol w:w="2200"/>
        <w:gridCol w:w="7300"/>
      </w:tblGrid>
      <w:tr>
        <w:trPr>
          <w:tblHeader/>
        </w:trPr>
        <w:tc>
          <w:tcPr>
            <w:tcW w:w="2200" w:type="dxa"/>
            <w:shd w:val="clear" w:fill="E8EDF1"/>
          </w:tcPr>
          <w:p>
            <w:pPr>
              <w:spacing w:after="20" w:line="264" w:lineRule="auto"/>
            </w:pPr>
            <w:r>
              <w:rPr>
                <w:rFonts w:ascii="Calibri" w:hAnsi="Calibri"/>
                <w:b/>
                <w:color w:val="2E4A62"/>
                <w:sz w:val="18"/>
              </w:rPr>
              <w:t xml:space="preserve">Abbreviation</w:t>
            </w:r>
          </w:p>
        </w:tc>
        <w:tc>
          <w:tcPr>
            <w:tcW w:w="7300" w:type="dxa"/>
            <w:shd w:val="clear" w:fill="E8EDF1"/>
          </w:tcPr>
          <w:p>
            <w:pPr>
              <w:spacing w:after="20" w:line="264" w:lineRule="auto"/>
            </w:pPr>
            <w:r>
              <w:rPr>
                <w:rFonts w:ascii="Calibri" w:hAnsi="Calibri"/>
                <w:b/>
                <w:color w:val="2E4A62"/>
                <w:sz w:val="18"/>
              </w:rPr>
              <w:t xml:space="preserve">Meaning</w:t>
            </w:r>
          </w:p>
        </w:tc>
      </w:tr>
      <w:tr>
        <w:tc>
          <w:tcPr>
            <w:tcW w:w="2200" w:type="dxa"/>
          </w:tcPr>
          <w:p>
            <w:pPr>
              <w:spacing w:after="20" w:line="264" w:lineRule="auto"/>
            </w:pPr>
            <w:r>
              <w:rPr>
                <w:rFonts w:ascii="Calibri" w:hAnsi="Calibri"/>
                <w:color w:val="263238"/>
                <w:sz w:val="18"/>
              </w:rPr>
              <w:t xml:space="preserve">GCC</w:t>
            </w:r>
          </w:p>
        </w:tc>
        <w:tc>
          <w:tcPr>
            <w:tcW w:w="7300" w:type="dxa"/>
          </w:tcPr>
          <w:p>
            <w:pPr>
              <w:spacing w:after="20" w:line="264" w:lineRule="auto"/>
            </w:pPr>
            <w:r>
              <w:rPr>
                <w:rFonts w:ascii="Calibri" w:hAnsi="Calibri"/>
                <w:color w:val="263238"/>
                <w:sz w:val="18"/>
              </w:rPr>
              <w:t xml:space="preserve">Gulf Cooperation Council</w:t>
            </w:r>
          </w:p>
        </w:tc>
      </w:tr>
      <w:tr>
        <w:tc>
          <w:tcPr>
            <w:tcW w:w="2200" w:type="dxa"/>
          </w:tcPr>
          <w:p>
            <w:pPr>
              <w:spacing w:after="20" w:line="264" w:lineRule="auto"/>
            </w:pPr>
            <w:r>
              <w:rPr>
                <w:rFonts w:ascii="Calibri" w:hAnsi="Calibri"/>
                <w:color w:val="263238"/>
                <w:sz w:val="18"/>
              </w:rPr>
              <w:t xml:space="preserve">HMPU</w:t>
            </w:r>
          </w:p>
        </w:tc>
        <w:tc>
          <w:tcPr>
            <w:tcW w:w="7300" w:type="dxa"/>
          </w:tcPr>
          <w:p>
            <w:pPr>
              <w:spacing w:after="20" w:line="264" w:lineRule="auto"/>
            </w:pPr>
            <w:r>
              <w:rPr>
                <w:rFonts w:ascii="Calibri" w:hAnsi="Calibri"/>
                <w:color w:val="263238"/>
                <w:sz w:val="18"/>
              </w:rPr>
              <w:t xml:space="preserve">The Hormuz Multilateral Peace Understanding (this Understanding)</w:t>
            </w:r>
          </w:p>
        </w:tc>
      </w:tr>
      <w:tr>
        <w:tc>
          <w:tcPr>
            <w:tcW w:w="2200" w:type="dxa"/>
          </w:tcPr>
          <w:p>
            <w:pPr>
              <w:spacing w:after="20" w:line="264" w:lineRule="auto"/>
            </w:pPr>
            <w:r>
              <w:rPr>
                <w:rFonts w:ascii="Calibri" w:hAnsi="Calibri"/>
                <w:color w:val="263238"/>
                <w:sz w:val="18"/>
              </w:rPr>
              <w:t xml:space="preserve">IHO</w:t>
            </w:r>
          </w:p>
        </w:tc>
        <w:tc>
          <w:tcPr>
            <w:tcW w:w="7300" w:type="dxa"/>
          </w:tcPr>
          <w:p>
            <w:pPr>
              <w:spacing w:after="20" w:line="264" w:lineRule="auto"/>
            </w:pPr>
            <w:r>
              <w:rPr>
                <w:rFonts w:ascii="Calibri" w:hAnsi="Calibri"/>
                <w:color w:val="263238"/>
                <w:sz w:val="18"/>
              </w:rPr>
              <w:t xml:space="preserve">International Hydrographic Organization</w:t>
            </w:r>
          </w:p>
        </w:tc>
      </w:tr>
      <w:tr>
        <w:tc>
          <w:tcPr>
            <w:tcW w:w="2200" w:type="dxa"/>
          </w:tcPr>
          <w:p>
            <w:pPr>
              <w:spacing w:after="20" w:line="264" w:lineRule="auto"/>
            </w:pPr>
            <w:r>
              <w:rPr>
                <w:rFonts w:ascii="Calibri" w:hAnsi="Calibri"/>
                <w:color w:val="263238"/>
                <w:sz w:val="18"/>
              </w:rPr>
              <w:t xml:space="preserve">IMO</w:t>
            </w:r>
          </w:p>
        </w:tc>
        <w:tc>
          <w:tcPr>
            <w:tcW w:w="7300" w:type="dxa"/>
          </w:tcPr>
          <w:p>
            <w:pPr>
              <w:spacing w:after="20" w:line="264" w:lineRule="auto"/>
            </w:pPr>
            <w:r>
              <w:rPr>
                <w:rFonts w:ascii="Calibri" w:hAnsi="Calibri"/>
                <w:color w:val="263238"/>
                <w:sz w:val="18"/>
              </w:rPr>
              <w:t xml:space="preserve">International Maritime Organization</w:t>
            </w:r>
          </w:p>
        </w:tc>
      </w:tr>
      <w:tr>
        <w:tc>
          <w:tcPr>
            <w:tcW w:w="2200" w:type="dxa"/>
          </w:tcPr>
          <w:p>
            <w:pPr>
              <w:spacing w:after="20" w:line="264" w:lineRule="auto"/>
            </w:pPr>
            <w:r>
              <w:rPr>
                <w:rFonts w:ascii="Calibri" w:hAnsi="Calibri"/>
                <w:color w:val="263238"/>
                <w:sz w:val="18"/>
              </w:rPr>
              <w:t xml:space="preserve">IPR</w:t>
            </w:r>
          </w:p>
        </w:tc>
        <w:tc>
          <w:tcPr>
            <w:tcW w:w="7300" w:type="dxa"/>
          </w:tcPr>
          <w:p>
            <w:pPr>
              <w:spacing w:after="20" w:line="264" w:lineRule="auto"/>
            </w:pPr>
            <w:r>
              <w:rPr>
                <w:rFonts w:ascii="Calibri" w:hAnsi="Calibri"/>
                <w:color w:val="263238"/>
                <w:sz w:val="18"/>
              </w:rPr>
              <w:t xml:space="preserve">Inviolable Principles Register</w:t>
            </w:r>
          </w:p>
        </w:tc>
      </w:tr>
      <w:tr>
        <w:tc>
          <w:tcPr>
            <w:tcW w:w="2200" w:type="dxa"/>
          </w:tcPr>
          <w:p>
            <w:pPr>
              <w:spacing w:after="20" w:line="264" w:lineRule="auto"/>
            </w:pPr>
            <w:r>
              <w:rPr>
                <w:rFonts w:ascii="Calibri" w:hAnsi="Calibri"/>
                <w:color w:val="263238"/>
                <w:sz w:val="18"/>
              </w:rPr>
              <w:t xml:space="preserve">MOU</w:t>
            </w:r>
          </w:p>
        </w:tc>
        <w:tc>
          <w:tcPr>
            <w:tcW w:w="7300" w:type="dxa"/>
          </w:tcPr>
          <w:p>
            <w:pPr>
              <w:spacing w:after="20" w:line="264" w:lineRule="auto"/>
            </w:pPr>
            <w:r>
              <w:rPr>
                <w:rFonts w:ascii="Calibri" w:hAnsi="Calibri"/>
                <w:color w:val="263238"/>
                <w:sz w:val="18"/>
              </w:rPr>
              <w:t xml:space="preserve">The Islamabad Memorandum of Understanding, June 2026</w:t>
            </w:r>
          </w:p>
        </w:tc>
      </w:tr>
      <w:tr>
        <w:tc>
          <w:tcPr>
            <w:tcW w:w="2200" w:type="dxa"/>
          </w:tcPr>
          <w:p>
            <w:pPr>
              <w:spacing w:after="20" w:line="264" w:lineRule="auto"/>
            </w:pPr>
            <w:r>
              <w:rPr>
                <w:rFonts w:ascii="Calibri" w:hAnsi="Calibri"/>
                <w:color w:val="263238"/>
                <w:sz w:val="18"/>
              </w:rPr>
              <w:t xml:space="preserve">NVO</w:t>
            </w:r>
          </w:p>
        </w:tc>
        <w:tc>
          <w:tcPr>
            <w:tcW w:w="7300" w:type="dxa"/>
          </w:tcPr>
          <w:p>
            <w:pPr>
              <w:spacing w:after="20" w:line="264" w:lineRule="auto"/>
            </w:pPr>
            <w:r>
              <w:rPr>
                <w:rFonts w:ascii="Calibri" w:hAnsi="Calibri"/>
                <w:color w:val="263238"/>
                <w:sz w:val="18"/>
              </w:rPr>
              <w:t xml:space="preserve">The Neutral Verification Office</w:t>
            </w:r>
          </w:p>
        </w:tc>
      </w:tr>
      <w:tr>
        <w:tc>
          <w:tcPr>
            <w:tcW w:w="2200" w:type="dxa"/>
          </w:tcPr>
          <w:p>
            <w:pPr>
              <w:spacing w:after="20" w:line="264" w:lineRule="auto"/>
            </w:pPr>
            <w:r>
              <w:rPr>
                <w:rFonts w:ascii="Calibri" w:hAnsi="Calibri"/>
                <w:color w:val="263238"/>
                <w:sz w:val="18"/>
              </w:rPr>
              <w:t xml:space="preserve">SAR</w:t>
            </w:r>
          </w:p>
        </w:tc>
        <w:tc>
          <w:tcPr>
            <w:tcW w:w="7300" w:type="dxa"/>
          </w:tcPr>
          <w:p>
            <w:pPr>
              <w:spacing w:after="20" w:line="264" w:lineRule="auto"/>
            </w:pPr>
            <w:r>
              <w:rPr>
                <w:rFonts w:ascii="Calibri" w:hAnsi="Calibri"/>
                <w:color w:val="263238"/>
                <w:sz w:val="18"/>
              </w:rPr>
              <w:t xml:space="preserve">Search and rescue</w:t>
            </w:r>
          </w:p>
        </w:tc>
      </w:tr>
      <w:tr>
        <w:tc>
          <w:tcPr>
            <w:tcW w:w="2200" w:type="dxa"/>
          </w:tcPr>
          <w:p>
            <w:pPr>
              <w:spacing w:after="20" w:line="264" w:lineRule="auto"/>
            </w:pPr>
            <w:r>
              <w:rPr>
                <w:rFonts w:ascii="Calibri" w:hAnsi="Calibri"/>
                <w:color w:val="263238"/>
                <w:sz w:val="18"/>
              </w:rPr>
              <w:t xml:space="preserve">VCF</w:t>
            </w:r>
          </w:p>
        </w:tc>
        <w:tc>
          <w:tcPr>
            <w:tcW w:w="7300" w:type="dxa"/>
          </w:tcPr>
          <w:p>
            <w:pPr>
              <w:spacing w:after="20" w:line="264" w:lineRule="auto"/>
            </w:pPr>
            <w:r>
              <w:rPr>
                <w:rFonts w:ascii="Calibri" w:hAnsi="Calibri"/>
                <w:color w:val="263238"/>
                <w:sz w:val="18"/>
              </w:rPr>
              <w:t xml:space="preserve">The Voluntary Contribution Facility of Article 27</w:t>
            </w:r>
          </w:p>
        </w:tc>
      </w:tr>
    </w:tbl>
    <w:p>
      <w:pPr>
        <w:spacing w:after="160"/>
      </w:pPr>
    </w:p>
    <w:p>
      <w:pPr>
        <w:pStyle w:val="Heading2"/>
      </w:pPr>
      <w:bookmarkStart w:id="284" w:name="_Toc261100184"/>
      <w:r>
        <w:rPr>
          <w:rFonts w:ascii="Calibri" w:hAnsi="Calibri"/>
        </w:rPr>
        <w:t xml:space="preserve">N.3 Interpretation Note</w:t>
      </w:r>
      <w:bookmarkEnd w:id="284"/>
    </w:p>
    <w:p>
      <w:pPr>
        <w:jc w:val="both"/>
      </w:pPr>
      <w:r>
        <w:rPr/>
        <w:t xml:space="preserve">Every term in this glossary takes its color from the Inviolable Principles: a reader who meets an ambiguity in any definition resolves it under Article 2.3 in favor of the reading that serves the Principles. The glossary drafts for the mariner, the agent, and the watch officer first, and for the lawyer second, because the architecture succeeds when the people who run the water understand it without translation.</w:t>
      </w:r>
    </w:p>
    <w:p>
      <w:pPr>
        <w:sectPr>
          <w:headerReference w:type="default" r:id="Reea57bf3dff34507"/>
          <w:footerReference w:type="default" r:id="R24c7379c3d494ad5"/>
          <w:type w:val="nextPage"/>
          <w:pgSz w:w="11906" w:h="16838"/>
          <w:pgMar w:top="1800" w:right="1440" w:bottom="1440" w:left="1440" w:header="720" w:footer="720"/>
        </w:sectPr>
      </w:pPr>
    </w:p>
    <w:p>
      <w:pPr>
        <w:spacing w:before="5200" w:after="0" w:line="320" w:lineRule="auto"/>
        <w:jc w:val="center"/>
      </w:pPr>
      <w:r>
        <w:rPr>
          <w:rFonts w:ascii="Calibri" w:hAnsi="Calibri"/>
          <w:color w:val="2E4A62"/>
          <w:sz w:val="20"/>
        </w:rPr>
        <w:t xml:space="preserve"/>
      </w:r>
    </w:p>
    <w:p>
      <w:pPr>
        <w:spacing w:before="0" w:after="280" w:line="320" w:lineRule="auto"/>
        <w:jc w:val="center"/>
      </w:pPr>
      <w:r>
        <w:rPr>
          <w:rFonts w:ascii="Calibri" w:hAnsi="Calibri"/>
          <w:b/>
          <w:color w:val="2E4A62"/>
          <w:sz w:val="30"/>
        </w:rPr>
        <w:t xml:space="preserve">The Understanding stands open.</w:t>
      </w:r>
    </w:p>
    <w:p>
      <w:pPr>
        <w:spacing w:before="120" w:after="40" w:line="320" w:lineRule="auto"/>
        <w:jc w:val="center"/>
      </w:pPr>
      <w:r>
        <w:rPr>
          <w:rFonts w:ascii="Calibri" w:hAnsi="Calibri"/>
          <w:color w:val="455A64"/>
          <w:sz w:val="19"/>
        </w:rPr>
        <w:t xml:space="preserve">Depositary: The Sultanate of Oman, Ministry of Foreign Affairs, Muscat</w:t>
      </w:r>
    </w:p>
    <w:p>
      <w:pPr>
        <w:spacing w:before="0" w:after="20" w:line="320" w:lineRule="auto"/>
        <w:jc w:val="center"/>
      </w:pPr>
      <w:r>
        <w:rPr>
          <w:rFonts w:ascii="Calibri" w:hAnsi="Calibri"/>
          <w:color w:val="455A64"/>
          <w:sz w:val="19"/>
        </w:rPr>
        <w:t xml:space="preserve">Done at Muscat and at Bandar Abbas, in the Persian, Arabic, and English languages,</w:t>
      </w:r>
    </w:p>
    <w:p>
      <w:pPr>
        <w:spacing w:before="0" w:after="40" w:line="320" w:lineRule="auto"/>
        <w:jc w:val="center"/>
      </w:pPr>
      <w:r>
        <w:rPr>
          <w:rFonts w:ascii="Calibri" w:hAnsi="Calibri"/>
          <w:color w:val="455A64"/>
          <w:sz w:val="19"/>
        </w:rPr>
        <w:t xml:space="preserve">the three texts carrying equal authority.</w:t>
      </w:r>
    </w:p>
    <w:sectPr>
      <w:type w:val="nextPage"/>
      <w:pgSz w:w="11906" w:h="16838"/>
      <w:pgMar w:top="2200" w:right="2000" w:bottom="2000" w:left="2000" w:header="0" w:footer="0"/>
      <w:pgBorders>
        <w:top w:val="double" w:color="2E4A62" w:sz="18" w:space="28"/>
        <w:left w:val="double" w:color="2E4A62" w:sz="18" w:space="28"/>
        <w:bottom w:val="double" w:color="2E4A62" w:sz="18" w:space="28"/>
        <w:right w:val="double" w:color="2E4A62" w:sz="18" w:space="28"/>
      </w:pgBorders>
    </w:sectPr>
  </w:body>
</w:document>
</file>

<file path=word/footer1.xml><?xml version="1.0" encoding="utf-8"?>
<w:ftr xmlns:w="http://schemas.openxmlformats.org/wordprocessingml/2006/main">
  <w:p>
    <w:pPr>
      <w:jc w:val="center"/>
    </w:pPr>
    <w:r>
      <w:rPr>
        <w:rFonts w:ascii="Calibri" w:hAnsi="Calibri"/>
        <w:color w:val="455A64"/>
        <w:sz w:val="16"/>
      </w:rPr>
      <w:fldChar w:fldCharType="begin"/>
    </w:r>
    <w:r>
      <w:rPr>
        <w:rFonts w:ascii="Calibri" w:hAnsi="Calibri"/>
        <w:color w:val="455A64"/>
        <w:sz w:val="16"/>
      </w:rPr>
      <w:instrText xml:space="preserve"> PAGE </w:instrText>
    </w:r>
    <w:r>
      <w:rPr>
        <w:rFonts w:ascii="Calibri" w:hAnsi="Calibri"/>
        <w:color w:val="455A64"/>
        <w:sz w:val="16"/>
      </w:rPr>
      <w:fldChar w:fldCharType="separate"/>
    </w:r>
    <w:r>
      <w:rPr>
        <w:rFonts w:ascii="Calibri" w:hAnsi="Calibri"/>
        <w:color w:val="455A64"/>
        <w:sz w:val="16"/>
      </w:rPr>
      <w:t>1</w:t>
    </w:r>
    <w:r>
      <w:rPr>
        <w:rFonts w:ascii="Calibri" w:hAnsi="Calibri"/>
        <w:color w:val="455A64"/>
        <w:sz w:val="16"/>
      </w:rPr>
      <w:fldChar w:fldCharType="end"/>
    </w:r>
  </w:p>
</w:ftr>
</file>

<file path=word/header1.xml><?xml version="1.0" encoding="utf-8"?>
<w:hdr xmlns:w="http://schemas.openxmlformats.org/wordprocessingml/2006/main">
  <w:p>
    <w:pPr>
      <w:pBdr>
        <w:bottom w:val="single" w:color="B9C6CF" w:sz="4" w:space="4"/>
      </w:pBdr>
      <w:jc w:val="center"/>
    </w:pPr>
    <w:r>
      <w:rPr>
        <w:rFonts w:ascii="Calibri" w:hAnsi="Calibri"/>
        <w:smallCaps/>
        <w:color w:val="455A64"/>
        <w:sz w:val="15"/>
      </w:rPr>
      <w:t>The Hormuz Multilateral Peace Understanding   |   HMPU v1.0</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336" w:lineRule="auto"/>
    </w:pPr>
    <w:rPr>
      <w:rFonts w:ascii="Georgia" w:hAnsi="Georgia" w:eastAsia="Microsoft YaHei"/>
      <w:color w:val="263238"/>
      <w:sz w:val="21"/>
    </w:rPr>
  </w:style>
  <w:style w:type="paragraph" w:styleId="Heading1">
    <w:name w:val="heading 1"/>
    <w:basedOn w:val="Normal"/>
    <w:pPr>
      <w:keepNext/>
      <w:keepLines/>
      <w:spacing w:before="720" w:after="280"/>
      <w:outlineLvl w:val="0"/>
    </w:pPr>
    <w:rPr>
      <w:rFonts w:ascii="Calibri" w:hAnsi="Calibri" w:eastAsia="Microsoft YaHei"/>
      <w:b/>
      <w:color w:val="2E4A62"/>
      <w:sz w:val="34"/>
    </w:rPr>
  </w:style>
  <w:style w:type="paragraph" w:styleId="Heading2">
    <w:name w:val="heading 2"/>
    <w:basedOn w:val="Normal"/>
    <w:pPr>
      <w:keepNext/>
      <w:keepLines/>
      <w:spacing w:before="560" w:after="200"/>
      <w:outlineLvl w:val="1"/>
    </w:pPr>
    <w:rPr>
      <w:rFonts w:ascii="Calibri" w:hAnsi="Calibri" w:eastAsia="Microsoft YaHei"/>
      <w:b/>
      <w:color w:val="2E4A62"/>
      <w:sz w:val="26"/>
    </w:rPr>
  </w:style>
  <w:style w:type="paragraph" w:styleId="Heading3">
    <w:name w:val="heading 3"/>
    <w:basedOn w:val="Normal"/>
    <w:pPr>
      <w:keepNext/>
      <w:keepLines/>
      <w:spacing w:before="420" w:after="160"/>
      <w:outlineLvl w:val="2"/>
    </w:pPr>
    <w:rPr>
      <w:rFonts w:ascii="Calibri" w:hAnsi="Calibri" w:eastAsia="Microsoft YaHei"/>
      <w:b/>
      <w:color w:val="546E7A"/>
      <w:sz w:val="23"/>
    </w:rPr>
  </w:style>
  <w:style w:type="paragraph" w:styleId="Heading4">
    <w:name w:val="heading 4"/>
    <w:basedOn w:val="Normal"/>
    <w:pPr>
      <w:keepNext/>
      <w:keepLines/>
      <w:spacing w:before="320" w:after="120"/>
      <w:outlineLvl w:val="3"/>
    </w:pPr>
    <w:rPr>
      <w:rFonts w:ascii="Calibri" w:hAnsi="Calibri" w:eastAsia="Microsoft YaHei"/>
      <w:b/>
      <w:color w:val="546E7A"/>
      <w:sz w:val="21"/>
    </w:rPr>
  </w:style>
  <w:style w:type="paragraph" w:styleId="TOC1">
    <w:name w:val="TOC 1"/>
    <w:basedOn w:val="Normal"/>
    <w:pPr>
      <w:tabs>
        <w:tab w:val="right" w:leader="dot" w:pos="9010"/>
      </w:tabs>
      <w:spacing w:after="60" w:line="276" w:lineRule="auto"/>
    </w:pPr>
    <w:rPr>
      <w:rFonts w:ascii="Calibri" w:hAnsi="Calibri"/>
      <w:b/>
      <w:color w:val="2E4A62"/>
      <w:sz w:val="20"/>
    </w:rPr>
  </w:style>
  <w:style w:type="paragraph" w:styleId="TOC2">
    <w:name w:val="TOC 2"/>
    <w:basedOn w:val="Normal"/>
    <w:pPr>
      <w:tabs>
        <w:tab w:val="right" w:leader="dot" w:pos="9010"/>
      </w:tabs>
      <w:spacing w:after="40" w:line="252" w:lineRule="auto"/>
      <w:ind w:left="360"/>
    </w:pPr>
    <w:rPr>
      <w:rFonts w:ascii="Calibri" w:hAnsi="Calibri"/>
      <w:color w:val="263238"/>
      <w:sz w:val="19"/>
    </w:rPr>
  </w:style>
</w:styles>
</file>

<file path=word/_rels/document.xml.rels><?xml version='1.0' encoding='UTF-8'?>
<Relationships xmlns="http://schemas.openxmlformats.org/package/2006/relationships"><Relationship Type="http://schemas.openxmlformats.org/officeDocument/2006/relationships/styles" Target="styles.xml" Id="Rb776ff809da4401d" /><Relationship Type="http://schemas.openxmlformats.org/officeDocument/2006/relationships/settings" Target="settings.xml" Id="Rd368e0749da742d2" /><Relationship Type="http://schemas.openxmlformats.org/officeDocument/2006/relationships/header" Target="header1.xml" Id="Reea57bf3dff34507" /><Relationship Type="http://schemas.openxmlformats.org/officeDocument/2006/relationships/footer" Target="footer1.xml" Id="R24c7379c3d494ad5" /></Relationships>
</file>