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0851" w14:textId="77777777" w:rsidR="002A4A1B" w:rsidRDefault="002A4A1B">
      <w:pPr>
        <w:spacing w:before="1400" w:after="0"/>
        <w:jc w:val="center"/>
      </w:pPr>
    </w:p>
    <w:p w14:paraId="6354D60D" w14:textId="77777777" w:rsidR="002A4A1B" w:rsidRDefault="00000000">
      <w:pPr>
        <w:spacing w:after="2200"/>
        <w:jc w:val="center"/>
      </w:pPr>
      <w:r>
        <w:rPr>
          <w:smallCaps/>
          <w:color w:val="6E8A94"/>
          <w:spacing w:val="40"/>
          <w:sz w:val="20"/>
        </w:rPr>
        <w:t>MUSCAT  ·  BANDAR ABBAS</w:t>
      </w:r>
    </w:p>
    <w:p w14:paraId="48A4ADA1" w14:textId="77777777" w:rsidR="002A4A1B" w:rsidRDefault="00000000">
      <w:pPr>
        <w:spacing w:after="60"/>
        <w:jc w:val="center"/>
      </w:pPr>
      <w:r>
        <w:rPr>
          <w:rFonts w:ascii="Georgia" w:hAnsi="Georgia"/>
          <w:b/>
          <w:color w:val="1F3A44"/>
          <w:spacing w:val="20"/>
          <w:sz w:val="76"/>
        </w:rPr>
        <w:t>THE SOBAT PAYEDAR</w:t>
      </w:r>
    </w:p>
    <w:p w14:paraId="70A5CB75" w14:textId="77777777" w:rsidR="002A4A1B" w:rsidRDefault="00000000">
      <w:pPr>
        <w:spacing w:after="300"/>
        <w:jc w:val="center"/>
      </w:pPr>
      <w:r>
        <w:rPr>
          <w:rFonts w:ascii="Georgia" w:hAnsi="Georgia"/>
          <w:b/>
          <w:color w:val="1F3A44"/>
          <w:spacing w:val="20"/>
          <w:sz w:val="76"/>
        </w:rPr>
        <w:t>FRAMEWORK</w:t>
      </w:r>
    </w:p>
    <w:p w14:paraId="237B3CC5" w14:textId="77777777" w:rsidR="002A4A1B" w:rsidRDefault="00000000">
      <w:pPr>
        <w:spacing w:after="500"/>
        <w:jc w:val="center"/>
      </w:pPr>
      <w:r>
        <w:rPr>
          <w:b/>
          <w:color w:val="B8860B"/>
          <w:spacing w:val="30"/>
          <w:sz w:val="32"/>
        </w:rPr>
        <w:t>TSPF  v1.0</w:t>
      </w:r>
    </w:p>
    <w:p w14:paraId="49D70F62" w14:textId="77777777" w:rsidR="002A4A1B" w:rsidRDefault="00000000">
      <w:pPr>
        <w:spacing w:after="200"/>
        <w:jc w:val="center"/>
      </w:pPr>
      <w:r>
        <w:rPr>
          <w:rFonts w:ascii="Georgia" w:hAnsi="Georgia"/>
          <w:color w:val="2F5560"/>
          <w:sz w:val="27"/>
        </w:rPr>
        <w:t>A Complete Governance Architecture for the Strait of Hormuz</w:t>
      </w:r>
    </w:p>
    <w:p w14:paraId="5A75F6D2" w14:textId="77777777" w:rsidR="002A4A1B" w:rsidRDefault="00000000">
      <w:pPr>
        <w:spacing w:after="1600"/>
        <w:jc w:val="center"/>
      </w:pPr>
      <w:r>
        <w:rPr>
          <w:rFonts w:ascii="Georgia" w:hAnsi="Georgia"/>
          <w:color w:val="6E8A94"/>
        </w:rPr>
        <w:t>Three Corridors. One Chart. Open Water.</w:t>
      </w:r>
    </w:p>
    <w:p w14:paraId="7A8AB66B" w14:textId="77777777" w:rsidR="002A4A1B" w:rsidRDefault="00000000">
      <w:pPr>
        <w:jc w:val="center"/>
      </w:pPr>
      <w:r>
        <w:t>Version 1.0  |  August 2026</w:t>
      </w:r>
    </w:p>
    <w:p w14:paraId="368528CC" w14:textId="77777777" w:rsidR="002A4A1B" w:rsidRDefault="00000000">
      <w:pPr>
        <w:spacing w:after="500"/>
        <w:jc w:val="center"/>
      </w:pPr>
      <w:r>
        <w:t>Negotiating Draft for Authorized Participants</w:t>
      </w:r>
    </w:p>
    <w:p w14:paraId="2D7AF2C0" w14:textId="77777777" w:rsidR="002A4A1B" w:rsidRDefault="00000000">
      <w:pPr>
        <w:spacing w:after="60"/>
        <w:jc w:val="center"/>
      </w:pPr>
      <w:r>
        <w:rPr>
          <w:b/>
          <w:color w:val="1F3A44"/>
        </w:rPr>
        <w:t>The Islamic Republic of Iran  ·  The Sultanate of Oman</w:t>
      </w:r>
    </w:p>
    <w:p w14:paraId="60BF8504" w14:textId="77777777" w:rsidR="002A4A1B" w:rsidRDefault="00000000">
      <w:pPr>
        <w:spacing w:after="20"/>
        <w:jc w:val="center"/>
      </w:pPr>
      <w:r>
        <w:rPr>
          <w:sz w:val="19"/>
        </w:rPr>
        <w:lastRenderedPageBreak/>
        <w:t>with a defined accession path for the United Arab Emirates, the Kingdom of Saudi Arabia,</w:t>
      </w:r>
    </w:p>
    <w:p w14:paraId="2E5EDF6B" w14:textId="77777777" w:rsidR="002A4A1B" w:rsidRDefault="00000000">
      <w:pPr>
        <w:spacing w:after="260"/>
        <w:jc w:val="center"/>
      </w:pPr>
      <w:r>
        <w:rPr>
          <w:sz w:val="19"/>
        </w:rPr>
        <w:t>the State of Qatar, the Kingdom of Bahrain, the State of Kuwait, and the Republic of Iraq</w:t>
      </w:r>
    </w:p>
    <w:p w14:paraId="08ADD41B" w14:textId="77777777" w:rsidR="002A4A1B" w:rsidRDefault="00000000">
      <w:pPr>
        <w:spacing w:after="20"/>
        <w:jc w:val="center"/>
      </w:pPr>
      <w:r>
        <w:rPr>
          <w:sz w:val="19"/>
        </w:rPr>
        <w:t>Mediator of Record: The Sultanate of Oman  |  Neutral Administrator: The Swiss Confederation</w:t>
      </w:r>
    </w:p>
    <w:p w14:paraId="0FAEC72F" w14:textId="77777777" w:rsidR="002A4A1B" w:rsidRDefault="00000000">
      <w:pPr>
        <w:spacing w:after="260"/>
        <w:jc w:val="center"/>
      </w:pPr>
      <w:r>
        <w:rPr>
          <w:sz w:val="19"/>
        </w:rPr>
        <w:t>Supporting Facilitators: The State of Qatar and the Islamic Republic of Pakistan</w:t>
      </w:r>
    </w:p>
    <w:p w14:paraId="3F1C1278" w14:textId="77777777" w:rsidR="002A4A1B" w:rsidRDefault="00000000">
      <w:pPr>
        <w:spacing w:after="20"/>
        <w:jc w:val="center"/>
      </w:pPr>
      <w:r>
        <w:rPr>
          <w:sz w:val="19"/>
        </w:rPr>
        <w:t>Seated at the Sobat Operations Center, Muscat,</w:t>
      </w:r>
    </w:p>
    <w:p w14:paraId="32FD4881" w14:textId="77777777" w:rsidR="002A4A1B" w:rsidRDefault="00000000">
      <w:pPr>
        <w:spacing w:after="700"/>
        <w:jc w:val="center"/>
      </w:pPr>
      <w:r>
        <w:rPr>
          <w:sz w:val="19"/>
        </w:rPr>
        <w:t>with the Mirror Facility of Equal Rank at Bandar Abbas</w:t>
      </w:r>
    </w:p>
    <w:p w14:paraId="39D35E92" w14:textId="77777777" w:rsidR="002A4A1B" w:rsidRDefault="00000000">
      <w:pPr>
        <w:spacing w:after="20"/>
        <w:jc w:val="center"/>
      </w:pPr>
      <w:r>
        <w:rPr>
          <w:color w:val="6E8A94"/>
          <w:sz w:val="18"/>
        </w:rPr>
        <w:t>Drafted in strict adherence to the Immutable Present-Tense Matrix,</w:t>
      </w:r>
    </w:p>
    <w:p w14:paraId="7CDFDB7B" w14:textId="77777777" w:rsidR="002A4A1B" w:rsidRDefault="00000000">
      <w:pPr>
        <w:spacing w:after="0"/>
        <w:jc w:val="center"/>
      </w:pPr>
      <w:r>
        <w:rPr>
          <w:color w:val="6E8A94"/>
          <w:sz w:val="18"/>
        </w:rPr>
        <w:t>with the Nofade Guarantee first among equals</w:t>
      </w:r>
    </w:p>
    <w:p w14:paraId="32F3F2B9" w14:textId="77777777" w:rsidR="002A4A1B" w:rsidRDefault="002A4A1B">
      <w:pPr>
        <w:sectPr w:rsidR="002A4A1B">
          <w:pgSz w:w="11906" w:h="16838"/>
          <w:pgMar w:top="1440" w:right="1440" w:bottom="1440" w:left="1440" w:header="720" w:footer="720" w:gutter="0"/>
          <w:pgBorders>
            <w:top w:val="double" w:sz="12" w:space="24" w:color="1F3A44"/>
            <w:left w:val="double" w:sz="12" w:space="24" w:color="1F3A44"/>
            <w:bottom w:val="double" w:sz="12" w:space="24" w:color="1F3A44"/>
            <w:right w:val="double" w:sz="12" w:space="24" w:color="1F3A44"/>
          </w:pgBorders>
          <w:cols w:space="720"/>
          <w:titlePg/>
        </w:sectPr>
      </w:pPr>
    </w:p>
    <w:p w14:paraId="53B3728E" w14:textId="77777777" w:rsidR="002A4A1B" w:rsidRDefault="00000000">
      <w:pPr>
        <w:pStyle w:val="TOCHeading"/>
      </w:pPr>
      <w:bookmarkStart w:id="0" w:name="_Toc236929539"/>
      <w:r>
        <w:lastRenderedPageBreak/>
        <w:t>Table of Contents</w:t>
      </w:r>
      <w:bookmarkEnd w:id="0"/>
    </w:p>
    <w:p w14:paraId="3E7CE86A" w14:textId="39866D41" w:rsidR="0094228B"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6929539" w:history="1">
        <w:r w:rsidR="0094228B" w:rsidRPr="00FB14AE">
          <w:rPr>
            <w:rStyle w:val="Hyperlink"/>
            <w:noProof/>
          </w:rPr>
          <w:t>Table of Contents</w:t>
        </w:r>
        <w:r w:rsidR="0094228B">
          <w:rPr>
            <w:noProof/>
            <w:webHidden/>
          </w:rPr>
          <w:tab/>
        </w:r>
        <w:r w:rsidR="0094228B">
          <w:rPr>
            <w:noProof/>
            <w:webHidden/>
          </w:rPr>
          <w:fldChar w:fldCharType="begin"/>
        </w:r>
        <w:r w:rsidR="0094228B">
          <w:rPr>
            <w:noProof/>
            <w:webHidden/>
          </w:rPr>
          <w:instrText xml:space="preserve"> PAGEREF _Toc236929539 \h </w:instrText>
        </w:r>
        <w:r w:rsidR="0094228B">
          <w:rPr>
            <w:noProof/>
            <w:webHidden/>
          </w:rPr>
        </w:r>
        <w:r w:rsidR="0094228B">
          <w:rPr>
            <w:noProof/>
            <w:webHidden/>
          </w:rPr>
          <w:fldChar w:fldCharType="separate"/>
        </w:r>
        <w:r w:rsidR="0094228B">
          <w:rPr>
            <w:noProof/>
            <w:webHidden/>
          </w:rPr>
          <w:t>3</w:t>
        </w:r>
        <w:r w:rsidR="0094228B">
          <w:rPr>
            <w:noProof/>
            <w:webHidden/>
          </w:rPr>
          <w:fldChar w:fldCharType="end"/>
        </w:r>
      </w:hyperlink>
    </w:p>
    <w:p w14:paraId="58ECF56F" w14:textId="0A5131D7" w:rsidR="0094228B" w:rsidRDefault="0094228B">
      <w:pPr>
        <w:pStyle w:val="TOC1"/>
        <w:rPr>
          <w:rFonts w:asciiTheme="minorHAnsi" w:eastAsiaTheme="minorEastAsia" w:hAnsiTheme="minorHAnsi"/>
          <w:b w:val="0"/>
          <w:noProof/>
          <w:color w:val="auto"/>
          <w:sz w:val="24"/>
        </w:rPr>
      </w:pPr>
      <w:hyperlink w:anchor="_Toc236929540" w:history="1">
        <w:r w:rsidRPr="00FB14AE">
          <w:rPr>
            <w:rStyle w:val="Hyperlink"/>
            <w:noProof/>
          </w:rPr>
          <w:t>Document Control</w:t>
        </w:r>
        <w:r>
          <w:rPr>
            <w:noProof/>
            <w:webHidden/>
          </w:rPr>
          <w:tab/>
        </w:r>
        <w:r>
          <w:rPr>
            <w:noProof/>
            <w:webHidden/>
          </w:rPr>
          <w:fldChar w:fldCharType="begin"/>
        </w:r>
        <w:r>
          <w:rPr>
            <w:noProof/>
            <w:webHidden/>
          </w:rPr>
          <w:instrText xml:space="preserve"> PAGEREF _Toc236929540 \h </w:instrText>
        </w:r>
        <w:r>
          <w:rPr>
            <w:noProof/>
            <w:webHidden/>
          </w:rPr>
        </w:r>
        <w:r>
          <w:rPr>
            <w:noProof/>
            <w:webHidden/>
          </w:rPr>
          <w:fldChar w:fldCharType="separate"/>
        </w:r>
        <w:r>
          <w:rPr>
            <w:noProof/>
            <w:webHidden/>
          </w:rPr>
          <w:t>10</w:t>
        </w:r>
        <w:r>
          <w:rPr>
            <w:noProof/>
            <w:webHidden/>
          </w:rPr>
          <w:fldChar w:fldCharType="end"/>
        </w:r>
      </w:hyperlink>
    </w:p>
    <w:p w14:paraId="159095BE" w14:textId="3F9939EC" w:rsidR="0094228B" w:rsidRDefault="0094228B">
      <w:pPr>
        <w:pStyle w:val="TOC2"/>
        <w:rPr>
          <w:rFonts w:asciiTheme="minorHAnsi" w:eastAsiaTheme="minorEastAsia" w:hAnsiTheme="minorHAnsi"/>
          <w:noProof/>
          <w:color w:val="auto"/>
          <w:sz w:val="24"/>
        </w:rPr>
      </w:pPr>
      <w:hyperlink w:anchor="_Toc236929541" w:history="1">
        <w:r w:rsidRPr="00FB14AE">
          <w:rPr>
            <w:rStyle w:val="Hyperlink"/>
            <w:noProof/>
          </w:rPr>
          <w:t>How to Use This Text</w:t>
        </w:r>
        <w:r>
          <w:rPr>
            <w:noProof/>
            <w:webHidden/>
          </w:rPr>
          <w:tab/>
        </w:r>
        <w:r>
          <w:rPr>
            <w:noProof/>
            <w:webHidden/>
          </w:rPr>
          <w:fldChar w:fldCharType="begin"/>
        </w:r>
        <w:r>
          <w:rPr>
            <w:noProof/>
            <w:webHidden/>
          </w:rPr>
          <w:instrText xml:space="preserve"> PAGEREF _Toc236929541 \h </w:instrText>
        </w:r>
        <w:r>
          <w:rPr>
            <w:noProof/>
            <w:webHidden/>
          </w:rPr>
        </w:r>
        <w:r>
          <w:rPr>
            <w:noProof/>
            <w:webHidden/>
          </w:rPr>
          <w:fldChar w:fldCharType="separate"/>
        </w:r>
        <w:r>
          <w:rPr>
            <w:noProof/>
            <w:webHidden/>
          </w:rPr>
          <w:t>11</w:t>
        </w:r>
        <w:r>
          <w:rPr>
            <w:noProof/>
            <w:webHidden/>
          </w:rPr>
          <w:fldChar w:fldCharType="end"/>
        </w:r>
      </w:hyperlink>
    </w:p>
    <w:p w14:paraId="66CD5B82" w14:textId="37DAA498" w:rsidR="0094228B" w:rsidRDefault="0094228B">
      <w:pPr>
        <w:pStyle w:val="TOC1"/>
        <w:rPr>
          <w:rFonts w:asciiTheme="minorHAnsi" w:eastAsiaTheme="minorEastAsia" w:hAnsiTheme="minorHAnsi"/>
          <w:b w:val="0"/>
          <w:noProof/>
          <w:color w:val="auto"/>
          <w:sz w:val="24"/>
        </w:rPr>
      </w:pPr>
      <w:hyperlink w:anchor="_Toc236929542" w:history="1">
        <w:r w:rsidRPr="00FB14AE">
          <w:rPr>
            <w:rStyle w:val="Hyperlink"/>
            <w:noProof/>
          </w:rPr>
          <w:t>The Sobat Payedar Declaration of Principles</w:t>
        </w:r>
        <w:r>
          <w:rPr>
            <w:noProof/>
            <w:webHidden/>
          </w:rPr>
          <w:tab/>
        </w:r>
        <w:r>
          <w:rPr>
            <w:noProof/>
            <w:webHidden/>
          </w:rPr>
          <w:fldChar w:fldCharType="begin"/>
        </w:r>
        <w:r>
          <w:rPr>
            <w:noProof/>
            <w:webHidden/>
          </w:rPr>
          <w:instrText xml:space="preserve"> PAGEREF _Toc236929542 \h </w:instrText>
        </w:r>
        <w:r>
          <w:rPr>
            <w:noProof/>
            <w:webHidden/>
          </w:rPr>
        </w:r>
        <w:r>
          <w:rPr>
            <w:noProof/>
            <w:webHidden/>
          </w:rPr>
          <w:fldChar w:fldCharType="separate"/>
        </w:r>
        <w:r>
          <w:rPr>
            <w:noProof/>
            <w:webHidden/>
          </w:rPr>
          <w:t>12</w:t>
        </w:r>
        <w:r>
          <w:rPr>
            <w:noProof/>
            <w:webHidden/>
          </w:rPr>
          <w:fldChar w:fldCharType="end"/>
        </w:r>
      </w:hyperlink>
    </w:p>
    <w:p w14:paraId="6F3C80FC" w14:textId="61F8D9E1" w:rsidR="0094228B" w:rsidRDefault="0094228B">
      <w:pPr>
        <w:pStyle w:val="TOC1"/>
        <w:rPr>
          <w:rFonts w:asciiTheme="minorHAnsi" w:eastAsiaTheme="minorEastAsia" w:hAnsiTheme="minorHAnsi"/>
          <w:b w:val="0"/>
          <w:noProof/>
          <w:color w:val="auto"/>
          <w:sz w:val="24"/>
        </w:rPr>
      </w:pPr>
      <w:hyperlink w:anchor="_Toc236929543" w:history="1">
        <w:r w:rsidRPr="00FB14AE">
          <w:rPr>
            <w:rStyle w:val="Hyperlink"/>
            <w:noProof/>
          </w:rPr>
          <w:t>Preamble: The Moment of August 2026</w:t>
        </w:r>
        <w:r>
          <w:rPr>
            <w:noProof/>
            <w:webHidden/>
          </w:rPr>
          <w:tab/>
        </w:r>
        <w:r>
          <w:rPr>
            <w:noProof/>
            <w:webHidden/>
          </w:rPr>
          <w:fldChar w:fldCharType="begin"/>
        </w:r>
        <w:r>
          <w:rPr>
            <w:noProof/>
            <w:webHidden/>
          </w:rPr>
          <w:instrText xml:space="preserve"> PAGEREF _Toc236929543 \h </w:instrText>
        </w:r>
        <w:r>
          <w:rPr>
            <w:noProof/>
            <w:webHidden/>
          </w:rPr>
        </w:r>
        <w:r>
          <w:rPr>
            <w:noProof/>
            <w:webHidden/>
          </w:rPr>
          <w:fldChar w:fldCharType="separate"/>
        </w:r>
        <w:r>
          <w:rPr>
            <w:noProof/>
            <w:webHidden/>
          </w:rPr>
          <w:t>14</w:t>
        </w:r>
        <w:r>
          <w:rPr>
            <w:noProof/>
            <w:webHidden/>
          </w:rPr>
          <w:fldChar w:fldCharType="end"/>
        </w:r>
      </w:hyperlink>
    </w:p>
    <w:p w14:paraId="7F2D3FED" w14:textId="72A930B9" w:rsidR="0094228B" w:rsidRDefault="0094228B">
      <w:pPr>
        <w:pStyle w:val="TOC1"/>
        <w:rPr>
          <w:rFonts w:asciiTheme="minorHAnsi" w:eastAsiaTheme="minorEastAsia" w:hAnsiTheme="minorHAnsi"/>
          <w:b w:val="0"/>
          <w:noProof/>
          <w:color w:val="auto"/>
          <w:sz w:val="24"/>
        </w:rPr>
      </w:pPr>
      <w:hyperlink w:anchor="_Toc236929544" w:history="1">
        <w:r w:rsidRPr="00FB14AE">
          <w:rPr>
            <w:rStyle w:val="Hyperlink"/>
            <w:noProof/>
          </w:rPr>
          <w:t>Reading and Drafting Note</w:t>
        </w:r>
        <w:r>
          <w:rPr>
            <w:noProof/>
            <w:webHidden/>
          </w:rPr>
          <w:tab/>
        </w:r>
        <w:r>
          <w:rPr>
            <w:noProof/>
            <w:webHidden/>
          </w:rPr>
          <w:fldChar w:fldCharType="begin"/>
        </w:r>
        <w:r>
          <w:rPr>
            <w:noProof/>
            <w:webHidden/>
          </w:rPr>
          <w:instrText xml:space="preserve"> PAGEREF _Toc236929544 \h </w:instrText>
        </w:r>
        <w:r>
          <w:rPr>
            <w:noProof/>
            <w:webHidden/>
          </w:rPr>
        </w:r>
        <w:r>
          <w:rPr>
            <w:noProof/>
            <w:webHidden/>
          </w:rPr>
          <w:fldChar w:fldCharType="separate"/>
        </w:r>
        <w:r>
          <w:rPr>
            <w:noProof/>
            <w:webHidden/>
          </w:rPr>
          <w:t>16</w:t>
        </w:r>
        <w:r>
          <w:rPr>
            <w:noProof/>
            <w:webHidden/>
          </w:rPr>
          <w:fldChar w:fldCharType="end"/>
        </w:r>
      </w:hyperlink>
    </w:p>
    <w:p w14:paraId="05FA5505" w14:textId="44736994" w:rsidR="0094228B" w:rsidRDefault="0094228B">
      <w:pPr>
        <w:pStyle w:val="TOC2"/>
        <w:rPr>
          <w:rFonts w:asciiTheme="minorHAnsi" w:eastAsiaTheme="minorEastAsia" w:hAnsiTheme="minorHAnsi"/>
          <w:noProof/>
          <w:color w:val="auto"/>
          <w:sz w:val="24"/>
        </w:rPr>
      </w:pPr>
      <w:hyperlink w:anchor="_Toc236929545" w:history="1">
        <w:r w:rsidRPr="00FB14AE">
          <w:rPr>
            <w:rStyle w:val="Hyperlink"/>
            <w:noProof/>
          </w:rPr>
          <w:t>The Immutable Present-Tense Matrix</w:t>
        </w:r>
        <w:r>
          <w:rPr>
            <w:noProof/>
            <w:webHidden/>
          </w:rPr>
          <w:tab/>
        </w:r>
        <w:r>
          <w:rPr>
            <w:noProof/>
            <w:webHidden/>
          </w:rPr>
          <w:fldChar w:fldCharType="begin"/>
        </w:r>
        <w:r>
          <w:rPr>
            <w:noProof/>
            <w:webHidden/>
          </w:rPr>
          <w:instrText xml:space="preserve"> PAGEREF _Toc236929545 \h </w:instrText>
        </w:r>
        <w:r>
          <w:rPr>
            <w:noProof/>
            <w:webHidden/>
          </w:rPr>
        </w:r>
        <w:r>
          <w:rPr>
            <w:noProof/>
            <w:webHidden/>
          </w:rPr>
          <w:fldChar w:fldCharType="separate"/>
        </w:r>
        <w:r>
          <w:rPr>
            <w:noProof/>
            <w:webHidden/>
          </w:rPr>
          <w:t>16</w:t>
        </w:r>
        <w:r>
          <w:rPr>
            <w:noProof/>
            <w:webHidden/>
          </w:rPr>
          <w:fldChar w:fldCharType="end"/>
        </w:r>
      </w:hyperlink>
    </w:p>
    <w:p w14:paraId="6F9C6646" w14:textId="768B0B23" w:rsidR="0094228B" w:rsidRDefault="0094228B">
      <w:pPr>
        <w:pStyle w:val="TOC2"/>
        <w:rPr>
          <w:rFonts w:asciiTheme="minorHAnsi" w:eastAsiaTheme="minorEastAsia" w:hAnsiTheme="minorHAnsi"/>
          <w:noProof/>
          <w:color w:val="auto"/>
          <w:sz w:val="24"/>
        </w:rPr>
      </w:pPr>
      <w:hyperlink w:anchor="_Toc236929546" w:history="1">
        <w:r w:rsidRPr="00FB14AE">
          <w:rPr>
            <w:rStyle w:val="Hyperlink"/>
            <w:noProof/>
          </w:rPr>
          <w:t>How to Read a Trigger</w:t>
        </w:r>
        <w:r>
          <w:rPr>
            <w:noProof/>
            <w:webHidden/>
          </w:rPr>
          <w:tab/>
        </w:r>
        <w:r>
          <w:rPr>
            <w:noProof/>
            <w:webHidden/>
          </w:rPr>
          <w:fldChar w:fldCharType="begin"/>
        </w:r>
        <w:r>
          <w:rPr>
            <w:noProof/>
            <w:webHidden/>
          </w:rPr>
          <w:instrText xml:space="preserve"> PAGEREF _Toc236929546 \h </w:instrText>
        </w:r>
        <w:r>
          <w:rPr>
            <w:noProof/>
            <w:webHidden/>
          </w:rPr>
        </w:r>
        <w:r>
          <w:rPr>
            <w:noProof/>
            <w:webHidden/>
          </w:rPr>
          <w:fldChar w:fldCharType="separate"/>
        </w:r>
        <w:r>
          <w:rPr>
            <w:noProof/>
            <w:webHidden/>
          </w:rPr>
          <w:t>16</w:t>
        </w:r>
        <w:r>
          <w:rPr>
            <w:noProof/>
            <w:webHidden/>
          </w:rPr>
          <w:fldChar w:fldCharType="end"/>
        </w:r>
      </w:hyperlink>
    </w:p>
    <w:p w14:paraId="5E0C73E1" w14:textId="15800FD9" w:rsidR="0094228B" w:rsidRDefault="0094228B">
      <w:pPr>
        <w:pStyle w:val="TOC2"/>
        <w:rPr>
          <w:rFonts w:asciiTheme="minorHAnsi" w:eastAsiaTheme="minorEastAsia" w:hAnsiTheme="minorHAnsi"/>
          <w:noProof/>
          <w:color w:val="auto"/>
          <w:sz w:val="24"/>
        </w:rPr>
      </w:pPr>
      <w:hyperlink w:anchor="_Toc236929547" w:history="1">
        <w:r w:rsidRPr="00FB14AE">
          <w:rPr>
            <w:rStyle w:val="Hyperlink"/>
            <w:noProof/>
          </w:rPr>
          <w:t>Modules and Incorporation</w:t>
        </w:r>
        <w:r>
          <w:rPr>
            <w:noProof/>
            <w:webHidden/>
          </w:rPr>
          <w:tab/>
        </w:r>
        <w:r>
          <w:rPr>
            <w:noProof/>
            <w:webHidden/>
          </w:rPr>
          <w:fldChar w:fldCharType="begin"/>
        </w:r>
        <w:r>
          <w:rPr>
            <w:noProof/>
            <w:webHidden/>
          </w:rPr>
          <w:instrText xml:space="preserve"> PAGEREF _Toc236929547 \h </w:instrText>
        </w:r>
        <w:r>
          <w:rPr>
            <w:noProof/>
            <w:webHidden/>
          </w:rPr>
        </w:r>
        <w:r>
          <w:rPr>
            <w:noProof/>
            <w:webHidden/>
          </w:rPr>
          <w:fldChar w:fldCharType="separate"/>
        </w:r>
        <w:r>
          <w:rPr>
            <w:noProof/>
            <w:webHidden/>
          </w:rPr>
          <w:t>16</w:t>
        </w:r>
        <w:r>
          <w:rPr>
            <w:noProof/>
            <w:webHidden/>
          </w:rPr>
          <w:fldChar w:fldCharType="end"/>
        </w:r>
      </w:hyperlink>
    </w:p>
    <w:p w14:paraId="1EC660AC" w14:textId="4F635CA3" w:rsidR="0094228B" w:rsidRDefault="0094228B">
      <w:pPr>
        <w:pStyle w:val="TOC2"/>
        <w:rPr>
          <w:rFonts w:asciiTheme="minorHAnsi" w:eastAsiaTheme="minorEastAsia" w:hAnsiTheme="minorHAnsi"/>
          <w:noProof/>
          <w:color w:val="auto"/>
          <w:sz w:val="24"/>
        </w:rPr>
      </w:pPr>
      <w:hyperlink w:anchor="_Toc236929548" w:history="1">
        <w:r w:rsidRPr="00FB14AE">
          <w:rPr>
            <w:rStyle w:val="Hyperlink"/>
            <w:noProof/>
          </w:rPr>
          <w:t>A Note on Names</w:t>
        </w:r>
        <w:r>
          <w:rPr>
            <w:noProof/>
            <w:webHidden/>
          </w:rPr>
          <w:tab/>
        </w:r>
        <w:r>
          <w:rPr>
            <w:noProof/>
            <w:webHidden/>
          </w:rPr>
          <w:fldChar w:fldCharType="begin"/>
        </w:r>
        <w:r>
          <w:rPr>
            <w:noProof/>
            <w:webHidden/>
          </w:rPr>
          <w:instrText xml:space="preserve"> PAGEREF _Toc236929548 \h </w:instrText>
        </w:r>
        <w:r>
          <w:rPr>
            <w:noProof/>
            <w:webHidden/>
          </w:rPr>
        </w:r>
        <w:r>
          <w:rPr>
            <w:noProof/>
            <w:webHidden/>
          </w:rPr>
          <w:fldChar w:fldCharType="separate"/>
        </w:r>
        <w:r>
          <w:rPr>
            <w:noProof/>
            <w:webHidden/>
          </w:rPr>
          <w:t>16</w:t>
        </w:r>
        <w:r>
          <w:rPr>
            <w:noProof/>
            <w:webHidden/>
          </w:rPr>
          <w:fldChar w:fldCharType="end"/>
        </w:r>
      </w:hyperlink>
    </w:p>
    <w:p w14:paraId="3B776979" w14:textId="54802CD8" w:rsidR="0094228B" w:rsidRDefault="0094228B">
      <w:pPr>
        <w:pStyle w:val="TOC1"/>
        <w:rPr>
          <w:rFonts w:asciiTheme="minorHAnsi" w:eastAsiaTheme="minorEastAsia" w:hAnsiTheme="minorHAnsi"/>
          <w:b w:val="0"/>
          <w:noProof/>
          <w:color w:val="auto"/>
          <w:sz w:val="24"/>
        </w:rPr>
      </w:pPr>
      <w:hyperlink w:anchor="_Toc236929549" w:history="1">
        <w:r w:rsidRPr="00FB14AE">
          <w:rPr>
            <w:rStyle w:val="Hyperlink"/>
            <w:noProof/>
          </w:rPr>
          <w:t>Part I: Foundations</w:t>
        </w:r>
        <w:r>
          <w:rPr>
            <w:noProof/>
            <w:webHidden/>
          </w:rPr>
          <w:tab/>
        </w:r>
        <w:r>
          <w:rPr>
            <w:noProof/>
            <w:webHidden/>
          </w:rPr>
          <w:fldChar w:fldCharType="begin"/>
        </w:r>
        <w:r>
          <w:rPr>
            <w:noProof/>
            <w:webHidden/>
          </w:rPr>
          <w:instrText xml:space="preserve"> PAGEREF _Toc236929549 \h </w:instrText>
        </w:r>
        <w:r>
          <w:rPr>
            <w:noProof/>
            <w:webHidden/>
          </w:rPr>
        </w:r>
        <w:r>
          <w:rPr>
            <w:noProof/>
            <w:webHidden/>
          </w:rPr>
          <w:fldChar w:fldCharType="separate"/>
        </w:r>
        <w:r>
          <w:rPr>
            <w:noProof/>
            <w:webHidden/>
          </w:rPr>
          <w:t>18</w:t>
        </w:r>
        <w:r>
          <w:rPr>
            <w:noProof/>
            <w:webHidden/>
          </w:rPr>
          <w:fldChar w:fldCharType="end"/>
        </w:r>
      </w:hyperlink>
    </w:p>
    <w:p w14:paraId="6F160944" w14:textId="7D6A9293" w:rsidR="0094228B" w:rsidRDefault="0094228B">
      <w:pPr>
        <w:pStyle w:val="TOC1"/>
        <w:rPr>
          <w:rFonts w:asciiTheme="minorHAnsi" w:eastAsiaTheme="minorEastAsia" w:hAnsiTheme="minorHAnsi"/>
          <w:b w:val="0"/>
          <w:noProof/>
          <w:color w:val="auto"/>
          <w:sz w:val="24"/>
        </w:rPr>
      </w:pPr>
      <w:hyperlink w:anchor="_Toc236929550" w:history="1">
        <w:r w:rsidRPr="00FB14AE">
          <w:rPr>
            <w:rStyle w:val="Hyperlink"/>
            <w:noProof/>
          </w:rPr>
          <w:t>Article 1: Establishment, Purpose, and Scope</w:t>
        </w:r>
        <w:r>
          <w:rPr>
            <w:noProof/>
            <w:webHidden/>
          </w:rPr>
          <w:tab/>
        </w:r>
        <w:r>
          <w:rPr>
            <w:noProof/>
            <w:webHidden/>
          </w:rPr>
          <w:fldChar w:fldCharType="begin"/>
        </w:r>
        <w:r>
          <w:rPr>
            <w:noProof/>
            <w:webHidden/>
          </w:rPr>
          <w:instrText xml:space="preserve"> PAGEREF _Toc236929550 \h </w:instrText>
        </w:r>
        <w:r>
          <w:rPr>
            <w:noProof/>
            <w:webHidden/>
          </w:rPr>
        </w:r>
        <w:r>
          <w:rPr>
            <w:noProof/>
            <w:webHidden/>
          </w:rPr>
          <w:fldChar w:fldCharType="separate"/>
        </w:r>
        <w:r>
          <w:rPr>
            <w:noProof/>
            <w:webHidden/>
          </w:rPr>
          <w:t>19</w:t>
        </w:r>
        <w:r>
          <w:rPr>
            <w:noProof/>
            <w:webHidden/>
          </w:rPr>
          <w:fldChar w:fldCharType="end"/>
        </w:r>
      </w:hyperlink>
    </w:p>
    <w:p w14:paraId="3B6E6C64" w14:textId="3F32EF7C" w:rsidR="0094228B" w:rsidRDefault="0094228B">
      <w:pPr>
        <w:pStyle w:val="TOC2"/>
        <w:rPr>
          <w:rFonts w:asciiTheme="minorHAnsi" w:eastAsiaTheme="minorEastAsia" w:hAnsiTheme="minorHAnsi"/>
          <w:noProof/>
          <w:color w:val="auto"/>
          <w:sz w:val="24"/>
        </w:rPr>
      </w:pPr>
      <w:hyperlink w:anchor="_Toc236929551" w:history="1">
        <w:r w:rsidRPr="00FB14AE">
          <w:rPr>
            <w:rStyle w:val="Hyperlink"/>
            <w:noProof/>
          </w:rPr>
          <w:t>1.1 Establishment</w:t>
        </w:r>
        <w:r>
          <w:rPr>
            <w:noProof/>
            <w:webHidden/>
          </w:rPr>
          <w:tab/>
        </w:r>
        <w:r>
          <w:rPr>
            <w:noProof/>
            <w:webHidden/>
          </w:rPr>
          <w:fldChar w:fldCharType="begin"/>
        </w:r>
        <w:r>
          <w:rPr>
            <w:noProof/>
            <w:webHidden/>
          </w:rPr>
          <w:instrText xml:space="preserve"> PAGEREF _Toc236929551 \h </w:instrText>
        </w:r>
        <w:r>
          <w:rPr>
            <w:noProof/>
            <w:webHidden/>
          </w:rPr>
        </w:r>
        <w:r>
          <w:rPr>
            <w:noProof/>
            <w:webHidden/>
          </w:rPr>
          <w:fldChar w:fldCharType="separate"/>
        </w:r>
        <w:r>
          <w:rPr>
            <w:noProof/>
            <w:webHidden/>
          </w:rPr>
          <w:t>19</w:t>
        </w:r>
        <w:r>
          <w:rPr>
            <w:noProof/>
            <w:webHidden/>
          </w:rPr>
          <w:fldChar w:fldCharType="end"/>
        </w:r>
      </w:hyperlink>
    </w:p>
    <w:p w14:paraId="16410761" w14:textId="2BA62465" w:rsidR="0094228B" w:rsidRDefault="0094228B">
      <w:pPr>
        <w:pStyle w:val="TOC2"/>
        <w:rPr>
          <w:rFonts w:asciiTheme="minorHAnsi" w:eastAsiaTheme="minorEastAsia" w:hAnsiTheme="minorHAnsi"/>
          <w:noProof/>
          <w:color w:val="auto"/>
          <w:sz w:val="24"/>
        </w:rPr>
      </w:pPr>
      <w:hyperlink w:anchor="_Toc236929552" w:history="1">
        <w:r w:rsidRPr="00FB14AE">
          <w:rPr>
            <w:rStyle w:val="Hyperlink"/>
            <w:noProof/>
          </w:rPr>
          <w:t>1.2 Purpose</w:t>
        </w:r>
        <w:r>
          <w:rPr>
            <w:noProof/>
            <w:webHidden/>
          </w:rPr>
          <w:tab/>
        </w:r>
        <w:r>
          <w:rPr>
            <w:noProof/>
            <w:webHidden/>
          </w:rPr>
          <w:fldChar w:fldCharType="begin"/>
        </w:r>
        <w:r>
          <w:rPr>
            <w:noProof/>
            <w:webHidden/>
          </w:rPr>
          <w:instrText xml:space="preserve"> PAGEREF _Toc236929552 \h </w:instrText>
        </w:r>
        <w:r>
          <w:rPr>
            <w:noProof/>
            <w:webHidden/>
          </w:rPr>
        </w:r>
        <w:r>
          <w:rPr>
            <w:noProof/>
            <w:webHidden/>
          </w:rPr>
          <w:fldChar w:fldCharType="separate"/>
        </w:r>
        <w:r>
          <w:rPr>
            <w:noProof/>
            <w:webHidden/>
          </w:rPr>
          <w:t>19</w:t>
        </w:r>
        <w:r>
          <w:rPr>
            <w:noProof/>
            <w:webHidden/>
          </w:rPr>
          <w:fldChar w:fldCharType="end"/>
        </w:r>
      </w:hyperlink>
    </w:p>
    <w:p w14:paraId="57C4DFEA" w14:textId="643E9426" w:rsidR="0094228B" w:rsidRDefault="0094228B">
      <w:pPr>
        <w:pStyle w:val="TOC2"/>
        <w:rPr>
          <w:rFonts w:asciiTheme="minorHAnsi" w:eastAsiaTheme="minorEastAsia" w:hAnsiTheme="minorHAnsi"/>
          <w:noProof/>
          <w:color w:val="auto"/>
          <w:sz w:val="24"/>
        </w:rPr>
      </w:pPr>
      <w:hyperlink w:anchor="_Toc236929553" w:history="1">
        <w:r w:rsidRPr="00FB14AE">
          <w:rPr>
            <w:rStyle w:val="Hyperlink"/>
            <w:noProof/>
          </w:rPr>
          <w:t>1.3 Scope</w:t>
        </w:r>
        <w:r>
          <w:rPr>
            <w:noProof/>
            <w:webHidden/>
          </w:rPr>
          <w:tab/>
        </w:r>
        <w:r>
          <w:rPr>
            <w:noProof/>
            <w:webHidden/>
          </w:rPr>
          <w:fldChar w:fldCharType="begin"/>
        </w:r>
        <w:r>
          <w:rPr>
            <w:noProof/>
            <w:webHidden/>
          </w:rPr>
          <w:instrText xml:space="preserve"> PAGEREF _Toc236929553 \h </w:instrText>
        </w:r>
        <w:r>
          <w:rPr>
            <w:noProof/>
            <w:webHidden/>
          </w:rPr>
        </w:r>
        <w:r>
          <w:rPr>
            <w:noProof/>
            <w:webHidden/>
          </w:rPr>
          <w:fldChar w:fldCharType="separate"/>
        </w:r>
        <w:r>
          <w:rPr>
            <w:noProof/>
            <w:webHidden/>
          </w:rPr>
          <w:t>19</w:t>
        </w:r>
        <w:r>
          <w:rPr>
            <w:noProof/>
            <w:webHidden/>
          </w:rPr>
          <w:fldChar w:fldCharType="end"/>
        </w:r>
      </w:hyperlink>
    </w:p>
    <w:p w14:paraId="36CEFF62" w14:textId="06E1737F" w:rsidR="0094228B" w:rsidRDefault="0094228B">
      <w:pPr>
        <w:pStyle w:val="TOC1"/>
        <w:rPr>
          <w:rFonts w:asciiTheme="minorHAnsi" w:eastAsiaTheme="minorEastAsia" w:hAnsiTheme="minorHAnsi"/>
          <w:b w:val="0"/>
          <w:noProof/>
          <w:color w:val="auto"/>
          <w:sz w:val="24"/>
        </w:rPr>
      </w:pPr>
      <w:hyperlink w:anchor="_Toc236929554" w:history="1">
        <w:r w:rsidRPr="00FB14AE">
          <w:rPr>
            <w:rStyle w:val="Hyperlink"/>
            <w:noProof/>
          </w:rPr>
          <w:t>Article 2: The Parties, Accession, and the Circle of Friends</w:t>
        </w:r>
        <w:r>
          <w:rPr>
            <w:noProof/>
            <w:webHidden/>
          </w:rPr>
          <w:tab/>
        </w:r>
        <w:r>
          <w:rPr>
            <w:noProof/>
            <w:webHidden/>
          </w:rPr>
          <w:fldChar w:fldCharType="begin"/>
        </w:r>
        <w:r>
          <w:rPr>
            <w:noProof/>
            <w:webHidden/>
          </w:rPr>
          <w:instrText xml:space="preserve"> PAGEREF _Toc236929554 \h </w:instrText>
        </w:r>
        <w:r>
          <w:rPr>
            <w:noProof/>
            <w:webHidden/>
          </w:rPr>
        </w:r>
        <w:r>
          <w:rPr>
            <w:noProof/>
            <w:webHidden/>
          </w:rPr>
          <w:fldChar w:fldCharType="separate"/>
        </w:r>
        <w:r>
          <w:rPr>
            <w:noProof/>
            <w:webHidden/>
          </w:rPr>
          <w:t>21</w:t>
        </w:r>
        <w:r>
          <w:rPr>
            <w:noProof/>
            <w:webHidden/>
          </w:rPr>
          <w:fldChar w:fldCharType="end"/>
        </w:r>
      </w:hyperlink>
    </w:p>
    <w:p w14:paraId="3E28113E" w14:textId="4FE7A343" w:rsidR="0094228B" w:rsidRDefault="0094228B">
      <w:pPr>
        <w:pStyle w:val="TOC2"/>
        <w:rPr>
          <w:rFonts w:asciiTheme="minorHAnsi" w:eastAsiaTheme="minorEastAsia" w:hAnsiTheme="minorHAnsi"/>
          <w:noProof/>
          <w:color w:val="auto"/>
          <w:sz w:val="24"/>
        </w:rPr>
      </w:pPr>
      <w:hyperlink w:anchor="_Toc236929555" w:history="1">
        <w:r w:rsidRPr="00FB14AE">
          <w:rPr>
            <w:rStyle w:val="Hyperlink"/>
            <w:noProof/>
          </w:rPr>
          <w:t>2.1 The Founding Parties</w:t>
        </w:r>
        <w:r>
          <w:rPr>
            <w:noProof/>
            <w:webHidden/>
          </w:rPr>
          <w:tab/>
        </w:r>
        <w:r>
          <w:rPr>
            <w:noProof/>
            <w:webHidden/>
          </w:rPr>
          <w:fldChar w:fldCharType="begin"/>
        </w:r>
        <w:r>
          <w:rPr>
            <w:noProof/>
            <w:webHidden/>
          </w:rPr>
          <w:instrText xml:space="preserve"> PAGEREF _Toc236929555 \h </w:instrText>
        </w:r>
        <w:r>
          <w:rPr>
            <w:noProof/>
            <w:webHidden/>
          </w:rPr>
        </w:r>
        <w:r>
          <w:rPr>
            <w:noProof/>
            <w:webHidden/>
          </w:rPr>
          <w:fldChar w:fldCharType="separate"/>
        </w:r>
        <w:r>
          <w:rPr>
            <w:noProof/>
            <w:webHidden/>
          </w:rPr>
          <w:t>21</w:t>
        </w:r>
        <w:r>
          <w:rPr>
            <w:noProof/>
            <w:webHidden/>
          </w:rPr>
          <w:fldChar w:fldCharType="end"/>
        </w:r>
      </w:hyperlink>
    </w:p>
    <w:p w14:paraId="222A4BAC" w14:textId="33F156B7" w:rsidR="0094228B" w:rsidRDefault="0094228B">
      <w:pPr>
        <w:pStyle w:val="TOC2"/>
        <w:rPr>
          <w:rFonts w:asciiTheme="minorHAnsi" w:eastAsiaTheme="minorEastAsia" w:hAnsiTheme="minorHAnsi"/>
          <w:noProof/>
          <w:color w:val="auto"/>
          <w:sz w:val="24"/>
        </w:rPr>
      </w:pPr>
      <w:hyperlink w:anchor="_Toc236929556" w:history="1">
        <w:r w:rsidRPr="00FB14AE">
          <w:rPr>
            <w:rStyle w:val="Hyperlink"/>
            <w:noProof/>
          </w:rPr>
          <w:t>2.2 Accession</w:t>
        </w:r>
        <w:r>
          <w:rPr>
            <w:noProof/>
            <w:webHidden/>
          </w:rPr>
          <w:tab/>
        </w:r>
        <w:r>
          <w:rPr>
            <w:noProof/>
            <w:webHidden/>
          </w:rPr>
          <w:fldChar w:fldCharType="begin"/>
        </w:r>
        <w:r>
          <w:rPr>
            <w:noProof/>
            <w:webHidden/>
          </w:rPr>
          <w:instrText xml:space="preserve"> PAGEREF _Toc236929556 \h </w:instrText>
        </w:r>
        <w:r>
          <w:rPr>
            <w:noProof/>
            <w:webHidden/>
          </w:rPr>
        </w:r>
        <w:r>
          <w:rPr>
            <w:noProof/>
            <w:webHidden/>
          </w:rPr>
          <w:fldChar w:fldCharType="separate"/>
        </w:r>
        <w:r>
          <w:rPr>
            <w:noProof/>
            <w:webHidden/>
          </w:rPr>
          <w:t>21</w:t>
        </w:r>
        <w:r>
          <w:rPr>
            <w:noProof/>
            <w:webHidden/>
          </w:rPr>
          <w:fldChar w:fldCharType="end"/>
        </w:r>
      </w:hyperlink>
    </w:p>
    <w:p w14:paraId="4BA5B849" w14:textId="0E8CB855" w:rsidR="0094228B" w:rsidRDefault="0094228B">
      <w:pPr>
        <w:pStyle w:val="TOC2"/>
        <w:rPr>
          <w:rFonts w:asciiTheme="minorHAnsi" w:eastAsiaTheme="minorEastAsia" w:hAnsiTheme="minorHAnsi"/>
          <w:noProof/>
          <w:color w:val="auto"/>
          <w:sz w:val="24"/>
        </w:rPr>
      </w:pPr>
      <w:hyperlink w:anchor="_Toc236929557" w:history="1">
        <w:r w:rsidRPr="00FB14AE">
          <w:rPr>
            <w:rStyle w:val="Hyperlink"/>
            <w:noProof/>
          </w:rPr>
          <w:t>2.3 The Circle of Friends</w:t>
        </w:r>
        <w:r>
          <w:rPr>
            <w:noProof/>
            <w:webHidden/>
          </w:rPr>
          <w:tab/>
        </w:r>
        <w:r>
          <w:rPr>
            <w:noProof/>
            <w:webHidden/>
          </w:rPr>
          <w:fldChar w:fldCharType="begin"/>
        </w:r>
        <w:r>
          <w:rPr>
            <w:noProof/>
            <w:webHidden/>
          </w:rPr>
          <w:instrText xml:space="preserve"> PAGEREF _Toc236929557 \h </w:instrText>
        </w:r>
        <w:r>
          <w:rPr>
            <w:noProof/>
            <w:webHidden/>
          </w:rPr>
        </w:r>
        <w:r>
          <w:rPr>
            <w:noProof/>
            <w:webHidden/>
          </w:rPr>
          <w:fldChar w:fldCharType="separate"/>
        </w:r>
        <w:r>
          <w:rPr>
            <w:noProof/>
            <w:webHidden/>
          </w:rPr>
          <w:t>21</w:t>
        </w:r>
        <w:r>
          <w:rPr>
            <w:noProof/>
            <w:webHidden/>
          </w:rPr>
          <w:fldChar w:fldCharType="end"/>
        </w:r>
      </w:hyperlink>
    </w:p>
    <w:p w14:paraId="2F9BA834" w14:textId="51EAE120" w:rsidR="0094228B" w:rsidRDefault="0094228B">
      <w:pPr>
        <w:pStyle w:val="TOC2"/>
        <w:rPr>
          <w:rFonts w:asciiTheme="minorHAnsi" w:eastAsiaTheme="minorEastAsia" w:hAnsiTheme="minorHAnsi"/>
          <w:noProof/>
          <w:color w:val="auto"/>
          <w:sz w:val="24"/>
        </w:rPr>
      </w:pPr>
      <w:hyperlink w:anchor="_Toc236929558" w:history="1">
        <w:r w:rsidRPr="00FB14AE">
          <w:rPr>
            <w:rStyle w:val="Hyperlink"/>
            <w:noProof/>
          </w:rPr>
          <w:t>2.4 Institutional and Industry Participants</w:t>
        </w:r>
        <w:r>
          <w:rPr>
            <w:noProof/>
            <w:webHidden/>
          </w:rPr>
          <w:tab/>
        </w:r>
        <w:r>
          <w:rPr>
            <w:noProof/>
            <w:webHidden/>
          </w:rPr>
          <w:fldChar w:fldCharType="begin"/>
        </w:r>
        <w:r>
          <w:rPr>
            <w:noProof/>
            <w:webHidden/>
          </w:rPr>
          <w:instrText xml:space="preserve"> PAGEREF _Toc236929558 \h </w:instrText>
        </w:r>
        <w:r>
          <w:rPr>
            <w:noProof/>
            <w:webHidden/>
          </w:rPr>
        </w:r>
        <w:r>
          <w:rPr>
            <w:noProof/>
            <w:webHidden/>
          </w:rPr>
          <w:fldChar w:fldCharType="separate"/>
        </w:r>
        <w:r>
          <w:rPr>
            <w:noProof/>
            <w:webHidden/>
          </w:rPr>
          <w:t>22</w:t>
        </w:r>
        <w:r>
          <w:rPr>
            <w:noProof/>
            <w:webHidden/>
          </w:rPr>
          <w:fldChar w:fldCharType="end"/>
        </w:r>
      </w:hyperlink>
    </w:p>
    <w:p w14:paraId="0190AB03" w14:textId="2B3C167C" w:rsidR="0094228B" w:rsidRDefault="0094228B">
      <w:pPr>
        <w:pStyle w:val="TOC2"/>
        <w:rPr>
          <w:rFonts w:asciiTheme="minorHAnsi" w:eastAsiaTheme="minorEastAsia" w:hAnsiTheme="minorHAnsi"/>
          <w:noProof/>
          <w:color w:val="auto"/>
          <w:sz w:val="24"/>
        </w:rPr>
      </w:pPr>
      <w:hyperlink w:anchor="_Toc236929559" w:history="1">
        <w:r w:rsidRPr="00FB14AE">
          <w:rPr>
            <w:rStyle w:val="Hyperlink"/>
            <w:noProof/>
          </w:rPr>
          <w:t>2.5 The Guarantors</w:t>
        </w:r>
        <w:r>
          <w:rPr>
            <w:noProof/>
            <w:webHidden/>
          </w:rPr>
          <w:tab/>
        </w:r>
        <w:r>
          <w:rPr>
            <w:noProof/>
            <w:webHidden/>
          </w:rPr>
          <w:fldChar w:fldCharType="begin"/>
        </w:r>
        <w:r>
          <w:rPr>
            <w:noProof/>
            <w:webHidden/>
          </w:rPr>
          <w:instrText xml:space="preserve"> PAGEREF _Toc236929559 \h </w:instrText>
        </w:r>
        <w:r>
          <w:rPr>
            <w:noProof/>
            <w:webHidden/>
          </w:rPr>
        </w:r>
        <w:r>
          <w:rPr>
            <w:noProof/>
            <w:webHidden/>
          </w:rPr>
          <w:fldChar w:fldCharType="separate"/>
        </w:r>
        <w:r>
          <w:rPr>
            <w:noProof/>
            <w:webHidden/>
          </w:rPr>
          <w:t>22</w:t>
        </w:r>
        <w:r>
          <w:rPr>
            <w:noProof/>
            <w:webHidden/>
          </w:rPr>
          <w:fldChar w:fldCharType="end"/>
        </w:r>
      </w:hyperlink>
    </w:p>
    <w:p w14:paraId="25FD3695" w14:textId="56EEE26E" w:rsidR="0094228B" w:rsidRDefault="0094228B">
      <w:pPr>
        <w:pStyle w:val="TOC1"/>
        <w:rPr>
          <w:rFonts w:asciiTheme="minorHAnsi" w:eastAsiaTheme="minorEastAsia" w:hAnsiTheme="minorHAnsi"/>
          <w:b w:val="0"/>
          <w:noProof/>
          <w:color w:val="auto"/>
          <w:sz w:val="24"/>
        </w:rPr>
      </w:pPr>
      <w:hyperlink w:anchor="_Toc236929560" w:history="1">
        <w:r w:rsidRPr="00FB14AE">
          <w:rPr>
            <w:rStyle w:val="Hyperlink"/>
            <w:noProof/>
          </w:rPr>
          <w:t>Article 3: Governing Principles</w:t>
        </w:r>
        <w:r>
          <w:rPr>
            <w:noProof/>
            <w:webHidden/>
          </w:rPr>
          <w:tab/>
        </w:r>
        <w:r>
          <w:rPr>
            <w:noProof/>
            <w:webHidden/>
          </w:rPr>
          <w:fldChar w:fldCharType="begin"/>
        </w:r>
        <w:r>
          <w:rPr>
            <w:noProof/>
            <w:webHidden/>
          </w:rPr>
          <w:instrText xml:space="preserve"> PAGEREF _Toc236929560 \h </w:instrText>
        </w:r>
        <w:r>
          <w:rPr>
            <w:noProof/>
            <w:webHidden/>
          </w:rPr>
        </w:r>
        <w:r>
          <w:rPr>
            <w:noProof/>
            <w:webHidden/>
          </w:rPr>
          <w:fldChar w:fldCharType="separate"/>
        </w:r>
        <w:r>
          <w:rPr>
            <w:noProof/>
            <w:webHidden/>
          </w:rPr>
          <w:t>23</w:t>
        </w:r>
        <w:r>
          <w:rPr>
            <w:noProof/>
            <w:webHidden/>
          </w:rPr>
          <w:fldChar w:fldCharType="end"/>
        </w:r>
      </w:hyperlink>
    </w:p>
    <w:p w14:paraId="7E23B736" w14:textId="0EDD3A7D" w:rsidR="0094228B" w:rsidRDefault="0094228B">
      <w:pPr>
        <w:pStyle w:val="TOC2"/>
        <w:rPr>
          <w:rFonts w:asciiTheme="minorHAnsi" w:eastAsiaTheme="minorEastAsia" w:hAnsiTheme="minorHAnsi"/>
          <w:noProof/>
          <w:color w:val="auto"/>
          <w:sz w:val="24"/>
        </w:rPr>
      </w:pPr>
      <w:hyperlink w:anchor="_Toc236929561" w:history="1">
        <w:r w:rsidRPr="00FB14AE">
          <w:rPr>
            <w:rStyle w:val="Hyperlink"/>
            <w:noProof/>
          </w:rPr>
          <w:t>3.1 The Nofade Guarantee, First Among Equals</w:t>
        </w:r>
        <w:r>
          <w:rPr>
            <w:noProof/>
            <w:webHidden/>
          </w:rPr>
          <w:tab/>
        </w:r>
        <w:r>
          <w:rPr>
            <w:noProof/>
            <w:webHidden/>
          </w:rPr>
          <w:fldChar w:fldCharType="begin"/>
        </w:r>
        <w:r>
          <w:rPr>
            <w:noProof/>
            <w:webHidden/>
          </w:rPr>
          <w:instrText xml:space="preserve"> PAGEREF _Toc236929561 \h </w:instrText>
        </w:r>
        <w:r>
          <w:rPr>
            <w:noProof/>
            <w:webHidden/>
          </w:rPr>
        </w:r>
        <w:r>
          <w:rPr>
            <w:noProof/>
            <w:webHidden/>
          </w:rPr>
          <w:fldChar w:fldCharType="separate"/>
        </w:r>
        <w:r>
          <w:rPr>
            <w:noProof/>
            <w:webHidden/>
          </w:rPr>
          <w:t>23</w:t>
        </w:r>
        <w:r>
          <w:rPr>
            <w:noProof/>
            <w:webHidden/>
          </w:rPr>
          <w:fldChar w:fldCharType="end"/>
        </w:r>
      </w:hyperlink>
    </w:p>
    <w:p w14:paraId="3B388A17" w14:textId="669788F2" w:rsidR="0094228B" w:rsidRDefault="0094228B">
      <w:pPr>
        <w:pStyle w:val="TOC2"/>
        <w:rPr>
          <w:rFonts w:asciiTheme="minorHAnsi" w:eastAsiaTheme="minorEastAsia" w:hAnsiTheme="minorHAnsi"/>
          <w:noProof/>
          <w:color w:val="auto"/>
          <w:sz w:val="24"/>
        </w:rPr>
      </w:pPr>
      <w:hyperlink w:anchor="_Toc236929562" w:history="1">
        <w:r w:rsidRPr="00FB14AE">
          <w:rPr>
            <w:rStyle w:val="Hyperlink"/>
            <w:noProof/>
          </w:rPr>
          <w:t>3.2 Mutual Architecture</w:t>
        </w:r>
        <w:r>
          <w:rPr>
            <w:noProof/>
            <w:webHidden/>
          </w:rPr>
          <w:tab/>
        </w:r>
        <w:r>
          <w:rPr>
            <w:noProof/>
            <w:webHidden/>
          </w:rPr>
          <w:fldChar w:fldCharType="begin"/>
        </w:r>
        <w:r>
          <w:rPr>
            <w:noProof/>
            <w:webHidden/>
          </w:rPr>
          <w:instrText xml:space="preserve"> PAGEREF _Toc236929562 \h </w:instrText>
        </w:r>
        <w:r>
          <w:rPr>
            <w:noProof/>
            <w:webHidden/>
          </w:rPr>
        </w:r>
        <w:r>
          <w:rPr>
            <w:noProof/>
            <w:webHidden/>
          </w:rPr>
          <w:fldChar w:fldCharType="separate"/>
        </w:r>
        <w:r>
          <w:rPr>
            <w:noProof/>
            <w:webHidden/>
          </w:rPr>
          <w:t>23</w:t>
        </w:r>
        <w:r>
          <w:rPr>
            <w:noProof/>
            <w:webHidden/>
          </w:rPr>
          <w:fldChar w:fldCharType="end"/>
        </w:r>
      </w:hyperlink>
    </w:p>
    <w:p w14:paraId="03167325" w14:textId="2ADF0CB8" w:rsidR="0094228B" w:rsidRDefault="0094228B">
      <w:pPr>
        <w:pStyle w:val="TOC2"/>
        <w:rPr>
          <w:rFonts w:asciiTheme="minorHAnsi" w:eastAsiaTheme="minorEastAsia" w:hAnsiTheme="minorHAnsi"/>
          <w:noProof/>
          <w:color w:val="auto"/>
          <w:sz w:val="24"/>
        </w:rPr>
      </w:pPr>
      <w:hyperlink w:anchor="_Toc236929563" w:history="1">
        <w:r w:rsidRPr="00FB14AE">
          <w:rPr>
            <w:rStyle w:val="Hyperlink"/>
            <w:noProof/>
          </w:rPr>
          <w:t>3.3 Sovereignty Symmetry</w:t>
        </w:r>
        <w:r>
          <w:rPr>
            <w:noProof/>
            <w:webHidden/>
          </w:rPr>
          <w:tab/>
        </w:r>
        <w:r>
          <w:rPr>
            <w:noProof/>
            <w:webHidden/>
          </w:rPr>
          <w:fldChar w:fldCharType="begin"/>
        </w:r>
        <w:r>
          <w:rPr>
            <w:noProof/>
            <w:webHidden/>
          </w:rPr>
          <w:instrText xml:space="preserve"> PAGEREF _Toc236929563 \h </w:instrText>
        </w:r>
        <w:r>
          <w:rPr>
            <w:noProof/>
            <w:webHidden/>
          </w:rPr>
        </w:r>
        <w:r>
          <w:rPr>
            <w:noProof/>
            <w:webHidden/>
          </w:rPr>
          <w:fldChar w:fldCharType="separate"/>
        </w:r>
        <w:r>
          <w:rPr>
            <w:noProof/>
            <w:webHidden/>
          </w:rPr>
          <w:t>23</w:t>
        </w:r>
        <w:r>
          <w:rPr>
            <w:noProof/>
            <w:webHidden/>
          </w:rPr>
          <w:fldChar w:fldCharType="end"/>
        </w:r>
      </w:hyperlink>
    </w:p>
    <w:p w14:paraId="0F4BFD4E" w14:textId="3DA7A39D" w:rsidR="0094228B" w:rsidRDefault="0094228B">
      <w:pPr>
        <w:pStyle w:val="TOC2"/>
        <w:rPr>
          <w:rFonts w:asciiTheme="minorHAnsi" w:eastAsiaTheme="minorEastAsia" w:hAnsiTheme="minorHAnsi"/>
          <w:noProof/>
          <w:color w:val="auto"/>
          <w:sz w:val="24"/>
        </w:rPr>
      </w:pPr>
      <w:hyperlink w:anchor="_Toc236929564" w:history="1">
        <w:r w:rsidRPr="00FB14AE">
          <w:rPr>
            <w:rStyle w:val="Hyperlink"/>
            <w:noProof/>
          </w:rPr>
          <w:t>3.4 Proportionality and Reversibility</w:t>
        </w:r>
        <w:r>
          <w:rPr>
            <w:noProof/>
            <w:webHidden/>
          </w:rPr>
          <w:tab/>
        </w:r>
        <w:r>
          <w:rPr>
            <w:noProof/>
            <w:webHidden/>
          </w:rPr>
          <w:fldChar w:fldCharType="begin"/>
        </w:r>
        <w:r>
          <w:rPr>
            <w:noProof/>
            <w:webHidden/>
          </w:rPr>
          <w:instrText xml:space="preserve"> PAGEREF _Toc236929564 \h </w:instrText>
        </w:r>
        <w:r>
          <w:rPr>
            <w:noProof/>
            <w:webHidden/>
          </w:rPr>
        </w:r>
        <w:r>
          <w:rPr>
            <w:noProof/>
            <w:webHidden/>
          </w:rPr>
          <w:fldChar w:fldCharType="separate"/>
        </w:r>
        <w:r>
          <w:rPr>
            <w:noProof/>
            <w:webHidden/>
          </w:rPr>
          <w:t>24</w:t>
        </w:r>
        <w:r>
          <w:rPr>
            <w:noProof/>
            <w:webHidden/>
          </w:rPr>
          <w:fldChar w:fldCharType="end"/>
        </w:r>
      </w:hyperlink>
    </w:p>
    <w:p w14:paraId="714148EA" w14:textId="278CB32F" w:rsidR="0094228B" w:rsidRDefault="0094228B">
      <w:pPr>
        <w:pStyle w:val="TOC2"/>
        <w:rPr>
          <w:rFonts w:asciiTheme="minorHAnsi" w:eastAsiaTheme="minorEastAsia" w:hAnsiTheme="minorHAnsi"/>
          <w:noProof/>
          <w:color w:val="auto"/>
          <w:sz w:val="24"/>
        </w:rPr>
      </w:pPr>
      <w:hyperlink w:anchor="_Toc236929565" w:history="1">
        <w:r w:rsidRPr="00FB14AE">
          <w:rPr>
            <w:rStyle w:val="Hyperlink"/>
            <w:noProof/>
          </w:rPr>
          <w:t>3.5 Transparency as Default</w:t>
        </w:r>
        <w:r>
          <w:rPr>
            <w:noProof/>
            <w:webHidden/>
          </w:rPr>
          <w:tab/>
        </w:r>
        <w:r>
          <w:rPr>
            <w:noProof/>
            <w:webHidden/>
          </w:rPr>
          <w:fldChar w:fldCharType="begin"/>
        </w:r>
        <w:r>
          <w:rPr>
            <w:noProof/>
            <w:webHidden/>
          </w:rPr>
          <w:instrText xml:space="preserve"> PAGEREF _Toc236929565 \h </w:instrText>
        </w:r>
        <w:r>
          <w:rPr>
            <w:noProof/>
            <w:webHidden/>
          </w:rPr>
        </w:r>
        <w:r>
          <w:rPr>
            <w:noProof/>
            <w:webHidden/>
          </w:rPr>
          <w:fldChar w:fldCharType="separate"/>
        </w:r>
        <w:r>
          <w:rPr>
            <w:noProof/>
            <w:webHidden/>
          </w:rPr>
          <w:t>24</w:t>
        </w:r>
        <w:r>
          <w:rPr>
            <w:noProof/>
            <w:webHidden/>
          </w:rPr>
          <w:fldChar w:fldCharType="end"/>
        </w:r>
      </w:hyperlink>
    </w:p>
    <w:p w14:paraId="709736F6" w14:textId="5FAD8402" w:rsidR="0094228B" w:rsidRDefault="0094228B">
      <w:pPr>
        <w:pStyle w:val="TOC2"/>
        <w:rPr>
          <w:rFonts w:asciiTheme="minorHAnsi" w:eastAsiaTheme="minorEastAsia" w:hAnsiTheme="minorHAnsi"/>
          <w:noProof/>
          <w:color w:val="auto"/>
          <w:sz w:val="24"/>
        </w:rPr>
      </w:pPr>
      <w:hyperlink w:anchor="_Toc236929566" w:history="1">
        <w:r w:rsidRPr="00FB14AE">
          <w:rPr>
            <w:rStyle w:val="Hyperlink"/>
            <w:noProof/>
          </w:rPr>
          <w:t>3.6 Cost Discipline</w:t>
        </w:r>
        <w:r>
          <w:rPr>
            <w:noProof/>
            <w:webHidden/>
          </w:rPr>
          <w:tab/>
        </w:r>
        <w:r>
          <w:rPr>
            <w:noProof/>
            <w:webHidden/>
          </w:rPr>
          <w:fldChar w:fldCharType="begin"/>
        </w:r>
        <w:r>
          <w:rPr>
            <w:noProof/>
            <w:webHidden/>
          </w:rPr>
          <w:instrText xml:space="preserve"> PAGEREF _Toc236929566 \h </w:instrText>
        </w:r>
        <w:r>
          <w:rPr>
            <w:noProof/>
            <w:webHidden/>
          </w:rPr>
        </w:r>
        <w:r>
          <w:rPr>
            <w:noProof/>
            <w:webHidden/>
          </w:rPr>
          <w:fldChar w:fldCharType="separate"/>
        </w:r>
        <w:r>
          <w:rPr>
            <w:noProof/>
            <w:webHidden/>
          </w:rPr>
          <w:t>24</w:t>
        </w:r>
        <w:r>
          <w:rPr>
            <w:noProof/>
            <w:webHidden/>
          </w:rPr>
          <w:fldChar w:fldCharType="end"/>
        </w:r>
      </w:hyperlink>
    </w:p>
    <w:p w14:paraId="7424623E" w14:textId="17CB0386" w:rsidR="0094228B" w:rsidRDefault="0094228B">
      <w:pPr>
        <w:pStyle w:val="TOC2"/>
        <w:rPr>
          <w:rFonts w:asciiTheme="minorHAnsi" w:eastAsiaTheme="minorEastAsia" w:hAnsiTheme="minorHAnsi"/>
          <w:noProof/>
          <w:color w:val="auto"/>
          <w:sz w:val="24"/>
        </w:rPr>
      </w:pPr>
      <w:hyperlink w:anchor="_Toc236929567" w:history="1">
        <w:r w:rsidRPr="00FB14AE">
          <w:rPr>
            <w:rStyle w:val="Hyperlink"/>
            <w:noProof/>
          </w:rPr>
          <w:t>3.7 Synchronization</w:t>
        </w:r>
        <w:r>
          <w:rPr>
            <w:noProof/>
            <w:webHidden/>
          </w:rPr>
          <w:tab/>
        </w:r>
        <w:r>
          <w:rPr>
            <w:noProof/>
            <w:webHidden/>
          </w:rPr>
          <w:fldChar w:fldCharType="begin"/>
        </w:r>
        <w:r>
          <w:rPr>
            <w:noProof/>
            <w:webHidden/>
          </w:rPr>
          <w:instrText xml:space="preserve"> PAGEREF _Toc236929567 \h </w:instrText>
        </w:r>
        <w:r>
          <w:rPr>
            <w:noProof/>
            <w:webHidden/>
          </w:rPr>
        </w:r>
        <w:r>
          <w:rPr>
            <w:noProof/>
            <w:webHidden/>
          </w:rPr>
          <w:fldChar w:fldCharType="separate"/>
        </w:r>
        <w:r>
          <w:rPr>
            <w:noProof/>
            <w:webHidden/>
          </w:rPr>
          <w:t>24</w:t>
        </w:r>
        <w:r>
          <w:rPr>
            <w:noProof/>
            <w:webHidden/>
          </w:rPr>
          <w:fldChar w:fldCharType="end"/>
        </w:r>
      </w:hyperlink>
    </w:p>
    <w:p w14:paraId="32D9CD80" w14:textId="21EB8053" w:rsidR="0094228B" w:rsidRDefault="0094228B">
      <w:pPr>
        <w:pStyle w:val="TOC1"/>
        <w:rPr>
          <w:rFonts w:asciiTheme="minorHAnsi" w:eastAsiaTheme="minorEastAsia" w:hAnsiTheme="minorHAnsi"/>
          <w:b w:val="0"/>
          <w:noProof/>
          <w:color w:val="auto"/>
          <w:sz w:val="24"/>
        </w:rPr>
      </w:pPr>
      <w:hyperlink w:anchor="_Toc236929568" w:history="1">
        <w:r w:rsidRPr="00FB14AE">
          <w:rPr>
            <w:rStyle w:val="Hyperlink"/>
            <w:noProof/>
          </w:rPr>
          <w:t>Article 4: The Nuclear Firewall and the Separation of Files</w:t>
        </w:r>
        <w:r>
          <w:rPr>
            <w:noProof/>
            <w:webHidden/>
          </w:rPr>
          <w:tab/>
        </w:r>
        <w:r>
          <w:rPr>
            <w:noProof/>
            <w:webHidden/>
          </w:rPr>
          <w:fldChar w:fldCharType="begin"/>
        </w:r>
        <w:r>
          <w:rPr>
            <w:noProof/>
            <w:webHidden/>
          </w:rPr>
          <w:instrText xml:space="preserve"> PAGEREF _Toc236929568 \h </w:instrText>
        </w:r>
        <w:r>
          <w:rPr>
            <w:noProof/>
            <w:webHidden/>
          </w:rPr>
        </w:r>
        <w:r>
          <w:rPr>
            <w:noProof/>
            <w:webHidden/>
          </w:rPr>
          <w:fldChar w:fldCharType="separate"/>
        </w:r>
        <w:r>
          <w:rPr>
            <w:noProof/>
            <w:webHidden/>
          </w:rPr>
          <w:t>25</w:t>
        </w:r>
        <w:r>
          <w:rPr>
            <w:noProof/>
            <w:webHidden/>
          </w:rPr>
          <w:fldChar w:fldCharType="end"/>
        </w:r>
      </w:hyperlink>
    </w:p>
    <w:p w14:paraId="68AD6D68" w14:textId="2FA094FD" w:rsidR="0094228B" w:rsidRDefault="0094228B">
      <w:pPr>
        <w:pStyle w:val="TOC2"/>
        <w:rPr>
          <w:rFonts w:asciiTheme="minorHAnsi" w:eastAsiaTheme="minorEastAsia" w:hAnsiTheme="minorHAnsi"/>
          <w:noProof/>
          <w:color w:val="auto"/>
          <w:sz w:val="24"/>
        </w:rPr>
      </w:pPr>
      <w:hyperlink w:anchor="_Toc236929569" w:history="1">
        <w:r w:rsidRPr="00FB14AE">
          <w:rPr>
            <w:rStyle w:val="Hyperlink"/>
            <w:noProof/>
          </w:rPr>
          <w:t>4.1 The Firewall</w:t>
        </w:r>
        <w:r>
          <w:rPr>
            <w:noProof/>
            <w:webHidden/>
          </w:rPr>
          <w:tab/>
        </w:r>
        <w:r>
          <w:rPr>
            <w:noProof/>
            <w:webHidden/>
          </w:rPr>
          <w:fldChar w:fldCharType="begin"/>
        </w:r>
        <w:r>
          <w:rPr>
            <w:noProof/>
            <w:webHidden/>
          </w:rPr>
          <w:instrText xml:space="preserve"> PAGEREF _Toc236929569 \h </w:instrText>
        </w:r>
        <w:r>
          <w:rPr>
            <w:noProof/>
            <w:webHidden/>
          </w:rPr>
        </w:r>
        <w:r>
          <w:rPr>
            <w:noProof/>
            <w:webHidden/>
          </w:rPr>
          <w:fldChar w:fldCharType="separate"/>
        </w:r>
        <w:r>
          <w:rPr>
            <w:noProof/>
            <w:webHidden/>
          </w:rPr>
          <w:t>25</w:t>
        </w:r>
        <w:r>
          <w:rPr>
            <w:noProof/>
            <w:webHidden/>
          </w:rPr>
          <w:fldChar w:fldCharType="end"/>
        </w:r>
      </w:hyperlink>
    </w:p>
    <w:p w14:paraId="604B1AAD" w14:textId="5F781560" w:rsidR="0094228B" w:rsidRDefault="0094228B">
      <w:pPr>
        <w:pStyle w:val="TOC2"/>
        <w:rPr>
          <w:rFonts w:asciiTheme="minorHAnsi" w:eastAsiaTheme="minorEastAsia" w:hAnsiTheme="minorHAnsi"/>
          <w:noProof/>
          <w:color w:val="auto"/>
          <w:sz w:val="24"/>
        </w:rPr>
      </w:pPr>
      <w:hyperlink w:anchor="_Toc236929570" w:history="1">
        <w:r w:rsidRPr="00FB14AE">
          <w:rPr>
            <w:rStyle w:val="Hyperlink"/>
            <w:noProof/>
          </w:rPr>
          <w:t>4.2 The Separation of Files Generally</w:t>
        </w:r>
        <w:r>
          <w:rPr>
            <w:noProof/>
            <w:webHidden/>
          </w:rPr>
          <w:tab/>
        </w:r>
        <w:r>
          <w:rPr>
            <w:noProof/>
            <w:webHidden/>
          </w:rPr>
          <w:fldChar w:fldCharType="begin"/>
        </w:r>
        <w:r>
          <w:rPr>
            <w:noProof/>
            <w:webHidden/>
          </w:rPr>
          <w:instrText xml:space="preserve"> PAGEREF _Toc236929570 \h </w:instrText>
        </w:r>
        <w:r>
          <w:rPr>
            <w:noProof/>
            <w:webHidden/>
          </w:rPr>
        </w:r>
        <w:r>
          <w:rPr>
            <w:noProof/>
            <w:webHidden/>
          </w:rPr>
          <w:fldChar w:fldCharType="separate"/>
        </w:r>
        <w:r>
          <w:rPr>
            <w:noProof/>
            <w:webHidden/>
          </w:rPr>
          <w:t>25</w:t>
        </w:r>
        <w:r>
          <w:rPr>
            <w:noProof/>
            <w:webHidden/>
          </w:rPr>
          <w:fldChar w:fldCharType="end"/>
        </w:r>
      </w:hyperlink>
    </w:p>
    <w:p w14:paraId="3C4B4E44" w14:textId="488A7276" w:rsidR="0094228B" w:rsidRDefault="0094228B">
      <w:pPr>
        <w:pStyle w:val="TOC2"/>
        <w:rPr>
          <w:rFonts w:asciiTheme="minorHAnsi" w:eastAsiaTheme="minorEastAsia" w:hAnsiTheme="minorHAnsi"/>
          <w:noProof/>
          <w:color w:val="auto"/>
          <w:sz w:val="24"/>
        </w:rPr>
      </w:pPr>
      <w:hyperlink w:anchor="_Toc236929571" w:history="1">
        <w:r w:rsidRPr="00FB14AE">
          <w:rPr>
            <w:rStyle w:val="Hyperlink"/>
            <w:noProof/>
          </w:rPr>
          <w:t>4.3 Why the Firewall Exists</w:t>
        </w:r>
        <w:r>
          <w:rPr>
            <w:noProof/>
            <w:webHidden/>
          </w:rPr>
          <w:tab/>
        </w:r>
        <w:r>
          <w:rPr>
            <w:noProof/>
            <w:webHidden/>
          </w:rPr>
          <w:fldChar w:fldCharType="begin"/>
        </w:r>
        <w:r>
          <w:rPr>
            <w:noProof/>
            <w:webHidden/>
          </w:rPr>
          <w:instrText xml:space="preserve"> PAGEREF _Toc236929571 \h </w:instrText>
        </w:r>
        <w:r>
          <w:rPr>
            <w:noProof/>
            <w:webHidden/>
          </w:rPr>
        </w:r>
        <w:r>
          <w:rPr>
            <w:noProof/>
            <w:webHidden/>
          </w:rPr>
          <w:fldChar w:fldCharType="separate"/>
        </w:r>
        <w:r>
          <w:rPr>
            <w:noProof/>
            <w:webHidden/>
          </w:rPr>
          <w:t>25</w:t>
        </w:r>
        <w:r>
          <w:rPr>
            <w:noProof/>
            <w:webHidden/>
          </w:rPr>
          <w:fldChar w:fldCharType="end"/>
        </w:r>
      </w:hyperlink>
    </w:p>
    <w:p w14:paraId="3006645D" w14:textId="3527A89E" w:rsidR="0094228B" w:rsidRDefault="0094228B">
      <w:pPr>
        <w:pStyle w:val="TOC1"/>
        <w:rPr>
          <w:rFonts w:asciiTheme="minorHAnsi" w:eastAsiaTheme="minorEastAsia" w:hAnsiTheme="minorHAnsi"/>
          <w:b w:val="0"/>
          <w:noProof/>
          <w:color w:val="auto"/>
          <w:sz w:val="24"/>
        </w:rPr>
      </w:pPr>
      <w:hyperlink w:anchor="_Toc236929572" w:history="1">
        <w:r w:rsidRPr="00FB14AE">
          <w:rPr>
            <w:rStyle w:val="Hyperlink"/>
            <w:noProof/>
          </w:rPr>
          <w:t>Part II: The Maritime Architecture</w:t>
        </w:r>
        <w:r>
          <w:rPr>
            <w:noProof/>
            <w:webHidden/>
          </w:rPr>
          <w:tab/>
        </w:r>
        <w:r>
          <w:rPr>
            <w:noProof/>
            <w:webHidden/>
          </w:rPr>
          <w:fldChar w:fldCharType="begin"/>
        </w:r>
        <w:r>
          <w:rPr>
            <w:noProof/>
            <w:webHidden/>
          </w:rPr>
          <w:instrText xml:space="preserve"> PAGEREF _Toc236929572 \h </w:instrText>
        </w:r>
        <w:r>
          <w:rPr>
            <w:noProof/>
            <w:webHidden/>
          </w:rPr>
        </w:r>
        <w:r>
          <w:rPr>
            <w:noProof/>
            <w:webHidden/>
          </w:rPr>
          <w:fldChar w:fldCharType="separate"/>
        </w:r>
        <w:r>
          <w:rPr>
            <w:noProof/>
            <w:webHidden/>
          </w:rPr>
          <w:t>27</w:t>
        </w:r>
        <w:r>
          <w:rPr>
            <w:noProof/>
            <w:webHidden/>
          </w:rPr>
          <w:fldChar w:fldCharType="end"/>
        </w:r>
      </w:hyperlink>
    </w:p>
    <w:p w14:paraId="00451F94" w14:textId="3E3F8375" w:rsidR="0094228B" w:rsidRDefault="0094228B">
      <w:pPr>
        <w:pStyle w:val="TOC1"/>
        <w:rPr>
          <w:rFonts w:asciiTheme="minorHAnsi" w:eastAsiaTheme="minorEastAsia" w:hAnsiTheme="minorHAnsi"/>
          <w:b w:val="0"/>
          <w:noProof/>
          <w:color w:val="auto"/>
          <w:sz w:val="24"/>
        </w:rPr>
      </w:pPr>
      <w:hyperlink w:anchor="_Toc236929573" w:history="1">
        <w:r w:rsidRPr="00FB14AE">
          <w:rPr>
            <w:rStyle w:val="Hyperlink"/>
            <w:noProof/>
          </w:rPr>
          <w:t>Article 5: The Three-Corridor System</w:t>
        </w:r>
        <w:r>
          <w:rPr>
            <w:noProof/>
            <w:webHidden/>
          </w:rPr>
          <w:tab/>
        </w:r>
        <w:r>
          <w:rPr>
            <w:noProof/>
            <w:webHidden/>
          </w:rPr>
          <w:fldChar w:fldCharType="begin"/>
        </w:r>
        <w:r>
          <w:rPr>
            <w:noProof/>
            <w:webHidden/>
          </w:rPr>
          <w:instrText xml:space="preserve"> PAGEREF _Toc236929573 \h </w:instrText>
        </w:r>
        <w:r>
          <w:rPr>
            <w:noProof/>
            <w:webHidden/>
          </w:rPr>
        </w:r>
        <w:r>
          <w:rPr>
            <w:noProof/>
            <w:webHidden/>
          </w:rPr>
          <w:fldChar w:fldCharType="separate"/>
        </w:r>
        <w:r>
          <w:rPr>
            <w:noProof/>
            <w:webHidden/>
          </w:rPr>
          <w:t>28</w:t>
        </w:r>
        <w:r>
          <w:rPr>
            <w:noProof/>
            <w:webHidden/>
          </w:rPr>
          <w:fldChar w:fldCharType="end"/>
        </w:r>
      </w:hyperlink>
    </w:p>
    <w:p w14:paraId="76D9116E" w14:textId="76E2E68B" w:rsidR="0094228B" w:rsidRDefault="0094228B">
      <w:pPr>
        <w:pStyle w:val="TOC2"/>
        <w:rPr>
          <w:rFonts w:asciiTheme="minorHAnsi" w:eastAsiaTheme="minorEastAsia" w:hAnsiTheme="minorHAnsi"/>
          <w:noProof/>
          <w:color w:val="auto"/>
          <w:sz w:val="24"/>
        </w:rPr>
      </w:pPr>
      <w:hyperlink w:anchor="_Toc236929574" w:history="1">
        <w:r w:rsidRPr="00FB14AE">
          <w:rPr>
            <w:rStyle w:val="Hyperlink"/>
            <w:noProof/>
          </w:rPr>
          <w:t>5.1 The Architecture</w:t>
        </w:r>
        <w:r>
          <w:rPr>
            <w:noProof/>
            <w:webHidden/>
          </w:rPr>
          <w:tab/>
        </w:r>
        <w:r>
          <w:rPr>
            <w:noProof/>
            <w:webHidden/>
          </w:rPr>
          <w:fldChar w:fldCharType="begin"/>
        </w:r>
        <w:r>
          <w:rPr>
            <w:noProof/>
            <w:webHidden/>
          </w:rPr>
          <w:instrText xml:space="preserve"> PAGEREF _Toc236929574 \h </w:instrText>
        </w:r>
        <w:r>
          <w:rPr>
            <w:noProof/>
            <w:webHidden/>
          </w:rPr>
        </w:r>
        <w:r>
          <w:rPr>
            <w:noProof/>
            <w:webHidden/>
          </w:rPr>
          <w:fldChar w:fldCharType="separate"/>
        </w:r>
        <w:r>
          <w:rPr>
            <w:noProof/>
            <w:webHidden/>
          </w:rPr>
          <w:t>28</w:t>
        </w:r>
        <w:r>
          <w:rPr>
            <w:noProof/>
            <w:webHidden/>
          </w:rPr>
          <w:fldChar w:fldCharType="end"/>
        </w:r>
      </w:hyperlink>
    </w:p>
    <w:p w14:paraId="007EB0A9" w14:textId="73065187" w:rsidR="0094228B" w:rsidRDefault="0094228B">
      <w:pPr>
        <w:pStyle w:val="TOC2"/>
        <w:rPr>
          <w:rFonts w:asciiTheme="minorHAnsi" w:eastAsiaTheme="minorEastAsia" w:hAnsiTheme="minorHAnsi"/>
          <w:noProof/>
          <w:color w:val="auto"/>
          <w:sz w:val="24"/>
        </w:rPr>
      </w:pPr>
      <w:hyperlink w:anchor="_Toc236929575" w:history="1">
        <w:r w:rsidRPr="00FB14AE">
          <w:rPr>
            <w:rStyle w:val="Hyperlink"/>
            <w:noProof/>
          </w:rPr>
          <w:t>5.2 Functional Administration</w:t>
        </w:r>
        <w:r>
          <w:rPr>
            <w:noProof/>
            <w:webHidden/>
          </w:rPr>
          <w:tab/>
        </w:r>
        <w:r>
          <w:rPr>
            <w:noProof/>
            <w:webHidden/>
          </w:rPr>
          <w:fldChar w:fldCharType="begin"/>
        </w:r>
        <w:r>
          <w:rPr>
            <w:noProof/>
            <w:webHidden/>
          </w:rPr>
          <w:instrText xml:space="preserve"> PAGEREF _Toc236929575 \h </w:instrText>
        </w:r>
        <w:r>
          <w:rPr>
            <w:noProof/>
            <w:webHidden/>
          </w:rPr>
        </w:r>
        <w:r>
          <w:rPr>
            <w:noProof/>
            <w:webHidden/>
          </w:rPr>
          <w:fldChar w:fldCharType="separate"/>
        </w:r>
        <w:r>
          <w:rPr>
            <w:noProof/>
            <w:webHidden/>
          </w:rPr>
          <w:t>28</w:t>
        </w:r>
        <w:r>
          <w:rPr>
            <w:noProof/>
            <w:webHidden/>
          </w:rPr>
          <w:fldChar w:fldCharType="end"/>
        </w:r>
      </w:hyperlink>
    </w:p>
    <w:p w14:paraId="174C0376" w14:textId="4996F9B5" w:rsidR="0094228B" w:rsidRDefault="0094228B">
      <w:pPr>
        <w:pStyle w:val="TOC2"/>
        <w:rPr>
          <w:rFonts w:asciiTheme="minorHAnsi" w:eastAsiaTheme="minorEastAsia" w:hAnsiTheme="minorHAnsi"/>
          <w:noProof/>
          <w:color w:val="auto"/>
          <w:sz w:val="24"/>
        </w:rPr>
      </w:pPr>
      <w:hyperlink w:anchor="_Toc236929576" w:history="1">
        <w:r w:rsidRPr="00FB14AE">
          <w:rPr>
            <w:rStyle w:val="Hyperlink"/>
            <w:noProof/>
          </w:rPr>
          <w:t>5.3 Aids to Navigation and Charting</w:t>
        </w:r>
        <w:r>
          <w:rPr>
            <w:noProof/>
            <w:webHidden/>
          </w:rPr>
          <w:tab/>
        </w:r>
        <w:r>
          <w:rPr>
            <w:noProof/>
            <w:webHidden/>
          </w:rPr>
          <w:fldChar w:fldCharType="begin"/>
        </w:r>
        <w:r>
          <w:rPr>
            <w:noProof/>
            <w:webHidden/>
          </w:rPr>
          <w:instrText xml:space="preserve"> PAGEREF _Toc236929576 \h </w:instrText>
        </w:r>
        <w:r>
          <w:rPr>
            <w:noProof/>
            <w:webHidden/>
          </w:rPr>
        </w:r>
        <w:r>
          <w:rPr>
            <w:noProof/>
            <w:webHidden/>
          </w:rPr>
          <w:fldChar w:fldCharType="separate"/>
        </w:r>
        <w:r>
          <w:rPr>
            <w:noProof/>
            <w:webHidden/>
          </w:rPr>
          <w:t>29</w:t>
        </w:r>
        <w:r>
          <w:rPr>
            <w:noProof/>
            <w:webHidden/>
          </w:rPr>
          <w:fldChar w:fldCharType="end"/>
        </w:r>
      </w:hyperlink>
    </w:p>
    <w:p w14:paraId="5A2D84F5" w14:textId="6D8D1CE9" w:rsidR="0094228B" w:rsidRDefault="0094228B">
      <w:pPr>
        <w:pStyle w:val="TOC2"/>
        <w:rPr>
          <w:rFonts w:asciiTheme="minorHAnsi" w:eastAsiaTheme="minorEastAsia" w:hAnsiTheme="minorHAnsi"/>
          <w:noProof/>
          <w:color w:val="auto"/>
          <w:sz w:val="24"/>
        </w:rPr>
      </w:pPr>
      <w:hyperlink w:anchor="_Toc236929577" w:history="1">
        <w:r w:rsidRPr="00FB14AE">
          <w:rPr>
            <w:rStyle w:val="Hyperlink"/>
            <w:noProof/>
          </w:rPr>
          <w:t>5.4 Changing the Geometry</w:t>
        </w:r>
        <w:r>
          <w:rPr>
            <w:noProof/>
            <w:webHidden/>
          </w:rPr>
          <w:tab/>
        </w:r>
        <w:r>
          <w:rPr>
            <w:noProof/>
            <w:webHidden/>
          </w:rPr>
          <w:fldChar w:fldCharType="begin"/>
        </w:r>
        <w:r>
          <w:rPr>
            <w:noProof/>
            <w:webHidden/>
          </w:rPr>
          <w:instrText xml:space="preserve"> PAGEREF _Toc236929577 \h </w:instrText>
        </w:r>
        <w:r>
          <w:rPr>
            <w:noProof/>
            <w:webHidden/>
          </w:rPr>
        </w:r>
        <w:r>
          <w:rPr>
            <w:noProof/>
            <w:webHidden/>
          </w:rPr>
          <w:fldChar w:fldCharType="separate"/>
        </w:r>
        <w:r>
          <w:rPr>
            <w:noProof/>
            <w:webHidden/>
          </w:rPr>
          <w:t>29</w:t>
        </w:r>
        <w:r>
          <w:rPr>
            <w:noProof/>
            <w:webHidden/>
          </w:rPr>
          <w:fldChar w:fldCharType="end"/>
        </w:r>
      </w:hyperlink>
    </w:p>
    <w:p w14:paraId="1F528E19" w14:textId="2E1BB0C1" w:rsidR="0094228B" w:rsidRDefault="0094228B">
      <w:pPr>
        <w:pStyle w:val="TOC1"/>
        <w:rPr>
          <w:rFonts w:asciiTheme="minorHAnsi" w:eastAsiaTheme="minorEastAsia" w:hAnsiTheme="minorHAnsi"/>
          <w:b w:val="0"/>
          <w:noProof/>
          <w:color w:val="auto"/>
          <w:sz w:val="24"/>
        </w:rPr>
      </w:pPr>
      <w:hyperlink w:anchor="_Toc236929578" w:history="1">
        <w:r w:rsidRPr="00FB14AE">
          <w:rPr>
            <w:rStyle w:val="Hyperlink"/>
            <w:noProof/>
          </w:rPr>
          <w:t>Article 6: Rights of Passage</w:t>
        </w:r>
        <w:r>
          <w:rPr>
            <w:noProof/>
            <w:webHidden/>
          </w:rPr>
          <w:tab/>
        </w:r>
        <w:r>
          <w:rPr>
            <w:noProof/>
            <w:webHidden/>
          </w:rPr>
          <w:fldChar w:fldCharType="begin"/>
        </w:r>
        <w:r>
          <w:rPr>
            <w:noProof/>
            <w:webHidden/>
          </w:rPr>
          <w:instrText xml:space="preserve"> PAGEREF _Toc236929578 \h </w:instrText>
        </w:r>
        <w:r>
          <w:rPr>
            <w:noProof/>
            <w:webHidden/>
          </w:rPr>
        </w:r>
        <w:r>
          <w:rPr>
            <w:noProof/>
            <w:webHidden/>
          </w:rPr>
          <w:fldChar w:fldCharType="separate"/>
        </w:r>
        <w:r>
          <w:rPr>
            <w:noProof/>
            <w:webHidden/>
          </w:rPr>
          <w:t>30</w:t>
        </w:r>
        <w:r>
          <w:rPr>
            <w:noProof/>
            <w:webHidden/>
          </w:rPr>
          <w:fldChar w:fldCharType="end"/>
        </w:r>
      </w:hyperlink>
    </w:p>
    <w:p w14:paraId="3D222435" w14:textId="208E4BB9" w:rsidR="0094228B" w:rsidRDefault="0094228B">
      <w:pPr>
        <w:pStyle w:val="TOC2"/>
        <w:rPr>
          <w:rFonts w:asciiTheme="minorHAnsi" w:eastAsiaTheme="minorEastAsia" w:hAnsiTheme="minorHAnsi"/>
          <w:noProof/>
          <w:color w:val="auto"/>
          <w:sz w:val="24"/>
        </w:rPr>
      </w:pPr>
      <w:hyperlink w:anchor="_Toc236929579" w:history="1">
        <w:r w:rsidRPr="00FB14AE">
          <w:rPr>
            <w:rStyle w:val="Hyperlink"/>
            <w:noProof/>
          </w:rPr>
          <w:t>6.1 Transit Passage</w:t>
        </w:r>
        <w:r>
          <w:rPr>
            <w:noProof/>
            <w:webHidden/>
          </w:rPr>
          <w:tab/>
        </w:r>
        <w:r>
          <w:rPr>
            <w:noProof/>
            <w:webHidden/>
          </w:rPr>
          <w:fldChar w:fldCharType="begin"/>
        </w:r>
        <w:r>
          <w:rPr>
            <w:noProof/>
            <w:webHidden/>
          </w:rPr>
          <w:instrText xml:space="preserve"> PAGEREF _Toc236929579 \h </w:instrText>
        </w:r>
        <w:r>
          <w:rPr>
            <w:noProof/>
            <w:webHidden/>
          </w:rPr>
        </w:r>
        <w:r>
          <w:rPr>
            <w:noProof/>
            <w:webHidden/>
          </w:rPr>
          <w:fldChar w:fldCharType="separate"/>
        </w:r>
        <w:r>
          <w:rPr>
            <w:noProof/>
            <w:webHidden/>
          </w:rPr>
          <w:t>30</w:t>
        </w:r>
        <w:r>
          <w:rPr>
            <w:noProof/>
            <w:webHidden/>
          </w:rPr>
          <w:fldChar w:fldCharType="end"/>
        </w:r>
      </w:hyperlink>
    </w:p>
    <w:p w14:paraId="61D3D7E6" w14:textId="0ACDEC0F" w:rsidR="0094228B" w:rsidRDefault="0094228B">
      <w:pPr>
        <w:pStyle w:val="TOC2"/>
        <w:rPr>
          <w:rFonts w:asciiTheme="minorHAnsi" w:eastAsiaTheme="minorEastAsia" w:hAnsiTheme="minorHAnsi"/>
          <w:noProof/>
          <w:color w:val="auto"/>
          <w:sz w:val="24"/>
        </w:rPr>
      </w:pPr>
      <w:hyperlink w:anchor="_Toc236929580" w:history="1">
        <w:r w:rsidRPr="00FB14AE">
          <w:rPr>
            <w:rStyle w:val="Hyperlink"/>
            <w:noProof/>
          </w:rPr>
          <w:t>6.2 The Service Boundary</w:t>
        </w:r>
        <w:r>
          <w:rPr>
            <w:noProof/>
            <w:webHidden/>
          </w:rPr>
          <w:tab/>
        </w:r>
        <w:r>
          <w:rPr>
            <w:noProof/>
            <w:webHidden/>
          </w:rPr>
          <w:fldChar w:fldCharType="begin"/>
        </w:r>
        <w:r>
          <w:rPr>
            <w:noProof/>
            <w:webHidden/>
          </w:rPr>
          <w:instrText xml:space="preserve"> PAGEREF _Toc236929580 \h </w:instrText>
        </w:r>
        <w:r>
          <w:rPr>
            <w:noProof/>
            <w:webHidden/>
          </w:rPr>
        </w:r>
        <w:r>
          <w:rPr>
            <w:noProof/>
            <w:webHidden/>
          </w:rPr>
          <w:fldChar w:fldCharType="separate"/>
        </w:r>
        <w:r>
          <w:rPr>
            <w:noProof/>
            <w:webHidden/>
          </w:rPr>
          <w:t>30</w:t>
        </w:r>
        <w:r>
          <w:rPr>
            <w:noProof/>
            <w:webHidden/>
          </w:rPr>
          <w:fldChar w:fldCharType="end"/>
        </w:r>
      </w:hyperlink>
    </w:p>
    <w:p w14:paraId="170E79CF" w14:textId="4148EB2E" w:rsidR="0094228B" w:rsidRDefault="0094228B">
      <w:pPr>
        <w:pStyle w:val="TOC2"/>
        <w:rPr>
          <w:rFonts w:asciiTheme="minorHAnsi" w:eastAsiaTheme="minorEastAsia" w:hAnsiTheme="minorHAnsi"/>
          <w:noProof/>
          <w:color w:val="auto"/>
          <w:sz w:val="24"/>
        </w:rPr>
      </w:pPr>
      <w:hyperlink w:anchor="_Toc236929581" w:history="1">
        <w:r w:rsidRPr="00FB14AE">
          <w:rPr>
            <w:rStyle w:val="Hyperlink"/>
            <w:noProof/>
          </w:rPr>
          <w:t>6.3 Non-Discrimination</w:t>
        </w:r>
        <w:r>
          <w:rPr>
            <w:noProof/>
            <w:webHidden/>
          </w:rPr>
          <w:tab/>
        </w:r>
        <w:r>
          <w:rPr>
            <w:noProof/>
            <w:webHidden/>
          </w:rPr>
          <w:fldChar w:fldCharType="begin"/>
        </w:r>
        <w:r>
          <w:rPr>
            <w:noProof/>
            <w:webHidden/>
          </w:rPr>
          <w:instrText xml:space="preserve"> PAGEREF _Toc236929581 \h </w:instrText>
        </w:r>
        <w:r>
          <w:rPr>
            <w:noProof/>
            <w:webHidden/>
          </w:rPr>
        </w:r>
        <w:r>
          <w:rPr>
            <w:noProof/>
            <w:webHidden/>
          </w:rPr>
          <w:fldChar w:fldCharType="separate"/>
        </w:r>
        <w:r>
          <w:rPr>
            <w:noProof/>
            <w:webHidden/>
          </w:rPr>
          <w:t>30</w:t>
        </w:r>
        <w:r>
          <w:rPr>
            <w:noProof/>
            <w:webHidden/>
          </w:rPr>
          <w:fldChar w:fldCharType="end"/>
        </w:r>
      </w:hyperlink>
    </w:p>
    <w:p w14:paraId="2163B937" w14:textId="4BC8C153" w:rsidR="0094228B" w:rsidRDefault="0094228B">
      <w:pPr>
        <w:pStyle w:val="TOC1"/>
        <w:rPr>
          <w:rFonts w:asciiTheme="minorHAnsi" w:eastAsiaTheme="minorEastAsia" w:hAnsiTheme="minorHAnsi"/>
          <w:b w:val="0"/>
          <w:noProof/>
          <w:color w:val="auto"/>
          <w:sz w:val="24"/>
        </w:rPr>
      </w:pPr>
      <w:hyperlink w:anchor="_Toc236929582" w:history="1">
        <w:r w:rsidRPr="00FB14AE">
          <w:rPr>
            <w:rStyle w:val="Hyperlink"/>
            <w:noProof/>
          </w:rPr>
          <w:t>Article 7: Functional Responsibilities and the Dual-Key Rule</w:t>
        </w:r>
        <w:r>
          <w:rPr>
            <w:noProof/>
            <w:webHidden/>
          </w:rPr>
          <w:tab/>
        </w:r>
        <w:r>
          <w:rPr>
            <w:noProof/>
            <w:webHidden/>
          </w:rPr>
          <w:fldChar w:fldCharType="begin"/>
        </w:r>
        <w:r>
          <w:rPr>
            <w:noProof/>
            <w:webHidden/>
          </w:rPr>
          <w:instrText xml:space="preserve"> PAGEREF _Toc236929582 \h </w:instrText>
        </w:r>
        <w:r>
          <w:rPr>
            <w:noProof/>
            <w:webHidden/>
          </w:rPr>
        </w:r>
        <w:r>
          <w:rPr>
            <w:noProof/>
            <w:webHidden/>
          </w:rPr>
          <w:fldChar w:fldCharType="separate"/>
        </w:r>
        <w:r>
          <w:rPr>
            <w:noProof/>
            <w:webHidden/>
          </w:rPr>
          <w:t>31</w:t>
        </w:r>
        <w:r>
          <w:rPr>
            <w:noProof/>
            <w:webHidden/>
          </w:rPr>
          <w:fldChar w:fldCharType="end"/>
        </w:r>
      </w:hyperlink>
    </w:p>
    <w:p w14:paraId="09C5439B" w14:textId="6D34CED6" w:rsidR="0094228B" w:rsidRDefault="0094228B">
      <w:pPr>
        <w:pStyle w:val="TOC2"/>
        <w:rPr>
          <w:rFonts w:asciiTheme="minorHAnsi" w:eastAsiaTheme="minorEastAsia" w:hAnsiTheme="minorHAnsi"/>
          <w:noProof/>
          <w:color w:val="auto"/>
          <w:sz w:val="24"/>
        </w:rPr>
      </w:pPr>
      <w:hyperlink w:anchor="_Toc236929583" w:history="1">
        <w:r w:rsidRPr="00FB14AE">
          <w:rPr>
            <w:rStyle w:val="Hyperlink"/>
            <w:noProof/>
          </w:rPr>
          <w:t>7.1 The Functional Map</w:t>
        </w:r>
        <w:r>
          <w:rPr>
            <w:noProof/>
            <w:webHidden/>
          </w:rPr>
          <w:tab/>
        </w:r>
        <w:r>
          <w:rPr>
            <w:noProof/>
            <w:webHidden/>
          </w:rPr>
          <w:fldChar w:fldCharType="begin"/>
        </w:r>
        <w:r>
          <w:rPr>
            <w:noProof/>
            <w:webHidden/>
          </w:rPr>
          <w:instrText xml:space="preserve"> PAGEREF _Toc236929583 \h </w:instrText>
        </w:r>
        <w:r>
          <w:rPr>
            <w:noProof/>
            <w:webHidden/>
          </w:rPr>
        </w:r>
        <w:r>
          <w:rPr>
            <w:noProof/>
            <w:webHidden/>
          </w:rPr>
          <w:fldChar w:fldCharType="separate"/>
        </w:r>
        <w:r>
          <w:rPr>
            <w:noProof/>
            <w:webHidden/>
          </w:rPr>
          <w:t>31</w:t>
        </w:r>
        <w:r>
          <w:rPr>
            <w:noProof/>
            <w:webHidden/>
          </w:rPr>
          <w:fldChar w:fldCharType="end"/>
        </w:r>
      </w:hyperlink>
    </w:p>
    <w:p w14:paraId="6FBF55DE" w14:textId="14B6A24A" w:rsidR="0094228B" w:rsidRDefault="0094228B">
      <w:pPr>
        <w:pStyle w:val="TOC2"/>
        <w:rPr>
          <w:rFonts w:asciiTheme="minorHAnsi" w:eastAsiaTheme="minorEastAsia" w:hAnsiTheme="minorHAnsi"/>
          <w:noProof/>
          <w:color w:val="auto"/>
          <w:sz w:val="24"/>
        </w:rPr>
      </w:pPr>
      <w:hyperlink w:anchor="_Toc236929584" w:history="1">
        <w:r w:rsidRPr="00FB14AE">
          <w:rPr>
            <w:rStyle w:val="Hyperlink"/>
            <w:noProof/>
          </w:rPr>
          <w:t>7.2 The Dual-Key Rule</w:t>
        </w:r>
        <w:r>
          <w:rPr>
            <w:noProof/>
            <w:webHidden/>
          </w:rPr>
          <w:tab/>
        </w:r>
        <w:r>
          <w:rPr>
            <w:noProof/>
            <w:webHidden/>
          </w:rPr>
          <w:fldChar w:fldCharType="begin"/>
        </w:r>
        <w:r>
          <w:rPr>
            <w:noProof/>
            <w:webHidden/>
          </w:rPr>
          <w:instrText xml:space="preserve"> PAGEREF _Toc236929584 \h </w:instrText>
        </w:r>
        <w:r>
          <w:rPr>
            <w:noProof/>
            <w:webHidden/>
          </w:rPr>
        </w:r>
        <w:r>
          <w:rPr>
            <w:noProof/>
            <w:webHidden/>
          </w:rPr>
          <w:fldChar w:fldCharType="separate"/>
        </w:r>
        <w:r>
          <w:rPr>
            <w:noProof/>
            <w:webHidden/>
          </w:rPr>
          <w:t>31</w:t>
        </w:r>
        <w:r>
          <w:rPr>
            <w:noProof/>
            <w:webHidden/>
          </w:rPr>
          <w:fldChar w:fldCharType="end"/>
        </w:r>
      </w:hyperlink>
    </w:p>
    <w:p w14:paraId="1A4E0735" w14:textId="724CC87F" w:rsidR="0094228B" w:rsidRDefault="0094228B">
      <w:pPr>
        <w:pStyle w:val="TOC2"/>
        <w:rPr>
          <w:rFonts w:asciiTheme="minorHAnsi" w:eastAsiaTheme="minorEastAsia" w:hAnsiTheme="minorHAnsi"/>
          <w:noProof/>
          <w:color w:val="auto"/>
          <w:sz w:val="24"/>
        </w:rPr>
      </w:pPr>
      <w:hyperlink w:anchor="_Toc236929585" w:history="1">
        <w:r w:rsidRPr="00FB14AE">
          <w:rPr>
            <w:rStyle w:val="Hyperlink"/>
            <w:noProof/>
          </w:rPr>
          <w:t>7.3 The Absolute Non-Interdiction Protocol</w:t>
        </w:r>
        <w:r>
          <w:rPr>
            <w:noProof/>
            <w:webHidden/>
          </w:rPr>
          <w:tab/>
        </w:r>
        <w:r>
          <w:rPr>
            <w:noProof/>
            <w:webHidden/>
          </w:rPr>
          <w:fldChar w:fldCharType="begin"/>
        </w:r>
        <w:r>
          <w:rPr>
            <w:noProof/>
            <w:webHidden/>
          </w:rPr>
          <w:instrText xml:space="preserve"> PAGEREF _Toc236929585 \h </w:instrText>
        </w:r>
        <w:r>
          <w:rPr>
            <w:noProof/>
            <w:webHidden/>
          </w:rPr>
        </w:r>
        <w:r>
          <w:rPr>
            <w:noProof/>
            <w:webHidden/>
          </w:rPr>
          <w:fldChar w:fldCharType="separate"/>
        </w:r>
        <w:r>
          <w:rPr>
            <w:noProof/>
            <w:webHidden/>
          </w:rPr>
          <w:t>32</w:t>
        </w:r>
        <w:r>
          <w:rPr>
            <w:noProof/>
            <w:webHidden/>
          </w:rPr>
          <w:fldChar w:fldCharType="end"/>
        </w:r>
      </w:hyperlink>
    </w:p>
    <w:p w14:paraId="3E7742E9" w14:textId="5A0C4BBD" w:rsidR="0094228B" w:rsidRDefault="0094228B">
      <w:pPr>
        <w:pStyle w:val="TOC2"/>
        <w:rPr>
          <w:rFonts w:asciiTheme="minorHAnsi" w:eastAsiaTheme="minorEastAsia" w:hAnsiTheme="minorHAnsi"/>
          <w:noProof/>
          <w:color w:val="auto"/>
          <w:sz w:val="24"/>
        </w:rPr>
      </w:pPr>
      <w:hyperlink w:anchor="_Toc236929586" w:history="1">
        <w:r w:rsidRPr="00FB14AE">
          <w:rPr>
            <w:rStyle w:val="Hyperlink"/>
            <w:noProof/>
          </w:rPr>
          <w:t>7.4 Deconfliction of Naval Movements</w:t>
        </w:r>
        <w:r>
          <w:rPr>
            <w:noProof/>
            <w:webHidden/>
          </w:rPr>
          <w:tab/>
        </w:r>
        <w:r>
          <w:rPr>
            <w:noProof/>
            <w:webHidden/>
          </w:rPr>
          <w:fldChar w:fldCharType="begin"/>
        </w:r>
        <w:r>
          <w:rPr>
            <w:noProof/>
            <w:webHidden/>
          </w:rPr>
          <w:instrText xml:space="preserve"> PAGEREF _Toc236929586 \h </w:instrText>
        </w:r>
        <w:r>
          <w:rPr>
            <w:noProof/>
            <w:webHidden/>
          </w:rPr>
        </w:r>
        <w:r>
          <w:rPr>
            <w:noProof/>
            <w:webHidden/>
          </w:rPr>
          <w:fldChar w:fldCharType="separate"/>
        </w:r>
        <w:r>
          <w:rPr>
            <w:noProof/>
            <w:webHidden/>
          </w:rPr>
          <w:t>32</w:t>
        </w:r>
        <w:r>
          <w:rPr>
            <w:noProof/>
            <w:webHidden/>
          </w:rPr>
          <w:fldChar w:fldCharType="end"/>
        </w:r>
      </w:hyperlink>
    </w:p>
    <w:p w14:paraId="004EC981" w14:textId="515B0267" w:rsidR="0094228B" w:rsidRDefault="0094228B">
      <w:pPr>
        <w:pStyle w:val="TOC1"/>
        <w:rPr>
          <w:rFonts w:asciiTheme="minorHAnsi" w:eastAsiaTheme="minorEastAsia" w:hAnsiTheme="minorHAnsi"/>
          <w:b w:val="0"/>
          <w:noProof/>
          <w:color w:val="auto"/>
          <w:sz w:val="24"/>
        </w:rPr>
      </w:pPr>
      <w:hyperlink w:anchor="_Toc236929587" w:history="1">
        <w:r w:rsidRPr="00FB14AE">
          <w:rPr>
            <w:rStyle w:val="Hyperlink"/>
            <w:noProof/>
          </w:rPr>
          <w:t>Article 8: Reopening and the Phased Activation Sequence</w:t>
        </w:r>
        <w:r>
          <w:rPr>
            <w:noProof/>
            <w:webHidden/>
          </w:rPr>
          <w:tab/>
        </w:r>
        <w:r>
          <w:rPr>
            <w:noProof/>
            <w:webHidden/>
          </w:rPr>
          <w:fldChar w:fldCharType="begin"/>
        </w:r>
        <w:r>
          <w:rPr>
            <w:noProof/>
            <w:webHidden/>
          </w:rPr>
          <w:instrText xml:space="preserve"> PAGEREF _Toc236929587 \h </w:instrText>
        </w:r>
        <w:r>
          <w:rPr>
            <w:noProof/>
            <w:webHidden/>
          </w:rPr>
        </w:r>
        <w:r>
          <w:rPr>
            <w:noProof/>
            <w:webHidden/>
          </w:rPr>
          <w:fldChar w:fldCharType="separate"/>
        </w:r>
        <w:r>
          <w:rPr>
            <w:noProof/>
            <w:webHidden/>
          </w:rPr>
          <w:t>33</w:t>
        </w:r>
        <w:r>
          <w:rPr>
            <w:noProof/>
            <w:webHidden/>
          </w:rPr>
          <w:fldChar w:fldCharType="end"/>
        </w:r>
      </w:hyperlink>
    </w:p>
    <w:p w14:paraId="6994F9B5" w14:textId="3A018008" w:rsidR="0094228B" w:rsidRDefault="0094228B">
      <w:pPr>
        <w:pStyle w:val="TOC2"/>
        <w:rPr>
          <w:rFonts w:asciiTheme="minorHAnsi" w:eastAsiaTheme="minorEastAsia" w:hAnsiTheme="minorHAnsi"/>
          <w:noProof/>
          <w:color w:val="auto"/>
          <w:sz w:val="24"/>
        </w:rPr>
      </w:pPr>
      <w:hyperlink w:anchor="_Toc236929588" w:history="1">
        <w:r w:rsidRPr="00FB14AE">
          <w:rPr>
            <w:rStyle w:val="Hyperlink"/>
            <w:noProof/>
          </w:rPr>
          <w:t>8.1 The Indivisible Event Principle</w:t>
        </w:r>
        <w:r>
          <w:rPr>
            <w:noProof/>
            <w:webHidden/>
          </w:rPr>
          <w:tab/>
        </w:r>
        <w:r>
          <w:rPr>
            <w:noProof/>
            <w:webHidden/>
          </w:rPr>
          <w:fldChar w:fldCharType="begin"/>
        </w:r>
        <w:r>
          <w:rPr>
            <w:noProof/>
            <w:webHidden/>
          </w:rPr>
          <w:instrText xml:space="preserve"> PAGEREF _Toc236929588 \h </w:instrText>
        </w:r>
        <w:r>
          <w:rPr>
            <w:noProof/>
            <w:webHidden/>
          </w:rPr>
        </w:r>
        <w:r>
          <w:rPr>
            <w:noProof/>
            <w:webHidden/>
          </w:rPr>
          <w:fldChar w:fldCharType="separate"/>
        </w:r>
        <w:r>
          <w:rPr>
            <w:noProof/>
            <w:webHidden/>
          </w:rPr>
          <w:t>33</w:t>
        </w:r>
        <w:r>
          <w:rPr>
            <w:noProof/>
            <w:webHidden/>
          </w:rPr>
          <w:fldChar w:fldCharType="end"/>
        </w:r>
      </w:hyperlink>
    </w:p>
    <w:p w14:paraId="133C762A" w14:textId="2B4EF1D8" w:rsidR="0094228B" w:rsidRDefault="0094228B">
      <w:pPr>
        <w:pStyle w:val="TOC2"/>
        <w:rPr>
          <w:rFonts w:asciiTheme="minorHAnsi" w:eastAsiaTheme="minorEastAsia" w:hAnsiTheme="minorHAnsi"/>
          <w:noProof/>
          <w:color w:val="auto"/>
          <w:sz w:val="24"/>
        </w:rPr>
      </w:pPr>
      <w:hyperlink w:anchor="_Toc236929589" w:history="1">
        <w:r w:rsidRPr="00FB14AE">
          <w:rPr>
            <w:rStyle w:val="Hyperlink"/>
            <w:noProof/>
          </w:rPr>
          <w:t>8.2 The Six Phases</w:t>
        </w:r>
        <w:r>
          <w:rPr>
            <w:noProof/>
            <w:webHidden/>
          </w:rPr>
          <w:tab/>
        </w:r>
        <w:r>
          <w:rPr>
            <w:noProof/>
            <w:webHidden/>
          </w:rPr>
          <w:fldChar w:fldCharType="begin"/>
        </w:r>
        <w:r>
          <w:rPr>
            <w:noProof/>
            <w:webHidden/>
          </w:rPr>
          <w:instrText xml:space="preserve"> PAGEREF _Toc236929589 \h </w:instrText>
        </w:r>
        <w:r>
          <w:rPr>
            <w:noProof/>
            <w:webHidden/>
          </w:rPr>
        </w:r>
        <w:r>
          <w:rPr>
            <w:noProof/>
            <w:webHidden/>
          </w:rPr>
          <w:fldChar w:fldCharType="separate"/>
        </w:r>
        <w:r>
          <w:rPr>
            <w:noProof/>
            <w:webHidden/>
          </w:rPr>
          <w:t>33</w:t>
        </w:r>
        <w:r>
          <w:rPr>
            <w:noProof/>
            <w:webHidden/>
          </w:rPr>
          <w:fldChar w:fldCharType="end"/>
        </w:r>
      </w:hyperlink>
    </w:p>
    <w:p w14:paraId="118DF038" w14:textId="48879BD4" w:rsidR="0094228B" w:rsidRDefault="0094228B">
      <w:pPr>
        <w:pStyle w:val="TOC2"/>
        <w:rPr>
          <w:rFonts w:asciiTheme="minorHAnsi" w:eastAsiaTheme="minorEastAsia" w:hAnsiTheme="minorHAnsi"/>
          <w:noProof/>
          <w:color w:val="auto"/>
          <w:sz w:val="24"/>
        </w:rPr>
      </w:pPr>
      <w:hyperlink w:anchor="_Toc236929590" w:history="1">
        <w:r w:rsidRPr="00FB14AE">
          <w:rPr>
            <w:rStyle w:val="Hyperlink"/>
            <w:noProof/>
          </w:rPr>
          <w:t>8.3 The Pilot Rules</w:t>
        </w:r>
        <w:r>
          <w:rPr>
            <w:noProof/>
            <w:webHidden/>
          </w:rPr>
          <w:tab/>
        </w:r>
        <w:r>
          <w:rPr>
            <w:noProof/>
            <w:webHidden/>
          </w:rPr>
          <w:fldChar w:fldCharType="begin"/>
        </w:r>
        <w:r>
          <w:rPr>
            <w:noProof/>
            <w:webHidden/>
          </w:rPr>
          <w:instrText xml:space="preserve"> PAGEREF _Toc236929590 \h </w:instrText>
        </w:r>
        <w:r>
          <w:rPr>
            <w:noProof/>
            <w:webHidden/>
          </w:rPr>
        </w:r>
        <w:r>
          <w:rPr>
            <w:noProof/>
            <w:webHidden/>
          </w:rPr>
          <w:fldChar w:fldCharType="separate"/>
        </w:r>
        <w:r>
          <w:rPr>
            <w:noProof/>
            <w:webHidden/>
          </w:rPr>
          <w:t>34</w:t>
        </w:r>
        <w:r>
          <w:rPr>
            <w:noProof/>
            <w:webHidden/>
          </w:rPr>
          <w:fldChar w:fldCharType="end"/>
        </w:r>
      </w:hyperlink>
    </w:p>
    <w:p w14:paraId="0D454859" w14:textId="4EE9DA4A" w:rsidR="0094228B" w:rsidRDefault="0094228B">
      <w:pPr>
        <w:pStyle w:val="TOC1"/>
        <w:rPr>
          <w:rFonts w:asciiTheme="minorHAnsi" w:eastAsiaTheme="minorEastAsia" w:hAnsiTheme="minorHAnsi"/>
          <w:b w:val="0"/>
          <w:noProof/>
          <w:color w:val="auto"/>
          <w:sz w:val="24"/>
        </w:rPr>
      </w:pPr>
      <w:hyperlink w:anchor="_Toc236929591" w:history="1">
        <w:r w:rsidRPr="00FB14AE">
          <w:rPr>
            <w:rStyle w:val="Hyperlink"/>
            <w:noProof/>
          </w:rPr>
          <w:t>Article 9: Mine Countermeasures and the Beacon Certificate</w:t>
        </w:r>
        <w:r>
          <w:rPr>
            <w:noProof/>
            <w:webHidden/>
          </w:rPr>
          <w:tab/>
        </w:r>
        <w:r>
          <w:rPr>
            <w:noProof/>
            <w:webHidden/>
          </w:rPr>
          <w:fldChar w:fldCharType="begin"/>
        </w:r>
        <w:r>
          <w:rPr>
            <w:noProof/>
            <w:webHidden/>
          </w:rPr>
          <w:instrText xml:space="preserve"> PAGEREF _Toc236929591 \h </w:instrText>
        </w:r>
        <w:r>
          <w:rPr>
            <w:noProof/>
            <w:webHidden/>
          </w:rPr>
        </w:r>
        <w:r>
          <w:rPr>
            <w:noProof/>
            <w:webHidden/>
          </w:rPr>
          <w:fldChar w:fldCharType="separate"/>
        </w:r>
        <w:r>
          <w:rPr>
            <w:noProof/>
            <w:webHidden/>
          </w:rPr>
          <w:t>35</w:t>
        </w:r>
        <w:r>
          <w:rPr>
            <w:noProof/>
            <w:webHidden/>
          </w:rPr>
          <w:fldChar w:fldCharType="end"/>
        </w:r>
      </w:hyperlink>
    </w:p>
    <w:p w14:paraId="35F5340E" w14:textId="4433ABEB" w:rsidR="0094228B" w:rsidRDefault="0094228B">
      <w:pPr>
        <w:pStyle w:val="TOC2"/>
        <w:rPr>
          <w:rFonts w:asciiTheme="minorHAnsi" w:eastAsiaTheme="minorEastAsia" w:hAnsiTheme="minorHAnsi"/>
          <w:noProof/>
          <w:color w:val="auto"/>
          <w:sz w:val="24"/>
        </w:rPr>
      </w:pPr>
      <w:hyperlink w:anchor="_Toc236929592" w:history="1">
        <w:r w:rsidRPr="00FB14AE">
          <w:rPr>
            <w:rStyle w:val="Hyperlink"/>
            <w:noProof/>
          </w:rPr>
          <w:t>9.1 The Standing Mine-Risk Posture</w:t>
        </w:r>
        <w:r>
          <w:rPr>
            <w:noProof/>
            <w:webHidden/>
          </w:rPr>
          <w:tab/>
        </w:r>
        <w:r>
          <w:rPr>
            <w:noProof/>
            <w:webHidden/>
          </w:rPr>
          <w:fldChar w:fldCharType="begin"/>
        </w:r>
        <w:r>
          <w:rPr>
            <w:noProof/>
            <w:webHidden/>
          </w:rPr>
          <w:instrText xml:space="preserve"> PAGEREF _Toc236929592 \h </w:instrText>
        </w:r>
        <w:r>
          <w:rPr>
            <w:noProof/>
            <w:webHidden/>
          </w:rPr>
        </w:r>
        <w:r>
          <w:rPr>
            <w:noProof/>
            <w:webHidden/>
          </w:rPr>
          <w:fldChar w:fldCharType="separate"/>
        </w:r>
        <w:r>
          <w:rPr>
            <w:noProof/>
            <w:webHidden/>
          </w:rPr>
          <w:t>35</w:t>
        </w:r>
        <w:r>
          <w:rPr>
            <w:noProof/>
            <w:webHidden/>
          </w:rPr>
          <w:fldChar w:fldCharType="end"/>
        </w:r>
      </w:hyperlink>
    </w:p>
    <w:p w14:paraId="1ADADFFE" w14:textId="665CC837" w:rsidR="0094228B" w:rsidRDefault="0094228B">
      <w:pPr>
        <w:pStyle w:val="TOC2"/>
        <w:rPr>
          <w:rFonts w:asciiTheme="minorHAnsi" w:eastAsiaTheme="minorEastAsia" w:hAnsiTheme="minorHAnsi"/>
          <w:noProof/>
          <w:color w:val="auto"/>
          <w:sz w:val="24"/>
        </w:rPr>
      </w:pPr>
      <w:hyperlink w:anchor="_Toc236929593" w:history="1">
        <w:r w:rsidRPr="00FB14AE">
          <w:rPr>
            <w:rStyle w:val="Hyperlink"/>
            <w:noProof/>
          </w:rPr>
          <w:t>9.2 The Mine Countermeasure Group</w:t>
        </w:r>
        <w:r>
          <w:rPr>
            <w:noProof/>
            <w:webHidden/>
          </w:rPr>
          <w:tab/>
        </w:r>
        <w:r>
          <w:rPr>
            <w:noProof/>
            <w:webHidden/>
          </w:rPr>
          <w:fldChar w:fldCharType="begin"/>
        </w:r>
        <w:r>
          <w:rPr>
            <w:noProof/>
            <w:webHidden/>
          </w:rPr>
          <w:instrText xml:space="preserve"> PAGEREF _Toc236929593 \h </w:instrText>
        </w:r>
        <w:r>
          <w:rPr>
            <w:noProof/>
            <w:webHidden/>
          </w:rPr>
        </w:r>
        <w:r>
          <w:rPr>
            <w:noProof/>
            <w:webHidden/>
          </w:rPr>
          <w:fldChar w:fldCharType="separate"/>
        </w:r>
        <w:r>
          <w:rPr>
            <w:noProof/>
            <w:webHidden/>
          </w:rPr>
          <w:t>35</w:t>
        </w:r>
        <w:r>
          <w:rPr>
            <w:noProof/>
            <w:webHidden/>
          </w:rPr>
          <w:fldChar w:fldCharType="end"/>
        </w:r>
      </w:hyperlink>
    </w:p>
    <w:p w14:paraId="59CFE41F" w14:textId="2E66B76C" w:rsidR="0094228B" w:rsidRDefault="0094228B">
      <w:pPr>
        <w:pStyle w:val="TOC2"/>
        <w:rPr>
          <w:rFonts w:asciiTheme="minorHAnsi" w:eastAsiaTheme="minorEastAsia" w:hAnsiTheme="minorHAnsi"/>
          <w:noProof/>
          <w:color w:val="auto"/>
          <w:sz w:val="24"/>
        </w:rPr>
      </w:pPr>
      <w:hyperlink w:anchor="_Toc236929594" w:history="1">
        <w:r w:rsidRPr="00FB14AE">
          <w:rPr>
            <w:rStyle w:val="Hyperlink"/>
            <w:noProof/>
          </w:rPr>
          <w:t>9.3 The Beacon Certificate</w:t>
        </w:r>
        <w:r>
          <w:rPr>
            <w:noProof/>
            <w:webHidden/>
          </w:rPr>
          <w:tab/>
        </w:r>
        <w:r>
          <w:rPr>
            <w:noProof/>
            <w:webHidden/>
          </w:rPr>
          <w:fldChar w:fldCharType="begin"/>
        </w:r>
        <w:r>
          <w:rPr>
            <w:noProof/>
            <w:webHidden/>
          </w:rPr>
          <w:instrText xml:space="preserve"> PAGEREF _Toc236929594 \h </w:instrText>
        </w:r>
        <w:r>
          <w:rPr>
            <w:noProof/>
            <w:webHidden/>
          </w:rPr>
        </w:r>
        <w:r>
          <w:rPr>
            <w:noProof/>
            <w:webHidden/>
          </w:rPr>
          <w:fldChar w:fldCharType="separate"/>
        </w:r>
        <w:r>
          <w:rPr>
            <w:noProof/>
            <w:webHidden/>
          </w:rPr>
          <w:t>35</w:t>
        </w:r>
        <w:r>
          <w:rPr>
            <w:noProof/>
            <w:webHidden/>
          </w:rPr>
          <w:fldChar w:fldCharType="end"/>
        </w:r>
      </w:hyperlink>
    </w:p>
    <w:p w14:paraId="176F52BB" w14:textId="0DE9BEA6" w:rsidR="0094228B" w:rsidRDefault="0094228B">
      <w:pPr>
        <w:pStyle w:val="TOC2"/>
        <w:rPr>
          <w:rFonts w:asciiTheme="minorHAnsi" w:eastAsiaTheme="minorEastAsia" w:hAnsiTheme="minorHAnsi"/>
          <w:noProof/>
          <w:color w:val="auto"/>
          <w:sz w:val="24"/>
        </w:rPr>
      </w:pPr>
      <w:hyperlink w:anchor="_Toc236929595" w:history="1">
        <w:r w:rsidRPr="00FB14AE">
          <w:rPr>
            <w:rStyle w:val="Hyperlink"/>
            <w:noProof/>
          </w:rPr>
          <w:t>9.4 Navigation Integrity</w:t>
        </w:r>
        <w:r>
          <w:rPr>
            <w:noProof/>
            <w:webHidden/>
          </w:rPr>
          <w:tab/>
        </w:r>
        <w:r>
          <w:rPr>
            <w:noProof/>
            <w:webHidden/>
          </w:rPr>
          <w:fldChar w:fldCharType="begin"/>
        </w:r>
        <w:r>
          <w:rPr>
            <w:noProof/>
            <w:webHidden/>
          </w:rPr>
          <w:instrText xml:space="preserve"> PAGEREF _Toc236929595 \h </w:instrText>
        </w:r>
        <w:r>
          <w:rPr>
            <w:noProof/>
            <w:webHidden/>
          </w:rPr>
        </w:r>
        <w:r>
          <w:rPr>
            <w:noProof/>
            <w:webHidden/>
          </w:rPr>
          <w:fldChar w:fldCharType="separate"/>
        </w:r>
        <w:r>
          <w:rPr>
            <w:noProof/>
            <w:webHidden/>
          </w:rPr>
          <w:t>36</w:t>
        </w:r>
        <w:r>
          <w:rPr>
            <w:noProof/>
            <w:webHidden/>
          </w:rPr>
          <w:fldChar w:fldCharType="end"/>
        </w:r>
      </w:hyperlink>
    </w:p>
    <w:p w14:paraId="24C57EC4" w14:textId="4F0CF5AF" w:rsidR="0094228B" w:rsidRDefault="0094228B">
      <w:pPr>
        <w:pStyle w:val="TOC1"/>
        <w:rPr>
          <w:rFonts w:asciiTheme="minorHAnsi" w:eastAsiaTheme="minorEastAsia" w:hAnsiTheme="minorHAnsi"/>
          <w:b w:val="0"/>
          <w:noProof/>
          <w:color w:val="auto"/>
          <w:sz w:val="24"/>
        </w:rPr>
      </w:pPr>
      <w:hyperlink w:anchor="_Toc236929596" w:history="1">
        <w:r w:rsidRPr="00FB14AE">
          <w:rPr>
            <w:rStyle w:val="Hyperlink"/>
            <w:noProof/>
          </w:rPr>
          <w:t>Part III: Institutions</w:t>
        </w:r>
        <w:r>
          <w:rPr>
            <w:noProof/>
            <w:webHidden/>
          </w:rPr>
          <w:tab/>
        </w:r>
        <w:r>
          <w:rPr>
            <w:noProof/>
            <w:webHidden/>
          </w:rPr>
          <w:fldChar w:fldCharType="begin"/>
        </w:r>
        <w:r>
          <w:rPr>
            <w:noProof/>
            <w:webHidden/>
          </w:rPr>
          <w:instrText xml:space="preserve"> PAGEREF _Toc236929596 \h </w:instrText>
        </w:r>
        <w:r>
          <w:rPr>
            <w:noProof/>
            <w:webHidden/>
          </w:rPr>
        </w:r>
        <w:r>
          <w:rPr>
            <w:noProof/>
            <w:webHidden/>
          </w:rPr>
          <w:fldChar w:fldCharType="separate"/>
        </w:r>
        <w:r>
          <w:rPr>
            <w:noProof/>
            <w:webHidden/>
          </w:rPr>
          <w:t>37</w:t>
        </w:r>
        <w:r>
          <w:rPr>
            <w:noProof/>
            <w:webHidden/>
          </w:rPr>
          <w:fldChar w:fldCharType="end"/>
        </w:r>
      </w:hyperlink>
    </w:p>
    <w:p w14:paraId="479CECD6" w14:textId="34785DCC" w:rsidR="0094228B" w:rsidRDefault="0094228B">
      <w:pPr>
        <w:pStyle w:val="TOC1"/>
        <w:rPr>
          <w:rFonts w:asciiTheme="minorHAnsi" w:eastAsiaTheme="minorEastAsia" w:hAnsiTheme="minorHAnsi"/>
          <w:b w:val="0"/>
          <w:noProof/>
          <w:color w:val="auto"/>
          <w:sz w:val="24"/>
        </w:rPr>
      </w:pPr>
      <w:hyperlink w:anchor="_Toc236929597" w:history="1">
        <w:r w:rsidRPr="00FB14AE">
          <w:rPr>
            <w:rStyle w:val="Hyperlink"/>
            <w:noProof/>
          </w:rPr>
          <w:t>Article 10: The Sobat Payedar Authority</w:t>
        </w:r>
        <w:r>
          <w:rPr>
            <w:noProof/>
            <w:webHidden/>
          </w:rPr>
          <w:tab/>
        </w:r>
        <w:r>
          <w:rPr>
            <w:noProof/>
            <w:webHidden/>
          </w:rPr>
          <w:fldChar w:fldCharType="begin"/>
        </w:r>
        <w:r>
          <w:rPr>
            <w:noProof/>
            <w:webHidden/>
          </w:rPr>
          <w:instrText xml:space="preserve"> PAGEREF _Toc236929597 \h </w:instrText>
        </w:r>
        <w:r>
          <w:rPr>
            <w:noProof/>
            <w:webHidden/>
          </w:rPr>
        </w:r>
        <w:r>
          <w:rPr>
            <w:noProof/>
            <w:webHidden/>
          </w:rPr>
          <w:fldChar w:fldCharType="separate"/>
        </w:r>
        <w:r>
          <w:rPr>
            <w:noProof/>
            <w:webHidden/>
          </w:rPr>
          <w:t>38</w:t>
        </w:r>
        <w:r>
          <w:rPr>
            <w:noProof/>
            <w:webHidden/>
          </w:rPr>
          <w:fldChar w:fldCharType="end"/>
        </w:r>
      </w:hyperlink>
    </w:p>
    <w:p w14:paraId="6A369A18" w14:textId="5E705B09" w:rsidR="0094228B" w:rsidRDefault="0094228B">
      <w:pPr>
        <w:pStyle w:val="TOC2"/>
        <w:rPr>
          <w:rFonts w:asciiTheme="minorHAnsi" w:eastAsiaTheme="minorEastAsia" w:hAnsiTheme="minorHAnsi"/>
          <w:noProof/>
          <w:color w:val="auto"/>
          <w:sz w:val="24"/>
        </w:rPr>
      </w:pPr>
      <w:hyperlink w:anchor="_Toc236929598" w:history="1">
        <w:r w:rsidRPr="00FB14AE">
          <w:rPr>
            <w:rStyle w:val="Hyperlink"/>
            <w:noProof/>
          </w:rPr>
          <w:t>10.1 Establishment and Legal Personality</w:t>
        </w:r>
        <w:r>
          <w:rPr>
            <w:noProof/>
            <w:webHidden/>
          </w:rPr>
          <w:tab/>
        </w:r>
        <w:r>
          <w:rPr>
            <w:noProof/>
            <w:webHidden/>
          </w:rPr>
          <w:fldChar w:fldCharType="begin"/>
        </w:r>
        <w:r>
          <w:rPr>
            <w:noProof/>
            <w:webHidden/>
          </w:rPr>
          <w:instrText xml:space="preserve"> PAGEREF _Toc236929598 \h </w:instrText>
        </w:r>
        <w:r>
          <w:rPr>
            <w:noProof/>
            <w:webHidden/>
          </w:rPr>
        </w:r>
        <w:r>
          <w:rPr>
            <w:noProof/>
            <w:webHidden/>
          </w:rPr>
          <w:fldChar w:fldCharType="separate"/>
        </w:r>
        <w:r>
          <w:rPr>
            <w:noProof/>
            <w:webHidden/>
          </w:rPr>
          <w:t>38</w:t>
        </w:r>
        <w:r>
          <w:rPr>
            <w:noProof/>
            <w:webHidden/>
          </w:rPr>
          <w:fldChar w:fldCharType="end"/>
        </w:r>
      </w:hyperlink>
    </w:p>
    <w:p w14:paraId="4BC26814" w14:textId="08A8040E" w:rsidR="0094228B" w:rsidRDefault="0094228B">
      <w:pPr>
        <w:pStyle w:val="TOC2"/>
        <w:rPr>
          <w:rFonts w:asciiTheme="minorHAnsi" w:eastAsiaTheme="minorEastAsia" w:hAnsiTheme="minorHAnsi"/>
          <w:noProof/>
          <w:color w:val="auto"/>
          <w:sz w:val="24"/>
        </w:rPr>
      </w:pPr>
      <w:hyperlink w:anchor="_Toc236929599" w:history="1">
        <w:r w:rsidRPr="00FB14AE">
          <w:rPr>
            <w:rStyle w:val="Hyperlink"/>
            <w:noProof/>
          </w:rPr>
          <w:t>10.2 The Council</w:t>
        </w:r>
        <w:r>
          <w:rPr>
            <w:noProof/>
            <w:webHidden/>
          </w:rPr>
          <w:tab/>
        </w:r>
        <w:r>
          <w:rPr>
            <w:noProof/>
            <w:webHidden/>
          </w:rPr>
          <w:fldChar w:fldCharType="begin"/>
        </w:r>
        <w:r>
          <w:rPr>
            <w:noProof/>
            <w:webHidden/>
          </w:rPr>
          <w:instrText xml:space="preserve"> PAGEREF _Toc236929599 \h </w:instrText>
        </w:r>
        <w:r>
          <w:rPr>
            <w:noProof/>
            <w:webHidden/>
          </w:rPr>
        </w:r>
        <w:r>
          <w:rPr>
            <w:noProof/>
            <w:webHidden/>
          </w:rPr>
          <w:fldChar w:fldCharType="separate"/>
        </w:r>
        <w:r>
          <w:rPr>
            <w:noProof/>
            <w:webHidden/>
          </w:rPr>
          <w:t>38</w:t>
        </w:r>
        <w:r>
          <w:rPr>
            <w:noProof/>
            <w:webHidden/>
          </w:rPr>
          <w:fldChar w:fldCharType="end"/>
        </w:r>
      </w:hyperlink>
    </w:p>
    <w:p w14:paraId="7C1FAD8A" w14:textId="757E5C69" w:rsidR="0094228B" w:rsidRDefault="0094228B">
      <w:pPr>
        <w:pStyle w:val="TOC2"/>
        <w:rPr>
          <w:rFonts w:asciiTheme="minorHAnsi" w:eastAsiaTheme="minorEastAsia" w:hAnsiTheme="minorHAnsi"/>
          <w:noProof/>
          <w:color w:val="auto"/>
          <w:sz w:val="24"/>
        </w:rPr>
      </w:pPr>
      <w:hyperlink w:anchor="_Toc236929600" w:history="1">
        <w:r w:rsidRPr="00FB14AE">
          <w:rPr>
            <w:rStyle w:val="Hyperlink"/>
            <w:noProof/>
          </w:rPr>
          <w:t>10.3 The Secretariat</w:t>
        </w:r>
        <w:r>
          <w:rPr>
            <w:noProof/>
            <w:webHidden/>
          </w:rPr>
          <w:tab/>
        </w:r>
        <w:r>
          <w:rPr>
            <w:noProof/>
            <w:webHidden/>
          </w:rPr>
          <w:fldChar w:fldCharType="begin"/>
        </w:r>
        <w:r>
          <w:rPr>
            <w:noProof/>
            <w:webHidden/>
          </w:rPr>
          <w:instrText xml:space="preserve"> PAGEREF _Toc236929600 \h </w:instrText>
        </w:r>
        <w:r>
          <w:rPr>
            <w:noProof/>
            <w:webHidden/>
          </w:rPr>
        </w:r>
        <w:r>
          <w:rPr>
            <w:noProof/>
            <w:webHidden/>
          </w:rPr>
          <w:fldChar w:fldCharType="separate"/>
        </w:r>
        <w:r>
          <w:rPr>
            <w:noProof/>
            <w:webHidden/>
          </w:rPr>
          <w:t>38</w:t>
        </w:r>
        <w:r>
          <w:rPr>
            <w:noProof/>
            <w:webHidden/>
          </w:rPr>
          <w:fldChar w:fldCharType="end"/>
        </w:r>
      </w:hyperlink>
    </w:p>
    <w:p w14:paraId="66518503" w14:textId="66CE2D7E" w:rsidR="0094228B" w:rsidRDefault="0094228B">
      <w:pPr>
        <w:pStyle w:val="TOC2"/>
        <w:rPr>
          <w:rFonts w:asciiTheme="minorHAnsi" w:eastAsiaTheme="minorEastAsia" w:hAnsiTheme="minorHAnsi"/>
          <w:noProof/>
          <w:color w:val="auto"/>
          <w:sz w:val="24"/>
        </w:rPr>
      </w:pPr>
      <w:hyperlink w:anchor="_Toc236929601" w:history="1">
        <w:r w:rsidRPr="00FB14AE">
          <w:rPr>
            <w:rStyle w:val="Hyperlink"/>
            <w:noProof/>
          </w:rPr>
          <w:t>10.4 Budget and Finance</w:t>
        </w:r>
        <w:r>
          <w:rPr>
            <w:noProof/>
            <w:webHidden/>
          </w:rPr>
          <w:tab/>
        </w:r>
        <w:r>
          <w:rPr>
            <w:noProof/>
            <w:webHidden/>
          </w:rPr>
          <w:fldChar w:fldCharType="begin"/>
        </w:r>
        <w:r>
          <w:rPr>
            <w:noProof/>
            <w:webHidden/>
          </w:rPr>
          <w:instrText xml:space="preserve"> PAGEREF _Toc236929601 \h </w:instrText>
        </w:r>
        <w:r>
          <w:rPr>
            <w:noProof/>
            <w:webHidden/>
          </w:rPr>
        </w:r>
        <w:r>
          <w:rPr>
            <w:noProof/>
            <w:webHidden/>
          </w:rPr>
          <w:fldChar w:fldCharType="separate"/>
        </w:r>
        <w:r>
          <w:rPr>
            <w:noProof/>
            <w:webHidden/>
          </w:rPr>
          <w:t>39</w:t>
        </w:r>
        <w:r>
          <w:rPr>
            <w:noProof/>
            <w:webHidden/>
          </w:rPr>
          <w:fldChar w:fldCharType="end"/>
        </w:r>
      </w:hyperlink>
    </w:p>
    <w:p w14:paraId="6068A3EC" w14:textId="2DA73B49" w:rsidR="0094228B" w:rsidRDefault="0094228B">
      <w:pPr>
        <w:pStyle w:val="TOC1"/>
        <w:rPr>
          <w:rFonts w:asciiTheme="minorHAnsi" w:eastAsiaTheme="minorEastAsia" w:hAnsiTheme="minorHAnsi"/>
          <w:b w:val="0"/>
          <w:noProof/>
          <w:color w:val="auto"/>
          <w:sz w:val="24"/>
        </w:rPr>
      </w:pPr>
      <w:hyperlink w:anchor="_Toc236929602" w:history="1">
        <w:r w:rsidRPr="00FB14AE">
          <w:rPr>
            <w:rStyle w:val="Hyperlink"/>
            <w:noProof/>
          </w:rPr>
          <w:t>Article 11: The Muscat Fusion Center and the Bandar Abbas Mirror</w:t>
        </w:r>
        <w:r>
          <w:rPr>
            <w:noProof/>
            <w:webHidden/>
          </w:rPr>
          <w:tab/>
        </w:r>
        <w:r>
          <w:rPr>
            <w:noProof/>
            <w:webHidden/>
          </w:rPr>
          <w:fldChar w:fldCharType="begin"/>
        </w:r>
        <w:r>
          <w:rPr>
            <w:noProof/>
            <w:webHidden/>
          </w:rPr>
          <w:instrText xml:space="preserve"> PAGEREF _Toc236929602 \h </w:instrText>
        </w:r>
        <w:r>
          <w:rPr>
            <w:noProof/>
            <w:webHidden/>
          </w:rPr>
        </w:r>
        <w:r>
          <w:rPr>
            <w:noProof/>
            <w:webHidden/>
          </w:rPr>
          <w:fldChar w:fldCharType="separate"/>
        </w:r>
        <w:r>
          <w:rPr>
            <w:noProof/>
            <w:webHidden/>
          </w:rPr>
          <w:t>40</w:t>
        </w:r>
        <w:r>
          <w:rPr>
            <w:noProof/>
            <w:webHidden/>
          </w:rPr>
          <w:fldChar w:fldCharType="end"/>
        </w:r>
      </w:hyperlink>
    </w:p>
    <w:p w14:paraId="29657ACA" w14:textId="4D7ABCE5" w:rsidR="0094228B" w:rsidRDefault="0094228B">
      <w:pPr>
        <w:pStyle w:val="TOC2"/>
        <w:rPr>
          <w:rFonts w:asciiTheme="minorHAnsi" w:eastAsiaTheme="minorEastAsia" w:hAnsiTheme="minorHAnsi"/>
          <w:noProof/>
          <w:color w:val="auto"/>
          <w:sz w:val="24"/>
        </w:rPr>
      </w:pPr>
      <w:hyperlink w:anchor="_Toc236929603" w:history="1">
        <w:r w:rsidRPr="00FB14AE">
          <w:rPr>
            <w:rStyle w:val="Hyperlink"/>
            <w:noProof/>
          </w:rPr>
          <w:t>11.1 One Picture, Two Buildings</w:t>
        </w:r>
        <w:r>
          <w:rPr>
            <w:noProof/>
            <w:webHidden/>
          </w:rPr>
          <w:tab/>
        </w:r>
        <w:r>
          <w:rPr>
            <w:noProof/>
            <w:webHidden/>
          </w:rPr>
          <w:fldChar w:fldCharType="begin"/>
        </w:r>
        <w:r>
          <w:rPr>
            <w:noProof/>
            <w:webHidden/>
          </w:rPr>
          <w:instrText xml:space="preserve"> PAGEREF _Toc236929603 \h </w:instrText>
        </w:r>
        <w:r>
          <w:rPr>
            <w:noProof/>
            <w:webHidden/>
          </w:rPr>
        </w:r>
        <w:r>
          <w:rPr>
            <w:noProof/>
            <w:webHidden/>
          </w:rPr>
          <w:fldChar w:fldCharType="separate"/>
        </w:r>
        <w:r>
          <w:rPr>
            <w:noProof/>
            <w:webHidden/>
          </w:rPr>
          <w:t>40</w:t>
        </w:r>
        <w:r>
          <w:rPr>
            <w:noProof/>
            <w:webHidden/>
          </w:rPr>
          <w:fldChar w:fldCharType="end"/>
        </w:r>
      </w:hyperlink>
    </w:p>
    <w:p w14:paraId="352459FF" w14:textId="35513653" w:rsidR="0094228B" w:rsidRDefault="0094228B">
      <w:pPr>
        <w:pStyle w:val="TOC2"/>
        <w:rPr>
          <w:rFonts w:asciiTheme="minorHAnsi" w:eastAsiaTheme="minorEastAsia" w:hAnsiTheme="minorHAnsi"/>
          <w:noProof/>
          <w:color w:val="auto"/>
          <w:sz w:val="24"/>
        </w:rPr>
      </w:pPr>
      <w:hyperlink w:anchor="_Toc236929604" w:history="1">
        <w:r w:rsidRPr="00FB14AE">
          <w:rPr>
            <w:rStyle w:val="Hyperlink"/>
            <w:noProof/>
          </w:rPr>
          <w:t>11.2 Observer Access</w:t>
        </w:r>
        <w:r>
          <w:rPr>
            <w:noProof/>
            <w:webHidden/>
          </w:rPr>
          <w:tab/>
        </w:r>
        <w:r>
          <w:rPr>
            <w:noProof/>
            <w:webHidden/>
          </w:rPr>
          <w:fldChar w:fldCharType="begin"/>
        </w:r>
        <w:r>
          <w:rPr>
            <w:noProof/>
            <w:webHidden/>
          </w:rPr>
          <w:instrText xml:space="preserve"> PAGEREF _Toc236929604 \h </w:instrText>
        </w:r>
        <w:r>
          <w:rPr>
            <w:noProof/>
            <w:webHidden/>
          </w:rPr>
        </w:r>
        <w:r>
          <w:rPr>
            <w:noProof/>
            <w:webHidden/>
          </w:rPr>
          <w:fldChar w:fldCharType="separate"/>
        </w:r>
        <w:r>
          <w:rPr>
            <w:noProof/>
            <w:webHidden/>
          </w:rPr>
          <w:t>40</w:t>
        </w:r>
        <w:r>
          <w:rPr>
            <w:noProof/>
            <w:webHidden/>
          </w:rPr>
          <w:fldChar w:fldCharType="end"/>
        </w:r>
      </w:hyperlink>
    </w:p>
    <w:p w14:paraId="4E9D5178" w14:textId="4E419F4F" w:rsidR="0094228B" w:rsidRDefault="0094228B">
      <w:pPr>
        <w:pStyle w:val="TOC2"/>
        <w:rPr>
          <w:rFonts w:asciiTheme="minorHAnsi" w:eastAsiaTheme="minorEastAsia" w:hAnsiTheme="minorHAnsi"/>
          <w:noProof/>
          <w:color w:val="auto"/>
          <w:sz w:val="24"/>
        </w:rPr>
      </w:pPr>
      <w:hyperlink w:anchor="_Toc236929605" w:history="1">
        <w:r w:rsidRPr="00FB14AE">
          <w:rPr>
            <w:rStyle w:val="Hyperlink"/>
            <w:noProof/>
          </w:rPr>
          <w:t>11.3 The Public Layer</w:t>
        </w:r>
        <w:r>
          <w:rPr>
            <w:noProof/>
            <w:webHidden/>
          </w:rPr>
          <w:tab/>
        </w:r>
        <w:r>
          <w:rPr>
            <w:noProof/>
            <w:webHidden/>
          </w:rPr>
          <w:fldChar w:fldCharType="begin"/>
        </w:r>
        <w:r>
          <w:rPr>
            <w:noProof/>
            <w:webHidden/>
          </w:rPr>
          <w:instrText xml:space="preserve"> PAGEREF _Toc236929605 \h </w:instrText>
        </w:r>
        <w:r>
          <w:rPr>
            <w:noProof/>
            <w:webHidden/>
          </w:rPr>
        </w:r>
        <w:r>
          <w:rPr>
            <w:noProof/>
            <w:webHidden/>
          </w:rPr>
          <w:fldChar w:fldCharType="separate"/>
        </w:r>
        <w:r>
          <w:rPr>
            <w:noProof/>
            <w:webHidden/>
          </w:rPr>
          <w:t>40</w:t>
        </w:r>
        <w:r>
          <w:rPr>
            <w:noProof/>
            <w:webHidden/>
          </w:rPr>
          <w:fldChar w:fldCharType="end"/>
        </w:r>
      </w:hyperlink>
    </w:p>
    <w:p w14:paraId="044B4D87" w14:textId="2386B6C5" w:rsidR="0094228B" w:rsidRDefault="0094228B">
      <w:pPr>
        <w:pStyle w:val="TOC1"/>
        <w:rPr>
          <w:rFonts w:asciiTheme="minorHAnsi" w:eastAsiaTheme="minorEastAsia" w:hAnsiTheme="minorHAnsi"/>
          <w:b w:val="0"/>
          <w:noProof/>
          <w:color w:val="auto"/>
          <w:sz w:val="24"/>
        </w:rPr>
      </w:pPr>
      <w:hyperlink w:anchor="_Toc236929606" w:history="1">
        <w:r w:rsidRPr="00FB14AE">
          <w:rPr>
            <w:rStyle w:val="Hyperlink"/>
            <w:noProof/>
          </w:rPr>
          <w:t>Article 12: Dispute Resolution and the Muscat Tribunal</w:t>
        </w:r>
        <w:r>
          <w:rPr>
            <w:noProof/>
            <w:webHidden/>
          </w:rPr>
          <w:tab/>
        </w:r>
        <w:r>
          <w:rPr>
            <w:noProof/>
            <w:webHidden/>
          </w:rPr>
          <w:fldChar w:fldCharType="begin"/>
        </w:r>
        <w:r>
          <w:rPr>
            <w:noProof/>
            <w:webHidden/>
          </w:rPr>
          <w:instrText xml:space="preserve"> PAGEREF _Toc236929606 \h </w:instrText>
        </w:r>
        <w:r>
          <w:rPr>
            <w:noProof/>
            <w:webHidden/>
          </w:rPr>
        </w:r>
        <w:r>
          <w:rPr>
            <w:noProof/>
            <w:webHidden/>
          </w:rPr>
          <w:fldChar w:fldCharType="separate"/>
        </w:r>
        <w:r>
          <w:rPr>
            <w:noProof/>
            <w:webHidden/>
          </w:rPr>
          <w:t>42</w:t>
        </w:r>
        <w:r>
          <w:rPr>
            <w:noProof/>
            <w:webHidden/>
          </w:rPr>
          <w:fldChar w:fldCharType="end"/>
        </w:r>
      </w:hyperlink>
    </w:p>
    <w:p w14:paraId="57E9DADB" w14:textId="64D52670" w:rsidR="0094228B" w:rsidRDefault="0094228B">
      <w:pPr>
        <w:pStyle w:val="TOC2"/>
        <w:rPr>
          <w:rFonts w:asciiTheme="minorHAnsi" w:eastAsiaTheme="minorEastAsia" w:hAnsiTheme="minorHAnsi"/>
          <w:noProof/>
          <w:color w:val="auto"/>
          <w:sz w:val="24"/>
        </w:rPr>
      </w:pPr>
      <w:hyperlink w:anchor="_Toc236929607" w:history="1">
        <w:r w:rsidRPr="00FB14AE">
          <w:rPr>
            <w:rStyle w:val="Hyperlink"/>
            <w:noProof/>
          </w:rPr>
          <w:t>12.1 The Three Lanes</w:t>
        </w:r>
        <w:r>
          <w:rPr>
            <w:noProof/>
            <w:webHidden/>
          </w:rPr>
          <w:tab/>
        </w:r>
        <w:r>
          <w:rPr>
            <w:noProof/>
            <w:webHidden/>
          </w:rPr>
          <w:fldChar w:fldCharType="begin"/>
        </w:r>
        <w:r>
          <w:rPr>
            <w:noProof/>
            <w:webHidden/>
          </w:rPr>
          <w:instrText xml:space="preserve"> PAGEREF _Toc236929607 \h </w:instrText>
        </w:r>
        <w:r>
          <w:rPr>
            <w:noProof/>
            <w:webHidden/>
          </w:rPr>
        </w:r>
        <w:r>
          <w:rPr>
            <w:noProof/>
            <w:webHidden/>
          </w:rPr>
          <w:fldChar w:fldCharType="separate"/>
        </w:r>
        <w:r>
          <w:rPr>
            <w:noProof/>
            <w:webHidden/>
          </w:rPr>
          <w:t>42</w:t>
        </w:r>
        <w:r>
          <w:rPr>
            <w:noProof/>
            <w:webHidden/>
          </w:rPr>
          <w:fldChar w:fldCharType="end"/>
        </w:r>
      </w:hyperlink>
    </w:p>
    <w:p w14:paraId="417DE0D8" w14:textId="3EC9C32A" w:rsidR="0094228B" w:rsidRDefault="0094228B">
      <w:pPr>
        <w:pStyle w:val="TOC2"/>
        <w:rPr>
          <w:rFonts w:asciiTheme="minorHAnsi" w:eastAsiaTheme="minorEastAsia" w:hAnsiTheme="minorHAnsi"/>
          <w:noProof/>
          <w:color w:val="auto"/>
          <w:sz w:val="24"/>
        </w:rPr>
      </w:pPr>
      <w:hyperlink w:anchor="_Toc236929608" w:history="1">
        <w:r w:rsidRPr="00FB14AE">
          <w:rPr>
            <w:rStyle w:val="Hyperlink"/>
            <w:noProof/>
          </w:rPr>
          <w:t>12.2 The Technical Panel</w:t>
        </w:r>
        <w:r>
          <w:rPr>
            <w:noProof/>
            <w:webHidden/>
          </w:rPr>
          <w:tab/>
        </w:r>
        <w:r>
          <w:rPr>
            <w:noProof/>
            <w:webHidden/>
          </w:rPr>
          <w:fldChar w:fldCharType="begin"/>
        </w:r>
        <w:r>
          <w:rPr>
            <w:noProof/>
            <w:webHidden/>
          </w:rPr>
          <w:instrText xml:space="preserve"> PAGEREF _Toc236929608 \h </w:instrText>
        </w:r>
        <w:r>
          <w:rPr>
            <w:noProof/>
            <w:webHidden/>
          </w:rPr>
        </w:r>
        <w:r>
          <w:rPr>
            <w:noProof/>
            <w:webHidden/>
          </w:rPr>
          <w:fldChar w:fldCharType="separate"/>
        </w:r>
        <w:r>
          <w:rPr>
            <w:noProof/>
            <w:webHidden/>
          </w:rPr>
          <w:t>42</w:t>
        </w:r>
        <w:r>
          <w:rPr>
            <w:noProof/>
            <w:webHidden/>
          </w:rPr>
          <w:fldChar w:fldCharType="end"/>
        </w:r>
      </w:hyperlink>
    </w:p>
    <w:p w14:paraId="15279DC8" w14:textId="06E6FCA1" w:rsidR="0094228B" w:rsidRDefault="0094228B">
      <w:pPr>
        <w:pStyle w:val="TOC2"/>
        <w:rPr>
          <w:rFonts w:asciiTheme="minorHAnsi" w:eastAsiaTheme="minorEastAsia" w:hAnsiTheme="minorHAnsi"/>
          <w:noProof/>
          <w:color w:val="auto"/>
          <w:sz w:val="24"/>
        </w:rPr>
      </w:pPr>
      <w:hyperlink w:anchor="_Toc236929609" w:history="1">
        <w:r w:rsidRPr="00FB14AE">
          <w:rPr>
            <w:rStyle w:val="Hyperlink"/>
            <w:noProof/>
          </w:rPr>
          <w:t>12.3 The Muscat Tribunal</w:t>
        </w:r>
        <w:r>
          <w:rPr>
            <w:noProof/>
            <w:webHidden/>
          </w:rPr>
          <w:tab/>
        </w:r>
        <w:r>
          <w:rPr>
            <w:noProof/>
            <w:webHidden/>
          </w:rPr>
          <w:fldChar w:fldCharType="begin"/>
        </w:r>
        <w:r>
          <w:rPr>
            <w:noProof/>
            <w:webHidden/>
          </w:rPr>
          <w:instrText xml:space="preserve"> PAGEREF _Toc236929609 \h </w:instrText>
        </w:r>
        <w:r>
          <w:rPr>
            <w:noProof/>
            <w:webHidden/>
          </w:rPr>
        </w:r>
        <w:r>
          <w:rPr>
            <w:noProof/>
            <w:webHidden/>
          </w:rPr>
          <w:fldChar w:fldCharType="separate"/>
        </w:r>
        <w:r>
          <w:rPr>
            <w:noProof/>
            <w:webHidden/>
          </w:rPr>
          <w:t>42</w:t>
        </w:r>
        <w:r>
          <w:rPr>
            <w:noProof/>
            <w:webHidden/>
          </w:rPr>
          <w:fldChar w:fldCharType="end"/>
        </w:r>
      </w:hyperlink>
    </w:p>
    <w:p w14:paraId="2BDCB6EF" w14:textId="659D004A" w:rsidR="0094228B" w:rsidRDefault="0094228B">
      <w:pPr>
        <w:pStyle w:val="TOC2"/>
        <w:rPr>
          <w:rFonts w:asciiTheme="minorHAnsi" w:eastAsiaTheme="minorEastAsia" w:hAnsiTheme="minorHAnsi"/>
          <w:noProof/>
          <w:color w:val="auto"/>
          <w:sz w:val="24"/>
        </w:rPr>
      </w:pPr>
      <w:hyperlink w:anchor="_Toc236929610" w:history="1">
        <w:r w:rsidRPr="00FB14AE">
          <w:rPr>
            <w:rStyle w:val="Hyperlink"/>
            <w:noProof/>
          </w:rPr>
          <w:t>12.4 Claims of the Industry</w:t>
        </w:r>
        <w:r>
          <w:rPr>
            <w:noProof/>
            <w:webHidden/>
          </w:rPr>
          <w:tab/>
        </w:r>
        <w:r>
          <w:rPr>
            <w:noProof/>
            <w:webHidden/>
          </w:rPr>
          <w:fldChar w:fldCharType="begin"/>
        </w:r>
        <w:r>
          <w:rPr>
            <w:noProof/>
            <w:webHidden/>
          </w:rPr>
          <w:instrText xml:space="preserve"> PAGEREF _Toc236929610 \h </w:instrText>
        </w:r>
        <w:r>
          <w:rPr>
            <w:noProof/>
            <w:webHidden/>
          </w:rPr>
        </w:r>
        <w:r>
          <w:rPr>
            <w:noProof/>
            <w:webHidden/>
          </w:rPr>
          <w:fldChar w:fldCharType="separate"/>
        </w:r>
        <w:r>
          <w:rPr>
            <w:noProof/>
            <w:webHidden/>
          </w:rPr>
          <w:t>43</w:t>
        </w:r>
        <w:r>
          <w:rPr>
            <w:noProof/>
            <w:webHidden/>
          </w:rPr>
          <w:fldChar w:fldCharType="end"/>
        </w:r>
      </w:hyperlink>
    </w:p>
    <w:p w14:paraId="4D62A7EB" w14:textId="34DBF70E" w:rsidR="0094228B" w:rsidRDefault="0094228B">
      <w:pPr>
        <w:pStyle w:val="TOC1"/>
        <w:rPr>
          <w:rFonts w:asciiTheme="minorHAnsi" w:eastAsiaTheme="minorEastAsia" w:hAnsiTheme="minorHAnsi"/>
          <w:b w:val="0"/>
          <w:noProof/>
          <w:color w:val="auto"/>
          <w:sz w:val="24"/>
        </w:rPr>
      </w:pPr>
      <w:hyperlink w:anchor="_Toc236929611" w:history="1">
        <w:r w:rsidRPr="00FB14AE">
          <w:rPr>
            <w:rStyle w:val="Hyperlink"/>
            <w:noProof/>
          </w:rPr>
          <w:t>Part IV: Verification and Compliance</w:t>
        </w:r>
        <w:r>
          <w:rPr>
            <w:noProof/>
            <w:webHidden/>
          </w:rPr>
          <w:tab/>
        </w:r>
        <w:r>
          <w:rPr>
            <w:noProof/>
            <w:webHidden/>
          </w:rPr>
          <w:fldChar w:fldCharType="begin"/>
        </w:r>
        <w:r>
          <w:rPr>
            <w:noProof/>
            <w:webHidden/>
          </w:rPr>
          <w:instrText xml:space="preserve"> PAGEREF _Toc236929611 \h </w:instrText>
        </w:r>
        <w:r>
          <w:rPr>
            <w:noProof/>
            <w:webHidden/>
          </w:rPr>
        </w:r>
        <w:r>
          <w:rPr>
            <w:noProof/>
            <w:webHidden/>
          </w:rPr>
          <w:fldChar w:fldCharType="separate"/>
        </w:r>
        <w:r>
          <w:rPr>
            <w:noProof/>
            <w:webHidden/>
          </w:rPr>
          <w:t>44</w:t>
        </w:r>
        <w:r>
          <w:rPr>
            <w:noProof/>
            <w:webHidden/>
          </w:rPr>
          <w:fldChar w:fldCharType="end"/>
        </w:r>
      </w:hyperlink>
    </w:p>
    <w:p w14:paraId="5CD0CBF2" w14:textId="57F03F61" w:rsidR="0094228B" w:rsidRDefault="0094228B">
      <w:pPr>
        <w:pStyle w:val="TOC1"/>
        <w:rPr>
          <w:rFonts w:asciiTheme="minorHAnsi" w:eastAsiaTheme="minorEastAsia" w:hAnsiTheme="minorHAnsi"/>
          <w:b w:val="0"/>
          <w:noProof/>
          <w:color w:val="auto"/>
          <w:sz w:val="24"/>
        </w:rPr>
      </w:pPr>
      <w:hyperlink w:anchor="_Toc236929612" w:history="1">
        <w:r w:rsidRPr="00FB14AE">
          <w:rPr>
            <w:rStyle w:val="Hyperlink"/>
            <w:noProof/>
          </w:rPr>
          <w:t>Article 13: The Cothrom-Payedar Verification Method</w:t>
        </w:r>
        <w:r>
          <w:rPr>
            <w:noProof/>
            <w:webHidden/>
          </w:rPr>
          <w:tab/>
        </w:r>
        <w:r>
          <w:rPr>
            <w:noProof/>
            <w:webHidden/>
          </w:rPr>
          <w:fldChar w:fldCharType="begin"/>
        </w:r>
        <w:r>
          <w:rPr>
            <w:noProof/>
            <w:webHidden/>
          </w:rPr>
          <w:instrText xml:space="preserve"> PAGEREF _Toc236929612 \h </w:instrText>
        </w:r>
        <w:r>
          <w:rPr>
            <w:noProof/>
            <w:webHidden/>
          </w:rPr>
        </w:r>
        <w:r>
          <w:rPr>
            <w:noProof/>
            <w:webHidden/>
          </w:rPr>
          <w:fldChar w:fldCharType="separate"/>
        </w:r>
        <w:r>
          <w:rPr>
            <w:noProof/>
            <w:webHidden/>
          </w:rPr>
          <w:t>45</w:t>
        </w:r>
        <w:r>
          <w:rPr>
            <w:noProof/>
            <w:webHidden/>
          </w:rPr>
          <w:fldChar w:fldCharType="end"/>
        </w:r>
      </w:hyperlink>
    </w:p>
    <w:p w14:paraId="512CDA21" w14:textId="7109F13A" w:rsidR="0094228B" w:rsidRDefault="0094228B">
      <w:pPr>
        <w:pStyle w:val="TOC2"/>
        <w:rPr>
          <w:rFonts w:asciiTheme="minorHAnsi" w:eastAsiaTheme="minorEastAsia" w:hAnsiTheme="minorHAnsi"/>
          <w:noProof/>
          <w:color w:val="auto"/>
          <w:sz w:val="24"/>
        </w:rPr>
      </w:pPr>
      <w:hyperlink w:anchor="_Toc236929613" w:history="1">
        <w:r w:rsidRPr="00FB14AE">
          <w:rPr>
            <w:rStyle w:val="Hyperlink"/>
            <w:noProof/>
          </w:rPr>
          <w:t>13.1 The Principle of Balance</w:t>
        </w:r>
        <w:r>
          <w:rPr>
            <w:noProof/>
            <w:webHidden/>
          </w:rPr>
          <w:tab/>
        </w:r>
        <w:r>
          <w:rPr>
            <w:noProof/>
            <w:webHidden/>
          </w:rPr>
          <w:fldChar w:fldCharType="begin"/>
        </w:r>
        <w:r>
          <w:rPr>
            <w:noProof/>
            <w:webHidden/>
          </w:rPr>
          <w:instrText xml:space="preserve"> PAGEREF _Toc236929613 \h </w:instrText>
        </w:r>
        <w:r>
          <w:rPr>
            <w:noProof/>
            <w:webHidden/>
          </w:rPr>
        </w:r>
        <w:r>
          <w:rPr>
            <w:noProof/>
            <w:webHidden/>
          </w:rPr>
          <w:fldChar w:fldCharType="separate"/>
        </w:r>
        <w:r>
          <w:rPr>
            <w:noProof/>
            <w:webHidden/>
          </w:rPr>
          <w:t>45</w:t>
        </w:r>
        <w:r>
          <w:rPr>
            <w:noProof/>
            <w:webHidden/>
          </w:rPr>
          <w:fldChar w:fldCharType="end"/>
        </w:r>
      </w:hyperlink>
    </w:p>
    <w:p w14:paraId="40B90E50" w14:textId="0EAF6F90" w:rsidR="0094228B" w:rsidRDefault="0094228B">
      <w:pPr>
        <w:pStyle w:val="TOC2"/>
        <w:rPr>
          <w:rFonts w:asciiTheme="minorHAnsi" w:eastAsiaTheme="minorEastAsia" w:hAnsiTheme="minorHAnsi"/>
          <w:noProof/>
          <w:color w:val="auto"/>
          <w:sz w:val="24"/>
        </w:rPr>
      </w:pPr>
      <w:hyperlink w:anchor="_Toc236929614" w:history="1">
        <w:r w:rsidRPr="00FB14AE">
          <w:rPr>
            <w:rStyle w:val="Hyperlink"/>
            <w:noProof/>
          </w:rPr>
          <w:t>13.2 The Verification Chamber</w:t>
        </w:r>
        <w:r>
          <w:rPr>
            <w:noProof/>
            <w:webHidden/>
          </w:rPr>
          <w:tab/>
        </w:r>
        <w:r>
          <w:rPr>
            <w:noProof/>
            <w:webHidden/>
          </w:rPr>
          <w:fldChar w:fldCharType="begin"/>
        </w:r>
        <w:r>
          <w:rPr>
            <w:noProof/>
            <w:webHidden/>
          </w:rPr>
          <w:instrText xml:space="preserve"> PAGEREF _Toc236929614 \h </w:instrText>
        </w:r>
        <w:r>
          <w:rPr>
            <w:noProof/>
            <w:webHidden/>
          </w:rPr>
        </w:r>
        <w:r>
          <w:rPr>
            <w:noProof/>
            <w:webHidden/>
          </w:rPr>
          <w:fldChar w:fldCharType="separate"/>
        </w:r>
        <w:r>
          <w:rPr>
            <w:noProof/>
            <w:webHidden/>
          </w:rPr>
          <w:t>45</w:t>
        </w:r>
        <w:r>
          <w:rPr>
            <w:noProof/>
            <w:webHidden/>
          </w:rPr>
          <w:fldChar w:fldCharType="end"/>
        </w:r>
      </w:hyperlink>
    </w:p>
    <w:p w14:paraId="1666E33D" w14:textId="6B55A37E" w:rsidR="0094228B" w:rsidRDefault="0094228B">
      <w:pPr>
        <w:pStyle w:val="TOC2"/>
        <w:rPr>
          <w:rFonts w:asciiTheme="minorHAnsi" w:eastAsiaTheme="minorEastAsia" w:hAnsiTheme="minorHAnsi"/>
          <w:noProof/>
          <w:color w:val="auto"/>
          <w:sz w:val="24"/>
        </w:rPr>
      </w:pPr>
      <w:hyperlink w:anchor="_Toc236929615" w:history="1">
        <w:r w:rsidRPr="00FB14AE">
          <w:rPr>
            <w:rStyle w:val="Hyperlink"/>
            <w:noProof/>
          </w:rPr>
          <w:t>13.3 Adversarial Fairness</w:t>
        </w:r>
        <w:r>
          <w:rPr>
            <w:noProof/>
            <w:webHidden/>
          </w:rPr>
          <w:tab/>
        </w:r>
        <w:r>
          <w:rPr>
            <w:noProof/>
            <w:webHidden/>
          </w:rPr>
          <w:fldChar w:fldCharType="begin"/>
        </w:r>
        <w:r>
          <w:rPr>
            <w:noProof/>
            <w:webHidden/>
          </w:rPr>
          <w:instrText xml:space="preserve"> PAGEREF _Toc236929615 \h </w:instrText>
        </w:r>
        <w:r>
          <w:rPr>
            <w:noProof/>
            <w:webHidden/>
          </w:rPr>
        </w:r>
        <w:r>
          <w:rPr>
            <w:noProof/>
            <w:webHidden/>
          </w:rPr>
          <w:fldChar w:fldCharType="separate"/>
        </w:r>
        <w:r>
          <w:rPr>
            <w:noProof/>
            <w:webHidden/>
          </w:rPr>
          <w:t>46</w:t>
        </w:r>
        <w:r>
          <w:rPr>
            <w:noProof/>
            <w:webHidden/>
          </w:rPr>
          <w:fldChar w:fldCharType="end"/>
        </w:r>
      </w:hyperlink>
    </w:p>
    <w:p w14:paraId="04285C47" w14:textId="4A236A36" w:rsidR="0094228B" w:rsidRDefault="0094228B">
      <w:pPr>
        <w:pStyle w:val="TOC2"/>
        <w:rPr>
          <w:rFonts w:asciiTheme="minorHAnsi" w:eastAsiaTheme="minorEastAsia" w:hAnsiTheme="minorHAnsi"/>
          <w:noProof/>
          <w:color w:val="auto"/>
          <w:sz w:val="24"/>
        </w:rPr>
      </w:pPr>
      <w:hyperlink w:anchor="_Toc236929616" w:history="1">
        <w:r w:rsidRPr="00FB14AE">
          <w:rPr>
            <w:rStyle w:val="Hyperlink"/>
            <w:noProof/>
          </w:rPr>
          <w:t>13.4 Reciprocal Recovery</w:t>
        </w:r>
        <w:r>
          <w:rPr>
            <w:noProof/>
            <w:webHidden/>
          </w:rPr>
          <w:tab/>
        </w:r>
        <w:r>
          <w:rPr>
            <w:noProof/>
            <w:webHidden/>
          </w:rPr>
          <w:fldChar w:fldCharType="begin"/>
        </w:r>
        <w:r>
          <w:rPr>
            <w:noProof/>
            <w:webHidden/>
          </w:rPr>
          <w:instrText xml:space="preserve"> PAGEREF _Toc236929616 \h </w:instrText>
        </w:r>
        <w:r>
          <w:rPr>
            <w:noProof/>
            <w:webHidden/>
          </w:rPr>
        </w:r>
        <w:r>
          <w:rPr>
            <w:noProof/>
            <w:webHidden/>
          </w:rPr>
          <w:fldChar w:fldCharType="separate"/>
        </w:r>
        <w:r>
          <w:rPr>
            <w:noProof/>
            <w:webHidden/>
          </w:rPr>
          <w:t>46</w:t>
        </w:r>
        <w:r>
          <w:rPr>
            <w:noProof/>
            <w:webHidden/>
          </w:rPr>
          <w:fldChar w:fldCharType="end"/>
        </w:r>
      </w:hyperlink>
    </w:p>
    <w:p w14:paraId="1B68BD5A" w14:textId="7D2E9114" w:rsidR="0094228B" w:rsidRDefault="0094228B">
      <w:pPr>
        <w:pStyle w:val="TOC1"/>
        <w:rPr>
          <w:rFonts w:asciiTheme="minorHAnsi" w:eastAsiaTheme="minorEastAsia" w:hAnsiTheme="minorHAnsi"/>
          <w:b w:val="0"/>
          <w:noProof/>
          <w:color w:val="auto"/>
          <w:sz w:val="24"/>
        </w:rPr>
      </w:pPr>
      <w:hyperlink w:anchor="_Toc236929617" w:history="1">
        <w:r w:rsidRPr="00FB14AE">
          <w:rPr>
            <w:rStyle w:val="Hyperlink"/>
            <w:noProof/>
          </w:rPr>
          <w:t>Article 14: The Step-Back and Earn-Back Engine</w:t>
        </w:r>
        <w:r>
          <w:rPr>
            <w:noProof/>
            <w:webHidden/>
          </w:rPr>
          <w:tab/>
        </w:r>
        <w:r>
          <w:rPr>
            <w:noProof/>
            <w:webHidden/>
          </w:rPr>
          <w:fldChar w:fldCharType="begin"/>
        </w:r>
        <w:r>
          <w:rPr>
            <w:noProof/>
            <w:webHidden/>
          </w:rPr>
          <w:instrText xml:space="preserve"> PAGEREF _Toc236929617 \h </w:instrText>
        </w:r>
        <w:r>
          <w:rPr>
            <w:noProof/>
            <w:webHidden/>
          </w:rPr>
        </w:r>
        <w:r>
          <w:rPr>
            <w:noProof/>
            <w:webHidden/>
          </w:rPr>
          <w:fldChar w:fldCharType="separate"/>
        </w:r>
        <w:r>
          <w:rPr>
            <w:noProof/>
            <w:webHidden/>
          </w:rPr>
          <w:t>47</w:t>
        </w:r>
        <w:r>
          <w:rPr>
            <w:noProof/>
            <w:webHidden/>
          </w:rPr>
          <w:fldChar w:fldCharType="end"/>
        </w:r>
      </w:hyperlink>
    </w:p>
    <w:p w14:paraId="1C34E9F5" w14:textId="2A8D5C19" w:rsidR="0094228B" w:rsidRDefault="0094228B">
      <w:pPr>
        <w:pStyle w:val="TOC2"/>
        <w:rPr>
          <w:rFonts w:asciiTheme="minorHAnsi" w:eastAsiaTheme="minorEastAsia" w:hAnsiTheme="minorHAnsi"/>
          <w:noProof/>
          <w:color w:val="auto"/>
          <w:sz w:val="24"/>
        </w:rPr>
      </w:pPr>
      <w:hyperlink w:anchor="_Toc236929618" w:history="1">
        <w:r w:rsidRPr="00FB14AE">
          <w:rPr>
            <w:rStyle w:val="Hyperlink"/>
            <w:noProof/>
          </w:rPr>
          <w:t>14.1 The Three Tiers</w:t>
        </w:r>
        <w:r>
          <w:rPr>
            <w:noProof/>
            <w:webHidden/>
          </w:rPr>
          <w:tab/>
        </w:r>
        <w:r>
          <w:rPr>
            <w:noProof/>
            <w:webHidden/>
          </w:rPr>
          <w:fldChar w:fldCharType="begin"/>
        </w:r>
        <w:r>
          <w:rPr>
            <w:noProof/>
            <w:webHidden/>
          </w:rPr>
          <w:instrText xml:space="preserve"> PAGEREF _Toc236929618 \h </w:instrText>
        </w:r>
        <w:r>
          <w:rPr>
            <w:noProof/>
            <w:webHidden/>
          </w:rPr>
        </w:r>
        <w:r>
          <w:rPr>
            <w:noProof/>
            <w:webHidden/>
          </w:rPr>
          <w:fldChar w:fldCharType="separate"/>
        </w:r>
        <w:r>
          <w:rPr>
            <w:noProof/>
            <w:webHidden/>
          </w:rPr>
          <w:t>47</w:t>
        </w:r>
        <w:r>
          <w:rPr>
            <w:noProof/>
            <w:webHidden/>
          </w:rPr>
          <w:fldChar w:fldCharType="end"/>
        </w:r>
      </w:hyperlink>
    </w:p>
    <w:p w14:paraId="350021B0" w14:textId="4C9A527B" w:rsidR="0094228B" w:rsidRDefault="0094228B">
      <w:pPr>
        <w:pStyle w:val="TOC2"/>
        <w:rPr>
          <w:rFonts w:asciiTheme="minorHAnsi" w:eastAsiaTheme="minorEastAsia" w:hAnsiTheme="minorHAnsi"/>
          <w:noProof/>
          <w:color w:val="auto"/>
          <w:sz w:val="24"/>
        </w:rPr>
      </w:pPr>
      <w:hyperlink w:anchor="_Toc236929619" w:history="1">
        <w:r w:rsidRPr="00FB14AE">
          <w:rPr>
            <w:rStyle w:val="Hyperlink"/>
            <w:noProof/>
          </w:rPr>
          <w:t>14.2 The Order of Consequences</w:t>
        </w:r>
        <w:r>
          <w:rPr>
            <w:noProof/>
            <w:webHidden/>
          </w:rPr>
          <w:tab/>
        </w:r>
        <w:r>
          <w:rPr>
            <w:noProof/>
            <w:webHidden/>
          </w:rPr>
          <w:fldChar w:fldCharType="begin"/>
        </w:r>
        <w:r>
          <w:rPr>
            <w:noProof/>
            <w:webHidden/>
          </w:rPr>
          <w:instrText xml:space="preserve"> PAGEREF _Toc236929619 \h </w:instrText>
        </w:r>
        <w:r>
          <w:rPr>
            <w:noProof/>
            <w:webHidden/>
          </w:rPr>
        </w:r>
        <w:r>
          <w:rPr>
            <w:noProof/>
            <w:webHidden/>
          </w:rPr>
          <w:fldChar w:fldCharType="separate"/>
        </w:r>
        <w:r>
          <w:rPr>
            <w:noProof/>
            <w:webHidden/>
          </w:rPr>
          <w:t>47</w:t>
        </w:r>
        <w:r>
          <w:rPr>
            <w:noProof/>
            <w:webHidden/>
          </w:rPr>
          <w:fldChar w:fldCharType="end"/>
        </w:r>
      </w:hyperlink>
    </w:p>
    <w:p w14:paraId="611933ED" w14:textId="5C66AA67" w:rsidR="0094228B" w:rsidRDefault="0094228B">
      <w:pPr>
        <w:pStyle w:val="TOC2"/>
        <w:rPr>
          <w:rFonts w:asciiTheme="minorHAnsi" w:eastAsiaTheme="minorEastAsia" w:hAnsiTheme="minorHAnsi"/>
          <w:noProof/>
          <w:color w:val="auto"/>
          <w:sz w:val="24"/>
        </w:rPr>
      </w:pPr>
      <w:hyperlink w:anchor="_Toc236929620" w:history="1">
        <w:r w:rsidRPr="00FB14AE">
          <w:rPr>
            <w:rStyle w:val="Hyperlink"/>
            <w:noProof/>
          </w:rPr>
          <w:t>14.3 Earn-Back</w:t>
        </w:r>
        <w:r>
          <w:rPr>
            <w:noProof/>
            <w:webHidden/>
          </w:rPr>
          <w:tab/>
        </w:r>
        <w:r>
          <w:rPr>
            <w:noProof/>
            <w:webHidden/>
          </w:rPr>
          <w:fldChar w:fldCharType="begin"/>
        </w:r>
        <w:r>
          <w:rPr>
            <w:noProof/>
            <w:webHidden/>
          </w:rPr>
          <w:instrText xml:space="preserve"> PAGEREF _Toc236929620 \h </w:instrText>
        </w:r>
        <w:r>
          <w:rPr>
            <w:noProof/>
            <w:webHidden/>
          </w:rPr>
        </w:r>
        <w:r>
          <w:rPr>
            <w:noProof/>
            <w:webHidden/>
          </w:rPr>
          <w:fldChar w:fldCharType="separate"/>
        </w:r>
        <w:r>
          <w:rPr>
            <w:noProof/>
            <w:webHidden/>
          </w:rPr>
          <w:t>48</w:t>
        </w:r>
        <w:r>
          <w:rPr>
            <w:noProof/>
            <w:webHidden/>
          </w:rPr>
          <w:fldChar w:fldCharType="end"/>
        </w:r>
      </w:hyperlink>
    </w:p>
    <w:p w14:paraId="1EEA06E2" w14:textId="5595B18B" w:rsidR="0094228B" w:rsidRDefault="0094228B">
      <w:pPr>
        <w:pStyle w:val="TOC1"/>
        <w:rPr>
          <w:rFonts w:asciiTheme="minorHAnsi" w:eastAsiaTheme="minorEastAsia" w:hAnsiTheme="minorHAnsi"/>
          <w:b w:val="0"/>
          <w:noProof/>
          <w:color w:val="auto"/>
          <w:sz w:val="24"/>
        </w:rPr>
      </w:pPr>
      <w:hyperlink w:anchor="_Toc236929621" w:history="1">
        <w:r w:rsidRPr="00FB14AE">
          <w:rPr>
            <w:rStyle w:val="Hyperlink"/>
            <w:noProof/>
          </w:rPr>
          <w:t>Article 15: The Demerit Point System</w:t>
        </w:r>
        <w:r>
          <w:rPr>
            <w:noProof/>
            <w:webHidden/>
          </w:rPr>
          <w:tab/>
        </w:r>
        <w:r>
          <w:rPr>
            <w:noProof/>
            <w:webHidden/>
          </w:rPr>
          <w:fldChar w:fldCharType="begin"/>
        </w:r>
        <w:r>
          <w:rPr>
            <w:noProof/>
            <w:webHidden/>
          </w:rPr>
          <w:instrText xml:space="preserve"> PAGEREF _Toc236929621 \h </w:instrText>
        </w:r>
        <w:r>
          <w:rPr>
            <w:noProof/>
            <w:webHidden/>
          </w:rPr>
        </w:r>
        <w:r>
          <w:rPr>
            <w:noProof/>
            <w:webHidden/>
          </w:rPr>
          <w:fldChar w:fldCharType="separate"/>
        </w:r>
        <w:r>
          <w:rPr>
            <w:noProof/>
            <w:webHidden/>
          </w:rPr>
          <w:t>49</w:t>
        </w:r>
        <w:r>
          <w:rPr>
            <w:noProof/>
            <w:webHidden/>
          </w:rPr>
          <w:fldChar w:fldCharType="end"/>
        </w:r>
      </w:hyperlink>
    </w:p>
    <w:p w14:paraId="1316C247" w14:textId="3DBA88C2" w:rsidR="0094228B" w:rsidRDefault="0094228B">
      <w:pPr>
        <w:pStyle w:val="TOC2"/>
        <w:rPr>
          <w:rFonts w:asciiTheme="minorHAnsi" w:eastAsiaTheme="minorEastAsia" w:hAnsiTheme="minorHAnsi"/>
          <w:noProof/>
          <w:color w:val="auto"/>
          <w:sz w:val="24"/>
        </w:rPr>
      </w:pPr>
      <w:hyperlink w:anchor="_Toc236929622" w:history="1">
        <w:r w:rsidRPr="00FB14AE">
          <w:rPr>
            <w:rStyle w:val="Hyperlink"/>
            <w:noProof/>
          </w:rPr>
          <w:t>15.1 The Matrix</w:t>
        </w:r>
        <w:r>
          <w:rPr>
            <w:noProof/>
            <w:webHidden/>
          </w:rPr>
          <w:tab/>
        </w:r>
        <w:r>
          <w:rPr>
            <w:noProof/>
            <w:webHidden/>
          </w:rPr>
          <w:fldChar w:fldCharType="begin"/>
        </w:r>
        <w:r>
          <w:rPr>
            <w:noProof/>
            <w:webHidden/>
          </w:rPr>
          <w:instrText xml:space="preserve"> PAGEREF _Toc236929622 \h </w:instrText>
        </w:r>
        <w:r>
          <w:rPr>
            <w:noProof/>
            <w:webHidden/>
          </w:rPr>
        </w:r>
        <w:r>
          <w:rPr>
            <w:noProof/>
            <w:webHidden/>
          </w:rPr>
          <w:fldChar w:fldCharType="separate"/>
        </w:r>
        <w:r>
          <w:rPr>
            <w:noProof/>
            <w:webHidden/>
          </w:rPr>
          <w:t>49</w:t>
        </w:r>
        <w:r>
          <w:rPr>
            <w:noProof/>
            <w:webHidden/>
          </w:rPr>
          <w:fldChar w:fldCharType="end"/>
        </w:r>
      </w:hyperlink>
    </w:p>
    <w:p w14:paraId="6B27DDC8" w14:textId="54F11EDC" w:rsidR="0094228B" w:rsidRDefault="0094228B">
      <w:pPr>
        <w:pStyle w:val="TOC2"/>
        <w:rPr>
          <w:rFonts w:asciiTheme="minorHAnsi" w:eastAsiaTheme="minorEastAsia" w:hAnsiTheme="minorHAnsi"/>
          <w:noProof/>
          <w:color w:val="auto"/>
          <w:sz w:val="24"/>
        </w:rPr>
      </w:pPr>
      <w:hyperlink w:anchor="_Toc236929623" w:history="1">
        <w:r w:rsidRPr="00FB14AE">
          <w:rPr>
            <w:rStyle w:val="Hyperlink"/>
            <w:noProof/>
          </w:rPr>
          <w:t>15.2 The Escalation Thresholds</w:t>
        </w:r>
        <w:r>
          <w:rPr>
            <w:noProof/>
            <w:webHidden/>
          </w:rPr>
          <w:tab/>
        </w:r>
        <w:r>
          <w:rPr>
            <w:noProof/>
            <w:webHidden/>
          </w:rPr>
          <w:fldChar w:fldCharType="begin"/>
        </w:r>
        <w:r>
          <w:rPr>
            <w:noProof/>
            <w:webHidden/>
          </w:rPr>
          <w:instrText xml:space="preserve"> PAGEREF _Toc236929623 \h </w:instrText>
        </w:r>
        <w:r>
          <w:rPr>
            <w:noProof/>
            <w:webHidden/>
          </w:rPr>
        </w:r>
        <w:r>
          <w:rPr>
            <w:noProof/>
            <w:webHidden/>
          </w:rPr>
          <w:fldChar w:fldCharType="separate"/>
        </w:r>
        <w:r>
          <w:rPr>
            <w:noProof/>
            <w:webHidden/>
          </w:rPr>
          <w:t>49</w:t>
        </w:r>
        <w:r>
          <w:rPr>
            <w:noProof/>
            <w:webHidden/>
          </w:rPr>
          <w:fldChar w:fldCharType="end"/>
        </w:r>
      </w:hyperlink>
    </w:p>
    <w:p w14:paraId="73742023" w14:textId="6056ADF9" w:rsidR="0094228B" w:rsidRDefault="0094228B">
      <w:pPr>
        <w:pStyle w:val="TOC2"/>
        <w:rPr>
          <w:rFonts w:asciiTheme="minorHAnsi" w:eastAsiaTheme="minorEastAsia" w:hAnsiTheme="minorHAnsi"/>
          <w:noProof/>
          <w:color w:val="auto"/>
          <w:sz w:val="24"/>
        </w:rPr>
      </w:pPr>
      <w:hyperlink w:anchor="_Toc236929624" w:history="1">
        <w:r w:rsidRPr="00FB14AE">
          <w:rPr>
            <w:rStyle w:val="Hyperlink"/>
            <w:noProof/>
          </w:rPr>
          <w:t>15.3 The Challenge Right</w:t>
        </w:r>
        <w:r>
          <w:rPr>
            <w:noProof/>
            <w:webHidden/>
          </w:rPr>
          <w:tab/>
        </w:r>
        <w:r>
          <w:rPr>
            <w:noProof/>
            <w:webHidden/>
          </w:rPr>
          <w:fldChar w:fldCharType="begin"/>
        </w:r>
        <w:r>
          <w:rPr>
            <w:noProof/>
            <w:webHidden/>
          </w:rPr>
          <w:instrText xml:space="preserve"> PAGEREF _Toc236929624 \h </w:instrText>
        </w:r>
        <w:r>
          <w:rPr>
            <w:noProof/>
            <w:webHidden/>
          </w:rPr>
        </w:r>
        <w:r>
          <w:rPr>
            <w:noProof/>
            <w:webHidden/>
          </w:rPr>
          <w:fldChar w:fldCharType="separate"/>
        </w:r>
        <w:r>
          <w:rPr>
            <w:noProof/>
            <w:webHidden/>
          </w:rPr>
          <w:t>49</w:t>
        </w:r>
        <w:r>
          <w:rPr>
            <w:noProof/>
            <w:webHidden/>
          </w:rPr>
          <w:fldChar w:fldCharType="end"/>
        </w:r>
      </w:hyperlink>
    </w:p>
    <w:p w14:paraId="4901E0DD" w14:textId="25D82F50" w:rsidR="0094228B" w:rsidRDefault="0094228B">
      <w:pPr>
        <w:pStyle w:val="TOC1"/>
        <w:rPr>
          <w:rFonts w:asciiTheme="minorHAnsi" w:eastAsiaTheme="minorEastAsia" w:hAnsiTheme="minorHAnsi"/>
          <w:b w:val="0"/>
          <w:noProof/>
          <w:color w:val="auto"/>
          <w:sz w:val="24"/>
        </w:rPr>
      </w:pPr>
      <w:hyperlink w:anchor="_Toc236929625" w:history="1">
        <w:r w:rsidRPr="00FB14AE">
          <w:rPr>
            <w:rStyle w:val="Hyperlink"/>
            <w:noProof/>
          </w:rPr>
          <w:t>Article 16: The Zona Aequalis Emergency Architecture</w:t>
        </w:r>
        <w:r>
          <w:rPr>
            <w:noProof/>
            <w:webHidden/>
          </w:rPr>
          <w:tab/>
        </w:r>
        <w:r>
          <w:rPr>
            <w:noProof/>
            <w:webHidden/>
          </w:rPr>
          <w:fldChar w:fldCharType="begin"/>
        </w:r>
        <w:r>
          <w:rPr>
            <w:noProof/>
            <w:webHidden/>
          </w:rPr>
          <w:instrText xml:space="preserve"> PAGEREF _Toc236929625 \h </w:instrText>
        </w:r>
        <w:r>
          <w:rPr>
            <w:noProof/>
            <w:webHidden/>
          </w:rPr>
        </w:r>
        <w:r>
          <w:rPr>
            <w:noProof/>
            <w:webHidden/>
          </w:rPr>
          <w:fldChar w:fldCharType="separate"/>
        </w:r>
        <w:r>
          <w:rPr>
            <w:noProof/>
            <w:webHidden/>
          </w:rPr>
          <w:t>50</w:t>
        </w:r>
        <w:r>
          <w:rPr>
            <w:noProof/>
            <w:webHidden/>
          </w:rPr>
          <w:fldChar w:fldCharType="end"/>
        </w:r>
      </w:hyperlink>
    </w:p>
    <w:p w14:paraId="681C6BC1" w14:textId="05019940" w:rsidR="0094228B" w:rsidRDefault="0094228B">
      <w:pPr>
        <w:pStyle w:val="TOC2"/>
        <w:rPr>
          <w:rFonts w:asciiTheme="minorHAnsi" w:eastAsiaTheme="minorEastAsia" w:hAnsiTheme="minorHAnsi"/>
          <w:noProof/>
          <w:color w:val="auto"/>
          <w:sz w:val="24"/>
        </w:rPr>
      </w:pPr>
      <w:hyperlink w:anchor="_Toc236929626" w:history="1">
        <w:r w:rsidRPr="00FB14AE">
          <w:rPr>
            <w:rStyle w:val="Hyperlink"/>
            <w:noProof/>
          </w:rPr>
          <w:t>16.1 The Four Zones</w:t>
        </w:r>
        <w:r>
          <w:rPr>
            <w:noProof/>
            <w:webHidden/>
          </w:rPr>
          <w:tab/>
        </w:r>
        <w:r>
          <w:rPr>
            <w:noProof/>
            <w:webHidden/>
          </w:rPr>
          <w:fldChar w:fldCharType="begin"/>
        </w:r>
        <w:r>
          <w:rPr>
            <w:noProof/>
            <w:webHidden/>
          </w:rPr>
          <w:instrText xml:space="preserve"> PAGEREF _Toc236929626 \h </w:instrText>
        </w:r>
        <w:r>
          <w:rPr>
            <w:noProof/>
            <w:webHidden/>
          </w:rPr>
        </w:r>
        <w:r>
          <w:rPr>
            <w:noProof/>
            <w:webHidden/>
          </w:rPr>
          <w:fldChar w:fldCharType="separate"/>
        </w:r>
        <w:r>
          <w:rPr>
            <w:noProof/>
            <w:webHidden/>
          </w:rPr>
          <w:t>50</w:t>
        </w:r>
        <w:r>
          <w:rPr>
            <w:noProof/>
            <w:webHidden/>
          </w:rPr>
          <w:fldChar w:fldCharType="end"/>
        </w:r>
      </w:hyperlink>
    </w:p>
    <w:p w14:paraId="255EB36A" w14:textId="03A4BD8F" w:rsidR="0094228B" w:rsidRDefault="0094228B">
      <w:pPr>
        <w:pStyle w:val="TOC2"/>
        <w:rPr>
          <w:rFonts w:asciiTheme="minorHAnsi" w:eastAsiaTheme="minorEastAsia" w:hAnsiTheme="minorHAnsi"/>
          <w:noProof/>
          <w:color w:val="auto"/>
          <w:sz w:val="24"/>
        </w:rPr>
      </w:pPr>
      <w:hyperlink w:anchor="_Toc236929627" w:history="1">
        <w:r w:rsidRPr="00FB14AE">
          <w:rPr>
            <w:rStyle w:val="Hyperlink"/>
            <w:noProof/>
          </w:rPr>
          <w:t>16.2 Automaticity and Independent Confirmation</w:t>
        </w:r>
        <w:r>
          <w:rPr>
            <w:noProof/>
            <w:webHidden/>
          </w:rPr>
          <w:tab/>
        </w:r>
        <w:r>
          <w:rPr>
            <w:noProof/>
            <w:webHidden/>
          </w:rPr>
          <w:fldChar w:fldCharType="begin"/>
        </w:r>
        <w:r>
          <w:rPr>
            <w:noProof/>
            <w:webHidden/>
          </w:rPr>
          <w:instrText xml:space="preserve"> PAGEREF _Toc236929627 \h </w:instrText>
        </w:r>
        <w:r>
          <w:rPr>
            <w:noProof/>
            <w:webHidden/>
          </w:rPr>
        </w:r>
        <w:r>
          <w:rPr>
            <w:noProof/>
            <w:webHidden/>
          </w:rPr>
          <w:fldChar w:fldCharType="separate"/>
        </w:r>
        <w:r>
          <w:rPr>
            <w:noProof/>
            <w:webHidden/>
          </w:rPr>
          <w:t>50</w:t>
        </w:r>
        <w:r>
          <w:rPr>
            <w:noProof/>
            <w:webHidden/>
          </w:rPr>
          <w:fldChar w:fldCharType="end"/>
        </w:r>
      </w:hyperlink>
    </w:p>
    <w:p w14:paraId="3D15BD5A" w14:textId="04B25BA3" w:rsidR="0094228B" w:rsidRDefault="0094228B">
      <w:pPr>
        <w:pStyle w:val="TOC2"/>
        <w:rPr>
          <w:rFonts w:asciiTheme="minorHAnsi" w:eastAsiaTheme="minorEastAsia" w:hAnsiTheme="minorHAnsi"/>
          <w:noProof/>
          <w:color w:val="auto"/>
          <w:sz w:val="24"/>
        </w:rPr>
      </w:pPr>
      <w:hyperlink w:anchor="_Toc236929628" w:history="1">
        <w:r w:rsidRPr="00FB14AE">
          <w:rPr>
            <w:rStyle w:val="Hyperlink"/>
            <w:noProof/>
          </w:rPr>
          <w:t>16.3 Red Zone Measures</w:t>
        </w:r>
        <w:r>
          <w:rPr>
            <w:noProof/>
            <w:webHidden/>
          </w:rPr>
          <w:tab/>
        </w:r>
        <w:r>
          <w:rPr>
            <w:noProof/>
            <w:webHidden/>
          </w:rPr>
          <w:fldChar w:fldCharType="begin"/>
        </w:r>
        <w:r>
          <w:rPr>
            <w:noProof/>
            <w:webHidden/>
          </w:rPr>
          <w:instrText xml:space="preserve"> PAGEREF _Toc236929628 \h </w:instrText>
        </w:r>
        <w:r>
          <w:rPr>
            <w:noProof/>
            <w:webHidden/>
          </w:rPr>
        </w:r>
        <w:r>
          <w:rPr>
            <w:noProof/>
            <w:webHidden/>
          </w:rPr>
          <w:fldChar w:fldCharType="separate"/>
        </w:r>
        <w:r>
          <w:rPr>
            <w:noProof/>
            <w:webHidden/>
          </w:rPr>
          <w:t>50</w:t>
        </w:r>
        <w:r>
          <w:rPr>
            <w:noProof/>
            <w:webHidden/>
          </w:rPr>
          <w:fldChar w:fldCharType="end"/>
        </w:r>
      </w:hyperlink>
    </w:p>
    <w:p w14:paraId="060E095B" w14:textId="3E00DAF0" w:rsidR="0094228B" w:rsidRDefault="0094228B">
      <w:pPr>
        <w:pStyle w:val="TOC2"/>
        <w:rPr>
          <w:rFonts w:asciiTheme="minorHAnsi" w:eastAsiaTheme="minorEastAsia" w:hAnsiTheme="minorHAnsi"/>
          <w:noProof/>
          <w:color w:val="auto"/>
          <w:sz w:val="24"/>
        </w:rPr>
      </w:pPr>
      <w:hyperlink w:anchor="_Toc236929629" w:history="1">
        <w:r w:rsidRPr="00FB14AE">
          <w:rPr>
            <w:rStyle w:val="Hyperlink"/>
            <w:noProof/>
          </w:rPr>
          <w:t>16.4 The Charity Pool</w:t>
        </w:r>
        <w:r>
          <w:rPr>
            <w:noProof/>
            <w:webHidden/>
          </w:rPr>
          <w:tab/>
        </w:r>
        <w:r>
          <w:rPr>
            <w:noProof/>
            <w:webHidden/>
          </w:rPr>
          <w:fldChar w:fldCharType="begin"/>
        </w:r>
        <w:r>
          <w:rPr>
            <w:noProof/>
            <w:webHidden/>
          </w:rPr>
          <w:instrText xml:space="preserve"> PAGEREF _Toc236929629 \h </w:instrText>
        </w:r>
        <w:r>
          <w:rPr>
            <w:noProof/>
            <w:webHidden/>
          </w:rPr>
        </w:r>
        <w:r>
          <w:rPr>
            <w:noProof/>
            <w:webHidden/>
          </w:rPr>
          <w:fldChar w:fldCharType="separate"/>
        </w:r>
        <w:r>
          <w:rPr>
            <w:noProof/>
            <w:webHidden/>
          </w:rPr>
          <w:t>51</w:t>
        </w:r>
        <w:r>
          <w:rPr>
            <w:noProof/>
            <w:webHidden/>
          </w:rPr>
          <w:fldChar w:fldCharType="end"/>
        </w:r>
      </w:hyperlink>
    </w:p>
    <w:p w14:paraId="63898B7F" w14:textId="2E844B34" w:rsidR="0094228B" w:rsidRDefault="0094228B">
      <w:pPr>
        <w:pStyle w:val="TOC2"/>
        <w:rPr>
          <w:rFonts w:asciiTheme="minorHAnsi" w:eastAsiaTheme="minorEastAsia" w:hAnsiTheme="minorHAnsi"/>
          <w:noProof/>
          <w:color w:val="auto"/>
          <w:sz w:val="24"/>
        </w:rPr>
      </w:pPr>
      <w:hyperlink w:anchor="_Toc236929630" w:history="1">
        <w:r w:rsidRPr="00FB14AE">
          <w:rPr>
            <w:rStyle w:val="Hyperlink"/>
            <w:noProof/>
          </w:rPr>
          <w:t>16.5 The Three-Strike Earn-Back Ladder</w:t>
        </w:r>
        <w:r>
          <w:rPr>
            <w:noProof/>
            <w:webHidden/>
          </w:rPr>
          <w:tab/>
        </w:r>
        <w:r>
          <w:rPr>
            <w:noProof/>
            <w:webHidden/>
          </w:rPr>
          <w:fldChar w:fldCharType="begin"/>
        </w:r>
        <w:r>
          <w:rPr>
            <w:noProof/>
            <w:webHidden/>
          </w:rPr>
          <w:instrText xml:space="preserve"> PAGEREF _Toc236929630 \h </w:instrText>
        </w:r>
        <w:r>
          <w:rPr>
            <w:noProof/>
            <w:webHidden/>
          </w:rPr>
        </w:r>
        <w:r>
          <w:rPr>
            <w:noProof/>
            <w:webHidden/>
          </w:rPr>
          <w:fldChar w:fldCharType="separate"/>
        </w:r>
        <w:r>
          <w:rPr>
            <w:noProof/>
            <w:webHidden/>
          </w:rPr>
          <w:t>51</w:t>
        </w:r>
        <w:r>
          <w:rPr>
            <w:noProof/>
            <w:webHidden/>
          </w:rPr>
          <w:fldChar w:fldCharType="end"/>
        </w:r>
      </w:hyperlink>
    </w:p>
    <w:p w14:paraId="2EB9841E" w14:textId="23EE8045" w:rsidR="0094228B" w:rsidRDefault="0094228B">
      <w:pPr>
        <w:pStyle w:val="TOC1"/>
        <w:rPr>
          <w:rFonts w:asciiTheme="minorHAnsi" w:eastAsiaTheme="minorEastAsia" w:hAnsiTheme="minorHAnsi"/>
          <w:b w:val="0"/>
          <w:noProof/>
          <w:color w:val="auto"/>
          <w:sz w:val="24"/>
        </w:rPr>
      </w:pPr>
      <w:hyperlink w:anchor="_Toc236929631" w:history="1">
        <w:r w:rsidRPr="00FB14AE">
          <w:rPr>
            <w:rStyle w:val="Hyperlink"/>
            <w:noProof/>
          </w:rPr>
          <w:t>Part V: The Economic Architecture</w:t>
        </w:r>
        <w:r>
          <w:rPr>
            <w:noProof/>
            <w:webHidden/>
          </w:rPr>
          <w:tab/>
        </w:r>
        <w:r>
          <w:rPr>
            <w:noProof/>
            <w:webHidden/>
          </w:rPr>
          <w:fldChar w:fldCharType="begin"/>
        </w:r>
        <w:r>
          <w:rPr>
            <w:noProof/>
            <w:webHidden/>
          </w:rPr>
          <w:instrText xml:space="preserve"> PAGEREF _Toc236929631 \h </w:instrText>
        </w:r>
        <w:r>
          <w:rPr>
            <w:noProof/>
            <w:webHidden/>
          </w:rPr>
        </w:r>
        <w:r>
          <w:rPr>
            <w:noProof/>
            <w:webHidden/>
          </w:rPr>
          <w:fldChar w:fldCharType="separate"/>
        </w:r>
        <w:r>
          <w:rPr>
            <w:noProof/>
            <w:webHidden/>
          </w:rPr>
          <w:t>52</w:t>
        </w:r>
        <w:r>
          <w:rPr>
            <w:noProof/>
            <w:webHidden/>
          </w:rPr>
          <w:fldChar w:fldCharType="end"/>
        </w:r>
      </w:hyperlink>
    </w:p>
    <w:p w14:paraId="1E0E4BD7" w14:textId="2A1D7864" w:rsidR="0094228B" w:rsidRDefault="0094228B">
      <w:pPr>
        <w:pStyle w:val="TOC1"/>
        <w:rPr>
          <w:rFonts w:asciiTheme="minorHAnsi" w:eastAsiaTheme="minorEastAsia" w:hAnsiTheme="minorHAnsi"/>
          <w:b w:val="0"/>
          <w:noProof/>
          <w:color w:val="auto"/>
          <w:sz w:val="24"/>
        </w:rPr>
      </w:pPr>
      <w:hyperlink w:anchor="_Toc236929632" w:history="1">
        <w:r w:rsidRPr="00FB14AE">
          <w:rPr>
            <w:rStyle w:val="Hyperlink"/>
            <w:noProof/>
          </w:rPr>
          <w:t>Article 17: The Service Charge System</w:t>
        </w:r>
        <w:r>
          <w:rPr>
            <w:noProof/>
            <w:webHidden/>
          </w:rPr>
          <w:tab/>
        </w:r>
        <w:r>
          <w:rPr>
            <w:noProof/>
            <w:webHidden/>
          </w:rPr>
          <w:fldChar w:fldCharType="begin"/>
        </w:r>
        <w:r>
          <w:rPr>
            <w:noProof/>
            <w:webHidden/>
          </w:rPr>
          <w:instrText xml:space="preserve"> PAGEREF _Toc236929632 \h </w:instrText>
        </w:r>
        <w:r>
          <w:rPr>
            <w:noProof/>
            <w:webHidden/>
          </w:rPr>
        </w:r>
        <w:r>
          <w:rPr>
            <w:noProof/>
            <w:webHidden/>
          </w:rPr>
          <w:fldChar w:fldCharType="separate"/>
        </w:r>
        <w:r>
          <w:rPr>
            <w:noProof/>
            <w:webHidden/>
          </w:rPr>
          <w:t>53</w:t>
        </w:r>
        <w:r>
          <w:rPr>
            <w:noProof/>
            <w:webHidden/>
          </w:rPr>
          <w:fldChar w:fldCharType="end"/>
        </w:r>
      </w:hyperlink>
    </w:p>
    <w:p w14:paraId="258041E3" w14:textId="7002C10D" w:rsidR="0094228B" w:rsidRDefault="0094228B">
      <w:pPr>
        <w:pStyle w:val="TOC2"/>
        <w:rPr>
          <w:rFonts w:asciiTheme="minorHAnsi" w:eastAsiaTheme="minorEastAsia" w:hAnsiTheme="minorHAnsi"/>
          <w:noProof/>
          <w:color w:val="auto"/>
          <w:sz w:val="24"/>
        </w:rPr>
      </w:pPr>
      <w:hyperlink w:anchor="_Toc236929633" w:history="1">
        <w:r w:rsidRPr="00FB14AE">
          <w:rPr>
            <w:rStyle w:val="Hyperlink"/>
            <w:noProof/>
          </w:rPr>
          <w:t>17.1 The Service Boundary</w:t>
        </w:r>
        <w:r>
          <w:rPr>
            <w:noProof/>
            <w:webHidden/>
          </w:rPr>
          <w:tab/>
        </w:r>
        <w:r>
          <w:rPr>
            <w:noProof/>
            <w:webHidden/>
          </w:rPr>
          <w:fldChar w:fldCharType="begin"/>
        </w:r>
        <w:r>
          <w:rPr>
            <w:noProof/>
            <w:webHidden/>
          </w:rPr>
          <w:instrText xml:space="preserve"> PAGEREF _Toc236929633 \h </w:instrText>
        </w:r>
        <w:r>
          <w:rPr>
            <w:noProof/>
            <w:webHidden/>
          </w:rPr>
        </w:r>
        <w:r>
          <w:rPr>
            <w:noProof/>
            <w:webHidden/>
          </w:rPr>
          <w:fldChar w:fldCharType="separate"/>
        </w:r>
        <w:r>
          <w:rPr>
            <w:noProof/>
            <w:webHidden/>
          </w:rPr>
          <w:t>53</w:t>
        </w:r>
        <w:r>
          <w:rPr>
            <w:noProof/>
            <w:webHidden/>
          </w:rPr>
          <w:fldChar w:fldCharType="end"/>
        </w:r>
      </w:hyperlink>
    </w:p>
    <w:p w14:paraId="446C5F95" w14:textId="1DEF2E5A" w:rsidR="0094228B" w:rsidRDefault="0094228B">
      <w:pPr>
        <w:pStyle w:val="TOC2"/>
        <w:rPr>
          <w:rFonts w:asciiTheme="minorHAnsi" w:eastAsiaTheme="minorEastAsia" w:hAnsiTheme="minorHAnsi"/>
          <w:noProof/>
          <w:color w:val="auto"/>
          <w:sz w:val="24"/>
        </w:rPr>
      </w:pPr>
      <w:hyperlink w:anchor="_Toc236929634" w:history="1">
        <w:r w:rsidRPr="00FB14AE">
          <w:rPr>
            <w:rStyle w:val="Hyperlink"/>
            <w:noProof/>
          </w:rPr>
          <w:t>17.2 The Five Charge Lines</w:t>
        </w:r>
        <w:r>
          <w:rPr>
            <w:noProof/>
            <w:webHidden/>
          </w:rPr>
          <w:tab/>
        </w:r>
        <w:r>
          <w:rPr>
            <w:noProof/>
            <w:webHidden/>
          </w:rPr>
          <w:fldChar w:fldCharType="begin"/>
        </w:r>
        <w:r>
          <w:rPr>
            <w:noProof/>
            <w:webHidden/>
          </w:rPr>
          <w:instrText xml:space="preserve"> PAGEREF _Toc236929634 \h </w:instrText>
        </w:r>
        <w:r>
          <w:rPr>
            <w:noProof/>
            <w:webHidden/>
          </w:rPr>
        </w:r>
        <w:r>
          <w:rPr>
            <w:noProof/>
            <w:webHidden/>
          </w:rPr>
          <w:fldChar w:fldCharType="separate"/>
        </w:r>
        <w:r>
          <w:rPr>
            <w:noProof/>
            <w:webHidden/>
          </w:rPr>
          <w:t>53</w:t>
        </w:r>
        <w:r>
          <w:rPr>
            <w:noProof/>
            <w:webHidden/>
          </w:rPr>
          <w:fldChar w:fldCharType="end"/>
        </w:r>
      </w:hyperlink>
    </w:p>
    <w:p w14:paraId="0C9BA0DD" w14:textId="40524251" w:rsidR="0094228B" w:rsidRDefault="0094228B">
      <w:pPr>
        <w:pStyle w:val="TOC2"/>
        <w:rPr>
          <w:rFonts w:asciiTheme="minorHAnsi" w:eastAsiaTheme="minorEastAsia" w:hAnsiTheme="minorHAnsi"/>
          <w:noProof/>
          <w:color w:val="auto"/>
          <w:sz w:val="24"/>
        </w:rPr>
      </w:pPr>
      <w:hyperlink w:anchor="_Toc236929635" w:history="1">
        <w:r w:rsidRPr="00FB14AE">
          <w:rPr>
            <w:rStyle w:val="Hyperlink"/>
            <w:noProof/>
          </w:rPr>
          <w:t>17.3 Voluntary Contributions</w:t>
        </w:r>
        <w:r>
          <w:rPr>
            <w:noProof/>
            <w:webHidden/>
          </w:rPr>
          <w:tab/>
        </w:r>
        <w:r>
          <w:rPr>
            <w:noProof/>
            <w:webHidden/>
          </w:rPr>
          <w:fldChar w:fldCharType="begin"/>
        </w:r>
        <w:r>
          <w:rPr>
            <w:noProof/>
            <w:webHidden/>
          </w:rPr>
          <w:instrText xml:space="preserve"> PAGEREF _Toc236929635 \h </w:instrText>
        </w:r>
        <w:r>
          <w:rPr>
            <w:noProof/>
            <w:webHidden/>
          </w:rPr>
        </w:r>
        <w:r>
          <w:rPr>
            <w:noProof/>
            <w:webHidden/>
          </w:rPr>
          <w:fldChar w:fldCharType="separate"/>
        </w:r>
        <w:r>
          <w:rPr>
            <w:noProof/>
            <w:webHidden/>
          </w:rPr>
          <w:t>54</w:t>
        </w:r>
        <w:r>
          <w:rPr>
            <w:noProof/>
            <w:webHidden/>
          </w:rPr>
          <w:fldChar w:fldCharType="end"/>
        </w:r>
      </w:hyperlink>
    </w:p>
    <w:p w14:paraId="4976E792" w14:textId="238FABCA" w:rsidR="0094228B" w:rsidRDefault="0094228B">
      <w:pPr>
        <w:pStyle w:val="TOC1"/>
        <w:rPr>
          <w:rFonts w:asciiTheme="minorHAnsi" w:eastAsiaTheme="minorEastAsia" w:hAnsiTheme="minorHAnsi"/>
          <w:b w:val="0"/>
          <w:noProof/>
          <w:color w:val="auto"/>
          <w:sz w:val="24"/>
        </w:rPr>
      </w:pPr>
      <w:hyperlink w:anchor="_Toc236929636" w:history="1">
        <w:r w:rsidRPr="00FB14AE">
          <w:rPr>
            <w:rStyle w:val="Hyperlink"/>
            <w:noProof/>
          </w:rPr>
          <w:t>Article 18: The Hormuz Stewardship Fund and the Payment Channel</w:t>
        </w:r>
        <w:r>
          <w:rPr>
            <w:noProof/>
            <w:webHidden/>
          </w:rPr>
          <w:tab/>
        </w:r>
        <w:r>
          <w:rPr>
            <w:noProof/>
            <w:webHidden/>
          </w:rPr>
          <w:fldChar w:fldCharType="begin"/>
        </w:r>
        <w:r>
          <w:rPr>
            <w:noProof/>
            <w:webHidden/>
          </w:rPr>
          <w:instrText xml:space="preserve"> PAGEREF _Toc236929636 \h </w:instrText>
        </w:r>
        <w:r>
          <w:rPr>
            <w:noProof/>
            <w:webHidden/>
          </w:rPr>
        </w:r>
        <w:r>
          <w:rPr>
            <w:noProof/>
            <w:webHidden/>
          </w:rPr>
          <w:fldChar w:fldCharType="separate"/>
        </w:r>
        <w:r>
          <w:rPr>
            <w:noProof/>
            <w:webHidden/>
          </w:rPr>
          <w:t>55</w:t>
        </w:r>
        <w:r>
          <w:rPr>
            <w:noProof/>
            <w:webHidden/>
          </w:rPr>
          <w:fldChar w:fldCharType="end"/>
        </w:r>
      </w:hyperlink>
    </w:p>
    <w:p w14:paraId="719EA919" w14:textId="6ED3CB81" w:rsidR="0094228B" w:rsidRDefault="0094228B">
      <w:pPr>
        <w:pStyle w:val="TOC2"/>
        <w:rPr>
          <w:rFonts w:asciiTheme="minorHAnsi" w:eastAsiaTheme="minorEastAsia" w:hAnsiTheme="minorHAnsi"/>
          <w:noProof/>
          <w:color w:val="auto"/>
          <w:sz w:val="24"/>
        </w:rPr>
      </w:pPr>
      <w:hyperlink w:anchor="_Toc236929637" w:history="1">
        <w:r w:rsidRPr="00FB14AE">
          <w:rPr>
            <w:rStyle w:val="Hyperlink"/>
            <w:noProof/>
          </w:rPr>
          <w:t>18.1 One Fund, Jointly Owned</w:t>
        </w:r>
        <w:r>
          <w:rPr>
            <w:noProof/>
            <w:webHidden/>
          </w:rPr>
          <w:tab/>
        </w:r>
        <w:r>
          <w:rPr>
            <w:noProof/>
            <w:webHidden/>
          </w:rPr>
          <w:fldChar w:fldCharType="begin"/>
        </w:r>
        <w:r>
          <w:rPr>
            <w:noProof/>
            <w:webHidden/>
          </w:rPr>
          <w:instrText xml:space="preserve"> PAGEREF _Toc236929637 \h </w:instrText>
        </w:r>
        <w:r>
          <w:rPr>
            <w:noProof/>
            <w:webHidden/>
          </w:rPr>
        </w:r>
        <w:r>
          <w:rPr>
            <w:noProof/>
            <w:webHidden/>
          </w:rPr>
          <w:fldChar w:fldCharType="separate"/>
        </w:r>
        <w:r>
          <w:rPr>
            <w:noProof/>
            <w:webHidden/>
          </w:rPr>
          <w:t>55</w:t>
        </w:r>
        <w:r>
          <w:rPr>
            <w:noProof/>
            <w:webHidden/>
          </w:rPr>
          <w:fldChar w:fldCharType="end"/>
        </w:r>
      </w:hyperlink>
    </w:p>
    <w:p w14:paraId="6ECA14D9" w14:textId="13B05A50" w:rsidR="0094228B" w:rsidRDefault="0094228B">
      <w:pPr>
        <w:pStyle w:val="TOC2"/>
        <w:rPr>
          <w:rFonts w:asciiTheme="minorHAnsi" w:eastAsiaTheme="minorEastAsia" w:hAnsiTheme="minorHAnsi"/>
          <w:noProof/>
          <w:color w:val="auto"/>
          <w:sz w:val="24"/>
        </w:rPr>
      </w:pPr>
      <w:hyperlink w:anchor="_Toc236929638" w:history="1">
        <w:r w:rsidRPr="00FB14AE">
          <w:rPr>
            <w:rStyle w:val="Hyperlink"/>
            <w:noProof/>
          </w:rPr>
          <w:t>18.2 The Neutral Payment Channel</w:t>
        </w:r>
        <w:r>
          <w:rPr>
            <w:noProof/>
            <w:webHidden/>
          </w:rPr>
          <w:tab/>
        </w:r>
        <w:r>
          <w:rPr>
            <w:noProof/>
            <w:webHidden/>
          </w:rPr>
          <w:fldChar w:fldCharType="begin"/>
        </w:r>
        <w:r>
          <w:rPr>
            <w:noProof/>
            <w:webHidden/>
          </w:rPr>
          <w:instrText xml:space="preserve"> PAGEREF _Toc236929638 \h </w:instrText>
        </w:r>
        <w:r>
          <w:rPr>
            <w:noProof/>
            <w:webHidden/>
          </w:rPr>
        </w:r>
        <w:r>
          <w:rPr>
            <w:noProof/>
            <w:webHidden/>
          </w:rPr>
          <w:fldChar w:fldCharType="separate"/>
        </w:r>
        <w:r>
          <w:rPr>
            <w:noProof/>
            <w:webHidden/>
          </w:rPr>
          <w:t>55</w:t>
        </w:r>
        <w:r>
          <w:rPr>
            <w:noProof/>
            <w:webHidden/>
          </w:rPr>
          <w:fldChar w:fldCharType="end"/>
        </w:r>
      </w:hyperlink>
    </w:p>
    <w:p w14:paraId="598EB0E8" w14:textId="6B2AB96A" w:rsidR="0094228B" w:rsidRDefault="0094228B">
      <w:pPr>
        <w:pStyle w:val="TOC2"/>
        <w:rPr>
          <w:rFonts w:asciiTheme="minorHAnsi" w:eastAsiaTheme="minorEastAsia" w:hAnsiTheme="minorHAnsi"/>
          <w:noProof/>
          <w:color w:val="auto"/>
          <w:sz w:val="24"/>
        </w:rPr>
      </w:pPr>
      <w:hyperlink w:anchor="_Toc236929639" w:history="1">
        <w:r w:rsidRPr="00FB14AE">
          <w:rPr>
            <w:rStyle w:val="Hyperlink"/>
            <w:noProof/>
          </w:rPr>
          <w:t>18.3 The Collection Points</w:t>
        </w:r>
        <w:r>
          <w:rPr>
            <w:noProof/>
            <w:webHidden/>
          </w:rPr>
          <w:tab/>
        </w:r>
        <w:r>
          <w:rPr>
            <w:noProof/>
            <w:webHidden/>
          </w:rPr>
          <w:fldChar w:fldCharType="begin"/>
        </w:r>
        <w:r>
          <w:rPr>
            <w:noProof/>
            <w:webHidden/>
          </w:rPr>
          <w:instrText xml:space="preserve"> PAGEREF _Toc236929639 \h </w:instrText>
        </w:r>
        <w:r>
          <w:rPr>
            <w:noProof/>
            <w:webHidden/>
          </w:rPr>
        </w:r>
        <w:r>
          <w:rPr>
            <w:noProof/>
            <w:webHidden/>
          </w:rPr>
          <w:fldChar w:fldCharType="separate"/>
        </w:r>
        <w:r>
          <w:rPr>
            <w:noProof/>
            <w:webHidden/>
          </w:rPr>
          <w:t>56</w:t>
        </w:r>
        <w:r>
          <w:rPr>
            <w:noProof/>
            <w:webHidden/>
          </w:rPr>
          <w:fldChar w:fldCharType="end"/>
        </w:r>
      </w:hyperlink>
    </w:p>
    <w:p w14:paraId="522599A9" w14:textId="7269C8D9" w:rsidR="0094228B" w:rsidRDefault="0094228B">
      <w:pPr>
        <w:pStyle w:val="TOC2"/>
        <w:rPr>
          <w:rFonts w:asciiTheme="minorHAnsi" w:eastAsiaTheme="minorEastAsia" w:hAnsiTheme="minorHAnsi"/>
          <w:noProof/>
          <w:color w:val="auto"/>
          <w:sz w:val="24"/>
        </w:rPr>
      </w:pPr>
      <w:hyperlink w:anchor="_Toc236929640" w:history="1">
        <w:r w:rsidRPr="00FB14AE">
          <w:rPr>
            <w:rStyle w:val="Hyperlink"/>
            <w:noProof/>
          </w:rPr>
          <w:t>18.4 Distributions and the Stability Dividend</w:t>
        </w:r>
        <w:r>
          <w:rPr>
            <w:noProof/>
            <w:webHidden/>
          </w:rPr>
          <w:tab/>
        </w:r>
        <w:r>
          <w:rPr>
            <w:noProof/>
            <w:webHidden/>
          </w:rPr>
          <w:fldChar w:fldCharType="begin"/>
        </w:r>
        <w:r>
          <w:rPr>
            <w:noProof/>
            <w:webHidden/>
          </w:rPr>
          <w:instrText xml:space="preserve"> PAGEREF _Toc236929640 \h </w:instrText>
        </w:r>
        <w:r>
          <w:rPr>
            <w:noProof/>
            <w:webHidden/>
          </w:rPr>
        </w:r>
        <w:r>
          <w:rPr>
            <w:noProof/>
            <w:webHidden/>
          </w:rPr>
          <w:fldChar w:fldCharType="separate"/>
        </w:r>
        <w:r>
          <w:rPr>
            <w:noProof/>
            <w:webHidden/>
          </w:rPr>
          <w:t>56</w:t>
        </w:r>
        <w:r>
          <w:rPr>
            <w:noProof/>
            <w:webHidden/>
          </w:rPr>
          <w:fldChar w:fldCharType="end"/>
        </w:r>
      </w:hyperlink>
    </w:p>
    <w:p w14:paraId="0784B905" w14:textId="5EC70993" w:rsidR="0094228B" w:rsidRDefault="0094228B">
      <w:pPr>
        <w:pStyle w:val="TOC1"/>
        <w:rPr>
          <w:rFonts w:asciiTheme="minorHAnsi" w:eastAsiaTheme="minorEastAsia" w:hAnsiTheme="minorHAnsi"/>
          <w:b w:val="0"/>
          <w:noProof/>
          <w:color w:val="auto"/>
          <w:sz w:val="24"/>
        </w:rPr>
      </w:pPr>
      <w:hyperlink w:anchor="_Toc236929641" w:history="1">
        <w:r w:rsidRPr="00FB14AE">
          <w:rPr>
            <w:rStyle w:val="Hyperlink"/>
            <w:noProof/>
          </w:rPr>
          <w:t>Article 19: The Economic Reconciliation Architecture</w:t>
        </w:r>
        <w:r>
          <w:rPr>
            <w:noProof/>
            <w:webHidden/>
          </w:rPr>
          <w:tab/>
        </w:r>
        <w:r>
          <w:rPr>
            <w:noProof/>
            <w:webHidden/>
          </w:rPr>
          <w:fldChar w:fldCharType="begin"/>
        </w:r>
        <w:r>
          <w:rPr>
            <w:noProof/>
            <w:webHidden/>
          </w:rPr>
          <w:instrText xml:space="preserve"> PAGEREF _Toc236929641 \h </w:instrText>
        </w:r>
        <w:r>
          <w:rPr>
            <w:noProof/>
            <w:webHidden/>
          </w:rPr>
        </w:r>
        <w:r>
          <w:rPr>
            <w:noProof/>
            <w:webHidden/>
          </w:rPr>
          <w:fldChar w:fldCharType="separate"/>
        </w:r>
        <w:r>
          <w:rPr>
            <w:noProof/>
            <w:webHidden/>
          </w:rPr>
          <w:t>57</w:t>
        </w:r>
        <w:r>
          <w:rPr>
            <w:noProof/>
            <w:webHidden/>
          </w:rPr>
          <w:fldChar w:fldCharType="end"/>
        </w:r>
      </w:hyperlink>
    </w:p>
    <w:p w14:paraId="09BAB961" w14:textId="387FF9C6" w:rsidR="0094228B" w:rsidRDefault="0094228B">
      <w:pPr>
        <w:pStyle w:val="TOC2"/>
        <w:rPr>
          <w:rFonts w:asciiTheme="minorHAnsi" w:eastAsiaTheme="minorEastAsia" w:hAnsiTheme="minorHAnsi"/>
          <w:noProof/>
          <w:color w:val="auto"/>
          <w:sz w:val="24"/>
        </w:rPr>
      </w:pPr>
      <w:hyperlink w:anchor="_Toc236929642" w:history="1">
        <w:r w:rsidRPr="00FB14AE">
          <w:rPr>
            <w:rStyle w:val="Hyperlink"/>
            <w:noProof/>
          </w:rPr>
          <w:t>19.1 The Sobat Development Facility</w:t>
        </w:r>
        <w:r>
          <w:rPr>
            <w:noProof/>
            <w:webHidden/>
          </w:rPr>
          <w:tab/>
        </w:r>
        <w:r>
          <w:rPr>
            <w:noProof/>
            <w:webHidden/>
          </w:rPr>
          <w:fldChar w:fldCharType="begin"/>
        </w:r>
        <w:r>
          <w:rPr>
            <w:noProof/>
            <w:webHidden/>
          </w:rPr>
          <w:instrText xml:space="preserve"> PAGEREF _Toc236929642 \h </w:instrText>
        </w:r>
        <w:r>
          <w:rPr>
            <w:noProof/>
            <w:webHidden/>
          </w:rPr>
        </w:r>
        <w:r>
          <w:rPr>
            <w:noProof/>
            <w:webHidden/>
          </w:rPr>
          <w:fldChar w:fldCharType="separate"/>
        </w:r>
        <w:r>
          <w:rPr>
            <w:noProof/>
            <w:webHidden/>
          </w:rPr>
          <w:t>57</w:t>
        </w:r>
        <w:r>
          <w:rPr>
            <w:noProof/>
            <w:webHidden/>
          </w:rPr>
          <w:fldChar w:fldCharType="end"/>
        </w:r>
      </w:hyperlink>
    </w:p>
    <w:p w14:paraId="5B66796E" w14:textId="63E7348F" w:rsidR="0094228B" w:rsidRDefault="0094228B">
      <w:pPr>
        <w:pStyle w:val="TOC2"/>
        <w:rPr>
          <w:rFonts w:asciiTheme="minorHAnsi" w:eastAsiaTheme="minorEastAsia" w:hAnsiTheme="minorHAnsi"/>
          <w:noProof/>
          <w:color w:val="auto"/>
          <w:sz w:val="24"/>
        </w:rPr>
      </w:pPr>
      <w:hyperlink w:anchor="_Toc236929643" w:history="1">
        <w:r w:rsidRPr="00FB14AE">
          <w:rPr>
            <w:rStyle w:val="Hyperlink"/>
            <w:noProof/>
          </w:rPr>
          <w:t>19.2 The Market-Access Track</w:t>
        </w:r>
        <w:r>
          <w:rPr>
            <w:noProof/>
            <w:webHidden/>
          </w:rPr>
          <w:tab/>
        </w:r>
        <w:r>
          <w:rPr>
            <w:noProof/>
            <w:webHidden/>
          </w:rPr>
          <w:fldChar w:fldCharType="begin"/>
        </w:r>
        <w:r>
          <w:rPr>
            <w:noProof/>
            <w:webHidden/>
          </w:rPr>
          <w:instrText xml:space="preserve"> PAGEREF _Toc236929643 \h </w:instrText>
        </w:r>
        <w:r>
          <w:rPr>
            <w:noProof/>
            <w:webHidden/>
          </w:rPr>
        </w:r>
        <w:r>
          <w:rPr>
            <w:noProof/>
            <w:webHidden/>
          </w:rPr>
          <w:fldChar w:fldCharType="separate"/>
        </w:r>
        <w:r>
          <w:rPr>
            <w:noProof/>
            <w:webHidden/>
          </w:rPr>
          <w:t>57</w:t>
        </w:r>
        <w:r>
          <w:rPr>
            <w:noProof/>
            <w:webHidden/>
          </w:rPr>
          <w:fldChar w:fldCharType="end"/>
        </w:r>
      </w:hyperlink>
    </w:p>
    <w:p w14:paraId="054D5DD6" w14:textId="00AF1586" w:rsidR="0094228B" w:rsidRDefault="0094228B">
      <w:pPr>
        <w:pStyle w:val="TOC2"/>
        <w:rPr>
          <w:rFonts w:asciiTheme="minorHAnsi" w:eastAsiaTheme="minorEastAsia" w:hAnsiTheme="minorHAnsi"/>
          <w:noProof/>
          <w:color w:val="auto"/>
          <w:sz w:val="24"/>
        </w:rPr>
      </w:pPr>
      <w:hyperlink w:anchor="_Toc236929644" w:history="1">
        <w:r w:rsidRPr="00FB14AE">
          <w:rPr>
            <w:rStyle w:val="Hyperlink"/>
            <w:noProof/>
          </w:rPr>
          <w:t>19.3 The People's Dividend</w:t>
        </w:r>
        <w:r>
          <w:rPr>
            <w:noProof/>
            <w:webHidden/>
          </w:rPr>
          <w:tab/>
        </w:r>
        <w:r>
          <w:rPr>
            <w:noProof/>
            <w:webHidden/>
          </w:rPr>
          <w:fldChar w:fldCharType="begin"/>
        </w:r>
        <w:r>
          <w:rPr>
            <w:noProof/>
            <w:webHidden/>
          </w:rPr>
          <w:instrText xml:space="preserve"> PAGEREF _Toc236929644 \h </w:instrText>
        </w:r>
        <w:r>
          <w:rPr>
            <w:noProof/>
            <w:webHidden/>
          </w:rPr>
        </w:r>
        <w:r>
          <w:rPr>
            <w:noProof/>
            <w:webHidden/>
          </w:rPr>
          <w:fldChar w:fldCharType="separate"/>
        </w:r>
        <w:r>
          <w:rPr>
            <w:noProof/>
            <w:webHidden/>
          </w:rPr>
          <w:t>57</w:t>
        </w:r>
        <w:r>
          <w:rPr>
            <w:noProof/>
            <w:webHidden/>
          </w:rPr>
          <w:fldChar w:fldCharType="end"/>
        </w:r>
      </w:hyperlink>
    </w:p>
    <w:p w14:paraId="04158B4D" w14:textId="4CDA3BBA" w:rsidR="0094228B" w:rsidRDefault="0094228B">
      <w:pPr>
        <w:pStyle w:val="TOC1"/>
        <w:rPr>
          <w:rFonts w:asciiTheme="minorHAnsi" w:eastAsiaTheme="minorEastAsia" w:hAnsiTheme="minorHAnsi"/>
          <w:b w:val="0"/>
          <w:noProof/>
          <w:color w:val="auto"/>
          <w:sz w:val="24"/>
        </w:rPr>
      </w:pPr>
      <w:hyperlink w:anchor="_Toc236929645" w:history="1">
        <w:r w:rsidRPr="00FB14AE">
          <w:rPr>
            <w:rStyle w:val="Hyperlink"/>
            <w:noProof/>
          </w:rPr>
          <w:t>Part VI: Safety, Environment, and Humanitarian Passage</w:t>
        </w:r>
        <w:r>
          <w:rPr>
            <w:noProof/>
            <w:webHidden/>
          </w:rPr>
          <w:tab/>
        </w:r>
        <w:r>
          <w:rPr>
            <w:noProof/>
            <w:webHidden/>
          </w:rPr>
          <w:fldChar w:fldCharType="begin"/>
        </w:r>
        <w:r>
          <w:rPr>
            <w:noProof/>
            <w:webHidden/>
          </w:rPr>
          <w:instrText xml:space="preserve"> PAGEREF _Toc236929645 \h </w:instrText>
        </w:r>
        <w:r>
          <w:rPr>
            <w:noProof/>
            <w:webHidden/>
          </w:rPr>
        </w:r>
        <w:r>
          <w:rPr>
            <w:noProof/>
            <w:webHidden/>
          </w:rPr>
          <w:fldChar w:fldCharType="separate"/>
        </w:r>
        <w:r>
          <w:rPr>
            <w:noProof/>
            <w:webHidden/>
          </w:rPr>
          <w:t>59</w:t>
        </w:r>
        <w:r>
          <w:rPr>
            <w:noProof/>
            <w:webHidden/>
          </w:rPr>
          <w:fldChar w:fldCharType="end"/>
        </w:r>
      </w:hyperlink>
    </w:p>
    <w:p w14:paraId="498DB10F" w14:textId="7EFD0D89" w:rsidR="0094228B" w:rsidRDefault="0094228B">
      <w:pPr>
        <w:pStyle w:val="TOC1"/>
        <w:rPr>
          <w:rFonts w:asciiTheme="minorHAnsi" w:eastAsiaTheme="minorEastAsia" w:hAnsiTheme="minorHAnsi"/>
          <w:b w:val="0"/>
          <w:noProof/>
          <w:color w:val="auto"/>
          <w:sz w:val="24"/>
        </w:rPr>
      </w:pPr>
      <w:hyperlink w:anchor="_Toc236929646" w:history="1">
        <w:r w:rsidRPr="00FB14AE">
          <w:rPr>
            <w:rStyle w:val="Hyperlink"/>
            <w:noProof/>
          </w:rPr>
          <w:t>Article 20: Environmental Protection</w:t>
        </w:r>
        <w:r>
          <w:rPr>
            <w:noProof/>
            <w:webHidden/>
          </w:rPr>
          <w:tab/>
        </w:r>
        <w:r>
          <w:rPr>
            <w:noProof/>
            <w:webHidden/>
          </w:rPr>
          <w:fldChar w:fldCharType="begin"/>
        </w:r>
        <w:r>
          <w:rPr>
            <w:noProof/>
            <w:webHidden/>
          </w:rPr>
          <w:instrText xml:space="preserve"> PAGEREF _Toc236929646 \h </w:instrText>
        </w:r>
        <w:r>
          <w:rPr>
            <w:noProof/>
            <w:webHidden/>
          </w:rPr>
        </w:r>
        <w:r>
          <w:rPr>
            <w:noProof/>
            <w:webHidden/>
          </w:rPr>
          <w:fldChar w:fldCharType="separate"/>
        </w:r>
        <w:r>
          <w:rPr>
            <w:noProof/>
            <w:webHidden/>
          </w:rPr>
          <w:t>60</w:t>
        </w:r>
        <w:r>
          <w:rPr>
            <w:noProof/>
            <w:webHidden/>
          </w:rPr>
          <w:fldChar w:fldCharType="end"/>
        </w:r>
      </w:hyperlink>
    </w:p>
    <w:p w14:paraId="5BCE6D1B" w14:textId="2B5EDA72" w:rsidR="0094228B" w:rsidRDefault="0094228B">
      <w:pPr>
        <w:pStyle w:val="TOC2"/>
        <w:rPr>
          <w:rFonts w:asciiTheme="minorHAnsi" w:eastAsiaTheme="minorEastAsia" w:hAnsiTheme="minorHAnsi"/>
          <w:noProof/>
          <w:color w:val="auto"/>
          <w:sz w:val="24"/>
        </w:rPr>
      </w:pPr>
      <w:hyperlink w:anchor="_Toc236929647" w:history="1">
        <w:r w:rsidRPr="00FB14AE">
          <w:rPr>
            <w:rStyle w:val="Hyperlink"/>
            <w:noProof/>
          </w:rPr>
          <w:t>20.1 The Baseline and the Watch</w:t>
        </w:r>
        <w:r>
          <w:rPr>
            <w:noProof/>
            <w:webHidden/>
          </w:rPr>
          <w:tab/>
        </w:r>
        <w:r>
          <w:rPr>
            <w:noProof/>
            <w:webHidden/>
          </w:rPr>
          <w:fldChar w:fldCharType="begin"/>
        </w:r>
        <w:r>
          <w:rPr>
            <w:noProof/>
            <w:webHidden/>
          </w:rPr>
          <w:instrText xml:space="preserve"> PAGEREF _Toc236929647 \h </w:instrText>
        </w:r>
        <w:r>
          <w:rPr>
            <w:noProof/>
            <w:webHidden/>
          </w:rPr>
        </w:r>
        <w:r>
          <w:rPr>
            <w:noProof/>
            <w:webHidden/>
          </w:rPr>
          <w:fldChar w:fldCharType="separate"/>
        </w:r>
        <w:r>
          <w:rPr>
            <w:noProof/>
            <w:webHidden/>
          </w:rPr>
          <w:t>60</w:t>
        </w:r>
        <w:r>
          <w:rPr>
            <w:noProof/>
            <w:webHidden/>
          </w:rPr>
          <w:fldChar w:fldCharType="end"/>
        </w:r>
      </w:hyperlink>
    </w:p>
    <w:p w14:paraId="193C8ACA" w14:textId="1F463E86" w:rsidR="0094228B" w:rsidRDefault="0094228B">
      <w:pPr>
        <w:pStyle w:val="TOC2"/>
        <w:rPr>
          <w:rFonts w:asciiTheme="minorHAnsi" w:eastAsiaTheme="minorEastAsia" w:hAnsiTheme="minorHAnsi"/>
          <w:noProof/>
          <w:color w:val="auto"/>
          <w:sz w:val="24"/>
        </w:rPr>
      </w:pPr>
      <w:hyperlink w:anchor="_Toc236929648" w:history="1">
        <w:r w:rsidRPr="00FB14AE">
          <w:rPr>
            <w:rStyle w:val="Hyperlink"/>
            <w:noProof/>
          </w:rPr>
          <w:t>20.2 Spill Prevention and Response</w:t>
        </w:r>
        <w:r>
          <w:rPr>
            <w:noProof/>
            <w:webHidden/>
          </w:rPr>
          <w:tab/>
        </w:r>
        <w:r>
          <w:rPr>
            <w:noProof/>
            <w:webHidden/>
          </w:rPr>
          <w:fldChar w:fldCharType="begin"/>
        </w:r>
        <w:r>
          <w:rPr>
            <w:noProof/>
            <w:webHidden/>
          </w:rPr>
          <w:instrText xml:space="preserve"> PAGEREF _Toc236929648 \h </w:instrText>
        </w:r>
        <w:r>
          <w:rPr>
            <w:noProof/>
            <w:webHidden/>
          </w:rPr>
        </w:r>
        <w:r>
          <w:rPr>
            <w:noProof/>
            <w:webHidden/>
          </w:rPr>
          <w:fldChar w:fldCharType="separate"/>
        </w:r>
        <w:r>
          <w:rPr>
            <w:noProof/>
            <w:webHidden/>
          </w:rPr>
          <w:t>60</w:t>
        </w:r>
        <w:r>
          <w:rPr>
            <w:noProof/>
            <w:webHidden/>
          </w:rPr>
          <w:fldChar w:fldCharType="end"/>
        </w:r>
      </w:hyperlink>
    </w:p>
    <w:p w14:paraId="42A52307" w14:textId="00615D28" w:rsidR="0094228B" w:rsidRDefault="0094228B">
      <w:pPr>
        <w:pStyle w:val="TOC2"/>
        <w:rPr>
          <w:rFonts w:asciiTheme="minorHAnsi" w:eastAsiaTheme="minorEastAsia" w:hAnsiTheme="minorHAnsi"/>
          <w:noProof/>
          <w:color w:val="auto"/>
          <w:sz w:val="24"/>
        </w:rPr>
      </w:pPr>
      <w:hyperlink w:anchor="_Toc236929649" w:history="1">
        <w:r w:rsidRPr="00FB14AE">
          <w:rPr>
            <w:rStyle w:val="Hyperlink"/>
            <w:noProof/>
          </w:rPr>
          <w:t>20.3 The Green Incentives</w:t>
        </w:r>
        <w:r>
          <w:rPr>
            <w:noProof/>
            <w:webHidden/>
          </w:rPr>
          <w:tab/>
        </w:r>
        <w:r>
          <w:rPr>
            <w:noProof/>
            <w:webHidden/>
          </w:rPr>
          <w:fldChar w:fldCharType="begin"/>
        </w:r>
        <w:r>
          <w:rPr>
            <w:noProof/>
            <w:webHidden/>
          </w:rPr>
          <w:instrText xml:space="preserve"> PAGEREF _Toc236929649 \h </w:instrText>
        </w:r>
        <w:r>
          <w:rPr>
            <w:noProof/>
            <w:webHidden/>
          </w:rPr>
        </w:r>
        <w:r>
          <w:rPr>
            <w:noProof/>
            <w:webHidden/>
          </w:rPr>
          <w:fldChar w:fldCharType="separate"/>
        </w:r>
        <w:r>
          <w:rPr>
            <w:noProof/>
            <w:webHidden/>
          </w:rPr>
          <w:t>60</w:t>
        </w:r>
        <w:r>
          <w:rPr>
            <w:noProof/>
            <w:webHidden/>
          </w:rPr>
          <w:fldChar w:fldCharType="end"/>
        </w:r>
      </w:hyperlink>
    </w:p>
    <w:p w14:paraId="543D8D7F" w14:textId="4550F094" w:rsidR="0094228B" w:rsidRDefault="0094228B">
      <w:pPr>
        <w:pStyle w:val="TOC1"/>
        <w:rPr>
          <w:rFonts w:asciiTheme="minorHAnsi" w:eastAsiaTheme="minorEastAsia" w:hAnsiTheme="minorHAnsi"/>
          <w:b w:val="0"/>
          <w:noProof/>
          <w:color w:val="auto"/>
          <w:sz w:val="24"/>
        </w:rPr>
      </w:pPr>
      <w:hyperlink w:anchor="_Toc236929650" w:history="1">
        <w:r w:rsidRPr="00FB14AE">
          <w:rPr>
            <w:rStyle w:val="Hyperlink"/>
            <w:noProof/>
          </w:rPr>
          <w:t>Article 21: Search and Rescue and Emergency Response</w:t>
        </w:r>
        <w:r>
          <w:rPr>
            <w:noProof/>
            <w:webHidden/>
          </w:rPr>
          <w:tab/>
        </w:r>
        <w:r>
          <w:rPr>
            <w:noProof/>
            <w:webHidden/>
          </w:rPr>
          <w:fldChar w:fldCharType="begin"/>
        </w:r>
        <w:r>
          <w:rPr>
            <w:noProof/>
            <w:webHidden/>
          </w:rPr>
          <w:instrText xml:space="preserve"> PAGEREF _Toc236929650 \h </w:instrText>
        </w:r>
        <w:r>
          <w:rPr>
            <w:noProof/>
            <w:webHidden/>
          </w:rPr>
        </w:r>
        <w:r>
          <w:rPr>
            <w:noProof/>
            <w:webHidden/>
          </w:rPr>
          <w:fldChar w:fldCharType="separate"/>
        </w:r>
        <w:r>
          <w:rPr>
            <w:noProof/>
            <w:webHidden/>
          </w:rPr>
          <w:t>61</w:t>
        </w:r>
        <w:r>
          <w:rPr>
            <w:noProof/>
            <w:webHidden/>
          </w:rPr>
          <w:fldChar w:fldCharType="end"/>
        </w:r>
      </w:hyperlink>
    </w:p>
    <w:p w14:paraId="586A25B0" w14:textId="653CE2A7" w:rsidR="0094228B" w:rsidRDefault="0094228B">
      <w:pPr>
        <w:pStyle w:val="TOC2"/>
        <w:rPr>
          <w:rFonts w:asciiTheme="minorHAnsi" w:eastAsiaTheme="minorEastAsia" w:hAnsiTheme="minorHAnsi"/>
          <w:noProof/>
          <w:color w:val="auto"/>
          <w:sz w:val="24"/>
        </w:rPr>
      </w:pPr>
      <w:hyperlink w:anchor="_Toc236929651" w:history="1">
        <w:r w:rsidRPr="00FB14AE">
          <w:rPr>
            <w:rStyle w:val="Hyperlink"/>
            <w:noProof/>
          </w:rPr>
          <w:t>21.1 The Joint Rescue Architecture</w:t>
        </w:r>
        <w:r>
          <w:rPr>
            <w:noProof/>
            <w:webHidden/>
          </w:rPr>
          <w:tab/>
        </w:r>
        <w:r>
          <w:rPr>
            <w:noProof/>
            <w:webHidden/>
          </w:rPr>
          <w:fldChar w:fldCharType="begin"/>
        </w:r>
        <w:r>
          <w:rPr>
            <w:noProof/>
            <w:webHidden/>
          </w:rPr>
          <w:instrText xml:space="preserve"> PAGEREF _Toc236929651 \h </w:instrText>
        </w:r>
        <w:r>
          <w:rPr>
            <w:noProof/>
            <w:webHidden/>
          </w:rPr>
        </w:r>
        <w:r>
          <w:rPr>
            <w:noProof/>
            <w:webHidden/>
          </w:rPr>
          <w:fldChar w:fldCharType="separate"/>
        </w:r>
        <w:r>
          <w:rPr>
            <w:noProof/>
            <w:webHidden/>
          </w:rPr>
          <w:t>61</w:t>
        </w:r>
        <w:r>
          <w:rPr>
            <w:noProof/>
            <w:webHidden/>
          </w:rPr>
          <w:fldChar w:fldCharType="end"/>
        </w:r>
      </w:hyperlink>
    </w:p>
    <w:p w14:paraId="7B34C7FF" w14:textId="2A675E3D" w:rsidR="0094228B" w:rsidRDefault="0094228B">
      <w:pPr>
        <w:pStyle w:val="TOC2"/>
        <w:rPr>
          <w:rFonts w:asciiTheme="minorHAnsi" w:eastAsiaTheme="minorEastAsia" w:hAnsiTheme="minorHAnsi"/>
          <w:noProof/>
          <w:color w:val="auto"/>
          <w:sz w:val="24"/>
        </w:rPr>
      </w:pPr>
      <w:hyperlink w:anchor="_Toc236929652" w:history="1">
        <w:r w:rsidRPr="00FB14AE">
          <w:rPr>
            <w:rStyle w:val="Hyperlink"/>
            <w:noProof/>
          </w:rPr>
          <w:t>21.2 Diversion and Refuge</w:t>
        </w:r>
        <w:r>
          <w:rPr>
            <w:noProof/>
            <w:webHidden/>
          </w:rPr>
          <w:tab/>
        </w:r>
        <w:r>
          <w:rPr>
            <w:noProof/>
            <w:webHidden/>
          </w:rPr>
          <w:fldChar w:fldCharType="begin"/>
        </w:r>
        <w:r>
          <w:rPr>
            <w:noProof/>
            <w:webHidden/>
          </w:rPr>
          <w:instrText xml:space="preserve"> PAGEREF _Toc236929652 \h </w:instrText>
        </w:r>
        <w:r>
          <w:rPr>
            <w:noProof/>
            <w:webHidden/>
          </w:rPr>
        </w:r>
        <w:r>
          <w:rPr>
            <w:noProof/>
            <w:webHidden/>
          </w:rPr>
          <w:fldChar w:fldCharType="separate"/>
        </w:r>
        <w:r>
          <w:rPr>
            <w:noProof/>
            <w:webHidden/>
          </w:rPr>
          <w:t>61</w:t>
        </w:r>
        <w:r>
          <w:rPr>
            <w:noProof/>
            <w:webHidden/>
          </w:rPr>
          <w:fldChar w:fldCharType="end"/>
        </w:r>
      </w:hyperlink>
    </w:p>
    <w:p w14:paraId="32E97387" w14:textId="6F2B1543" w:rsidR="0094228B" w:rsidRDefault="0094228B">
      <w:pPr>
        <w:pStyle w:val="TOC2"/>
        <w:rPr>
          <w:rFonts w:asciiTheme="minorHAnsi" w:eastAsiaTheme="minorEastAsia" w:hAnsiTheme="minorHAnsi"/>
          <w:noProof/>
          <w:color w:val="auto"/>
          <w:sz w:val="24"/>
        </w:rPr>
      </w:pPr>
      <w:hyperlink w:anchor="_Toc236929653" w:history="1">
        <w:r w:rsidRPr="00FB14AE">
          <w:rPr>
            <w:rStyle w:val="Hyperlink"/>
            <w:noProof/>
          </w:rPr>
          <w:t>21.3 Seafarer Welfare</w:t>
        </w:r>
        <w:r>
          <w:rPr>
            <w:noProof/>
            <w:webHidden/>
          </w:rPr>
          <w:tab/>
        </w:r>
        <w:r>
          <w:rPr>
            <w:noProof/>
            <w:webHidden/>
          </w:rPr>
          <w:fldChar w:fldCharType="begin"/>
        </w:r>
        <w:r>
          <w:rPr>
            <w:noProof/>
            <w:webHidden/>
          </w:rPr>
          <w:instrText xml:space="preserve"> PAGEREF _Toc236929653 \h </w:instrText>
        </w:r>
        <w:r>
          <w:rPr>
            <w:noProof/>
            <w:webHidden/>
          </w:rPr>
        </w:r>
        <w:r>
          <w:rPr>
            <w:noProof/>
            <w:webHidden/>
          </w:rPr>
          <w:fldChar w:fldCharType="separate"/>
        </w:r>
        <w:r>
          <w:rPr>
            <w:noProof/>
            <w:webHidden/>
          </w:rPr>
          <w:t>61</w:t>
        </w:r>
        <w:r>
          <w:rPr>
            <w:noProof/>
            <w:webHidden/>
          </w:rPr>
          <w:fldChar w:fldCharType="end"/>
        </w:r>
      </w:hyperlink>
    </w:p>
    <w:p w14:paraId="4101DF7B" w14:textId="1D8DA50F" w:rsidR="0094228B" w:rsidRDefault="0094228B">
      <w:pPr>
        <w:pStyle w:val="TOC1"/>
        <w:rPr>
          <w:rFonts w:asciiTheme="minorHAnsi" w:eastAsiaTheme="minorEastAsia" w:hAnsiTheme="minorHAnsi"/>
          <w:b w:val="0"/>
          <w:noProof/>
          <w:color w:val="auto"/>
          <w:sz w:val="24"/>
        </w:rPr>
      </w:pPr>
      <w:hyperlink w:anchor="_Toc236929654" w:history="1">
        <w:r w:rsidRPr="00FB14AE">
          <w:rPr>
            <w:rStyle w:val="Hyperlink"/>
            <w:noProof/>
          </w:rPr>
          <w:t>Article 22: Humanitarian Passage</w:t>
        </w:r>
        <w:r>
          <w:rPr>
            <w:noProof/>
            <w:webHidden/>
          </w:rPr>
          <w:tab/>
        </w:r>
        <w:r>
          <w:rPr>
            <w:noProof/>
            <w:webHidden/>
          </w:rPr>
          <w:fldChar w:fldCharType="begin"/>
        </w:r>
        <w:r>
          <w:rPr>
            <w:noProof/>
            <w:webHidden/>
          </w:rPr>
          <w:instrText xml:space="preserve"> PAGEREF _Toc236929654 \h </w:instrText>
        </w:r>
        <w:r>
          <w:rPr>
            <w:noProof/>
            <w:webHidden/>
          </w:rPr>
        </w:r>
        <w:r>
          <w:rPr>
            <w:noProof/>
            <w:webHidden/>
          </w:rPr>
          <w:fldChar w:fldCharType="separate"/>
        </w:r>
        <w:r>
          <w:rPr>
            <w:noProof/>
            <w:webHidden/>
          </w:rPr>
          <w:t>62</w:t>
        </w:r>
        <w:r>
          <w:rPr>
            <w:noProof/>
            <w:webHidden/>
          </w:rPr>
          <w:fldChar w:fldCharType="end"/>
        </w:r>
      </w:hyperlink>
    </w:p>
    <w:p w14:paraId="7FE73890" w14:textId="0CFE8554" w:rsidR="0094228B" w:rsidRDefault="0094228B">
      <w:pPr>
        <w:pStyle w:val="TOC2"/>
        <w:rPr>
          <w:rFonts w:asciiTheme="minorHAnsi" w:eastAsiaTheme="minorEastAsia" w:hAnsiTheme="minorHAnsi"/>
          <w:noProof/>
          <w:color w:val="auto"/>
          <w:sz w:val="24"/>
        </w:rPr>
      </w:pPr>
      <w:hyperlink w:anchor="_Toc236929655" w:history="1">
        <w:r w:rsidRPr="00FB14AE">
          <w:rPr>
            <w:rStyle w:val="Hyperlink"/>
            <w:noProof/>
          </w:rPr>
          <w:t>22.1 The Absolute Priority</w:t>
        </w:r>
        <w:r>
          <w:rPr>
            <w:noProof/>
            <w:webHidden/>
          </w:rPr>
          <w:tab/>
        </w:r>
        <w:r>
          <w:rPr>
            <w:noProof/>
            <w:webHidden/>
          </w:rPr>
          <w:fldChar w:fldCharType="begin"/>
        </w:r>
        <w:r>
          <w:rPr>
            <w:noProof/>
            <w:webHidden/>
          </w:rPr>
          <w:instrText xml:space="preserve"> PAGEREF _Toc236929655 \h </w:instrText>
        </w:r>
        <w:r>
          <w:rPr>
            <w:noProof/>
            <w:webHidden/>
          </w:rPr>
        </w:r>
        <w:r>
          <w:rPr>
            <w:noProof/>
            <w:webHidden/>
          </w:rPr>
          <w:fldChar w:fldCharType="separate"/>
        </w:r>
        <w:r>
          <w:rPr>
            <w:noProof/>
            <w:webHidden/>
          </w:rPr>
          <w:t>62</w:t>
        </w:r>
        <w:r>
          <w:rPr>
            <w:noProof/>
            <w:webHidden/>
          </w:rPr>
          <w:fldChar w:fldCharType="end"/>
        </w:r>
      </w:hyperlink>
    </w:p>
    <w:p w14:paraId="6471E612" w14:textId="0C8A6514" w:rsidR="0094228B" w:rsidRDefault="0094228B">
      <w:pPr>
        <w:pStyle w:val="TOC2"/>
        <w:rPr>
          <w:rFonts w:asciiTheme="minorHAnsi" w:eastAsiaTheme="minorEastAsia" w:hAnsiTheme="minorHAnsi"/>
          <w:noProof/>
          <w:color w:val="auto"/>
          <w:sz w:val="24"/>
        </w:rPr>
      </w:pPr>
      <w:hyperlink w:anchor="_Toc236929656" w:history="1">
        <w:r w:rsidRPr="00FB14AE">
          <w:rPr>
            <w:rStyle w:val="Hyperlink"/>
            <w:noProof/>
          </w:rPr>
          <w:t>22.2 The Standing Humanitarian Window</w:t>
        </w:r>
        <w:r>
          <w:rPr>
            <w:noProof/>
            <w:webHidden/>
          </w:rPr>
          <w:tab/>
        </w:r>
        <w:r>
          <w:rPr>
            <w:noProof/>
            <w:webHidden/>
          </w:rPr>
          <w:fldChar w:fldCharType="begin"/>
        </w:r>
        <w:r>
          <w:rPr>
            <w:noProof/>
            <w:webHidden/>
          </w:rPr>
          <w:instrText xml:space="preserve"> PAGEREF _Toc236929656 \h </w:instrText>
        </w:r>
        <w:r>
          <w:rPr>
            <w:noProof/>
            <w:webHidden/>
          </w:rPr>
        </w:r>
        <w:r>
          <w:rPr>
            <w:noProof/>
            <w:webHidden/>
          </w:rPr>
          <w:fldChar w:fldCharType="separate"/>
        </w:r>
        <w:r>
          <w:rPr>
            <w:noProof/>
            <w:webHidden/>
          </w:rPr>
          <w:t>62</w:t>
        </w:r>
        <w:r>
          <w:rPr>
            <w:noProof/>
            <w:webHidden/>
          </w:rPr>
          <w:fldChar w:fldCharType="end"/>
        </w:r>
      </w:hyperlink>
    </w:p>
    <w:p w14:paraId="009420D3" w14:textId="2269B9E2" w:rsidR="0094228B" w:rsidRDefault="0094228B">
      <w:pPr>
        <w:pStyle w:val="TOC1"/>
        <w:rPr>
          <w:rFonts w:asciiTheme="minorHAnsi" w:eastAsiaTheme="minorEastAsia" w:hAnsiTheme="minorHAnsi"/>
          <w:b w:val="0"/>
          <w:noProof/>
          <w:color w:val="auto"/>
          <w:sz w:val="24"/>
        </w:rPr>
      </w:pPr>
      <w:hyperlink w:anchor="_Toc236929657" w:history="1">
        <w:r w:rsidRPr="00FB14AE">
          <w:rPr>
            <w:rStyle w:val="Hyperlink"/>
            <w:noProof/>
          </w:rPr>
          <w:t>Part VII: Transparency, Continuity, and Final Provisions</w:t>
        </w:r>
        <w:r>
          <w:rPr>
            <w:noProof/>
            <w:webHidden/>
          </w:rPr>
          <w:tab/>
        </w:r>
        <w:r>
          <w:rPr>
            <w:noProof/>
            <w:webHidden/>
          </w:rPr>
          <w:fldChar w:fldCharType="begin"/>
        </w:r>
        <w:r>
          <w:rPr>
            <w:noProof/>
            <w:webHidden/>
          </w:rPr>
          <w:instrText xml:space="preserve"> PAGEREF _Toc236929657 \h </w:instrText>
        </w:r>
        <w:r>
          <w:rPr>
            <w:noProof/>
            <w:webHidden/>
          </w:rPr>
        </w:r>
        <w:r>
          <w:rPr>
            <w:noProof/>
            <w:webHidden/>
          </w:rPr>
          <w:fldChar w:fldCharType="separate"/>
        </w:r>
        <w:r>
          <w:rPr>
            <w:noProof/>
            <w:webHidden/>
          </w:rPr>
          <w:t>63</w:t>
        </w:r>
        <w:r>
          <w:rPr>
            <w:noProof/>
            <w:webHidden/>
          </w:rPr>
          <w:fldChar w:fldCharType="end"/>
        </w:r>
      </w:hyperlink>
    </w:p>
    <w:p w14:paraId="4DBC01CA" w14:textId="7E9B0864" w:rsidR="0094228B" w:rsidRDefault="0094228B">
      <w:pPr>
        <w:pStyle w:val="TOC1"/>
        <w:rPr>
          <w:rFonts w:asciiTheme="minorHAnsi" w:eastAsiaTheme="minorEastAsia" w:hAnsiTheme="minorHAnsi"/>
          <w:b w:val="0"/>
          <w:noProof/>
          <w:color w:val="auto"/>
          <w:sz w:val="24"/>
        </w:rPr>
      </w:pPr>
      <w:hyperlink w:anchor="_Toc236929658" w:history="1">
        <w:r w:rsidRPr="00FB14AE">
          <w:rPr>
            <w:rStyle w:val="Hyperlink"/>
            <w:noProof/>
          </w:rPr>
          <w:t>Article 23: Transparency and Public Information</w:t>
        </w:r>
        <w:r>
          <w:rPr>
            <w:noProof/>
            <w:webHidden/>
          </w:rPr>
          <w:tab/>
        </w:r>
        <w:r>
          <w:rPr>
            <w:noProof/>
            <w:webHidden/>
          </w:rPr>
          <w:fldChar w:fldCharType="begin"/>
        </w:r>
        <w:r>
          <w:rPr>
            <w:noProof/>
            <w:webHidden/>
          </w:rPr>
          <w:instrText xml:space="preserve"> PAGEREF _Toc236929658 \h </w:instrText>
        </w:r>
        <w:r>
          <w:rPr>
            <w:noProof/>
            <w:webHidden/>
          </w:rPr>
        </w:r>
        <w:r>
          <w:rPr>
            <w:noProof/>
            <w:webHidden/>
          </w:rPr>
          <w:fldChar w:fldCharType="separate"/>
        </w:r>
        <w:r>
          <w:rPr>
            <w:noProof/>
            <w:webHidden/>
          </w:rPr>
          <w:t>64</w:t>
        </w:r>
        <w:r>
          <w:rPr>
            <w:noProof/>
            <w:webHidden/>
          </w:rPr>
          <w:fldChar w:fldCharType="end"/>
        </w:r>
      </w:hyperlink>
    </w:p>
    <w:p w14:paraId="409D72A2" w14:textId="6F2CF465" w:rsidR="0094228B" w:rsidRDefault="0094228B">
      <w:pPr>
        <w:pStyle w:val="TOC2"/>
        <w:rPr>
          <w:rFonts w:asciiTheme="minorHAnsi" w:eastAsiaTheme="minorEastAsia" w:hAnsiTheme="minorHAnsi"/>
          <w:noProof/>
          <w:color w:val="auto"/>
          <w:sz w:val="24"/>
        </w:rPr>
      </w:pPr>
      <w:hyperlink w:anchor="_Toc236929659" w:history="1">
        <w:r w:rsidRPr="00FB14AE">
          <w:rPr>
            <w:rStyle w:val="Hyperlink"/>
            <w:noProof/>
          </w:rPr>
          <w:t>23.1 The Publications</w:t>
        </w:r>
        <w:r>
          <w:rPr>
            <w:noProof/>
            <w:webHidden/>
          </w:rPr>
          <w:tab/>
        </w:r>
        <w:r>
          <w:rPr>
            <w:noProof/>
            <w:webHidden/>
          </w:rPr>
          <w:fldChar w:fldCharType="begin"/>
        </w:r>
        <w:r>
          <w:rPr>
            <w:noProof/>
            <w:webHidden/>
          </w:rPr>
          <w:instrText xml:space="preserve"> PAGEREF _Toc236929659 \h </w:instrText>
        </w:r>
        <w:r>
          <w:rPr>
            <w:noProof/>
            <w:webHidden/>
          </w:rPr>
        </w:r>
        <w:r>
          <w:rPr>
            <w:noProof/>
            <w:webHidden/>
          </w:rPr>
          <w:fldChar w:fldCharType="separate"/>
        </w:r>
        <w:r>
          <w:rPr>
            <w:noProof/>
            <w:webHidden/>
          </w:rPr>
          <w:t>64</w:t>
        </w:r>
        <w:r>
          <w:rPr>
            <w:noProof/>
            <w:webHidden/>
          </w:rPr>
          <w:fldChar w:fldCharType="end"/>
        </w:r>
      </w:hyperlink>
    </w:p>
    <w:p w14:paraId="73438465" w14:textId="2830AD86" w:rsidR="0094228B" w:rsidRDefault="0094228B">
      <w:pPr>
        <w:pStyle w:val="TOC2"/>
        <w:rPr>
          <w:rFonts w:asciiTheme="minorHAnsi" w:eastAsiaTheme="minorEastAsia" w:hAnsiTheme="minorHAnsi"/>
          <w:noProof/>
          <w:color w:val="auto"/>
          <w:sz w:val="24"/>
        </w:rPr>
      </w:pPr>
      <w:hyperlink w:anchor="_Toc236929660" w:history="1">
        <w:r w:rsidRPr="00FB14AE">
          <w:rPr>
            <w:rStyle w:val="Hyperlink"/>
            <w:noProof/>
          </w:rPr>
          <w:t>23.2 The AIS Guidance Layer</w:t>
        </w:r>
        <w:r>
          <w:rPr>
            <w:noProof/>
            <w:webHidden/>
          </w:rPr>
          <w:tab/>
        </w:r>
        <w:r>
          <w:rPr>
            <w:noProof/>
            <w:webHidden/>
          </w:rPr>
          <w:fldChar w:fldCharType="begin"/>
        </w:r>
        <w:r>
          <w:rPr>
            <w:noProof/>
            <w:webHidden/>
          </w:rPr>
          <w:instrText xml:space="preserve"> PAGEREF _Toc236929660 \h </w:instrText>
        </w:r>
        <w:r>
          <w:rPr>
            <w:noProof/>
            <w:webHidden/>
          </w:rPr>
        </w:r>
        <w:r>
          <w:rPr>
            <w:noProof/>
            <w:webHidden/>
          </w:rPr>
          <w:fldChar w:fldCharType="separate"/>
        </w:r>
        <w:r>
          <w:rPr>
            <w:noProof/>
            <w:webHidden/>
          </w:rPr>
          <w:t>64</w:t>
        </w:r>
        <w:r>
          <w:rPr>
            <w:noProof/>
            <w:webHidden/>
          </w:rPr>
          <w:fldChar w:fldCharType="end"/>
        </w:r>
      </w:hyperlink>
    </w:p>
    <w:p w14:paraId="003B04D7" w14:textId="67344F54" w:rsidR="0094228B" w:rsidRDefault="0094228B">
      <w:pPr>
        <w:pStyle w:val="TOC2"/>
        <w:rPr>
          <w:rFonts w:asciiTheme="minorHAnsi" w:eastAsiaTheme="minorEastAsia" w:hAnsiTheme="minorHAnsi"/>
          <w:noProof/>
          <w:color w:val="auto"/>
          <w:sz w:val="24"/>
        </w:rPr>
      </w:pPr>
      <w:hyperlink w:anchor="_Toc236929661" w:history="1">
        <w:r w:rsidRPr="00FB14AE">
          <w:rPr>
            <w:rStyle w:val="Hyperlink"/>
            <w:noProof/>
          </w:rPr>
          <w:t>23.3 The Sequenced Disclosure Rule</w:t>
        </w:r>
        <w:r>
          <w:rPr>
            <w:noProof/>
            <w:webHidden/>
          </w:rPr>
          <w:tab/>
        </w:r>
        <w:r>
          <w:rPr>
            <w:noProof/>
            <w:webHidden/>
          </w:rPr>
          <w:fldChar w:fldCharType="begin"/>
        </w:r>
        <w:r>
          <w:rPr>
            <w:noProof/>
            <w:webHidden/>
          </w:rPr>
          <w:instrText xml:space="preserve"> PAGEREF _Toc236929661 \h </w:instrText>
        </w:r>
        <w:r>
          <w:rPr>
            <w:noProof/>
            <w:webHidden/>
          </w:rPr>
        </w:r>
        <w:r>
          <w:rPr>
            <w:noProof/>
            <w:webHidden/>
          </w:rPr>
          <w:fldChar w:fldCharType="separate"/>
        </w:r>
        <w:r>
          <w:rPr>
            <w:noProof/>
            <w:webHidden/>
          </w:rPr>
          <w:t>64</w:t>
        </w:r>
        <w:r>
          <w:rPr>
            <w:noProof/>
            <w:webHidden/>
          </w:rPr>
          <w:fldChar w:fldCharType="end"/>
        </w:r>
      </w:hyperlink>
    </w:p>
    <w:p w14:paraId="7335602E" w14:textId="525FE017" w:rsidR="0094228B" w:rsidRDefault="0094228B">
      <w:pPr>
        <w:pStyle w:val="TOC1"/>
        <w:rPr>
          <w:rFonts w:asciiTheme="minorHAnsi" w:eastAsiaTheme="minorEastAsia" w:hAnsiTheme="minorHAnsi"/>
          <w:b w:val="0"/>
          <w:noProof/>
          <w:color w:val="auto"/>
          <w:sz w:val="24"/>
        </w:rPr>
      </w:pPr>
      <w:hyperlink w:anchor="_Toc236929662" w:history="1">
        <w:r w:rsidRPr="00FB14AE">
          <w:rPr>
            <w:rStyle w:val="Hyperlink"/>
            <w:noProof/>
          </w:rPr>
          <w:t>Article 24: Crisis Continuity and Suspension Conditions</w:t>
        </w:r>
        <w:r>
          <w:rPr>
            <w:noProof/>
            <w:webHidden/>
          </w:rPr>
          <w:tab/>
        </w:r>
        <w:r>
          <w:rPr>
            <w:noProof/>
            <w:webHidden/>
          </w:rPr>
          <w:fldChar w:fldCharType="begin"/>
        </w:r>
        <w:r>
          <w:rPr>
            <w:noProof/>
            <w:webHidden/>
          </w:rPr>
          <w:instrText xml:space="preserve"> PAGEREF _Toc236929662 \h </w:instrText>
        </w:r>
        <w:r>
          <w:rPr>
            <w:noProof/>
            <w:webHidden/>
          </w:rPr>
        </w:r>
        <w:r>
          <w:rPr>
            <w:noProof/>
            <w:webHidden/>
          </w:rPr>
          <w:fldChar w:fldCharType="separate"/>
        </w:r>
        <w:r>
          <w:rPr>
            <w:noProof/>
            <w:webHidden/>
          </w:rPr>
          <w:t>65</w:t>
        </w:r>
        <w:r>
          <w:rPr>
            <w:noProof/>
            <w:webHidden/>
          </w:rPr>
          <w:fldChar w:fldCharType="end"/>
        </w:r>
      </w:hyperlink>
    </w:p>
    <w:p w14:paraId="61B7A7C4" w14:textId="72C636A0" w:rsidR="0094228B" w:rsidRDefault="0094228B">
      <w:pPr>
        <w:pStyle w:val="TOC2"/>
        <w:rPr>
          <w:rFonts w:asciiTheme="minorHAnsi" w:eastAsiaTheme="minorEastAsia" w:hAnsiTheme="minorHAnsi"/>
          <w:noProof/>
          <w:color w:val="auto"/>
          <w:sz w:val="24"/>
        </w:rPr>
      </w:pPr>
      <w:hyperlink w:anchor="_Toc236929663" w:history="1">
        <w:r w:rsidRPr="00FB14AE">
          <w:rPr>
            <w:rStyle w:val="Hyperlink"/>
            <w:noProof/>
          </w:rPr>
          <w:t>24.1 The Design Premise</w:t>
        </w:r>
        <w:r>
          <w:rPr>
            <w:noProof/>
            <w:webHidden/>
          </w:rPr>
          <w:tab/>
        </w:r>
        <w:r>
          <w:rPr>
            <w:noProof/>
            <w:webHidden/>
          </w:rPr>
          <w:fldChar w:fldCharType="begin"/>
        </w:r>
        <w:r>
          <w:rPr>
            <w:noProof/>
            <w:webHidden/>
          </w:rPr>
          <w:instrText xml:space="preserve"> PAGEREF _Toc236929663 \h </w:instrText>
        </w:r>
        <w:r>
          <w:rPr>
            <w:noProof/>
            <w:webHidden/>
          </w:rPr>
        </w:r>
        <w:r>
          <w:rPr>
            <w:noProof/>
            <w:webHidden/>
          </w:rPr>
          <w:fldChar w:fldCharType="separate"/>
        </w:r>
        <w:r>
          <w:rPr>
            <w:noProof/>
            <w:webHidden/>
          </w:rPr>
          <w:t>65</w:t>
        </w:r>
        <w:r>
          <w:rPr>
            <w:noProof/>
            <w:webHidden/>
          </w:rPr>
          <w:fldChar w:fldCharType="end"/>
        </w:r>
      </w:hyperlink>
    </w:p>
    <w:p w14:paraId="5DABF75F" w14:textId="2E8509E8" w:rsidR="0094228B" w:rsidRDefault="0094228B">
      <w:pPr>
        <w:pStyle w:val="TOC2"/>
        <w:rPr>
          <w:rFonts w:asciiTheme="minorHAnsi" w:eastAsiaTheme="minorEastAsia" w:hAnsiTheme="minorHAnsi"/>
          <w:noProof/>
          <w:color w:val="auto"/>
          <w:sz w:val="24"/>
        </w:rPr>
      </w:pPr>
      <w:hyperlink w:anchor="_Toc236929664" w:history="1">
        <w:r w:rsidRPr="00FB14AE">
          <w:rPr>
            <w:rStyle w:val="Hyperlink"/>
            <w:noProof/>
          </w:rPr>
          <w:t>24.2 The Crisis Procedure</w:t>
        </w:r>
        <w:r>
          <w:rPr>
            <w:noProof/>
            <w:webHidden/>
          </w:rPr>
          <w:tab/>
        </w:r>
        <w:r>
          <w:rPr>
            <w:noProof/>
            <w:webHidden/>
          </w:rPr>
          <w:fldChar w:fldCharType="begin"/>
        </w:r>
        <w:r>
          <w:rPr>
            <w:noProof/>
            <w:webHidden/>
          </w:rPr>
          <w:instrText xml:space="preserve"> PAGEREF _Toc236929664 \h </w:instrText>
        </w:r>
        <w:r>
          <w:rPr>
            <w:noProof/>
            <w:webHidden/>
          </w:rPr>
        </w:r>
        <w:r>
          <w:rPr>
            <w:noProof/>
            <w:webHidden/>
          </w:rPr>
          <w:fldChar w:fldCharType="separate"/>
        </w:r>
        <w:r>
          <w:rPr>
            <w:noProof/>
            <w:webHidden/>
          </w:rPr>
          <w:t>65</w:t>
        </w:r>
        <w:r>
          <w:rPr>
            <w:noProof/>
            <w:webHidden/>
          </w:rPr>
          <w:fldChar w:fldCharType="end"/>
        </w:r>
      </w:hyperlink>
    </w:p>
    <w:p w14:paraId="293DEA4E" w14:textId="00895DD8" w:rsidR="0094228B" w:rsidRDefault="0094228B">
      <w:pPr>
        <w:pStyle w:val="TOC2"/>
        <w:rPr>
          <w:rFonts w:asciiTheme="minorHAnsi" w:eastAsiaTheme="minorEastAsia" w:hAnsiTheme="minorHAnsi"/>
          <w:noProof/>
          <w:color w:val="auto"/>
          <w:sz w:val="24"/>
        </w:rPr>
      </w:pPr>
      <w:hyperlink w:anchor="_Toc236929665" w:history="1">
        <w:r w:rsidRPr="00FB14AE">
          <w:rPr>
            <w:rStyle w:val="Hyperlink"/>
            <w:noProof/>
          </w:rPr>
          <w:t>24.3 The Stuck-Pilot Fault</w:t>
        </w:r>
        <w:r>
          <w:rPr>
            <w:noProof/>
            <w:webHidden/>
          </w:rPr>
          <w:tab/>
        </w:r>
        <w:r>
          <w:rPr>
            <w:noProof/>
            <w:webHidden/>
          </w:rPr>
          <w:fldChar w:fldCharType="begin"/>
        </w:r>
        <w:r>
          <w:rPr>
            <w:noProof/>
            <w:webHidden/>
          </w:rPr>
          <w:instrText xml:space="preserve"> PAGEREF _Toc236929665 \h </w:instrText>
        </w:r>
        <w:r>
          <w:rPr>
            <w:noProof/>
            <w:webHidden/>
          </w:rPr>
        </w:r>
        <w:r>
          <w:rPr>
            <w:noProof/>
            <w:webHidden/>
          </w:rPr>
          <w:fldChar w:fldCharType="separate"/>
        </w:r>
        <w:r>
          <w:rPr>
            <w:noProof/>
            <w:webHidden/>
          </w:rPr>
          <w:t>65</w:t>
        </w:r>
        <w:r>
          <w:rPr>
            <w:noProof/>
            <w:webHidden/>
          </w:rPr>
          <w:fldChar w:fldCharType="end"/>
        </w:r>
      </w:hyperlink>
    </w:p>
    <w:p w14:paraId="4752704D" w14:textId="64C15A44" w:rsidR="0094228B" w:rsidRDefault="0094228B">
      <w:pPr>
        <w:pStyle w:val="TOC1"/>
        <w:rPr>
          <w:rFonts w:asciiTheme="minorHAnsi" w:eastAsiaTheme="minorEastAsia" w:hAnsiTheme="minorHAnsi"/>
          <w:b w:val="0"/>
          <w:noProof/>
          <w:color w:val="auto"/>
          <w:sz w:val="24"/>
        </w:rPr>
      </w:pPr>
      <w:hyperlink w:anchor="_Toc236929666" w:history="1">
        <w:r w:rsidRPr="00FB14AE">
          <w:rPr>
            <w:rStyle w:val="Hyperlink"/>
            <w:noProof/>
          </w:rPr>
          <w:t>Article 25: Relationship to Other Instruments</w:t>
        </w:r>
        <w:r>
          <w:rPr>
            <w:noProof/>
            <w:webHidden/>
          </w:rPr>
          <w:tab/>
        </w:r>
        <w:r>
          <w:rPr>
            <w:noProof/>
            <w:webHidden/>
          </w:rPr>
          <w:fldChar w:fldCharType="begin"/>
        </w:r>
        <w:r>
          <w:rPr>
            <w:noProof/>
            <w:webHidden/>
          </w:rPr>
          <w:instrText xml:space="preserve"> PAGEREF _Toc236929666 \h </w:instrText>
        </w:r>
        <w:r>
          <w:rPr>
            <w:noProof/>
            <w:webHidden/>
          </w:rPr>
        </w:r>
        <w:r>
          <w:rPr>
            <w:noProof/>
            <w:webHidden/>
          </w:rPr>
          <w:fldChar w:fldCharType="separate"/>
        </w:r>
        <w:r>
          <w:rPr>
            <w:noProof/>
            <w:webHidden/>
          </w:rPr>
          <w:t>66</w:t>
        </w:r>
        <w:r>
          <w:rPr>
            <w:noProof/>
            <w:webHidden/>
          </w:rPr>
          <w:fldChar w:fldCharType="end"/>
        </w:r>
      </w:hyperlink>
    </w:p>
    <w:p w14:paraId="40AB1C21" w14:textId="60871352" w:rsidR="0094228B" w:rsidRDefault="0094228B">
      <w:pPr>
        <w:pStyle w:val="TOC2"/>
        <w:rPr>
          <w:rFonts w:asciiTheme="minorHAnsi" w:eastAsiaTheme="minorEastAsia" w:hAnsiTheme="minorHAnsi"/>
          <w:noProof/>
          <w:color w:val="auto"/>
          <w:sz w:val="24"/>
        </w:rPr>
      </w:pPr>
      <w:hyperlink w:anchor="_Toc236929667" w:history="1">
        <w:r w:rsidRPr="00FB14AE">
          <w:rPr>
            <w:rStyle w:val="Hyperlink"/>
            <w:noProof/>
          </w:rPr>
          <w:t>25.1 International Law</w:t>
        </w:r>
        <w:r>
          <w:rPr>
            <w:noProof/>
            <w:webHidden/>
          </w:rPr>
          <w:tab/>
        </w:r>
        <w:r>
          <w:rPr>
            <w:noProof/>
            <w:webHidden/>
          </w:rPr>
          <w:fldChar w:fldCharType="begin"/>
        </w:r>
        <w:r>
          <w:rPr>
            <w:noProof/>
            <w:webHidden/>
          </w:rPr>
          <w:instrText xml:space="preserve"> PAGEREF _Toc236929667 \h </w:instrText>
        </w:r>
        <w:r>
          <w:rPr>
            <w:noProof/>
            <w:webHidden/>
          </w:rPr>
        </w:r>
        <w:r>
          <w:rPr>
            <w:noProof/>
            <w:webHidden/>
          </w:rPr>
          <w:fldChar w:fldCharType="separate"/>
        </w:r>
        <w:r>
          <w:rPr>
            <w:noProof/>
            <w:webHidden/>
          </w:rPr>
          <w:t>66</w:t>
        </w:r>
        <w:r>
          <w:rPr>
            <w:noProof/>
            <w:webHidden/>
          </w:rPr>
          <w:fldChar w:fldCharType="end"/>
        </w:r>
      </w:hyperlink>
    </w:p>
    <w:p w14:paraId="7F62F5E0" w14:textId="61FD2C96" w:rsidR="0094228B" w:rsidRDefault="0094228B">
      <w:pPr>
        <w:pStyle w:val="TOC2"/>
        <w:rPr>
          <w:rFonts w:asciiTheme="minorHAnsi" w:eastAsiaTheme="minorEastAsia" w:hAnsiTheme="minorHAnsi"/>
          <w:noProof/>
          <w:color w:val="auto"/>
          <w:sz w:val="24"/>
        </w:rPr>
      </w:pPr>
      <w:hyperlink w:anchor="_Toc236929668" w:history="1">
        <w:r w:rsidRPr="00FB14AE">
          <w:rPr>
            <w:rStyle w:val="Hyperlink"/>
            <w:noProof/>
          </w:rPr>
          <w:t>25.2 The Political Instruments of 2026</w:t>
        </w:r>
        <w:r>
          <w:rPr>
            <w:noProof/>
            <w:webHidden/>
          </w:rPr>
          <w:tab/>
        </w:r>
        <w:r>
          <w:rPr>
            <w:noProof/>
            <w:webHidden/>
          </w:rPr>
          <w:fldChar w:fldCharType="begin"/>
        </w:r>
        <w:r>
          <w:rPr>
            <w:noProof/>
            <w:webHidden/>
          </w:rPr>
          <w:instrText xml:space="preserve"> PAGEREF _Toc236929668 \h </w:instrText>
        </w:r>
        <w:r>
          <w:rPr>
            <w:noProof/>
            <w:webHidden/>
          </w:rPr>
        </w:r>
        <w:r>
          <w:rPr>
            <w:noProof/>
            <w:webHidden/>
          </w:rPr>
          <w:fldChar w:fldCharType="separate"/>
        </w:r>
        <w:r>
          <w:rPr>
            <w:noProof/>
            <w:webHidden/>
          </w:rPr>
          <w:t>66</w:t>
        </w:r>
        <w:r>
          <w:rPr>
            <w:noProof/>
            <w:webHidden/>
          </w:rPr>
          <w:fldChar w:fldCharType="end"/>
        </w:r>
      </w:hyperlink>
    </w:p>
    <w:p w14:paraId="127F950E" w14:textId="635716CA" w:rsidR="0094228B" w:rsidRDefault="0094228B">
      <w:pPr>
        <w:pStyle w:val="TOC2"/>
        <w:rPr>
          <w:rFonts w:asciiTheme="minorHAnsi" w:eastAsiaTheme="minorEastAsia" w:hAnsiTheme="minorHAnsi"/>
          <w:noProof/>
          <w:color w:val="auto"/>
          <w:sz w:val="24"/>
        </w:rPr>
      </w:pPr>
      <w:hyperlink w:anchor="_Toc236929669" w:history="1">
        <w:r w:rsidRPr="00FB14AE">
          <w:rPr>
            <w:rStyle w:val="Hyperlink"/>
            <w:noProof/>
          </w:rPr>
          <w:t>25.3 The Regional Undertaking</w:t>
        </w:r>
        <w:r>
          <w:rPr>
            <w:noProof/>
            <w:webHidden/>
          </w:rPr>
          <w:tab/>
        </w:r>
        <w:r>
          <w:rPr>
            <w:noProof/>
            <w:webHidden/>
          </w:rPr>
          <w:fldChar w:fldCharType="begin"/>
        </w:r>
        <w:r>
          <w:rPr>
            <w:noProof/>
            <w:webHidden/>
          </w:rPr>
          <w:instrText xml:space="preserve"> PAGEREF _Toc236929669 \h </w:instrText>
        </w:r>
        <w:r>
          <w:rPr>
            <w:noProof/>
            <w:webHidden/>
          </w:rPr>
        </w:r>
        <w:r>
          <w:rPr>
            <w:noProof/>
            <w:webHidden/>
          </w:rPr>
          <w:fldChar w:fldCharType="separate"/>
        </w:r>
        <w:r>
          <w:rPr>
            <w:noProof/>
            <w:webHidden/>
          </w:rPr>
          <w:t>66</w:t>
        </w:r>
        <w:r>
          <w:rPr>
            <w:noProof/>
            <w:webHidden/>
          </w:rPr>
          <w:fldChar w:fldCharType="end"/>
        </w:r>
      </w:hyperlink>
    </w:p>
    <w:p w14:paraId="4385E52B" w14:textId="1817016E" w:rsidR="0094228B" w:rsidRDefault="0094228B">
      <w:pPr>
        <w:pStyle w:val="TOC1"/>
        <w:rPr>
          <w:rFonts w:asciiTheme="minorHAnsi" w:eastAsiaTheme="minorEastAsia" w:hAnsiTheme="minorHAnsi"/>
          <w:b w:val="0"/>
          <w:noProof/>
          <w:color w:val="auto"/>
          <w:sz w:val="24"/>
        </w:rPr>
      </w:pPr>
      <w:hyperlink w:anchor="_Toc236929670" w:history="1">
        <w:r w:rsidRPr="00FB14AE">
          <w:rPr>
            <w:rStyle w:val="Hyperlink"/>
            <w:noProof/>
          </w:rPr>
          <w:t>Article 26: Signature, Entry into Force, Amendment, and Review</w:t>
        </w:r>
        <w:r>
          <w:rPr>
            <w:noProof/>
            <w:webHidden/>
          </w:rPr>
          <w:tab/>
        </w:r>
        <w:r>
          <w:rPr>
            <w:noProof/>
            <w:webHidden/>
          </w:rPr>
          <w:fldChar w:fldCharType="begin"/>
        </w:r>
        <w:r>
          <w:rPr>
            <w:noProof/>
            <w:webHidden/>
          </w:rPr>
          <w:instrText xml:space="preserve"> PAGEREF _Toc236929670 \h </w:instrText>
        </w:r>
        <w:r>
          <w:rPr>
            <w:noProof/>
            <w:webHidden/>
          </w:rPr>
        </w:r>
        <w:r>
          <w:rPr>
            <w:noProof/>
            <w:webHidden/>
          </w:rPr>
          <w:fldChar w:fldCharType="separate"/>
        </w:r>
        <w:r>
          <w:rPr>
            <w:noProof/>
            <w:webHidden/>
          </w:rPr>
          <w:t>68</w:t>
        </w:r>
        <w:r>
          <w:rPr>
            <w:noProof/>
            <w:webHidden/>
          </w:rPr>
          <w:fldChar w:fldCharType="end"/>
        </w:r>
      </w:hyperlink>
    </w:p>
    <w:p w14:paraId="02B58D79" w14:textId="6F366E14" w:rsidR="0094228B" w:rsidRDefault="0094228B">
      <w:pPr>
        <w:pStyle w:val="TOC2"/>
        <w:rPr>
          <w:rFonts w:asciiTheme="minorHAnsi" w:eastAsiaTheme="minorEastAsia" w:hAnsiTheme="minorHAnsi"/>
          <w:noProof/>
          <w:color w:val="auto"/>
          <w:sz w:val="24"/>
        </w:rPr>
      </w:pPr>
      <w:hyperlink w:anchor="_Toc236929671" w:history="1">
        <w:r w:rsidRPr="00FB14AE">
          <w:rPr>
            <w:rStyle w:val="Hyperlink"/>
            <w:noProof/>
          </w:rPr>
          <w:t>26.1 Signature and Entry into Force</w:t>
        </w:r>
        <w:r>
          <w:rPr>
            <w:noProof/>
            <w:webHidden/>
          </w:rPr>
          <w:tab/>
        </w:r>
        <w:r>
          <w:rPr>
            <w:noProof/>
            <w:webHidden/>
          </w:rPr>
          <w:fldChar w:fldCharType="begin"/>
        </w:r>
        <w:r>
          <w:rPr>
            <w:noProof/>
            <w:webHidden/>
          </w:rPr>
          <w:instrText xml:space="preserve"> PAGEREF _Toc236929671 \h </w:instrText>
        </w:r>
        <w:r>
          <w:rPr>
            <w:noProof/>
            <w:webHidden/>
          </w:rPr>
        </w:r>
        <w:r>
          <w:rPr>
            <w:noProof/>
            <w:webHidden/>
          </w:rPr>
          <w:fldChar w:fldCharType="separate"/>
        </w:r>
        <w:r>
          <w:rPr>
            <w:noProof/>
            <w:webHidden/>
          </w:rPr>
          <w:t>68</w:t>
        </w:r>
        <w:r>
          <w:rPr>
            <w:noProof/>
            <w:webHidden/>
          </w:rPr>
          <w:fldChar w:fldCharType="end"/>
        </w:r>
      </w:hyperlink>
    </w:p>
    <w:p w14:paraId="0A010F30" w14:textId="636186D6" w:rsidR="0094228B" w:rsidRDefault="0094228B">
      <w:pPr>
        <w:pStyle w:val="TOC2"/>
        <w:rPr>
          <w:rFonts w:asciiTheme="minorHAnsi" w:eastAsiaTheme="minorEastAsia" w:hAnsiTheme="minorHAnsi"/>
          <w:noProof/>
          <w:color w:val="auto"/>
          <w:sz w:val="24"/>
        </w:rPr>
      </w:pPr>
      <w:hyperlink w:anchor="_Toc236929672" w:history="1">
        <w:r w:rsidRPr="00FB14AE">
          <w:rPr>
            <w:rStyle w:val="Hyperlink"/>
            <w:noProof/>
          </w:rPr>
          <w:t>26.2 Amendment</w:t>
        </w:r>
        <w:r>
          <w:rPr>
            <w:noProof/>
            <w:webHidden/>
          </w:rPr>
          <w:tab/>
        </w:r>
        <w:r>
          <w:rPr>
            <w:noProof/>
            <w:webHidden/>
          </w:rPr>
          <w:fldChar w:fldCharType="begin"/>
        </w:r>
        <w:r>
          <w:rPr>
            <w:noProof/>
            <w:webHidden/>
          </w:rPr>
          <w:instrText xml:space="preserve"> PAGEREF _Toc236929672 \h </w:instrText>
        </w:r>
        <w:r>
          <w:rPr>
            <w:noProof/>
            <w:webHidden/>
          </w:rPr>
        </w:r>
        <w:r>
          <w:rPr>
            <w:noProof/>
            <w:webHidden/>
          </w:rPr>
          <w:fldChar w:fldCharType="separate"/>
        </w:r>
        <w:r>
          <w:rPr>
            <w:noProof/>
            <w:webHidden/>
          </w:rPr>
          <w:t>68</w:t>
        </w:r>
        <w:r>
          <w:rPr>
            <w:noProof/>
            <w:webHidden/>
          </w:rPr>
          <w:fldChar w:fldCharType="end"/>
        </w:r>
      </w:hyperlink>
    </w:p>
    <w:p w14:paraId="65B048B4" w14:textId="2C3D5C99" w:rsidR="0094228B" w:rsidRDefault="0094228B">
      <w:pPr>
        <w:pStyle w:val="TOC2"/>
        <w:rPr>
          <w:rFonts w:asciiTheme="minorHAnsi" w:eastAsiaTheme="minorEastAsia" w:hAnsiTheme="minorHAnsi"/>
          <w:noProof/>
          <w:color w:val="auto"/>
          <w:sz w:val="24"/>
        </w:rPr>
      </w:pPr>
      <w:hyperlink w:anchor="_Toc236929673" w:history="1">
        <w:r w:rsidRPr="00FB14AE">
          <w:rPr>
            <w:rStyle w:val="Hyperlink"/>
            <w:noProof/>
          </w:rPr>
          <w:t>26.3 The Review Summit</w:t>
        </w:r>
        <w:r>
          <w:rPr>
            <w:noProof/>
            <w:webHidden/>
          </w:rPr>
          <w:tab/>
        </w:r>
        <w:r>
          <w:rPr>
            <w:noProof/>
            <w:webHidden/>
          </w:rPr>
          <w:fldChar w:fldCharType="begin"/>
        </w:r>
        <w:r>
          <w:rPr>
            <w:noProof/>
            <w:webHidden/>
          </w:rPr>
          <w:instrText xml:space="preserve"> PAGEREF _Toc236929673 \h </w:instrText>
        </w:r>
        <w:r>
          <w:rPr>
            <w:noProof/>
            <w:webHidden/>
          </w:rPr>
        </w:r>
        <w:r>
          <w:rPr>
            <w:noProof/>
            <w:webHidden/>
          </w:rPr>
          <w:fldChar w:fldCharType="separate"/>
        </w:r>
        <w:r>
          <w:rPr>
            <w:noProof/>
            <w:webHidden/>
          </w:rPr>
          <w:t>68</w:t>
        </w:r>
        <w:r>
          <w:rPr>
            <w:noProof/>
            <w:webHidden/>
          </w:rPr>
          <w:fldChar w:fldCharType="end"/>
        </w:r>
      </w:hyperlink>
    </w:p>
    <w:p w14:paraId="36E20EED" w14:textId="6FD4550A" w:rsidR="0094228B" w:rsidRDefault="0094228B">
      <w:pPr>
        <w:pStyle w:val="TOC2"/>
        <w:rPr>
          <w:rFonts w:asciiTheme="minorHAnsi" w:eastAsiaTheme="minorEastAsia" w:hAnsiTheme="minorHAnsi"/>
          <w:noProof/>
          <w:color w:val="auto"/>
          <w:sz w:val="24"/>
        </w:rPr>
      </w:pPr>
      <w:hyperlink w:anchor="_Toc236929674" w:history="1">
        <w:r w:rsidRPr="00FB14AE">
          <w:rPr>
            <w:rStyle w:val="Hyperlink"/>
            <w:noProof/>
          </w:rPr>
          <w:t>26.4 Withdrawal and Its Engineering</w:t>
        </w:r>
        <w:r>
          <w:rPr>
            <w:noProof/>
            <w:webHidden/>
          </w:rPr>
          <w:tab/>
        </w:r>
        <w:r>
          <w:rPr>
            <w:noProof/>
            <w:webHidden/>
          </w:rPr>
          <w:fldChar w:fldCharType="begin"/>
        </w:r>
        <w:r>
          <w:rPr>
            <w:noProof/>
            <w:webHidden/>
          </w:rPr>
          <w:instrText xml:space="preserve"> PAGEREF _Toc236929674 \h </w:instrText>
        </w:r>
        <w:r>
          <w:rPr>
            <w:noProof/>
            <w:webHidden/>
          </w:rPr>
        </w:r>
        <w:r>
          <w:rPr>
            <w:noProof/>
            <w:webHidden/>
          </w:rPr>
          <w:fldChar w:fldCharType="separate"/>
        </w:r>
        <w:r>
          <w:rPr>
            <w:noProof/>
            <w:webHidden/>
          </w:rPr>
          <w:t>68</w:t>
        </w:r>
        <w:r>
          <w:rPr>
            <w:noProof/>
            <w:webHidden/>
          </w:rPr>
          <w:fldChar w:fldCharType="end"/>
        </w:r>
      </w:hyperlink>
    </w:p>
    <w:p w14:paraId="19637A15" w14:textId="0EC345F3" w:rsidR="0094228B" w:rsidRDefault="0094228B">
      <w:pPr>
        <w:pStyle w:val="TOC2"/>
        <w:rPr>
          <w:rFonts w:asciiTheme="minorHAnsi" w:eastAsiaTheme="minorEastAsia" w:hAnsiTheme="minorHAnsi"/>
          <w:noProof/>
          <w:color w:val="auto"/>
          <w:sz w:val="24"/>
        </w:rPr>
      </w:pPr>
      <w:hyperlink w:anchor="_Toc236929675" w:history="1">
        <w:r w:rsidRPr="00FB14AE">
          <w:rPr>
            <w:rStyle w:val="Hyperlink"/>
            <w:noProof/>
          </w:rPr>
          <w:t>26.5 Depositary and Authentic Texts</w:t>
        </w:r>
        <w:r>
          <w:rPr>
            <w:noProof/>
            <w:webHidden/>
          </w:rPr>
          <w:tab/>
        </w:r>
        <w:r>
          <w:rPr>
            <w:noProof/>
            <w:webHidden/>
          </w:rPr>
          <w:fldChar w:fldCharType="begin"/>
        </w:r>
        <w:r>
          <w:rPr>
            <w:noProof/>
            <w:webHidden/>
          </w:rPr>
          <w:instrText xml:space="preserve"> PAGEREF _Toc236929675 \h </w:instrText>
        </w:r>
        <w:r>
          <w:rPr>
            <w:noProof/>
            <w:webHidden/>
          </w:rPr>
        </w:r>
        <w:r>
          <w:rPr>
            <w:noProof/>
            <w:webHidden/>
          </w:rPr>
          <w:fldChar w:fldCharType="separate"/>
        </w:r>
        <w:r>
          <w:rPr>
            <w:noProof/>
            <w:webHidden/>
          </w:rPr>
          <w:t>69</w:t>
        </w:r>
        <w:r>
          <w:rPr>
            <w:noProof/>
            <w:webHidden/>
          </w:rPr>
          <w:fldChar w:fldCharType="end"/>
        </w:r>
      </w:hyperlink>
    </w:p>
    <w:p w14:paraId="184F4542" w14:textId="00ABA9A5" w:rsidR="0094228B" w:rsidRDefault="0094228B">
      <w:pPr>
        <w:pStyle w:val="TOC1"/>
        <w:rPr>
          <w:rFonts w:asciiTheme="minorHAnsi" w:eastAsiaTheme="minorEastAsia" w:hAnsiTheme="minorHAnsi"/>
          <w:b w:val="0"/>
          <w:noProof/>
          <w:color w:val="auto"/>
          <w:sz w:val="24"/>
        </w:rPr>
      </w:pPr>
      <w:hyperlink w:anchor="_Toc236929676" w:history="1">
        <w:r w:rsidRPr="00FB14AE">
          <w:rPr>
            <w:rStyle w:val="Hyperlink"/>
            <w:noProof/>
          </w:rPr>
          <w:t>Annex A: Corridor Coordinates, Routing Geometry, and Publication Protocol</w:t>
        </w:r>
        <w:r>
          <w:rPr>
            <w:noProof/>
            <w:webHidden/>
          </w:rPr>
          <w:tab/>
        </w:r>
        <w:r>
          <w:rPr>
            <w:noProof/>
            <w:webHidden/>
          </w:rPr>
          <w:fldChar w:fldCharType="begin"/>
        </w:r>
        <w:r>
          <w:rPr>
            <w:noProof/>
            <w:webHidden/>
          </w:rPr>
          <w:instrText xml:space="preserve"> PAGEREF _Toc236929676 \h </w:instrText>
        </w:r>
        <w:r>
          <w:rPr>
            <w:noProof/>
            <w:webHidden/>
          </w:rPr>
        </w:r>
        <w:r>
          <w:rPr>
            <w:noProof/>
            <w:webHidden/>
          </w:rPr>
          <w:fldChar w:fldCharType="separate"/>
        </w:r>
        <w:r>
          <w:rPr>
            <w:noProof/>
            <w:webHidden/>
          </w:rPr>
          <w:t>70</w:t>
        </w:r>
        <w:r>
          <w:rPr>
            <w:noProof/>
            <w:webHidden/>
          </w:rPr>
          <w:fldChar w:fldCharType="end"/>
        </w:r>
      </w:hyperlink>
    </w:p>
    <w:p w14:paraId="3420AF59" w14:textId="6044DAF9" w:rsidR="0094228B" w:rsidRDefault="0094228B">
      <w:pPr>
        <w:pStyle w:val="TOC2"/>
        <w:rPr>
          <w:rFonts w:asciiTheme="minorHAnsi" w:eastAsiaTheme="minorEastAsia" w:hAnsiTheme="minorHAnsi"/>
          <w:noProof/>
          <w:color w:val="auto"/>
          <w:sz w:val="24"/>
        </w:rPr>
      </w:pPr>
      <w:hyperlink w:anchor="_Toc236929677" w:history="1">
        <w:r w:rsidRPr="00FB14AE">
          <w:rPr>
            <w:rStyle w:val="Hyperlink"/>
            <w:noProof/>
          </w:rPr>
          <w:t>A.1 The Framework Area</w:t>
        </w:r>
        <w:r>
          <w:rPr>
            <w:noProof/>
            <w:webHidden/>
          </w:rPr>
          <w:tab/>
        </w:r>
        <w:r>
          <w:rPr>
            <w:noProof/>
            <w:webHidden/>
          </w:rPr>
          <w:fldChar w:fldCharType="begin"/>
        </w:r>
        <w:r>
          <w:rPr>
            <w:noProof/>
            <w:webHidden/>
          </w:rPr>
          <w:instrText xml:space="preserve"> PAGEREF _Toc236929677 \h </w:instrText>
        </w:r>
        <w:r>
          <w:rPr>
            <w:noProof/>
            <w:webHidden/>
          </w:rPr>
        </w:r>
        <w:r>
          <w:rPr>
            <w:noProof/>
            <w:webHidden/>
          </w:rPr>
          <w:fldChar w:fldCharType="separate"/>
        </w:r>
        <w:r>
          <w:rPr>
            <w:noProof/>
            <w:webHidden/>
          </w:rPr>
          <w:t>70</w:t>
        </w:r>
        <w:r>
          <w:rPr>
            <w:noProof/>
            <w:webHidden/>
          </w:rPr>
          <w:fldChar w:fldCharType="end"/>
        </w:r>
      </w:hyperlink>
    </w:p>
    <w:p w14:paraId="64F3AFEA" w14:textId="017FEAE9" w:rsidR="0094228B" w:rsidRDefault="0094228B">
      <w:pPr>
        <w:pStyle w:val="TOC2"/>
        <w:rPr>
          <w:rFonts w:asciiTheme="minorHAnsi" w:eastAsiaTheme="minorEastAsia" w:hAnsiTheme="minorHAnsi"/>
          <w:noProof/>
          <w:color w:val="auto"/>
          <w:sz w:val="24"/>
        </w:rPr>
      </w:pPr>
      <w:hyperlink w:anchor="_Toc236929678" w:history="1">
        <w:r w:rsidRPr="00FB14AE">
          <w:rPr>
            <w:rStyle w:val="Hyperlink"/>
            <w:noProof/>
          </w:rPr>
          <w:t>A.2 The Coordinate Architecture</w:t>
        </w:r>
        <w:r>
          <w:rPr>
            <w:noProof/>
            <w:webHidden/>
          </w:rPr>
          <w:tab/>
        </w:r>
        <w:r>
          <w:rPr>
            <w:noProof/>
            <w:webHidden/>
          </w:rPr>
          <w:fldChar w:fldCharType="begin"/>
        </w:r>
        <w:r>
          <w:rPr>
            <w:noProof/>
            <w:webHidden/>
          </w:rPr>
          <w:instrText xml:space="preserve"> PAGEREF _Toc236929678 \h </w:instrText>
        </w:r>
        <w:r>
          <w:rPr>
            <w:noProof/>
            <w:webHidden/>
          </w:rPr>
        </w:r>
        <w:r>
          <w:rPr>
            <w:noProof/>
            <w:webHidden/>
          </w:rPr>
          <w:fldChar w:fldCharType="separate"/>
        </w:r>
        <w:r>
          <w:rPr>
            <w:noProof/>
            <w:webHidden/>
          </w:rPr>
          <w:t>70</w:t>
        </w:r>
        <w:r>
          <w:rPr>
            <w:noProof/>
            <w:webHidden/>
          </w:rPr>
          <w:fldChar w:fldCharType="end"/>
        </w:r>
      </w:hyperlink>
    </w:p>
    <w:p w14:paraId="73B081E4" w14:textId="42559C2A" w:rsidR="0094228B" w:rsidRDefault="0094228B">
      <w:pPr>
        <w:pStyle w:val="TOC2"/>
        <w:rPr>
          <w:rFonts w:asciiTheme="minorHAnsi" w:eastAsiaTheme="minorEastAsia" w:hAnsiTheme="minorHAnsi"/>
          <w:noProof/>
          <w:color w:val="auto"/>
          <w:sz w:val="24"/>
        </w:rPr>
      </w:pPr>
      <w:hyperlink w:anchor="_Toc236929679" w:history="1">
        <w:r w:rsidRPr="00FB14AE">
          <w:rPr>
            <w:rStyle w:val="Hyperlink"/>
            <w:noProof/>
          </w:rPr>
          <w:t>A.3 Provisional and Final Coordinates</w:t>
        </w:r>
        <w:r>
          <w:rPr>
            <w:noProof/>
            <w:webHidden/>
          </w:rPr>
          <w:tab/>
        </w:r>
        <w:r>
          <w:rPr>
            <w:noProof/>
            <w:webHidden/>
          </w:rPr>
          <w:fldChar w:fldCharType="begin"/>
        </w:r>
        <w:r>
          <w:rPr>
            <w:noProof/>
            <w:webHidden/>
          </w:rPr>
          <w:instrText xml:space="preserve"> PAGEREF _Toc236929679 \h </w:instrText>
        </w:r>
        <w:r>
          <w:rPr>
            <w:noProof/>
            <w:webHidden/>
          </w:rPr>
        </w:r>
        <w:r>
          <w:rPr>
            <w:noProof/>
            <w:webHidden/>
          </w:rPr>
          <w:fldChar w:fldCharType="separate"/>
        </w:r>
        <w:r>
          <w:rPr>
            <w:noProof/>
            <w:webHidden/>
          </w:rPr>
          <w:t>71</w:t>
        </w:r>
        <w:r>
          <w:rPr>
            <w:noProof/>
            <w:webHidden/>
          </w:rPr>
          <w:fldChar w:fldCharType="end"/>
        </w:r>
      </w:hyperlink>
    </w:p>
    <w:p w14:paraId="5573F885" w14:textId="7632AA49" w:rsidR="0094228B" w:rsidRDefault="0094228B">
      <w:pPr>
        <w:pStyle w:val="TOC2"/>
        <w:rPr>
          <w:rFonts w:asciiTheme="minorHAnsi" w:eastAsiaTheme="minorEastAsia" w:hAnsiTheme="minorHAnsi"/>
          <w:noProof/>
          <w:color w:val="auto"/>
          <w:sz w:val="24"/>
        </w:rPr>
      </w:pPr>
      <w:hyperlink w:anchor="_Toc236929680" w:history="1">
        <w:r w:rsidRPr="00FB14AE">
          <w:rPr>
            <w:rStyle w:val="Hyperlink"/>
            <w:noProof/>
          </w:rPr>
          <w:t>A.4 Aids to Navigation Schedule</w:t>
        </w:r>
        <w:r>
          <w:rPr>
            <w:noProof/>
            <w:webHidden/>
          </w:rPr>
          <w:tab/>
        </w:r>
        <w:r>
          <w:rPr>
            <w:noProof/>
            <w:webHidden/>
          </w:rPr>
          <w:fldChar w:fldCharType="begin"/>
        </w:r>
        <w:r>
          <w:rPr>
            <w:noProof/>
            <w:webHidden/>
          </w:rPr>
          <w:instrText xml:space="preserve"> PAGEREF _Toc236929680 \h </w:instrText>
        </w:r>
        <w:r>
          <w:rPr>
            <w:noProof/>
            <w:webHidden/>
          </w:rPr>
        </w:r>
        <w:r>
          <w:rPr>
            <w:noProof/>
            <w:webHidden/>
          </w:rPr>
          <w:fldChar w:fldCharType="separate"/>
        </w:r>
        <w:r>
          <w:rPr>
            <w:noProof/>
            <w:webHidden/>
          </w:rPr>
          <w:t>71</w:t>
        </w:r>
        <w:r>
          <w:rPr>
            <w:noProof/>
            <w:webHidden/>
          </w:rPr>
          <w:fldChar w:fldCharType="end"/>
        </w:r>
      </w:hyperlink>
    </w:p>
    <w:p w14:paraId="5D11E759" w14:textId="0C0EF198" w:rsidR="0094228B" w:rsidRDefault="0094228B">
      <w:pPr>
        <w:pStyle w:val="TOC2"/>
        <w:rPr>
          <w:rFonts w:asciiTheme="minorHAnsi" w:eastAsiaTheme="minorEastAsia" w:hAnsiTheme="minorHAnsi"/>
          <w:noProof/>
          <w:color w:val="auto"/>
          <w:sz w:val="24"/>
        </w:rPr>
      </w:pPr>
      <w:hyperlink w:anchor="_Toc236929681" w:history="1">
        <w:r w:rsidRPr="00FB14AE">
          <w:rPr>
            <w:rStyle w:val="Hyperlink"/>
            <w:noProof/>
          </w:rPr>
          <w:t>A.5 Charting and Notice to Mariners</w:t>
        </w:r>
        <w:r>
          <w:rPr>
            <w:noProof/>
            <w:webHidden/>
          </w:rPr>
          <w:tab/>
        </w:r>
        <w:r>
          <w:rPr>
            <w:noProof/>
            <w:webHidden/>
          </w:rPr>
          <w:fldChar w:fldCharType="begin"/>
        </w:r>
        <w:r>
          <w:rPr>
            <w:noProof/>
            <w:webHidden/>
          </w:rPr>
          <w:instrText xml:space="preserve"> PAGEREF _Toc236929681 \h </w:instrText>
        </w:r>
        <w:r>
          <w:rPr>
            <w:noProof/>
            <w:webHidden/>
          </w:rPr>
        </w:r>
        <w:r>
          <w:rPr>
            <w:noProof/>
            <w:webHidden/>
          </w:rPr>
          <w:fldChar w:fldCharType="separate"/>
        </w:r>
        <w:r>
          <w:rPr>
            <w:noProof/>
            <w:webHidden/>
          </w:rPr>
          <w:t>72</w:t>
        </w:r>
        <w:r>
          <w:rPr>
            <w:noProof/>
            <w:webHidden/>
          </w:rPr>
          <w:fldChar w:fldCharType="end"/>
        </w:r>
      </w:hyperlink>
    </w:p>
    <w:p w14:paraId="12E523CA" w14:textId="0BF9D061" w:rsidR="0094228B" w:rsidRDefault="0094228B">
      <w:pPr>
        <w:pStyle w:val="TOC1"/>
        <w:rPr>
          <w:rFonts w:asciiTheme="minorHAnsi" w:eastAsiaTheme="minorEastAsia" w:hAnsiTheme="minorHAnsi"/>
          <w:b w:val="0"/>
          <w:noProof/>
          <w:color w:val="auto"/>
          <w:sz w:val="24"/>
        </w:rPr>
      </w:pPr>
      <w:hyperlink w:anchor="_Toc236929682" w:history="1">
        <w:r w:rsidRPr="00FB14AE">
          <w:rPr>
            <w:rStyle w:val="Hyperlink"/>
            <w:noProof/>
          </w:rPr>
          <w:t>Annex B: Environmental Monitoring and Mine-Risk Response Protocol</w:t>
        </w:r>
        <w:r>
          <w:rPr>
            <w:noProof/>
            <w:webHidden/>
          </w:rPr>
          <w:tab/>
        </w:r>
        <w:r>
          <w:rPr>
            <w:noProof/>
            <w:webHidden/>
          </w:rPr>
          <w:fldChar w:fldCharType="begin"/>
        </w:r>
        <w:r>
          <w:rPr>
            <w:noProof/>
            <w:webHidden/>
          </w:rPr>
          <w:instrText xml:space="preserve"> PAGEREF _Toc236929682 \h </w:instrText>
        </w:r>
        <w:r>
          <w:rPr>
            <w:noProof/>
            <w:webHidden/>
          </w:rPr>
        </w:r>
        <w:r>
          <w:rPr>
            <w:noProof/>
            <w:webHidden/>
          </w:rPr>
          <w:fldChar w:fldCharType="separate"/>
        </w:r>
        <w:r>
          <w:rPr>
            <w:noProof/>
            <w:webHidden/>
          </w:rPr>
          <w:t>73</w:t>
        </w:r>
        <w:r>
          <w:rPr>
            <w:noProof/>
            <w:webHidden/>
          </w:rPr>
          <w:fldChar w:fldCharType="end"/>
        </w:r>
      </w:hyperlink>
    </w:p>
    <w:p w14:paraId="7B9AC9C8" w14:textId="0621E937" w:rsidR="0094228B" w:rsidRDefault="0094228B">
      <w:pPr>
        <w:pStyle w:val="TOC2"/>
        <w:rPr>
          <w:rFonts w:asciiTheme="minorHAnsi" w:eastAsiaTheme="minorEastAsia" w:hAnsiTheme="minorHAnsi"/>
          <w:noProof/>
          <w:color w:val="auto"/>
          <w:sz w:val="24"/>
        </w:rPr>
      </w:pPr>
      <w:hyperlink w:anchor="_Toc236929683" w:history="1">
        <w:r w:rsidRPr="00FB14AE">
          <w:rPr>
            <w:rStyle w:val="Hyperlink"/>
            <w:noProof/>
          </w:rPr>
          <w:t>B.1 The Environmental Baseline</w:t>
        </w:r>
        <w:r>
          <w:rPr>
            <w:noProof/>
            <w:webHidden/>
          </w:rPr>
          <w:tab/>
        </w:r>
        <w:r>
          <w:rPr>
            <w:noProof/>
            <w:webHidden/>
          </w:rPr>
          <w:fldChar w:fldCharType="begin"/>
        </w:r>
        <w:r>
          <w:rPr>
            <w:noProof/>
            <w:webHidden/>
          </w:rPr>
          <w:instrText xml:space="preserve"> PAGEREF _Toc236929683 \h </w:instrText>
        </w:r>
        <w:r>
          <w:rPr>
            <w:noProof/>
            <w:webHidden/>
          </w:rPr>
        </w:r>
        <w:r>
          <w:rPr>
            <w:noProof/>
            <w:webHidden/>
          </w:rPr>
          <w:fldChar w:fldCharType="separate"/>
        </w:r>
        <w:r>
          <w:rPr>
            <w:noProof/>
            <w:webHidden/>
          </w:rPr>
          <w:t>73</w:t>
        </w:r>
        <w:r>
          <w:rPr>
            <w:noProof/>
            <w:webHidden/>
          </w:rPr>
          <w:fldChar w:fldCharType="end"/>
        </w:r>
      </w:hyperlink>
    </w:p>
    <w:p w14:paraId="7C3BEFD8" w14:textId="3DA93DBD" w:rsidR="0094228B" w:rsidRDefault="0094228B">
      <w:pPr>
        <w:pStyle w:val="TOC2"/>
        <w:rPr>
          <w:rFonts w:asciiTheme="minorHAnsi" w:eastAsiaTheme="minorEastAsia" w:hAnsiTheme="minorHAnsi"/>
          <w:noProof/>
          <w:color w:val="auto"/>
          <w:sz w:val="24"/>
        </w:rPr>
      </w:pPr>
      <w:hyperlink w:anchor="_Toc236929684" w:history="1">
        <w:r w:rsidRPr="00FB14AE">
          <w:rPr>
            <w:rStyle w:val="Hyperlink"/>
            <w:noProof/>
          </w:rPr>
          <w:t>B.2 Vessel Standards in the Corridors</w:t>
        </w:r>
        <w:r>
          <w:rPr>
            <w:noProof/>
            <w:webHidden/>
          </w:rPr>
          <w:tab/>
        </w:r>
        <w:r>
          <w:rPr>
            <w:noProof/>
            <w:webHidden/>
          </w:rPr>
          <w:fldChar w:fldCharType="begin"/>
        </w:r>
        <w:r>
          <w:rPr>
            <w:noProof/>
            <w:webHidden/>
          </w:rPr>
          <w:instrText xml:space="preserve"> PAGEREF _Toc236929684 \h </w:instrText>
        </w:r>
        <w:r>
          <w:rPr>
            <w:noProof/>
            <w:webHidden/>
          </w:rPr>
        </w:r>
        <w:r>
          <w:rPr>
            <w:noProof/>
            <w:webHidden/>
          </w:rPr>
          <w:fldChar w:fldCharType="separate"/>
        </w:r>
        <w:r>
          <w:rPr>
            <w:noProof/>
            <w:webHidden/>
          </w:rPr>
          <w:t>73</w:t>
        </w:r>
        <w:r>
          <w:rPr>
            <w:noProof/>
            <w:webHidden/>
          </w:rPr>
          <w:fldChar w:fldCharType="end"/>
        </w:r>
      </w:hyperlink>
    </w:p>
    <w:p w14:paraId="226D2AC8" w14:textId="72451B2A" w:rsidR="0094228B" w:rsidRDefault="0094228B">
      <w:pPr>
        <w:pStyle w:val="TOC2"/>
        <w:rPr>
          <w:rFonts w:asciiTheme="minorHAnsi" w:eastAsiaTheme="minorEastAsia" w:hAnsiTheme="minorHAnsi"/>
          <w:noProof/>
          <w:color w:val="auto"/>
          <w:sz w:val="24"/>
        </w:rPr>
      </w:pPr>
      <w:hyperlink w:anchor="_Toc236929685" w:history="1">
        <w:r w:rsidRPr="00FB14AE">
          <w:rPr>
            <w:rStyle w:val="Hyperlink"/>
            <w:noProof/>
          </w:rPr>
          <w:t>B.3 The Joint Spill Response Capability</w:t>
        </w:r>
        <w:r>
          <w:rPr>
            <w:noProof/>
            <w:webHidden/>
          </w:rPr>
          <w:tab/>
        </w:r>
        <w:r>
          <w:rPr>
            <w:noProof/>
            <w:webHidden/>
          </w:rPr>
          <w:fldChar w:fldCharType="begin"/>
        </w:r>
        <w:r>
          <w:rPr>
            <w:noProof/>
            <w:webHidden/>
          </w:rPr>
          <w:instrText xml:space="preserve"> PAGEREF _Toc236929685 \h </w:instrText>
        </w:r>
        <w:r>
          <w:rPr>
            <w:noProof/>
            <w:webHidden/>
          </w:rPr>
        </w:r>
        <w:r>
          <w:rPr>
            <w:noProof/>
            <w:webHidden/>
          </w:rPr>
          <w:fldChar w:fldCharType="separate"/>
        </w:r>
        <w:r>
          <w:rPr>
            <w:noProof/>
            <w:webHidden/>
          </w:rPr>
          <w:t>74</w:t>
        </w:r>
        <w:r>
          <w:rPr>
            <w:noProof/>
            <w:webHidden/>
          </w:rPr>
          <w:fldChar w:fldCharType="end"/>
        </w:r>
      </w:hyperlink>
    </w:p>
    <w:p w14:paraId="510EF121" w14:textId="2E09EE58" w:rsidR="0094228B" w:rsidRDefault="0094228B">
      <w:pPr>
        <w:pStyle w:val="TOC2"/>
        <w:rPr>
          <w:rFonts w:asciiTheme="minorHAnsi" w:eastAsiaTheme="minorEastAsia" w:hAnsiTheme="minorHAnsi"/>
          <w:noProof/>
          <w:color w:val="auto"/>
          <w:sz w:val="24"/>
        </w:rPr>
      </w:pPr>
      <w:hyperlink w:anchor="_Toc236929686" w:history="1">
        <w:r w:rsidRPr="00FB14AE">
          <w:rPr>
            <w:rStyle w:val="Hyperlink"/>
            <w:noProof/>
          </w:rPr>
          <w:t>B.4 The Mine-Risk Response Protocol</w:t>
        </w:r>
        <w:r>
          <w:rPr>
            <w:noProof/>
            <w:webHidden/>
          </w:rPr>
          <w:tab/>
        </w:r>
        <w:r>
          <w:rPr>
            <w:noProof/>
            <w:webHidden/>
          </w:rPr>
          <w:fldChar w:fldCharType="begin"/>
        </w:r>
        <w:r>
          <w:rPr>
            <w:noProof/>
            <w:webHidden/>
          </w:rPr>
          <w:instrText xml:space="preserve"> PAGEREF _Toc236929686 \h </w:instrText>
        </w:r>
        <w:r>
          <w:rPr>
            <w:noProof/>
            <w:webHidden/>
          </w:rPr>
        </w:r>
        <w:r>
          <w:rPr>
            <w:noProof/>
            <w:webHidden/>
          </w:rPr>
          <w:fldChar w:fldCharType="separate"/>
        </w:r>
        <w:r>
          <w:rPr>
            <w:noProof/>
            <w:webHidden/>
          </w:rPr>
          <w:t>74</w:t>
        </w:r>
        <w:r>
          <w:rPr>
            <w:noProof/>
            <w:webHidden/>
          </w:rPr>
          <w:fldChar w:fldCharType="end"/>
        </w:r>
      </w:hyperlink>
    </w:p>
    <w:p w14:paraId="45455ADA" w14:textId="5DF4944F" w:rsidR="0094228B" w:rsidRDefault="0094228B">
      <w:pPr>
        <w:pStyle w:val="TOC2"/>
        <w:rPr>
          <w:rFonts w:asciiTheme="minorHAnsi" w:eastAsiaTheme="minorEastAsia" w:hAnsiTheme="minorHAnsi"/>
          <w:noProof/>
          <w:color w:val="auto"/>
          <w:sz w:val="24"/>
        </w:rPr>
      </w:pPr>
      <w:hyperlink w:anchor="_Toc236929687" w:history="1">
        <w:r w:rsidRPr="00FB14AE">
          <w:rPr>
            <w:rStyle w:val="Hyperlink"/>
            <w:noProof/>
          </w:rPr>
          <w:t>B.5 Environmental Liability</w:t>
        </w:r>
        <w:r>
          <w:rPr>
            <w:noProof/>
            <w:webHidden/>
          </w:rPr>
          <w:tab/>
        </w:r>
        <w:r>
          <w:rPr>
            <w:noProof/>
            <w:webHidden/>
          </w:rPr>
          <w:fldChar w:fldCharType="begin"/>
        </w:r>
        <w:r>
          <w:rPr>
            <w:noProof/>
            <w:webHidden/>
          </w:rPr>
          <w:instrText xml:space="preserve"> PAGEREF _Toc236929687 \h </w:instrText>
        </w:r>
        <w:r>
          <w:rPr>
            <w:noProof/>
            <w:webHidden/>
          </w:rPr>
        </w:r>
        <w:r>
          <w:rPr>
            <w:noProof/>
            <w:webHidden/>
          </w:rPr>
          <w:fldChar w:fldCharType="separate"/>
        </w:r>
        <w:r>
          <w:rPr>
            <w:noProof/>
            <w:webHidden/>
          </w:rPr>
          <w:t>74</w:t>
        </w:r>
        <w:r>
          <w:rPr>
            <w:noProof/>
            <w:webHidden/>
          </w:rPr>
          <w:fldChar w:fldCharType="end"/>
        </w:r>
      </w:hyperlink>
    </w:p>
    <w:p w14:paraId="10BB2B33" w14:textId="61A4EB5C" w:rsidR="0094228B" w:rsidRDefault="0094228B">
      <w:pPr>
        <w:pStyle w:val="TOC1"/>
        <w:rPr>
          <w:rFonts w:asciiTheme="minorHAnsi" w:eastAsiaTheme="minorEastAsia" w:hAnsiTheme="minorHAnsi"/>
          <w:b w:val="0"/>
          <w:noProof/>
          <w:color w:val="auto"/>
          <w:sz w:val="24"/>
        </w:rPr>
      </w:pPr>
      <w:hyperlink w:anchor="_Toc236929688" w:history="1">
        <w:r w:rsidRPr="00FB14AE">
          <w:rPr>
            <w:rStyle w:val="Hyperlink"/>
            <w:noProof/>
          </w:rPr>
          <w:t>Annex C: Monitoring, Transparency, and Incident Reporting</w:t>
        </w:r>
        <w:r>
          <w:rPr>
            <w:noProof/>
            <w:webHidden/>
          </w:rPr>
          <w:tab/>
        </w:r>
        <w:r>
          <w:rPr>
            <w:noProof/>
            <w:webHidden/>
          </w:rPr>
          <w:fldChar w:fldCharType="begin"/>
        </w:r>
        <w:r>
          <w:rPr>
            <w:noProof/>
            <w:webHidden/>
          </w:rPr>
          <w:instrText xml:space="preserve"> PAGEREF _Toc236929688 \h </w:instrText>
        </w:r>
        <w:r>
          <w:rPr>
            <w:noProof/>
            <w:webHidden/>
          </w:rPr>
        </w:r>
        <w:r>
          <w:rPr>
            <w:noProof/>
            <w:webHidden/>
          </w:rPr>
          <w:fldChar w:fldCharType="separate"/>
        </w:r>
        <w:r>
          <w:rPr>
            <w:noProof/>
            <w:webHidden/>
          </w:rPr>
          <w:t>75</w:t>
        </w:r>
        <w:r>
          <w:rPr>
            <w:noProof/>
            <w:webHidden/>
          </w:rPr>
          <w:fldChar w:fldCharType="end"/>
        </w:r>
      </w:hyperlink>
    </w:p>
    <w:p w14:paraId="7774FA5F" w14:textId="2CE2889F" w:rsidR="0094228B" w:rsidRDefault="0094228B">
      <w:pPr>
        <w:pStyle w:val="TOC2"/>
        <w:rPr>
          <w:rFonts w:asciiTheme="minorHAnsi" w:eastAsiaTheme="minorEastAsia" w:hAnsiTheme="minorHAnsi"/>
          <w:noProof/>
          <w:color w:val="auto"/>
          <w:sz w:val="24"/>
        </w:rPr>
      </w:pPr>
      <w:hyperlink w:anchor="_Toc236929689" w:history="1">
        <w:r w:rsidRPr="00FB14AE">
          <w:rPr>
            <w:rStyle w:val="Hyperlink"/>
            <w:noProof/>
          </w:rPr>
          <w:t>C.1 The Sensor Chain</w:t>
        </w:r>
        <w:r>
          <w:rPr>
            <w:noProof/>
            <w:webHidden/>
          </w:rPr>
          <w:tab/>
        </w:r>
        <w:r>
          <w:rPr>
            <w:noProof/>
            <w:webHidden/>
          </w:rPr>
          <w:fldChar w:fldCharType="begin"/>
        </w:r>
        <w:r>
          <w:rPr>
            <w:noProof/>
            <w:webHidden/>
          </w:rPr>
          <w:instrText xml:space="preserve"> PAGEREF _Toc236929689 \h </w:instrText>
        </w:r>
        <w:r>
          <w:rPr>
            <w:noProof/>
            <w:webHidden/>
          </w:rPr>
        </w:r>
        <w:r>
          <w:rPr>
            <w:noProof/>
            <w:webHidden/>
          </w:rPr>
          <w:fldChar w:fldCharType="separate"/>
        </w:r>
        <w:r>
          <w:rPr>
            <w:noProof/>
            <w:webHidden/>
          </w:rPr>
          <w:t>75</w:t>
        </w:r>
        <w:r>
          <w:rPr>
            <w:noProof/>
            <w:webHidden/>
          </w:rPr>
          <w:fldChar w:fldCharType="end"/>
        </w:r>
      </w:hyperlink>
    </w:p>
    <w:p w14:paraId="5DB60D37" w14:textId="594A9614" w:rsidR="0094228B" w:rsidRDefault="0094228B">
      <w:pPr>
        <w:pStyle w:val="TOC2"/>
        <w:rPr>
          <w:rFonts w:asciiTheme="minorHAnsi" w:eastAsiaTheme="minorEastAsia" w:hAnsiTheme="minorHAnsi"/>
          <w:noProof/>
          <w:color w:val="auto"/>
          <w:sz w:val="24"/>
        </w:rPr>
      </w:pPr>
      <w:hyperlink w:anchor="_Toc236929690" w:history="1">
        <w:r w:rsidRPr="00FB14AE">
          <w:rPr>
            <w:rStyle w:val="Hyperlink"/>
            <w:noProof/>
          </w:rPr>
          <w:t>C.2 The Fusion Engine and the Observer Feed</w:t>
        </w:r>
        <w:r>
          <w:rPr>
            <w:noProof/>
            <w:webHidden/>
          </w:rPr>
          <w:tab/>
        </w:r>
        <w:r>
          <w:rPr>
            <w:noProof/>
            <w:webHidden/>
          </w:rPr>
          <w:fldChar w:fldCharType="begin"/>
        </w:r>
        <w:r>
          <w:rPr>
            <w:noProof/>
            <w:webHidden/>
          </w:rPr>
          <w:instrText xml:space="preserve"> PAGEREF _Toc236929690 \h </w:instrText>
        </w:r>
        <w:r>
          <w:rPr>
            <w:noProof/>
            <w:webHidden/>
          </w:rPr>
        </w:r>
        <w:r>
          <w:rPr>
            <w:noProof/>
            <w:webHidden/>
          </w:rPr>
          <w:fldChar w:fldCharType="separate"/>
        </w:r>
        <w:r>
          <w:rPr>
            <w:noProof/>
            <w:webHidden/>
          </w:rPr>
          <w:t>75</w:t>
        </w:r>
        <w:r>
          <w:rPr>
            <w:noProof/>
            <w:webHidden/>
          </w:rPr>
          <w:fldChar w:fldCharType="end"/>
        </w:r>
      </w:hyperlink>
    </w:p>
    <w:p w14:paraId="2C25D6D1" w14:textId="62B4FD31" w:rsidR="0094228B" w:rsidRDefault="0094228B">
      <w:pPr>
        <w:pStyle w:val="TOC2"/>
        <w:rPr>
          <w:rFonts w:asciiTheme="minorHAnsi" w:eastAsiaTheme="minorEastAsia" w:hAnsiTheme="minorHAnsi"/>
          <w:noProof/>
          <w:color w:val="auto"/>
          <w:sz w:val="24"/>
        </w:rPr>
      </w:pPr>
      <w:hyperlink w:anchor="_Toc236929691" w:history="1">
        <w:r w:rsidRPr="00FB14AE">
          <w:rPr>
            <w:rStyle w:val="Hyperlink"/>
            <w:noProof/>
          </w:rPr>
          <w:t>C.3 The Incident Log</w:t>
        </w:r>
        <w:r>
          <w:rPr>
            <w:noProof/>
            <w:webHidden/>
          </w:rPr>
          <w:tab/>
        </w:r>
        <w:r>
          <w:rPr>
            <w:noProof/>
            <w:webHidden/>
          </w:rPr>
          <w:fldChar w:fldCharType="begin"/>
        </w:r>
        <w:r>
          <w:rPr>
            <w:noProof/>
            <w:webHidden/>
          </w:rPr>
          <w:instrText xml:space="preserve"> PAGEREF _Toc236929691 \h </w:instrText>
        </w:r>
        <w:r>
          <w:rPr>
            <w:noProof/>
            <w:webHidden/>
          </w:rPr>
        </w:r>
        <w:r>
          <w:rPr>
            <w:noProof/>
            <w:webHidden/>
          </w:rPr>
          <w:fldChar w:fldCharType="separate"/>
        </w:r>
        <w:r>
          <w:rPr>
            <w:noProof/>
            <w:webHidden/>
          </w:rPr>
          <w:t>76</w:t>
        </w:r>
        <w:r>
          <w:rPr>
            <w:noProof/>
            <w:webHidden/>
          </w:rPr>
          <w:fldChar w:fldCharType="end"/>
        </w:r>
      </w:hyperlink>
    </w:p>
    <w:p w14:paraId="42AECF9D" w14:textId="547F21E9" w:rsidR="0094228B" w:rsidRDefault="0094228B">
      <w:pPr>
        <w:pStyle w:val="TOC2"/>
        <w:rPr>
          <w:rFonts w:asciiTheme="minorHAnsi" w:eastAsiaTheme="minorEastAsia" w:hAnsiTheme="minorHAnsi"/>
          <w:noProof/>
          <w:color w:val="auto"/>
          <w:sz w:val="24"/>
        </w:rPr>
      </w:pPr>
      <w:hyperlink w:anchor="_Toc236929692" w:history="1">
        <w:r w:rsidRPr="00FB14AE">
          <w:rPr>
            <w:rStyle w:val="Hyperlink"/>
            <w:noProof/>
          </w:rPr>
          <w:t>C.4 The Interference Monitoring Network</w:t>
        </w:r>
        <w:r>
          <w:rPr>
            <w:noProof/>
            <w:webHidden/>
          </w:rPr>
          <w:tab/>
        </w:r>
        <w:r>
          <w:rPr>
            <w:noProof/>
            <w:webHidden/>
          </w:rPr>
          <w:fldChar w:fldCharType="begin"/>
        </w:r>
        <w:r>
          <w:rPr>
            <w:noProof/>
            <w:webHidden/>
          </w:rPr>
          <w:instrText xml:space="preserve"> PAGEREF _Toc236929692 \h </w:instrText>
        </w:r>
        <w:r>
          <w:rPr>
            <w:noProof/>
            <w:webHidden/>
          </w:rPr>
        </w:r>
        <w:r>
          <w:rPr>
            <w:noProof/>
            <w:webHidden/>
          </w:rPr>
          <w:fldChar w:fldCharType="separate"/>
        </w:r>
        <w:r>
          <w:rPr>
            <w:noProof/>
            <w:webHidden/>
          </w:rPr>
          <w:t>76</w:t>
        </w:r>
        <w:r>
          <w:rPr>
            <w:noProof/>
            <w:webHidden/>
          </w:rPr>
          <w:fldChar w:fldCharType="end"/>
        </w:r>
      </w:hyperlink>
    </w:p>
    <w:p w14:paraId="475FA302" w14:textId="66439242" w:rsidR="0094228B" w:rsidRDefault="0094228B">
      <w:pPr>
        <w:pStyle w:val="TOC2"/>
        <w:rPr>
          <w:rFonts w:asciiTheme="minorHAnsi" w:eastAsiaTheme="minorEastAsia" w:hAnsiTheme="minorHAnsi"/>
          <w:noProof/>
          <w:color w:val="auto"/>
          <w:sz w:val="24"/>
        </w:rPr>
      </w:pPr>
      <w:hyperlink w:anchor="_Toc236929693" w:history="1">
        <w:r w:rsidRPr="00FB14AE">
          <w:rPr>
            <w:rStyle w:val="Hyperlink"/>
            <w:noProof/>
          </w:rPr>
          <w:t>C.5 Publication Schedule</w:t>
        </w:r>
        <w:r>
          <w:rPr>
            <w:noProof/>
            <w:webHidden/>
          </w:rPr>
          <w:tab/>
        </w:r>
        <w:r>
          <w:rPr>
            <w:noProof/>
            <w:webHidden/>
          </w:rPr>
          <w:fldChar w:fldCharType="begin"/>
        </w:r>
        <w:r>
          <w:rPr>
            <w:noProof/>
            <w:webHidden/>
          </w:rPr>
          <w:instrText xml:space="preserve"> PAGEREF _Toc236929693 \h </w:instrText>
        </w:r>
        <w:r>
          <w:rPr>
            <w:noProof/>
            <w:webHidden/>
          </w:rPr>
        </w:r>
        <w:r>
          <w:rPr>
            <w:noProof/>
            <w:webHidden/>
          </w:rPr>
          <w:fldChar w:fldCharType="separate"/>
        </w:r>
        <w:r>
          <w:rPr>
            <w:noProof/>
            <w:webHidden/>
          </w:rPr>
          <w:t>76</w:t>
        </w:r>
        <w:r>
          <w:rPr>
            <w:noProof/>
            <w:webHidden/>
          </w:rPr>
          <w:fldChar w:fldCharType="end"/>
        </w:r>
      </w:hyperlink>
    </w:p>
    <w:p w14:paraId="3AFD6FEC" w14:textId="71202E65" w:rsidR="0094228B" w:rsidRDefault="0094228B">
      <w:pPr>
        <w:pStyle w:val="TOC2"/>
        <w:rPr>
          <w:rFonts w:asciiTheme="minorHAnsi" w:eastAsiaTheme="minorEastAsia" w:hAnsiTheme="minorHAnsi"/>
          <w:noProof/>
          <w:color w:val="auto"/>
          <w:sz w:val="24"/>
        </w:rPr>
      </w:pPr>
      <w:hyperlink w:anchor="_Toc236929694" w:history="1">
        <w:r w:rsidRPr="00FB14AE">
          <w:rPr>
            <w:rStyle w:val="Hyperlink"/>
            <w:noProof/>
          </w:rPr>
          <w:t>C.6 The Confidential Categories</w:t>
        </w:r>
        <w:r>
          <w:rPr>
            <w:noProof/>
            <w:webHidden/>
          </w:rPr>
          <w:tab/>
        </w:r>
        <w:r>
          <w:rPr>
            <w:noProof/>
            <w:webHidden/>
          </w:rPr>
          <w:fldChar w:fldCharType="begin"/>
        </w:r>
        <w:r>
          <w:rPr>
            <w:noProof/>
            <w:webHidden/>
          </w:rPr>
          <w:instrText xml:space="preserve"> PAGEREF _Toc236929694 \h </w:instrText>
        </w:r>
        <w:r>
          <w:rPr>
            <w:noProof/>
            <w:webHidden/>
          </w:rPr>
        </w:r>
        <w:r>
          <w:rPr>
            <w:noProof/>
            <w:webHidden/>
          </w:rPr>
          <w:fldChar w:fldCharType="separate"/>
        </w:r>
        <w:r>
          <w:rPr>
            <w:noProof/>
            <w:webHidden/>
          </w:rPr>
          <w:t>77</w:t>
        </w:r>
        <w:r>
          <w:rPr>
            <w:noProof/>
            <w:webHidden/>
          </w:rPr>
          <w:fldChar w:fldCharType="end"/>
        </w:r>
      </w:hyperlink>
    </w:p>
    <w:p w14:paraId="27BB95AA" w14:textId="034F6D53" w:rsidR="0094228B" w:rsidRDefault="0094228B">
      <w:pPr>
        <w:pStyle w:val="TOC1"/>
        <w:rPr>
          <w:rFonts w:asciiTheme="minorHAnsi" w:eastAsiaTheme="minorEastAsia" w:hAnsiTheme="minorHAnsi"/>
          <w:b w:val="0"/>
          <w:noProof/>
          <w:color w:val="auto"/>
          <w:sz w:val="24"/>
        </w:rPr>
      </w:pPr>
      <w:hyperlink w:anchor="_Toc236929695" w:history="1">
        <w:r w:rsidRPr="00FB14AE">
          <w:rPr>
            <w:rStyle w:val="Hyperlink"/>
            <w:noProof/>
          </w:rPr>
          <w:t>Annex D: Security Functions and Deconfliction</w:t>
        </w:r>
        <w:r>
          <w:rPr>
            <w:noProof/>
            <w:webHidden/>
          </w:rPr>
          <w:tab/>
        </w:r>
        <w:r>
          <w:rPr>
            <w:noProof/>
            <w:webHidden/>
          </w:rPr>
          <w:fldChar w:fldCharType="begin"/>
        </w:r>
        <w:r>
          <w:rPr>
            <w:noProof/>
            <w:webHidden/>
          </w:rPr>
          <w:instrText xml:space="preserve"> PAGEREF _Toc236929695 \h </w:instrText>
        </w:r>
        <w:r>
          <w:rPr>
            <w:noProof/>
            <w:webHidden/>
          </w:rPr>
        </w:r>
        <w:r>
          <w:rPr>
            <w:noProof/>
            <w:webHidden/>
          </w:rPr>
          <w:fldChar w:fldCharType="separate"/>
        </w:r>
        <w:r>
          <w:rPr>
            <w:noProof/>
            <w:webHidden/>
          </w:rPr>
          <w:t>78</w:t>
        </w:r>
        <w:r>
          <w:rPr>
            <w:noProof/>
            <w:webHidden/>
          </w:rPr>
          <w:fldChar w:fldCharType="end"/>
        </w:r>
      </w:hyperlink>
    </w:p>
    <w:p w14:paraId="626967EF" w14:textId="3F1D34DA" w:rsidR="0094228B" w:rsidRDefault="0094228B">
      <w:pPr>
        <w:pStyle w:val="TOC2"/>
        <w:rPr>
          <w:rFonts w:asciiTheme="minorHAnsi" w:eastAsiaTheme="minorEastAsia" w:hAnsiTheme="minorHAnsi"/>
          <w:noProof/>
          <w:color w:val="auto"/>
          <w:sz w:val="24"/>
        </w:rPr>
      </w:pPr>
      <w:hyperlink w:anchor="_Toc236929696" w:history="1">
        <w:r w:rsidRPr="00FB14AE">
          <w:rPr>
            <w:rStyle w:val="Hyperlink"/>
            <w:noProof/>
          </w:rPr>
          <w:t>D.1 The Functional Map, Extended</w:t>
        </w:r>
        <w:r>
          <w:rPr>
            <w:noProof/>
            <w:webHidden/>
          </w:rPr>
          <w:tab/>
        </w:r>
        <w:r>
          <w:rPr>
            <w:noProof/>
            <w:webHidden/>
          </w:rPr>
          <w:fldChar w:fldCharType="begin"/>
        </w:r>
        <w:r>
          <w:rPr>
            <w:noProof/>
            <w:webHidden/>
          </w:rPr>
          <w:instrText xml:space="preserve"> PAGEREF _Toc236929696 \h </w:instrText>
        </w:r>
        <w:r>
          <w:rPr>
            <w:noProof/>
            <w:webHidden/>
          </w:rPr>
        </w:r>
        <w:r>
          <w:rPr>
            <w:noProof/>
            <w:webHidden/>
          </w:rPr>
          <w:fldChar w:fldCharType="separate"/>
        </w:r>
        <w:r>
          <w:rPr>
            <w:noProof/>
            <w:webHidden/>
          </w:rPr>
          <w:t>78</w:t>
        </w:r>
        <w:r>
          <w:rPr>
            <w:noProof/>
            <w:webHidden/>
          </w:rPr>
          <w:fldChar w:fldCharType="end"/>
        </w:r>
      </w:hyperlink>
    </w:p>
    <w:p w14:paraId="00C5191D" w14:textId="24CFB9A5" w:rsidR="0094228B" w:rsidRDefault="0094228B">
      <w:pPr>
        <w:pStyle w:val="TOC2"/>
        <w:rPr>
          <w:rFonts w:asciiTheme="minorHAnsi" w:eastAsiaTheme="minorEastAsia" w:hAnsiTheme="minorHAnsi"/>
          <w:noProof/>
          <w:color w:val="auto"/>
          <w:sz w:val="24"/>
        </w:rPr>
      </w:pPr>
      <w:hyperlink w:anchor="_Toc236929697" w:history="1">
        <w:r w:rsidRPr="00FB14AE">
          <w:rPr>
            <w:rStyle w:val="Hyperlink"/>
            <w:noProof/>
          </w:rPr>
          <w:t>D.2 Key Custody and Activation</w:t>
        </w:r>
        <w:r>
          <w:rPr>
            <w:noProof/>
            <w:webHidden/>
          </w:rPr>
          <w:tab/>
        </w:r>
        <w:r>
          <w:rPr>
            <w:noProof/>
            <w:webHidden/>
          </w:rPr>
          <w:fldChar w:fldCharType="begin"/>
        </w:r>
        <w:r>
          <w:rPr>
            <w:noProof/>
            <w:webHidden/>
          </w:rPr>
          <w:instrText xml:space="preserve"> PAGEREF _Toc236929697 \h </w:instrText>
        </w:r>
        <w:r>
          <w:rPr>
            <w:noProof/>
            <w:webHidden/>
          </w:rPr>
        </w:r>
        <w:r>
          <w:rPr>
            <w:noProof/>
            <w:webHidden/>
          </w:rPr>
          <w:fldChar w:fldCharType="separate"/>
        </w:r>
        <w:r>
          <w:rPr>
            <w:noProof/>
            <w:webHidden/>
          </w:rPr>
          <w:t>78</w:t>
        </w:r>
        <w:r>
          <w:rPr>
            <w:noProof/>
            <w:webHidden/>
          </w:rPr>
          <w:fldChar w:fldCharType="end"/>
        </w:r>
      </w:hyperlink>
    </w:p>
    <w:p w14:paraId="2461267C" w14:textId="4FD2D191" w:rsidR="0094228B" w:rsidRDefault="0094228B">
      <w:pPr>
        <w:pStyle w:val="TOC2"/>
        <w:rPr>
          <w:rFonts w:asciiTheme="minorHAnsi" w:eastAsiaTheme="minorEastAsia" w:hAnsiTheme="minorHAnsi"/>
          <w:noProof/>
          <w:color w:val="auto"/>
          <w:sz w:val="24"/>
        </w:rPr>
      </w:pPr>
      <w:hyperlink w:anchor="_Toc236929698" w:history="1">
        <w:r w:rsidRPr="00FB14AE">
          <w:rPr>
            <w:rStyle w:val="Hyperlink"/>
            <w:noProof/>
          </w:rPr>
          <w:t>D.3 The Residual Law-Enforcement Procedure</w:t>
        </w:r>
        <w:r>
          <w:rPr>
            <w:noProof/>
            <w:webHidden/>
          </w:rPr>
          <w:tab/>
        </w:r>
        <w:r>
          <w:rPr>
            <w:noProof/>
            <w:webHidden/>
          </w:rPr>
          <w:fldChar w:fldCharType="begin"/>
        </w:r>
        <w:r>
          <w:rPr>
            <w:noProof/>
            <w:webHidden/>
          </w:rPr>
          <w:instrText xml:space="preserve"> PAGEREF _Toc236929698 \h </w:instrText>
        </w:r>
        <w:r>
          <w:rPr>
            <w:noProof/>
            <w:webHidden/>
          </w:rPr>
        </w:r>
        <w:r>
          <w:rPr>
            <w:noProof/>
            <w:webHidden/>
          </w:rPr>
          <w:fldChar w:fldCharType="separate"/>
        </w:r>
        <w:r>
          <w:rPr>
            <w:noProof/>
            <w:webHidden/>
          </w:rPr>
          <w:t>79</w:t>
        </w:r>
        <w:r>
          <w:rPr>
            <w:noProof/>
            <w:webHidden/>
          </w:rPr>
          <w:fldChar w:fldCharType="end"/>
        </w:r>
      </w:hyperlink>
    </w:p>
    <w:p w14:paraId="3E0E1853" w14:textId="5B75345A" w:rsidR="0094228B" w:rsidRDefault="0094228B">
      <w:pPr>
        <w:pStyle w:val="TOC2"/>
        <w:rPr>
          <w:rFonts w:asciiTheme="minorHAnsi" w:eastAsiaTheme="minorEastAsia" w:hAnsiTheme="minorHAnsi"/>
          <w:noProof/>
          <w:color w:val="auto"/>
          <w:sz w:val="24"/>
        </w:rPr>
      </w:pPr>
      <w:hyperlink w:anchor="_Toc236929699" w:history="1">
        <w:r w:rsidRPr="00FB14AE">
          <w:rPr>
            <w:rStyle w:val="Hyperlink"/>
            <w:noProof/>
          </w:rPr>
          <w:t>D.4 The Shipping Liaison Protocol</w:t>
        </w:r>
        <w:r>
          <w:rPr>
            <w:noProof/>
            <w:webHidden/>
          </w:rPr>
          <w:tab/>
        </w:r>
        <w:r>
          <w:rPr>
            <w:noProof/>
            <w:webHidden/>
          </w:rPr>
          <w:fldChar w:fldCharType="begin"/>
        </w:r>
        <w:r>
          <w:rPr>
            <w:noProof/>
            <w:webHidden/>
          </w:rPr>
          <w:instrText xml:space="preserve"> PAGEREF _Toc236929699 \h </w:instrText>
        </w:r>
        <w:r>
          <w:rPr>
            <w:noProof/>
            <w:webHidden/>
          </w:rPr>
        </w:r>
        <w:r>
          <w:rPr>
            <w:noProof/>
            <w:webHidden/>
          </w:rPr>
          <w:fldChar w:fldCharType="separate"/>
        </w:r>
        <w:r>
          <w:rPr>
            <w:noProof/>
            <w:webHidden/>
          </w:rPr>
          <w:t>79</w:t>
        </w:r>
        <w:r>
          <w:rPr>
            <w:noProof/>
            <w:webHidden/>
          </w:rPr>
          <w:fldChar w:fldCharType="end"/>
        </w:r>
      </w:hyperlink>
    </w:p>
    <w:p w14:paraId="3DC7ECC0" w14:textId="01DFE8EA" w:rsidR="0094228B" w:rsidRDefault="0094228B">
      <w:pPr>
        <w:pStyle w:val="TOC2"/>
        <w:rPr>
          <w:rFonts w:asciiTheme="minorHAnsi" w:eastAsiaTheme="minorEastAsia" w:hAnsiTheme="minorHAnsi"/>
          <w:noProof/>
          <w:color w:val="auto"/>
          <w:sz w:val="24"/>
        </w:rPr>
      </w:pPr>
      <w:hyperlink w:anchor="_Toc236929700" w:history="1">
        <w:r w:rsidRPr="00FB14AE">
          <w:rPr>
            <w:rStyle w:val="Hyperlink"/>
            <w:noProof/>
          </w:rPr>
          <w:t>D.5 The Deconfliction Cell and the Hotline</w:t>
        </w:r>
        <w:r>
          <w:rPr>
            <w:noProof/>
            <w:webHidden/>
          </w:rPr>
          <w:tab/>
        </w:r>
        <w:r>
          <w:rPr>
            <w:noProof/>
            <w:webHidden/>
          </w:rPr>
          <w:fldChar w:fldCharType="begin"/>
        </w:r>
        <w:r>
          <w:rPr>
            <w:noProof/>
            <w:webHidden/>
          </w:rPr>
          <w:instrText xml:space="preserve"> PAGEREF _Toc236929700 \h </w:instrText>
        </w:r>
        <w:r>
          <w:rPr>
            <w:noProof/>
            <w:webHidden/>
          </w:rPr>
        </w:r>
        <w:r>
          <w:rPr>
            <w:noProof/>
            <w:webHidden/>
          </w:rPr>
          <w:fldChar w:fldCharType="separate"/>
        </w:r>
        <w:r>
          <w:rPr>
            <w:noProof/>
            <w:webHidden/>
          </w:rPr>
          <w:t>79</w:t>
        </w:r>
        <w:r>
          <w:rPr>
            <w:noProof/>
            <w:webHidden/>
          </w:rPr>
          <w:fldChar w:fldCharType="end"/>
        </w:r>
      </w:hyperlink>
    </w:p>
    <w:p w14:paraId="39D25393" w14:textId="736A0E6A" w:rsidR="0094228B" w:rsidRDefault="0094228B">
      <w:pPr>
        <w:pStyle w:val="TOC2"/>
        <w:rPr>
          <w:rFonts w:asciiTheme="minorHAnsi" w:eastAsiaTheme="minorEastAsia" w:hAnsiTheme="minorHAnsi"/>
          <w:noProof/>
          <w:color w:val="auto"/>
          <w:sz w:val="24"/>
        </w:rPr>
      </w:pPr>
      <w:hyperlink w:anchor="_Toc236929701" w:history="1">
        <w:r w:rsidRPr="00FB14AE">
          <w:rPr>
            <w:rStyle w:val="Hyperlink"/>
            <w:noProof/>
          </w:rPr>
          <w:t>D.6 Emergency Diversion Procedures</w:t>
        </w:r>
        <w:r>
          <w:rPr>
            <w:noProof/>
            <w:webHidden/>
          </w:rPr>
          <w:tab/>
        </w:r>
        <w:r>
          <w:rPr>
            <w:noProof/>
            <w:webHidden/>
          </w:rPr>
          <w:fldChar w:fldCharType="begin"/>
        </w:r>
        <w:r>
          <w:rPr>
            <w:noProof/>
            <w:webHidden/>
          </w:rPr>
          <w:instrText xml:space="preserve"> PAGEREF _Toc236929701 \h </w:instrText>
        </w:r>
        <w:r>
          <w:rPr>
            <w:noProof/>
            <w:webHidden/>
          </w:rPr>
        </w:r>
        <w:r>
          <w:rPr>
            <w:noProof/>
            <w:webHidden/>
          </w:rPr>
          <w:fldChar w:fldCharType="separate"/>
        </w:r>
        <w:r>
          <w:rPr>
            <w:noProof/>
            <w:webHidden/>
          </w:rPr>
          <w:t>80</w:t>
        </w:r>
        <w:r>
          <w:rPr>
            <w:noProof/>
            <w:webHidden/>
          </w:rPr>
          <w:fldChar w:fldCharType="end"/>
        </w:r>
      </w:hyperlink>
    </w:p>
    <w:p w14:paraId="54DCEF5D" w14:textId="1934A638" w:rsidR="0094228B" w:rsidRDefault="0094228B">
      <w:pPr>
        <w:pStyle w:val="TOC1"/>
        <w:rPr>
          <w:rFonts w:asciiTheme="minorHAnsi" w:eastAsiaTheme="minorEastAsia" w:hAnsiTheme="minorHAnsi"/>
          <w:b w:val="0"/>
          <w:noProof/>
          <w:color w:val="auto"/>
          <w:sz w:val="24"/>
        </w:rPr>
      </w:pPr>
      <w:hyperlink w:anchor="_Toc236929702" w:history="1">
        <w:r w:rsidRPr="00FB14AE">
          <w:rPr>
            <w:rStyle w:val="Hyperlink"/>
            <w:noProof/>
          </w:rPr>
          <w:t>Annex E: Service Charge Schedule, Auditing, and Payment Routing</w:t>
        </w:r>
        <w:r>
          <w:rPr>
            <w:noProof/>
            <w:webHidden/>
          </w:rPr>
          <w:tab/>
        </w:r>
        <w:r>
          <w:rPr>
            <w:noProof/>
            <w:webHidden/>
          </w:rPr>
          <w:fldChar w:fldCharType="begin"/>
        </w:r>
        <w:r>
          <w:rPr>
            <w:noProof/>
            <w:webHidden/>
          </w:rPr>
          <w:instrText xml:space="preserve"> PAGEREF _Toc236929702 \h </w:instrText>
        </w:r>
        <w:r>
          <w:rPr>
            <w:noProof/>
            <w:webHidden/>
          </w:rPr>
        </w:r>
        <w:r>
          <w:rPr>
            <w:noProof/>
            <w:webHidden/>
          </w:rPr>
          <w:fldChar w:fldCharType="separate"/>
        </w:r>
        <w:r>
          <w:rPr>
            <w:noProof/>
            <w:webHidden/>
          </w:rPr>
          <w:t>81</w:t>
        </w:r>
        <w:r>
          <w:rPr>
            <w:noProof/>
            <w:webHidden/>
          </w:rPr>
          <w:fldChar w:fldCharType="end"/>
        </w:r>
      </w:hyperlink>
    </w:p>
    <w:p w14:paraId="3AD7AF22" w14:textId="18434285" w:rsidR="0094228B" w:rsidRDefault="0094228B">
      <w:pPr>
        <w:pStyle w:val="TOC2"/>
        <w:rPr>
          <w:rFonts w:asciiTheme="minorHAnsi" w:eastAsiaTheme="minorEastAsia" w:hAnsiTheme="minorHAnsi"/>
          <w:noProof/>
          <w:color w:val="auto"/>
          <w:sz w:val="24"/>
        </w:rPr>
      </w:pPr>
      <w:hyperlink w:anchor="_Toc236929703" w:history="1">
        <w:r w:rsidRPr="00FB14AE">
          <w:rPr>
            <w:rStyle w:val="Hyperlink"/>
            <w:noProof/>
          </w:rPr>
          <w:t>E.1 The Legal Architecture of the Service Boundary</w:t>
        </w:r>
        <w:r>
          <w:rPr>
            <w:noProof/>
            <w:webHidden/>
          </w:rPr>
          <w:tab/>
        </w:r>
        <w:r>
          <w:rPr>
            <w:noProof/>
            <w:webHidden/>
          </w:rPr>
          <w:fldChar w:fldCharType="begin"/>
        </w:r>
        <w:r>
          <w:rPr>
            <w:noProof/>
            <w:webHidden/>
          </w:rPr>
          <w:instrText xml:space="preserve"> PAGEREF _Toc236929703 \h </w:instrText>
        </w:r>
        <w:r>
          <w:rPr>
            <w:noProof/>
            <w:webHidden/>
          </w:rPr>
        </w:r>
        <w:r>
          <w:rPr>
            <w:noProof/>
            <w:webHidden/>
          </w:rPr>
          <w:fldChar w:fldCharType="separate"/>
        </w:r>
        <w:r>
          <w:rPr>
            <w:noProof/>
            <w:webHidden/>
          </w:rPr>
          <w:t>81</w:t>
        </w:r>
        <w:r>
          <w:rPr>
            <w:noProof/>
            <w:webHidden/>
          </w:rPr>
          <w:fldChar w:fldCharType="end"/>
        </w:r>
      </w:hyperlink>
    </w:p>
    <w:p w14:paraId="7F6677DA" w14:textId="44657F06" w:rsidR="0094228B" w:rsidRDefault="0094228B">
      <w:pPr>
        <w:pStyle w:val="TOC2"/>
        <w:rPr>
          <w:rFonts w:asciiTheme="minorHAnsi" w:eastAsiaTheme="minorEastAsia" w:hAnsiTheme="minorHAnsi"/>
          <w:noProof/>
          <w:color w:val="auto"/>
          <w:sz w:val="24"/>
        </w:rPr>
      </w:pPr>
      <w:hyperlink w:anchor="_Toc236929704" w:history="1">
        <w:r w:rsidRPr="00FB14AE">
          <w:rPr>
            <w:rStyle w:val="Hyperlink"/>
            <w:noProof/>
          </w:rPr>
          <w:t>E.2 The Five Charge Lines: First-Year Schedule</w:t>
        </w:r>
        <w:r>
          <w:rPr>
            <w:noProof/>
            <w:webHidden/>
          </w:rPr>
          <w:tab/>
        </w:r>
        <w:r>
          <w:rPr>
            <w:noProof/>
            <w:webHidden/>
          </w:rPr>
          <w:fldChar w:fldCharType="begin"/>
        </w:r>
        <w:r>
          <w:rPr>
            <w:noProof/>
            <w:webHidden/>
          </w:rPr>
          <w:instrText xml:space="preserve"> PAGEREF _Toc236929704 \h </w:instrText>
        </w:r>
        <w:r>
          <w:rPr>
            <w:noProof/>
            <w:webHidden/>
          </w:rPr>
        </w:r>
        <w:r>
          <w:rPr>
            <w:noProof/>
            <w:webHidden/>
          </w:rPr>
          <w:fldChar w:fldCharType="separate"/>
        </w:r>
        <w:r>
          <w:rPr>
            <w:noProof/>
            <w:webHidden/>
          </w:rPr>
          <w:t>81</w:t>
        </w:r>
        <w:r>
          <w:rPr>
            <w:noProof/>
            <w:webHidden/>
          </w:rPr>
          <w:fldChar w:fldCharType="end"/>
        </w:r>
      </w:hyperlink>
    </w:p>
    <w:p w14:paraId="1910D17F" w14:textId="5EA0D5BC" w:rsidR="0094228B" w:rsidRDefault="0094228B">
      <w:pPr>
        <w:pStyle w:val="TOC2"/>
        <w:rPr>
          <w:rFonts w:asciiTheme="minorHAnsi" w:eastAsiaTheme="minorEastAsia" w:hAnsiTheme="minorHAnsi"/>
          <w:noProof/>
          <w:color w:val="auto"/>
          <w:sz w:val="24"/>
        </w:rPr>
      </w:pPr>
      <w:hyperlink w:anchor="_Toc236929705" w:history="1">
        <w:r w:rsidRPr="00FB14AE">
          <w:rPr>
            <w:rStyle w:val="Hyperlink"/>
            <w:noProof/>
          </w:rPr>
          <w:t>E.3 The Protective Devices</w:t>
        </w:r>
        <w:r>
          <w:rPr>
            <w:noProof/>
            <w:webHidden/>
          </w:rPr>
          <w:tab/>
        </w:r>
        <w:r>
          <w:rPr>
            <w:noProof/>
            <w:webHidden/>
          </w:rPr>
          <w:fldChar w:fldCharType="begin"/>
        </w:r>
        <w:r>
          <w:rPr>
            <w:noProof/>
            <w:webHidden/>
          </w:rPr>
          <w:instrText xml:space="preserve"> PAGEREF _Toc236929705 \h </w:instrText>
        </w:r>
        <w:r>
          <w:rPr>
            <w:noProof/>
            <w:webHidden/>
          </w:rPr>
        </w:r>
        <w:r>
          <w:rPr>
            <w:noProof/>
            <w:webHidden/>
          </w:rPr>
          <w:fldChar w:fldCharType="separate"/>
        </w:r>
        <w:r>
          <w:rPr>
            <w:noProof/>
            <w:webHidden/>
          </w:rPr>
          <w:t>82</w:t>
        </w:r>
        <w:r>
          <w:rPr>
            <w:noProof/>
            <w:webHidden/>
          </w:rPr>
          <w:fldChar w:fldCharType="end"/>
        </w:r>
      </w:hyperlink>
    </w:p>
    <w:p w14:paraId="3541ACCF" w14:textId="06C4001A" w:rsidR="0094228B" w:rsidRDefault="0094228B">
      <w:pPr>
        <w:pStyle w:val="TOC2"/>
        <w:rPr>
          <w:rFonts w:asciiTheme="minorHAnsi" w:eastAsiaTheme="minorEastAsia" w:hAnsiTheme="minorHAnsi"/>
          <w:noProof/>
          <w:color w:val="auto"/>
          <w:sz w:val="24"/>
        </w:rPr>
      </w:pPr>
      <w:hyperlink w:anchor="_Toc236929706" w:history="1">
        <w:r w:rsidRPr="00FB14AE">
          <w:rPr>
            <w:rStyle w:val="Hyperlink"/>
            <w:noProof/>
          </w:rPr>
          <w:t>E.4 Collection Architecture</w:t>
        </w:r>
        <w:r>
          <w:rPr>
            <w:noProof/>
            <w:webHidden/>
          </w:rPr>
          <w:tab/>
        </w:r>
        <w:r>
          <w:rPr>
            <w:noProof/>
            <w:webHidden/>
          </w:rPr>
          <w:fldChar w:fldCharType="begin"/>
        </w:r>
        <w:r>
          <w:rPr>
            <w:noProof/>
            <w:webHidden/>
          </w:rPr>
          <w:instrText xml:space="preserve"> PAGEREF _Toc236929706 \h </w:instrText>
        </w:r>
        <w:r>
          <w:rPr>
            <w:noProof/>
            <w:webHidden/>
          </w:rPr>
        </w:r>
        <w:r>
          <w:rPr>
            <w:noProof/>
            <w:webHidden/>
          </w:rPr>
          <w:fldChar w:fldCharType="separate"/>
        </w:r>
        <w:r>
          <w:rPr>
            <w:noProof/>
            <w:webHidden/>
          </w:rPr>
          <w:t>83</w:t>
        </w:r>
        <w:r>
          <w:rPr>
            <w:noProof/>
            <w:webHidden/>
          </w:rPr>
          <w:fldChar w:fldCharType="end"/>
        </w:r>
      </w:hyperlink>
    </w:p>
    <w:p w14:paraId="338F5977" w14:textId="6C85B211" w:rsidR="0094228B" w:rsidRDefault="0094228B">
      <w:pPr>
        <w:pStyle w:val="TOC2"/>
        <w:rPr>
          <w:rFonts w:asciiTheme="minorHAnsi" w:eastAsiaTheme="minorEastAsia" w:hAnsiTheme="minorHAnsi"/>
          <w:noProof/>
          <w:color w:val="auto"/>
          <w:sz w:val="24"/>
        </w:rPr>
      </w:pPr>
      <w:hyperlink w:anchor="_Toc236929707" w:history="1">
        <w:r w:rsidRPr="00FB14AE">
          <w:rPr>
            <w:rStyle w:val="Hyperlink"/>
            <w:noProof/>
          </w:rPr>
          <w:t>E.5 The Neutral Channel, Mechanically</w:t>
        </w:r>
        <w:r>
          <w:rPr>
            <w:noProof/>
            <w:webHidden/>
          </w:rPr>
          <w:tab/>
        </w:r>
        <w:r>
          <w:rPr>
            <w:noProof/>
            <w:webHidden/>
          </w:rPr>
          <w:fldChar w:fldCharType="begin"/>
        </w:r>
        <w:r>
          <w:rPr>
            <w:noProof/>
            <w:webHidden/>
          </w:rPr>
          <w:instrText xml:space="preserve"> PAGEREF _Toc236929707 \h </w:instrText>
        </w:r>
        <w:r>
          <w:rPr>
            <w:noProof/>
            <w:webHidden/>
          </w:rPr>
        </w:r>
        <w:r>
          <w:rPr>
            <w:noProof/>
            <w:webHidden/>
          </w:rPr>
          <w:fldChar w:fldCharType="separate"/>
        </w:r>
        <w:r>
          <w:rPr>
            <w:noProof/>
            <w:webHidden/>
          </w:rPr>
          <w:t>83</w:t>
        </w:r>
        <w:r>
          <w:rPr>
            <w:noProof/>
            <w:webHidden/>
          </w:rPr>
          <w:fldChar w:fldCharType="end"/>
        </w:r>
      </w:hyperlink>
    </w:p>
    <w:p w14:paraId="1D680306" w14:textId="71B049D0" w:rsidR="0094228B" w:rsidRDefault="0094228B">
      <w:pPr>
        <w:pStyle w:val="TOC2"/>
        <w:rPr>
          <w:rFonts w:asciiTheme="minorHAnsi" w:eastAsiaTheme="minorEastAsia" w:hAnsiTheme="minorHAnsi"/>
          <w:noProof/>
          <w:color w:val="auto"/>
          <w:sz w:val="24"/>
        </w:rPr>
      </w:pPr>
      <w:hyperlink w:anchor="_Toc236929708" w:history="1">
        <w:r w:rsidRPr="00FB14AE">
          <w:rPr>
            <w:rStyle w:val="Hyperlink"/>
            <w:noProof/>
          </w:rPr>
          <w:t>E.6 Audit</w:t>
        </w:r>
        <w:r>
          <w:rPr>
            <w:noProof/>
            <w:webHidden/>
          </w:rPr>
          <w:tab/>
        </w:r>
        <w:r>
          <w:rPr>
            <w:noProof/>
            <w:webHidden/>
          </w:rPr>
          <w:fldChar w:fldCharType="begin"/>
        </w:r>
        <w:r>
          <w:rPr>
            <w:noProof/>
            <w:webHidden/>
          </w:rPr>
          <w:instrText xml:space="preserve"> PAGEREF _Toc236929708 \h </w:instrText>
        </w:r>
        <w:r>
          <w:rPr>
            <w:noProof/>
            <w:webHidden/>
          </w:rPr>
        </w:r>
        <w:r>
          <w:rPr>
            <w:noProof/>
            <w:webHidden/>
          </w:rPr>
          <w:fldChar w:fldCharType="separate"/>
        </w:r>
        <w:r>
          <w:rPr>
            <w:noProof/>
            <w:webHidden/>
          </w:rPr>
          <w:t>84</w:t>
        </w:r>
        <w:r>
          <w:rPr>
            <w:noProof/>
            <w:webHidden/>
          </w:rPr>
          <w:fldChar w:fldCharType="end"/>
        </w:r>
      </w:hyperlink>
    </w:p>
    <w:p w14:paraId="3A48BA06" w14:textId="6808CAFB" w:rsidR="0094228B" w:rsidRDefault="0094228B">
      <w:pPr>
        <w:pStyle w:val="TOC2"/>
        <w:rPr>
          <w:rFonts w:asciiTheme="minorHAnsi" w:eastAsiaTheme="minorEastAsia" w:hAnsiTheme="minorHAnsi"/>
          <w:noProof/>
          <w:color w:val="auto"/>
          <w:sz w:val="24"/>
        </w:rPr>
      </w:pPr>
      <w:hyperlink w:anchor="_Toc236929709" w:history="1">
        <w:r w:rsidRPr="00FB14AE">
          <w:rPr>
            <w:rStyle w:val="Hyperlink"/>
            <w:noProof/>
          </w:rPr>
          <w:t>E.7 The Stability Dividend, Priced</w:t>
        </w:r>
        <w:r>
          <w:rPr>
            <w:noProof/>
            <w:webHidden/>
          </w:rPr>
          <w:tab/>
        </w:r>
        <w:r>
          <w:rPr>
            <w:noProof/>
            <w:webHidden/>
          </w:rPr>
          <w:fldChar w:fldCharType="begin"/>
        </w:r>
        <w:r>
          <w:rPr>
            <w:noProof/>
            <w:webHidden/>
          </w:rPr>
          <w:instrText xml:space="preserve"> PAGEREF _Toc236929709 \h </w:instrText>
        </w:r>
        <w:r>
          <w:rPr>
            <w:noProof/>
            <w:webHidden/>
          </w:rPr>
        </w:r>
        <w:r>
          <w:rPr>
            <w:noProof/>
            <w:webHidden/>
          </w:rPr>
          <w:fldChar w:fldCharType="separate"/>
        </w:r>
        <w:r>
          <w:rPr>
            <w:noProof/>
            <w:webHidden/>
          </w:rPr>
          <w:t>84</w:t>
        </w:r>
        <w:r>
          <w:rPr>
            <w:noProof/>
            <w:webHidden/>
          </w:rPr>
          <w:fldChar w:fldCharType="end"/>
        </w:r>
      </w:hyperlink>
    </w:p>
    <w:p w14:paraId="13153E8A" w14:textId="5FAA8398" w:rsidR="0094228B" w:rsidRDefault="0094228B">
      <w:pPr>
        <w:pStyle w:val="TOC1"/>
        <w:rPr>
          <w:rFonts w:asciiTheme="minorHAnsi" w:eastAsiaTheme="minorEastAsia" w:hAnsiTheme="minorHAnsi"/>
          <w:b w:val="0"/>
          <w:noProof/>
          <w:color w:val="auto"/>
          <w:sz w:val="24"/>
        </w:rPr>
      </w:pPr>
      <w:hyperlink w:anchor="_Toc236929710" w:history="1">
        <w:r w:rsidRPr="00FB14AE">
          <w:rPr>
            <w:rStyle w:val="Hyperlink"/>
            <w:noProof/>
          </w:rPr>
          <w:t>Annex F: The Cothrom-Payedar Verification Method</w:t>
        </w:r>
        <w:r>
          <w:rPr>
            <w:noProof/>
            <w:webHidden/>
          </w:rPr>
          <w:tab/>
        </w:r>
        <w:r>
          <w:rPr>
            <w:noProof/>
            <w:webHidden/>
          </w:rPr>
          <w:fldChar w:fldCharType="begin"/>
        </w:r>
        <w:r>
          <w:rPr>
            <w:noProof/>
            <w:webHidden/>
          </w:rPr>
          <w:instrText xml:space="preserve"> PAGEREF _Toc236929710 \h </w:instrText>
        </w:r>
        <w:r>
          <w:rPr>
            <w:noProof/>
            <w:webHidden/>
          </w:rPr>
        </w:r>
        <w:r>
          <w:rPr>
            <w:noProof/>
            <w:webHidden/>
          </w:rPr>
          <w:fldChar w:fldCharType="separate"/>
        </w:r>
        <w:r>
          <w:rPr>
            <w:noProof/>
            <w:webHidden/>
          </w:rPr>
          <w:t>85</w:t>
        </w:r>
        <w:r>
          <w:rPr>
            <w:noProof/>
            <w:webHidden/>
          </w:rPr>
          <w:fldChar w:fldCharType="end"/>
        </w:r>
      </w:hyperlink>
    </w:p>
    <w:p w14:paraId="310CFD1D" w14:textId="01A31967" w:rsidR="0094228B" w:rsidRDefault="0094228B">
      <w:pPr>
        <w:pStyle w:val="TOC2"/>
        <w:rPr>
          <w:rFonts w:asciiTheme="minorHAnsi" w:eastAsiaTheme="minorEastAsia" w:hAnsiTheme="minorHAnsi"/>
          <w:noProof/>
          <w:color w:val="auto"/>
          <w:sz w:val="24"/>
        </w:rPr>
      </w:pPr>
      <w:hyperlink w:anchor="_Toc236929711" w:history="1">
        <w:r w:rsidRPr="00FB14AE">
          <w:rPr>
            <w:rStyle w:val="Hyperlink"/>
            <w:noProof/>
          </w:rPr>
          <w:t>F.1 Instruments and Data Sources</w:t>
        </w:r>
        <w:r>
          <w:rPr>
            <w:noProof/>
            <w:webHidden/>
          </w:rPr>
          <w:tab/>
        </w:r>
        <w:r>
          <w:rPr>
            <w:noProof/>
            <w:webHidden/>
          </w:rPr>
          <w:fldChar w:fldCharType="begin"/>
        </w:r>
        <w:r>
          <w:rPr>
            <w:noProof/>
            <w:webHidden/>
          </w:rPr>
          <w:instrText xml:space="preserve"> PAGEREF _Toc236929711 \h </w:instrText>
        </w:r>
        <w:r>
          <w:rPr>
            <w:noProof/>
            <w:webHidden/>
          </w:rPr>
        </w:r>
        <w:r>
          <w:rPr>
            <w:noProof/>
            <w:webHidden/>
          </w:rPr>
          <w:fldChar w:fldCharType="separate"/>
        </w:r>
        <w:r>
          <w:rPr>
            <w:noProof/>
            <w:webHidden/>
          </w:rPr>
          <w:t>85</w:t>
        </w:r>
        <w:r>
          <w:rPr>
            <w:noProof/>
            <w:webHidden/>
          </w:rPr>
          <w:fldChar w:fldCharType="end"/>
        </w:r>
      </w:hyperlink>
    </w:p>
    <w:p w14:paraId="5A57183A" w14:textId="7CF9A6B6" w:rsidR="0094228B" w:rsidRDefault="0094228B">
      <w:pPr>
        <w:pStyle w:val="TOC2"/>
        <w:rPr>
          <w:rFonts w:asciiTheme="minorHAnsi" w:eastAsiaTheme="minorEastAsia" w:hAnsiTheme="minorHAnsi"/>
          <w:noProof/>
          <w:color w:val="auto"/>
          <w:sz w:val="24"/>
        </w:rPr>
      </w:pPr>
      <w:hyperlink w:anchor="_Toc236929712" w:history="1">
        <w:r w:rsidRPr="00FB14AE">
          <w:rPr>
            <w:rStyle w:val="Hyperlink"/>
            <w:noProof/>
          </w:rPr>
          <w:t>F.2 The Verification Credit System</w:t>
        </w:r>
        <w:r>
          <w:rPr>
            <w:noProof/>
            <w:webHidden/>
          </w:rPr>
          <w:tab/>
        </w:r>
        <w:r>
          <w:rPr>
            <w:noProof/>
            <w:webHidden/>
          </w:rPr>
          <w:fldChar w:fldCharType="begin"/>
        </w:r>
        <w:r>
          <w:rPr>
            <w:noProof/>
            <w:webHidden/>
          </w:rPr>
          <w:instrText xml:space="preserve"> PAGEREF _Toc236929712 \h </w:instrText>
        </w:r>
        <w:r>
          <w:rPr>
            <w:noProof/>
            <w:webHidden/>
          </w:rPr>
        </w:r>
        <w:r>
          <w:rPr>
            <w:noProof/>
            <w:webHidden/>
          </w:rPr>
          <w:fldChar w:fldCharType="separate"/>
        </w:r>
        <w:r>
          <w:rPr>
            <w:noProof/>
            <w:webHidden/>
          </w:rPr>
          <w:t>85</w:t>
        </w:r>
        <w:r>
          <w:rPr>
            <w:noProof/>
            <w:webHidden/>
          </w:rPr>
          <w:fldChar w:fldCharType="end"/>
        </w:r>
      </w:hyperlink>
    </w:p>
    <w:p w14:paraId="5A4948FA" w14:textId="3D061BA8" w:rsidR="0094228B" w:rsidRDefault="0094228B">
      <w:pPr>
        <w:pStyle w:val="TOC2"/>
        <w:rPr>
          <w:rFonts w:asciiTheme="minorHAnsi" w:eastAsiaTheme="minorEastAsia" w:hAnsiTheme="minorHAnsi"/>
          <w:noProof/>
          <w:color w:val="auto"/>
          <w:sz w:val="24"/>
        </w:rPr>
      </w:pPr>
      <w:hyperlink w:anchor="_Toc236929713" w:history="1">
        <w:r w:rsidRPr="00FB14AE">
          <w:rPr>
            <w:rStyle w:val="Hyperlink"/>
            <w:noProof/>
          </w:rPr>
          <w:t>F.3 Chamber Procedure</w:t>
        </w:r>
        <w:r>
          <w:rPr>
            <w:noProof/>
            <w:webHidden/>
          </w:rPr>
          <w:tab/>
        </w:r>
        <w:r>
          <w:rPr>
            <w:noProof/>
            <w:webHidden/>
          </w:rPr>
          <w:fldChar w:fldCharType="begin"/>
        </w:r>
        <w:r>
          <w:rPr>
            <w:noProof/>
            <w:webHidden/>
          </w:rPr>
          <w:instrText xml:space="preserve"> PAGEREF _Toc236929713 \h </w:instrText>
        </w:r>
        <w:r>
          <w:rPr>
            <w:noProof/>
            <w:webHidden/>
          </w:rPr>
        </w:r>
        <w:r>
          <w:rPr>
            <w:noProof/>
            <w:webHidden/>
          </w:rPr>
          <w:fldChar w:fldCharType="separate"/>
        </w:r>
        <w:r>
          <w:rPr>
            <w:noProof/>
            <w:webHidden/>
          </w:rPr>
          <w:t>86</w:t>
        </w:r>
        <w:r>
          <w:rPr>
            <w:noProof/>
            <w:webHidden/>
          </w:rPr>
          <w:fldChar w:fldCharType="end"/>
        </w:r>
      </w:hyperlink>
    </w:p>
    <w:p w14:paraId="48818BD7" w14:textId="2D4F012D" w:rsidR="0094228B" w:rsidRDefault="0094228B">
      <w:pPr>
        <w:pStyle w:val="TOC2"/>
        <w:rPr>
          <w:rFonts w:asciiTheme="minorHAnsi" w:eastAsiaTheme="minorEastAsia" w:hAnsiTheme="minorHAnsi"/>
          <w:noProof/>
          <w:color w:val="auto"/>
          <w:sz w:val="24"/>
        </w:rPr>
      </w:pPr>
      <w:hyperlink w:anchor="_Toc236929714" w:history="1">
        <w:r w:rsidRPr="00FB14AE">
          <w:rPr>
            <w:rStyle w:val="Hyperlink"/>
            <w:noProof/>
          </w:rPr>
          <w:t>F.4 The Challenge Procedure</w:t>
        </w:r>
        <w:r>
          <w:rPr>
            <w:noProof/>
            <w:webHidden/>
          </w:rPr>
          <w:tab/>
        </w:r>
        <w:r>
          <w:rPr>
            <w:noProof/>
            <w:webHidden/>
          </w:rPr>
          <w:fldChar w:fldCharType="begin"/>
        </w:r>
        <w:r>
          <w:rPr>
            <w:noProof/>
            <w:webHidden/>
          </w:rPr>
          <w:instrText xml:space="preserve"> PAGEREF _Toc236929714 \h </w:instrText>
        </w:r>
        <w:r>
          <w:rPr>
            <w:noProof/>
            <w:webHidden/>
          </w:rPr>
        </w:r>
        <w:r>
          <w:rPr>
            <w:noProof/>
            <w:webHidden/>
          </w:rPr>
          <w:fldChar w:fldCharType="separate"/>
        </w:r>
        <w:r>
          <w:rPr>
            <w:noProof/>
            <w:webHidden/>
          </w:rPr>
          <w:t>86</w:t>
        </w:r>
        <w:r>
          <w:rPr>
            <w:noProof/>
            <w:webHidden/>
          </w:rPr>
          <w:fldChar w:fldCharType="end"/>
        </w:r>
      </w:hyperlink>
    </w:p>
    <w:p w14:paraId="2CDE9BF6" w14:textId="7EE32B7A" w:rsidR="0094228B" w:rsidRDefault="0094228B">
      <w:pPr>
        <w:pStyle w:val="TOC2"/>
        <w:rPr>
          <w:rFonts w:asciiTheme="minorHAnsi" w:eastAsiaTheme="minorEastAsia" w:hAnsiTheme="minorHAnsi"/>
          <w:noProof/>
          <w:color w:val="auto"/>
          <w:sz w:val="24"/>
        </w:rPr>
      </w:pPr>
      <w:hyperlink w:anchor="_Toc236929715" w:history="1">
        <w:r w:rsidRPr="00FB14AE">
          <w:rPr>
            <w:rStyle w:val="Hyperlink"/>
            <w:noProof/>
          </w:rPr>
          <w:t>F.5 The Symmetry Audit</w:t>
        </w:r>
        <w:r>
          <w:rPr>
            <w:noProof/>
            <w:webHidden/>
          </w:rPr>
          <w:tab/>
        </w:r>
        <w:r>
          <w:rPr>
            <w:noProof/>
            <w:webHidden/>
          </w:rPr>
          <w:fldChar w:fldCharType="begin"/>
        </w:r>
        <w:r>
          <w:rPr>
            <w:noProof/>
            <w:webHidden/>
          </w:rPr>
          <w:instrText xml:space="preserve"> PAGEREF _Toc236929715 \h </w:instrText>
        </w:r>
        <w:r>
          <w:rPr>
            <w:noProof/>
            <w:webHidden/>
          </w:rPr>
        </w:r>
        <w:r>
          <w:rPr>
            <w:noProof/>
            <w:webHidden/>
          </w:rPr>
          <w:fldChar w:fldCharType="separate"/>
        </w:r>
        <w:r>
          <w:rPr>
            <w:noProof/>
            <w:webHidden/>
          </w:rPr>
          <w:t>86</w:t>
        </w:r>
        <w:r>
          <w:rPr>
            <w:noProof/>
            <w:webHidden/>
          </w:rPr>
          <w:fldChar w:fldCharType="end"/>
        </w:r>
      </w:hyperlink>
    </w:p>
    <w:p w14:paraId="7311F292" w14:textId="06EDA9FC" w:rsidR="0094228B" w:rsidRDefault="0094228B">
      <w:pPr>
        <w:pStyle w:val="TOC2"/>
        <w:rPr>
          <w:rFonts w:asciiTheme="minorHAnsi" w:eastAsiaTheme="minorEastAsia" w:hAnsiTheme="minorHAnsi"/>
          <w:noProof/>
          <w:color w:val="auto"/>
          <w:sz w:val="24"/>
        </w:rPr>
      </w:pPr>
      <w:hyperlink w:anchor="_Toc236929716" w:history="1">
        <w:r w:rsidRPr="00FB14AE">
          <w:rPr>
            <w:rStyle w:val="Hyperlink"/>
            <w:noProof/>
          </w:rPr>
          <w:t>F.6 Attribution</w:t>
        </w:r>
        <w:r>
          <w:rPr>
            <w:noProof/>
            <w:webHidden/>
          </w:rPr>
          <w:tab/>
        </w:r>
        <w:r>
          <w:rPr>
            <w:noProof/>
            <w:webHidden/>
          </w:rPr>
          <w:fldChar w:fldCharType="begin"/>
        </w:r>
        <w:r>
          <w:rPr>
            <w:noProof/>
            <w:webHidden/>
          </w:rPr>
          <w:instrText xml:space="preserve"> PAGEREF _Toc236929716 \h </w:instrText>
        </w:r>
        <w:r>
          <w:rPr>
            <w:noProof/>
            <w:webHidden/>
          </w:rPr>
        </w:r>
        <w:r>
          <w:rPr>
            <w:noProof/>
            <w:webHidden/>
          </w:rPr>
          <w:fldChar w:fldCharType="separate"/>
        </w:r>
        <w:r>
          <w:rPr>
            <w:noProof/>
            <w:webHidden/>
          </w:rPr>
          <w:t>87</w:t>
        </w:r>
        <w:r>
          <w:rPr>
            <w:noProof/>
            <w:webHidden/>
          </w:rPr>
          <w:fldChar w:fldCharType="end"/>
        </w:r>
      </w:hyperlink>
    </w:p>
    <w:p w14:paraId="1293D2D0" w14:textId="76A82CA5" w:rsidR="0094228B" w:rsidRDefault="0094228B">
      <w:pPr>
        <w:pStyle w:val="TOC1"/>
        <w:rPr>
          <w:rFonts w:asciiTheme="minorHAnsi" w:eastAsiaTheme="minorEastAsia" w:hAnsiTheme="minorHAnsi"/>
          <w:b w:val="0"/>
          <w:noProof/>
          <w:color w:val="auto"/>
          <w:sz w:val="24"/>
        </w:rPr>
      </w:pPr>
      <w:hyperlink w:anchor="_Toc236929717" w:history="1">
        <w:r w:rsidRPr="00FB14AE">
          <w:rPr>
            <w:rStyle w:val="Hyperlink"/>
            <w:noProof/>
          </w:rPr>
          <w:t>Annex G: The Demerit Point Matrix and the Step-Back and Earn-Back Schedules</w:t>
        </w:r>
        <w:r>
          <w:rPr>
            <w:noProof/>
            <w:webHidden/>
          </w:rPr>
          <w:tab/>
        </w:r>
        <w:r>
          <w:rPr>
            <w:noProof/>
            <w:webHidden/>
          </w:rPr>
          <w:fldChar w:fldCharType="begin"/>
        </w:r>
        <w:r>
          <w:rPr>
            <w:noProof/>
            <w:webHidden/>
          </w:rPr>
          <w:instrText xml:space="preserve"> PAGEREF _Toc236929717 \h </w:instrText>
        </w:r>
        <w:r>
          <w:rPr>
            <w:noProof/>
            <w:webHidden/>
          </w:rPr>
        </w:r>
        <w:r>
          <w:rPr>
            <w:noProof/>
            <w:webHidden/>
          </w:rPr>
          <w:fldChar w:fldCharType="separate"/>
        </w:r>
        <w:r>
          <w:rPr>
            <w:noProof/>
            <w:webHidden/>
          </w:rPr>
          <w:t>88</w:t>
        </w:r>
        <w:r>
          <w:rPr>
            <w:noProof/>
            <w:webHidden/>
          </w:rPr>
          <w:fldChar w:fldCharType="end"/>
        </w:r>
      </w:hyperlink>
    </w:p>
    <w:p w14:paraId="4C0B2E22" w14:textId="33D8EA01" w:rsidR="0094228B" w:rsidRDefault="0094228B">
      <w:pPr>
        <w:pStyle w:val="TOC2"/>
        <w:rPr>
          <w:rFonts w:asciiTheme="minorHAnsi" w:eastAsiaTheme="minorEastAsia" w:hAnsiTheme="minorHAnsi"/>
          <w:noProof/>
          <w:color w:val="auto"/>
          <w:sz w:val="24"/>
        </w:rPr>
      </w:pPr>
      <w:hyperlink w:anchor="_Toc236929718" w:history="1">
        <w:r w:rsidRPr="00FB14AE">
          <w:rPr>
            <w:rStyle w:val="Hyperlink"/>
            <w:noProof/>
          </w:rPr>
          <w:t>G.1 The Violation Schedule</w:t>
        </w:r>
        <w:r>
          <w:rPr>
            <w:noProof/>
            <w:webHidden/>
          </w:rPr>
          <w:tab/>
        </w:r>
        <w:r>
          <w:rPr>
            <w:noProof/>
            <w:webHidden/>
          </w:rPr>
          <w:fldChar w:fldCharType="begin"/>
        </w:r>
        <w:r>
          <w:rPr>
            <w:noProof/>
            <w:webHidden/>
          </w:rPr>
          <w:instrText xml:space="preserve"> PAGEREF _Toc236929718 \h </w:instrText>
        </w:r>
        <w:r>
          <w:rPr>
            <w:noProof/>
            <w:webHidden/>
          </w:rPr>
        </w:r>
        <w:r>
          <w:rPr>
            <w:noProof/>
            <w:webHidden/>
          </w:rPr>
          <w:fldChar w:fldCharType="separate"/>
        </w:r>
        <w:r>
          <w:rPr>
            <w:noProof/>
            <w:webHidden/>
          </w:rPr>
          <w:t>88</w:t>
        </w:r>
        <w:r>
          <w:rPr>
            <w:noProof/>
            <w:webHidden/>
          </w:rPr>
          <w:fldChar w:fldCharType="end"/>
        </w:r>
      </w:hyperlink>
    </w:p>
    <w:p w14:paraId="63F5AD82" w14:textId="4D32B2D0" w:rsidR="0094228B" w:rsidRDefault="0094228B">
      <w:pPr>
        <w:pStyle w:val="TOC2"/>
        <w:rPr>
          <w:rFonts w:asciiTheme="minorHAnsi" w:eastAsiaTheme="minorEastAsia" w:hAnsiTheme="minorHAnsi"/>
          <w:noProof/>
          <w:color w:val="auto"/>
          <w:sz w:val="24"/>
        </w:rPr>
      </w:pPr>
      <w:hyperlink w:anchor="_Toc236929719" w:history="1">
        <w:r w:rsidRPr="00FB14AE">
          <w:rPr>
            <w:rStyle w:val="Hyperlink"/>
            <w:noProof/>
          </w:rPr>
          <w:t>G.2 Accumulation, Expiry, and Thresholds</w:t>
        </w:r>
        <w:r>
          <w:rPr>
            <w:noProof/>
            <w:webHidden/>
          </w:rPr>
          <w:tab/>
        </w:r>
        <w:r>
          <w:rPr>
            <w:noProof/>
            <w:webHidden/>
          </w:rPr>
          <w:fldChar w:fldCharType="begin"/>
        </w:r>
        <w:r>
          <w:rPr>
            <w:noProof/>
            <w:webHidden/>
          </w:rPr>
          <w:instrText xml:space="preserve"> PAGEREF _Toc236929719 \h </w:instrText>
        </w:r>
        <w:r>
          <w:rPr>
            <w:noProof/>
            <w:webHidden/>
          </w:rPr>
        </w:r>
        <w:r>
          <w:rPr>
            <w:noProof/>
            <w:webHidden/>
          </w:rPr>
          <w:fldChar w:fldCharType="separate"/>
        </w:r>
        <w:r>
          <w:rPr>
            <w:noProof/>
            <w:webHidden/>
          </w:rPr>
          <w:t>89</w:t>
        </w:r>
        <w:r>
          <w:rPr>
            <w:noProof/>
            <w:webHidden/>
          </w:rPr>
          <w:fldChar w:fldCharType="end"/>
        </w:r>
      </w:hyperlink>
    </w:p>
    <w:p w14:paraId="630E484A" w14:textId="5A54FC7F" w:rsidR="0094228B" w:rsidRDefault="0094228B">
      <w:pPr>
        <w:pStyle w:val="TOC2"/>
        <w:rPr>
          <w:rFonts w:asciiTheme="minorHAnsi" w:eastAsiaTheme="minorEastAsia" w:hAnsiTheme="minorHAnsi"/>
          <w:noProof/>
          <w:color w:val="auto"/>
          <w:sz w:val="24"/>
        </w:rPr>
      </w:pPr>
      <w:hyperlink w:anchor="_Toc236929720" w:history="1">
        <w:r w:rsidRPr="00FB14AE">
          <w:rPr>
            <w:rStyle w:val="Hyperlink"/>
            <w:noProof/>
          </w:rPr>
          <w:t>G.3 The Step-Back Schedule</w:t>
        </w:r>
        <w:r>
          <w:rPr>
            <w:noProof/>
            <w:webHidden/>
          </w:rPr>
          <w:tab/>
        </w:r>
        <w:r>
          <w:rPr>
            <w:noProof/>
            <w:webHidden/>
          </w:rPr>
          <w:fldChar w:fldCharType="begin"/>
        </w:r>
        <w:r>
          <w:rPr>
            <w:noProof/>
            <w:webHidden/>
          </w:rPr>
          <w:instrText xml:space="preserve"> PAGEREF _Toc236929720 \h </w:instrText>
        </w:r>
        <w:r>
          <w:rPr>
            <w:noProof/>
            <w:webHidden/>
          </w:rPr>
        </w:r>
        <w:r>
          <w:rPr>
            <w:noProof/>
            <w:webHidden/>
          </w:rPr>
          <w:fldChar w:fldCharType="separate"/>
        </w:r>
        <w:r>
          <w:rPr>
            <w:noProof/>
            <w:webHidden/>
          </w:rPr>
          <w:t>89</w:t>
        </w:r>
        <w:r>
          <w:rPr>
            <w:noProof/>
            <w:webHidden/>
          </w:rPr>
          <w:fldChar w:fldCharType="end"/>
        </w:r>
      </w:hyperlink>
    </w:p>
    <w:p w14:paraId="35F82696" w14:textId="5FC7C36E" w:rsidR="0094228B" w:rsidRDefault="0094228B">
      <w:pPr>
        <w:pStyle w:val="TOC2"/>
        <w:rPr>
          <w:rFonts w:asciiTheme="minorHAnsi" w:eastAsiaTheme="minorEastAsia" w:hAnsiTheme="minorHAnsi"/>
          <w:noProof/>
          <w:color w:val="auto"/>
          <w:sz w:val="24"/>
        </w:rPr>
      </w:pPr>
      <w:hyperlink w:anchor="_Toc236929721" w:history="1">
        <w:r w:rsidRPr="00FB14AE">
          <w:rPr>
            <w:rStyle w:val="Hyperlink"/>
            <w:noProof/>
          </w:rPr>
          <w:t>G.4 The Earn-Back Clocks</w:t>
        </w:r>
        <w:r>
          <w:rPr>
            <w:noProof/>
            <w:webHidden/>
          </w:rPr>
          <w:tab/>
        </w:r>
        <w:r>
          <w:rPr>
            <w:noProof/>
            <w:webHidden/>
          </w:rPr>
          <w:fldChar w:fldCharType="begin"/>
        </w:r>
        <w:r>
          <w:rPr>
            <w:noProof/>
            <w:webHidden/>
          </w:rPr>
          <w:instrText xml:space="preserve"> PAGEREF _Toc236929721 \h </w:instrText>
        </w:r>
        <w:r>
          <w:rPr>
            <w:noProof/>
            <w:webHidden/>
          </w:rPr>
        </w:r>
        <w:r>
          <w:rPr>
            <w:noProof/>
            <w:webHidden/>
          </w:rPr>
          <w:fldChar w:fldCharType="separate"/>
        </w:r>
        <w:r>
          <w:rPr>
            <w:noProof/>
            <w:webHidden/>
          </w:rPr>
          <w:t>90</w:t>
        </w:r>
        <w:r>
          <w:rPr>
            <w:noProof/>
            <w:webHidden/>
          </w:rPr>
          <w:fldChar w:fldCharType="end"/>
        </w:r>
      </w:hyperlink>
    </w:p>
    <w:p w14:paraId="0BED0AF5" w14:textId="7EB2FE70" w:rsidR="0094228B" w:rsidRDefault="0094228B">
      <w:pPr>
        <w:pStyle w:val="TOC2"/>
        <w:rPr>
          <w:rFonts w:asciiTheme="minorHAnsi" w:eastAsiaTheme="minorEastAsia" w:hAnsiTheme="minorHAnsi"/>
          <w:noProof/>
          <w:color w:val="auto"/>
          <w:sz w:val="24"/>
        </w:rPr>
      </w:pPr>
      <w:hyperlink w:anchor="_Toc236929722" w:history="1">
        <w:r w:rsidRPr="00FB14AE">
          <w:rPr>
            <w:rStyle w:val="Hyperlink"/>
            <w:noProof/>
          </w:rPr>
          <w:t>G.5 The Sixty-Day Asset Measure and the Charity Pool</w:t>
        </w:r>
        <w:r>
          <w:rPr>
            <w:noProof/>
            <w:webHidden/>
          </w:rPr>
          <w:tab/>
        </w:r>
        <w:r>
          <w:rPr>
            <w:noProof/>
            <w:webHidden/>
          </w:rPr>
          <w:fldChar w:fldCharType="begin"/>
        </w:r>
        <w:r>
          <w:rPr>
            <w:noProof/>
            <w:webHidden/>
          </w:rPr>
          <w:instrText xml:space="preserve"> PAGEREF _Toc236929722 \h </w:instrText>
        </w:r>
        <w:r>
          <w:rPr>
            <w:noProof/>
            <w:webHidden/>
          </w:rPr>
        </w:r>
        <w:r>
          <w:rPr>
            <w:noProof/>
            <w:webHidden/>
          </w:rPr>
          <w:fldChar w:fldCharType="separate"/>
        </w:r>
        <w:r>
          <w:rPr>
            <w:noProof/>
            <w:webHidden/>
          </w:rPr>
          <w:t>90</w:t>
        </w:r>
        <w:r>
          <w:rPr>
            <w:noProof/>
            <w:webHidden/>
          </w:rPr>
          <w:fldChar w:fldCharType="end"/>
        </w:r>
      </w:hyperlink>
    </w:p>
    <w:p w14:paraId="1FCA10E7" w14:textId="02CE71DB" w:rsidR="0094228B" w:rsidRDefault="0094228B">
      <w:pPr>
        <w:pStyle w:val="TOC2"/>
        <w:rPr>
          <w:rFonts w:asciiTheme="minorHAnsi" w:eastAsiaTheme="minorEastAsia" w:hAnsiTheme="minorHAnsi"/>
          <w:noProof/>
          <w:color w:val="auto"/>
          <w:sz w:val="24"/>
        </w:rPr>
      </w:pPr>
      <w:hyperlink w:anchor="_Toc236929723" w:history="1">
        <w:r w:rsidRPr="00FB14AE">
          <w:rPr>
            <w:rStyle w:val="Hyperlink"/>
            <w:noProof/>
          </w:rPr>
          <w:t>G.6 The Three-Strike Earn-Back Ladder</w:t>
        </w:r>
        <w:r>
          <w:rPr>
            <w:noProof/>
            <w:webHidden/>
          </w:rPr>
          <w:tab/>
        </w:r>
        <w:r>
          <w:rPr>
            <w:noProof/>
            <w:webHidden/>
          </w:rPr>
          <w:fldChar w:fldCharType="begin"/>
        </w:r>
        <w:r>
          <w:rPr>
            <w:noProof/>
            <w:webHidden/>
          </w:rPr>
          <w:instrText xml:space="preserve"> PAGEREF _Toc236929723 \h </w:instrText>
        </w:r>
        <w:r>
          <w:rPr>
            <w:noProof/>
            <w:webHidden/>
          </w:rPr>
        </w:r>
        <w:r>
          <w:rPr>
            <w:noProof/>
            <w:webHidden/>
          </w:rPr>
          <w:fldChar w:fldCharType="separate"/>
        </w:r>
        <w:r>
          <w:rPr>
            <w:noProof/>
            <w:webHidden/>
          </w:rPr>
          <w:t>90</w:t>
        </w:r>
        <w:r>
          <w:rPr>
            <w:noProof/>
            <w:webHidden/>
          </w:rPr>
          <w:fldChar w:fldCharType="end"/>
        </w:r>
      </w:hyperlink>
    </w:p>
    <w:p w14:paraId="25F734BA" w14:textId="2B713712" w:rsidR="0094228B" w:rsidRDefault="0094228B">
      <w:pPr>
        <w:pStyle w:val="TOC1"/>
        <w:rPr>
          <w:rFonts w:asciiTheme="minorHAnsi" w:eastAsiaTheme="minorEastAsia" w:hAnsiTheme="minorHAnsi"/>
          <w:b w:val="0"/>
          <w:noProof/>
          <w:color w:val="auto"/>
          <w:sz w:val="24"/>
        </w:rPr>
      </w:pPr>
      <w:hyperlink w:anchor="_Toc236929724" w:history="1">
        <w:r w:rsidRPr="00FB14AE">
          <w:rPr>
            <w:rStyle w:val="Hyperlink"/>
            <w:noProof/>
          </w:rPr>
          <w:t>Annex H: The Sobat Development Facility and the Economic Calendar</w:t>
        </w:r>
        <w:r>
          <w:rPr>
            <w:noProof/>
            <w:webHidden/>
          </w:rPr>
          <w:tab/>
        </w:r>
        <w:r>
          <w:rPr>
            <w:noProof/>
            <w:webHidden/>
          </w:rPr>
          <w:fldChar w:fldCharType="begin"/>
        </w:r>
        <w:r>
          <w:rPr>
            <w:noProof/>
            <w:webHidden/>
          </w:rPr>
          <w:instrText xml:space="preserve"> PAGEREF _Toc236929724 \h </w:instrText>
        </w:r>
        <w:r>
          <w:rPr>
            <w:noProof/>
            <w:webHidden/>
          </w:rPr>
        </w:r>
        <w:r>
          <w:rPr>
            <w:noProof/>
            <w:webHidden/>
          </w:rPr>
          <w:fldChar w:fldCharType="separate"/>
        </w:r>
        <w:r>
          <w:rPr>
            <w:noProof/>
            <w:webHidden/>
          </w:rPr>
          <w:t>92</w:t>
        </w:r>
        <w:r>
          <w:rPr>
            <w:noProof/>
            <w:webHidden/>
          </w:rPr>
          <w:fldChar w:fldCharType="end"/>
        </w:r>
      </w:hyperlink>
    </w:p>
    <w:p w14:paraId="17AE9000" w14:textId="77BAF4E9" w:rsidR="0094228B" w:rsidRDefault="0094228B">
      <w:pPr>
        <w:pStyle w:val="TOC2"/>
        <w:rPr>
          <w:rFonts w:asciiTheme="minorHAnsi" w:eastAsiaTheme="minorEastAsia" w:hAnsiTheme="minorHAnsi"/>
          <w:noProof/>
          <w:color w:val="auto"/>
          <w:sz w:val="24"/>
        </w:rPr>
      </w:pPr>
      <w:hyperlink w:anchor="_Toc236929725" w:history="1">
        <w:r w:rsidRPr="00FB14AE">
          <w:rPr>
            <w:rStyle w:val="Hyperlink"/>
            <w:noProof/>
          </w:rPr>
          <w:t>H.1 Structure and Governance</w:t>
        </w:r>
        <w:r>
          <w:rPr>
            <w:noProof/>
            <w:webHidden/>
          </w:rPr>
          <w:tab/>
        </w:r>
        <w:r>
          <w:rPr>
            <w:noProof/>
            <w:webHidden/>
          </w:rPr>
          <w:fldChar w:fldCharType="begin"/>
        </w:r>
        <w:r>
          <w:rPr>
            <w:noProof/>
            <w:webHidden/>
          </w:rPr>
          <w:instrText xml:space="preserve"> PAGEREF _Toc236929725 \h </w:instrText>
        </w:r>
        <w:r>
          <w:rPr>
            <w:noProof/>
            <w:webHidden/>
          </w:rPr>
        </w:r>
        <w:r>
          <w:rPr>
            <w:noProof/>
            <w:webHidden/>
          </w:rPr>
          <w:fldChar w:fldCharType="separate"/>
        </w:r>
        <w:r>
          <w:rPr>
            <w:noProof/>
            <w:webHidden/>
          </w:rPr>
          <w:t>92</w:t>
        </w:r>
        <w:r>
          <w:rPr>
            <w:noProof/>
            <w:webHidden/>
          </w:rPr>
          <w:fldChar w:fldCharType="end"/>
        </w:r>
      </w:hyperlink>
    </w:p>
    <w:p w14:paraId="1ED70DF8" w14:textId="2914510D" w:rsidR="0094228B" w:rsidRDefault="0094228B">
      <w:pPr>
        <w:pStyle w:val="TOC2"/>
        <w:rPr>
          <w:rFonts w:asciiTheme="minorHAnsi" w:eastAsiaTheme="minorEastAsia" w:hAnsiTheme="minorHAnsi"/>
          <w:noProof/>
          <w:color w:val="auto"/>
          <w:sz w:val="24"/>
        </w:rPr>
      </w:pPr>
      <w:hyperlink w:anchor="_Toc236929726" w:history="1">
        <w:r w:rsidRPr="00FB14AE">
          <w:rPr>
            <w:rStyle w:val="Hyperlink"/>
            <w:noProof/>
          </w:rPr>
          <w:t>H.2 The Project Geography and Criteria</w:t>
        </w:r>
        <w:r>
          <w:rPr>
            <w:noProof/>
            <w:webHidden/>
          </w:rPr>
          <w:tab/>
        </w:r>
        <w:r>
          <w:rPr>
            <w:noProof/>
            <w:webHidden/>
          </w:rPr>
          <w:fldChar w:fldCharType="begin"/>
        </w:r>
        <w:r>
          <w:rPr>
            <w:noProof/>
            <w:webHidden/>
          </w:rPr>
          <w:instrText xml:space="preserve"> PAGEREF _Toc236929726 \h </w:instrText>
        </w:r>
        <w:r>
          <w:rPr>
            <w:noProof/>
            <w:webHidden/>
          </w:rPr>
        </w:r>
        <w:r>
          <w:rPr>
            <w:noProof/>
            <w:webHidden/>
          </w:rPr>
          <w:fldChar w:fldCharType="separate"/>
        </w:r>
        <w:r>
          <w:rPr>
            <w:noProof/>
            <w:webHidden/>
          </w:rPr>
          <w:t>92</w:t>
        </w:r>
        <w:r>
          <w:rPr>
            <w:noProof/>
            <w:webHidden/>
          </w:rPr>
          <w:fldChar w:fldCharType="end"/>
        </w:r>
      </w:hyperlink>
    </w:p>
    <w:p w14:paraId="3B3F9EE3" w14:textId="4E749E8C" w:rsidR="0094228B" w:rsidRDefault="0094228B">
      <w:pPr>
        <w:pStyle w:val="TOC2"/>
        <w:rPr>
          <w:rFonts w:asciiTheme="minorHAnsi" w:eastAsiaTheme="minorEastAsia" w:hAnsiTheme="minorHAnsi"/>
          <w:noProof/>
          <w:color w:val="auto"/>
          <w:sz w:val="24"/>
        </w:rPr>
      </w:pPr>
      <w:hyperlink w:anchor="_Toc236929727" w:history="1">
        <w:r w:rsidRPr="00FB14AE">
          <w:rPr>
            <w:rStyle w:val="Hyperlink"/>
            <w:noProof/>
          </w:rPr>
          <w:t>H.3 The Synchronized Economic Calendar</w:t>
        </w:r>
        <w:r>
          <w:rPr>
            <w:noProof/>
            <w:webHidden/>
          </w:rPr>
          <w:tab/>
        </w:r>
        <w:r>
          <w:rPr>
            <w:noProof/>
            <w:webHidden/>
          </w:rPr>
          <w:fldChar w:fldCharType="begin"/>
        </w:r>
        <w:r>
          <w:rPr>
            <w:noProof/>
            <w:webHidden/>
          </w:rPr>
          <w:instrText xml:space="preserve"> PAGEREF _Toc236929727 \h </w:instrText>
        </w:r>
        <w:r>
          <w:rPr>
            <w:noProof/>
            <w:webHidden/>
          </w:rPr>
        </w:r>
        <w:r>
          <w:rPr>
            <w:noProof/>
            <w:webHidden/>
          </w:rPr>
          <w:fldChar w:fldCharType="separate"/>
        </w:r>
        <w:r>
          <w:rPr>
            <w:noProof/>
            <w:webHidden/>
          </w:rPr>
          <w:t>93</w:t>
        </w:r>
        <w:r>
          <w:rPr>
            <w:noProof/>
            <w:webHidden/>
          </w:rPr>
          <w:fldChar w:fldCharType="end"/>
        </w:r>
      </w:hyperlink>
    </w:p>
    <w:p w14:paraId="12BF425C" w14:textId="132AB3A8" w:rsidR="0094228B" w:rsidRDefault="0094228B">
      <w:pPr>
        <w:pStyle w:val="TOC2"/>
        <w:rPr>
          <w:rFonts w:asciiTheme="minorHAnsi" w:eastAsiaTheme="minorEastAsia" w:hAnsiTheme="minorHAnsi"/>
          <w:noProof/>
          <w:color w:val="auto"/>
          <w:sz w:val="24"/>
        </w:rPr>
      </w:pPr>
      <w:hyperlink w:anchor="_Toc236929728" w:history="1">
        <w:r w:rsidRPr="00FB14AE">
          <w:rPr>
            <w:rStyle w:val="Hyperlink"/>
            <w:noProof/>
          </w:rPr>
          <w:t>H.4 The Civilian Indicators</w:t>
        </w:r>
        <w:r>
          <w:rPr>
            <w:noProof/>
            <w:webHidden/>
          </w:rPr>
          <w:tab/>
        </w:r>
        <w:r>
          <w:rPr>
            <w:noProof/>
            <w:webHidden/>
          </w:rPr>
          <w:fldChar w:fldCharType="begin"/>
        </w:r>
        <w:r>
          <w:rPr>
            <w:noProof/>
            <w:webHidden/>
          </w:rPr>
          <w:instrText xml:space="preserve"> PAGEREF _Toc236929728 \h </w:instrText>
        </w:r>
        <w:r>
          <w:rPr>
            <w:noProof/>
            <w:webHidden/>
          </w:rPr>
        </w:r>
        <w:r>
          <w:rPr>
            <w:noProof/>
            <w:webHidden/>
          </w:rPr>
          <w:fldChar w:fldCharType="separate"/>
        </w:r>
        <w:r>
          <w:rPr>
            <w:noProof/>
            <w:webHidden/>
          </w:rPr>
          <w:t>93</w:t>
        </w:r>
        <w:r>
          <w:rPr>
            <w:noProof/>
            <w:webHidden/>
          </w:rPr>
          <w:fldChar w:fldCharType="end"/>
        </w:r>
      </w:hyperlink>
    </w:p>
    <w:p w14:paraId="4E61795F" w14:textId="361DFFEB" w:rsidR="0094228B" w:rsidRDefault="0094228B">
      <w:pPr>
        <w:pStyle w:val="TOC1"/>
        <w:rPr>
          <w:rFonts w:asciiTheme="minorHAnsi" w:eastAsiaTheme="minorEastAsia" w:hAnsiTheme="minorHAnsi"/>
          <w:b w:val="0"/>
          <w:noProof/>
          <w:color w:val="auto"/>
          <w:sz w:val="24"/>
        </w:rPr>
      </w:pPr>
      <w:hyperlink w:anchor="_Toc236929729" w:history="1">
        <w:r w:rsidRPr="00FB14AE">
          <w:rPr>
            <w:rStyle w:val="Hyperlink"/>
            <w:noProof/>
          </w:rPr>
          <w:t>Annex I: Governance Rules of Procedure and the Muscat Tribunal</w:t>
        </w:r>
        <w:r>
          <w:rPr>
            <w:noProof/>
            <w:webHidden/>
          </w:rPr>
          <w:tab/>
        </w:r>
        <w:r>
          <w:rPr>
            <w:noProof/>
            <w:webHidden/>
          </w:rPr>
          <w:fldChar w:fldCharType="begin"/>
        </w:r>
        <w:r>
          <w:rPr>
            <w:noProof/>
            <w:webHidden/>
          </w:rPr>
          <w:instrText xml:space="preserve"> PAGEREF _Toc236929729 \h </w:instrText>
        </w:r>
        <w:r>
          <w:rPr>
            <w:noProof/>
            <w:webHidden/>
          </w:rPr>
        </w:r>
        <w:r>
          <w:rPr>
            <w:noProof/>
            <w:webHidden/>
          </w:rPr>
          <w:fldChar w:fldCharType="separate"/>
        </w:r>
        <w:r>
          <w:rPr>
            <w:noProof/>
            <w:webHidden/>
          </w:rPr>
          <w:t>95</w:t>
        </w:r>
        <w:r>
          <w:rPr>
            <w:noProof/>
            <w:webHidden/>
          </w:rPr>
          <w:fldChar w:fldCharType="end"/>
        </w:r>
      </w:hyperlink>
    </w:p>
    <w:p w14:paraId="0C7A02F6" w14:textId="7FDBE490" w:rsidR="0094228B" w:rsidRDefault="0094228B">
      <w:pPr>
        <w:pStyle w:val="TOC2"/>
        <w:rPr>
          <w:rFonts w:asciiTheme="minorHAnsi" w:eastAsiaTheme="minorEastAsia" w:hAnsiTheme="minorHAnsi"/>
          <w:noProof/>
          <w:color w:val="auto"/>
          <w:sz w:val="24"/>
        </w:rPr>
      </w:pPr>
      <w:hyperlink w:anchor="_Toc236929730" w:history="1">
        <w:r w:rsidRPr="00FB14AE">
          <w:rPr>
            <w:rStyle w:val="Hyperlink"/>
            <w:noProof/>
          </w:rPr>
          <w:t>I.1 Council Procedure</w:t>
        </w:r>
        <w:r>
          <w:rPr>
            <w:noProof/>
            <w:webHidden/>
          </w:rPr>
          <w:tab/>
        </w:r>
        <w:r>
          <w:rPr>
            <w:noProof/>
            <w:webHidden/>
          </w:rPr>
          <w:fldChar w:fldCharType="begin"/>
        </w:r>
        <w:r>
          <w:rPr>
            <w:noProof/>
            <w:webHidden/>
          </w:rPr>
          <w:instrText xml:space="preserve"> PAGEREF _Toc236929730 \h </w:instrText>
        </w:r>
        <w:r>
          <w:rPr>
            <w:noProof/>
            <w:webHidden/>
          </w:rPr>
        </w:r>
        <w:r>
          <w:rPr>
            <w:noProof/>
            <w:webHidden/>
          </w:rPr>
          <w:fldChar w:fldCharType="separate"/>
        </w:r>
        <w:r>
          <w:rPr>
            <w:noProof/>
            <w:webHidden/>
          </w:rPr>
          <w:t>95</w:t>
        </w:r>
        <w:r>
          <w:rPr>
            <w:noProof/>
            <w:webHidden/>
          </w:rPr>
          <w:fldChar w:fldCharType="end"/>
        </w:r>
      </w:hyperlink>
    </w:p>
    <w:p w14:paraId="3FD05BDA" w14:textId="717F8C3B" w:rsidR="0094228B" w:rsidRDefault="0094228B">
      <w:pPr>
        <w:pStyle w:val="TOC2"/>
        <w:rPr>
          <w:rFonts w:asciiTheme="minorHAnsi" w:eastAsiaTheme="minorEastAsia" w:hAnsiTheme="minorHAnsi"/>
          <w:noProof/>
          <w:color w:val="auto"/>
          <w:sz w:val="24"/>
        </w:rPr>
      </w:pPr>
      <w:hyperlink w:anchor="_Toc236929731" w:history="1">
        <w:r w:rsidRPr="00FB14AE">
          <w:rPr>
            <w:rStyle w:val="Hyperlink"/>
            <w:noProof/>
          </w:rPr>
          <w:t>I.2 The Rosters</w:t>
        </w:r>
        <w:r>
          <w:rPr>
            <w:noProof/>
            <w:webHidden/>
          </w:rPr>
          <w:tab/>
        </w:r>
        <w:r>
          <w:rPr>
            <w:noProof/>
            <w:webHidden/>
          </w:rPr>
          <w:fldChar w:fldCharType="begin"/>
        </w:r>
        <w:r>
          <w:rPr>
            <w:noProof/>
            <w:webHidden/>
          </w:rPr>
          <w:instrText xml:space="preserve"> PAGEREF _Toc236929731 \h </w:instrText>
        </w:r>
        <w:r>
          <w:rPr>
            <w:noProof/>
            <w:webHidden/>
          </w:rPr>
        </w:r>
        <w:r>
          <w:rPr>
            <w:noProof/>
            <w:webHidden/>
          </w:rPr>
          <w:fldChar w:fldCharType="separate"/>
        </w:r>
        <w:r>
          <w:rPr>
            <w:noProof/>
            <w:webHidden/>
          </w:rPr>
          <w:t>95</w:t>
        </w:r>
        <w:r>
          <w:rPr>
            <w:noProof/>
            <w:webHidden/>
          </w:rPr>
          <w:fldChar w:fldCharType="end"/>
        </w:r>
      </w:hyperlink>
    </w:p>
    <w:p w14:paraId="376094C9" w14:textId="67B0D1BA" w:rsidR="0094228B" w:rsidRDefault="0094228B">
      <w:pPr>
        <w:pStyle w:val="TOC2"/>
        <w:rPr>
          <w:rFonts w:asciiTheme="minorHAnsi" w:eastAsiaTheme="minorEastAsia" w:hAnsiTheme="minorHAnsi"/>
          <w:noProof/>
          <w:color w:val="auto"/>
          <w:sz w:val="24"/>
        </w:rPr>
      </w:pPr>
      <w:hyperlink w:anchor="_Toc236929732" w:history="1">
        <w:r w:rsidRPr="00FB14AE">
          <w:rPr>
            <w:rStyle w:val="Hyperlink"/>
            <w:noProof/>
          </w:rPr>
          <w:t>I.3 The Tribunal's Rules</w:t>
        </w:r>
        <w:r>
          <w:rPr>
            <w:noProof/>
            <w:webHidden/>
          </w:rPr>
          <w:tab/>
        </w:r>
        <w:r>
          <w:rPr>
            <w:noProof/>
            <w:webHidden/>
          </w:rPr>
          <w:fldChar w:fldCharType="begin"/>
        </w:r>
        <w:r>
          <w:rPr>
            <w:noProof/>
            <w:webHidden/>
          </w:rPr>
          <w:instrText xml:space="preserve"> PAGEREF _Toc236929732 \h </w:instrText>
        </w:r>
        <w:r>
          <w:rPr>
            <w:noProof/>
            <w:webHidden/>
          </w:rPr>
        </w:r>
        <w:r>
          <w:rPr>
            <w:noProof/>
            <w:webHidden/>
          </w:rPr>
          <w:fldChar w:fldCharType="separate"/>
        </w:r>
        <w:r>
          <w:rPr>
            <w:noProof/>
            <w:webHidden/>
          </w:rPr>
          <w:t>95</w:t>
        </w:r>
        <w:r>
          <w:rPr>
            <w:noProof/>
            <w:webHidden/>
          </w:rPr>
          <w:fldChar w:fldCharType="end"/>
        </w:r>
      </w:hyperlink>
    </w:p>
    <w:p w14:paraId="0F38ADA7" w14:textId="69D1E10B" w:rsidR="0094228B" w:rsidRDefault="0094228B">
      <w:pPr>
        <w:pStyle w:val="TOC2"/>
        <w:rPr>
          <w:rFonts w:asciiTheme="minorHAnsi" w:eastAsiaTheme="minorEastAsia" w:hAnsiTheme="minorHAnsi"/>
          <w:noProof/>
          <w:color w:val="auto"/>
          <w:sz w:val="24"/>
        </w:rPr>
      </w:pPr>
      <w:hyperlink w:anchor="_Toc236929733" w:history="1">
        <w:r w:rsidRPr="00FB14AE">
          <w:rPr>
            <w:rStyle w:val="Hyperlink"/>
            <w:noProof/>
          </w:rPr>
          <w:t>I.4 The Succession Table</w:t>
        </w:r>
        <w:r>
          <w:rPr>
            <w:noProof/>
            <w:webHidden/>
          </w:rPr>
          <w:tab/>
        </w:r>
        <w:r>
          <w:rPr>
            <w:noProof/>
            <w:webHidden/>
          </w:rPr>
          <w:fldChar w:fldCharType="begin"/>
        </w:r>
        <w:r>
          <w:rPr>
            <w:noProof/>
            <w:webHidden/>
          </w:rPr>
          <w:instrText xml:space="preserve"> PAGEREF _Toc236929733 \h </w:instrText>
        </w:r>
        <w:r>
          <w:rPr>
            <w:noProof/>
            <w:webHidden/>
          </w:rPr>
        </w:r>
        <w:r>
          <w:rPr>
            <w:noProof/>
            <w:webHidden/>
          </w:rPr>
          <w:fldChar w:fldCharType="separate"/>
        </w:r>
        <w:r>
          <w:rPr>
            <w:noProof/>
            <w:webHidden/>
          </w:rPr>
          <w:t>96</w:t>
        </w:r>
        <w:r>
          <w:rPr>
            <w:noProof/>
            <w:webHidden/>
          </w:rPr>
          <w:fldChar w:fldCharType="end"/>
        </w:r>
      </w:hyperlink>
    </w:p>
    <w:p w14:paraId="0C6A8FDA" w14:textId="02845DA1" w:rsidR="0094228B" w:rsidRDefault="0094228B">
      <w:pPr>
        <w:pStyle w:val="TOC2"/>
        <w:rPr>
          <w:rFonts w:asciiTheme="minorHAnsi" w:eastAsiaTheme="minorEastAsia" w:hAnsiTheme="minorHAnsi"/>
          <w:noProof/>
          <w:color w:val="auto"/>
          <w:sz w:val="24"/>
        </w:rPr>
      </w:pPr>
      <w:hyperlink w:anchor="_Toc236929734" w:history="1">
        <w:r w:rsidRPr="00FB14AE">
          <w:rPr>
            <w:rStyle w:val="Hyperlink"/>
            <w:noProof/>
          </w:rPr>
          <w:t>I.5 The Headquarters Agreements</w:t>
        </w:r>
        <w:r>
          <w:rPr>
            <w:noProof/>
            <w:webHidden/>
          </w:rPr>
          <w:tab/>
        </w:r>
        <w:r>
          <w:rPr>
            <w:noProof/>
            <w:webHidden/>
          </w:rPr>
          <w:fldChar w:fldCharType="begin"/>
        </w:r>
        <w:r>
          <w:rPr>
            <w:noProof/>
            <w:webHidden/>
          </w:rPr>
          <w:instrText xml:space="preserve"> PAGEREF _Toc236929734 \h </w:instrText>
        </w:r>
        <w:r>
          <w:rPr>
            <w:noProof/>
            <w:webHidden/>
          </w:rPr>
        </w:r>
        <w:r>
          <w:rPr>
            <w:noProof/>
            <w:webHidden/>
          </w:rPr>
          <w:fldChar w:fldCharType="separate"/>
        </w:r>
        <w:r>
          <w:rPr>
            <w:noProof/>
            <w:webHidden/>
          </w:rPr>
          <w:t>96</w:t>
        </w:r>
        <w:r>
          <w:rPr>
            <w:noProof/>
            <w:webHidden/>
          </w:rPr>
          <w:fldChar w:fldCharType="end"/>
        </w:r>
      </w:hyperlink>
    </w:p>
    <w:p w14:paraId="6F1D49CD" w14:textId="025B39DA" w:rsidR="0094228B" w:rsidRDefault="0094228B">
      <w:pPr>
        <w:pStyle w:val="TOC2"/>
        <w:rPr>
          <w:rFonts w:asciiTheme="minorHAnsi" w:eastAsiaTheme="minorEastAsia" w:hAnsiTheme="minorHAnsi"/>
          <w:noProof/>
          <w:color w:val="auto"/>
          <w:sz w:val="24"/>
        </w:rPr>
      </w:pPr>
      <w:hyperlink w:anchor="_Toc236929735" w:history="1">
        <w:r w:rsidRPr="00FB14AE">
          <w:rPr>
            <w:rStyle w:val="Hyperlink"/>
            <w:noProof/>
          </w:rPr>
          <w:t>I.6 The Youth and Future Generations Council</w:t>
        </w:r>
        <w:r>
          <w:rPr>
            <w:noProof/>
            <w:webHidden/>
          </w:rPr>
          <w:tab/>
        </w:r>
        <w:r>
          <w:rPr>
            <w:noProof/>
            <w:webHidden/>
          </w:rPr>
          <w:fldChar w:fldCharType="begin"/>
        </w:r>
        <w:r>
          <w:rPr>
            <w:noProof/>
            <w:webHidden/>
          </w:rPr>
          <w:instrText xml:space="preserve"> PAGEREF _Toc236929735 \h </w:instrText>
        </w:r>
        <w:r>
          <w:rPr>
            <w:noProof/>
            <w:webHidden/>
          </w:rPr>
        </w:r>
        <w:r>
          <w:rPr>
            <w:noProof/>
            <w:webHidden/>
          </w:rPr>
          <w:fldChar w:fldCharType="separate"/>
        </w:r>
        <w:r>
          <w:rPr>
            <w:noProof/>
            <w:webHidden/>
          </w:rPr>
          <w:t>96</w:t>
        </w:r>
        <w:r>
          <w:rPr>
            <w:noProof/>
            <w:webHidden/>
          </w:rPr>
          <w:fldChar w:fldCharType="end"/>
        </w:r>
      </w:hyperlink>
    </w:p>
    <w:p w14:paraId="51A532BC" w14:textId="6FA98666" w:rsidR="0094228B" w:rsidRDefault="0094228B">
      <w:pPr>
        <w:pStyle w:val="TOC1"/>
        <w:rPr>
          <w:rFonts w:asciiTheme="minorHAnsi" w:eastAsiaTheme="minorEastAsia" w:hAnsiTheme="minorHAnsi"/>
          <w:b w:val="0"/>
          <w:noProof/>
          <w:color w:val="auto"/>
          <w:sz w:val="24"/>
        </w:rPr>
      </w:pPr>
      <w:hyperlink w:anchor="_Toc236929736" w:history="1">
        <w:r w:rsidRPr="00FB14AE">
          <w:rPr>
            <w:rStyle w:val="Hyperlink"/>
            <w:noProof/>
          </w:rPr>
          <w:t>Annex J: The Pilot Phase and the Stability Audit</w:t>
        </w:r>
        <w:r>
          <w:rPr>
            <w:noProof/>
            <w:webHidden/>
          </w:rPr>
          <w:tab/>
        </w:r>
        <w:r>
          <w:rPr>
            <w:noProof/>
            <w:webHidden/>
          </w:rPr>
          <w:fldChar w:fldCharType="begin"/>
        </w:r>
        <w:r>
          <w:rPr>
            <w:noProof/>
            <w:webHidden/>
          </w:rPr>
          <w:instrText xml:space="preserve"> PAGEREF _Toc236929736 \h </w:instrText>
        </w:r>
        <w:r>
          <w:rPr>
            <w:noProof/>
            <w:webHidden/>
          </w:rPr>
        </w:r>
        <w:r>
          <w:rPr>
            <w:noProof/>
            <w:webHidden/>
          </w:rPr>
          <w:fldChar w:fldCharType="separate"/>
        </w:r>
        <w:r>
          <w:rPr>
            <w:noProof/>
            <w:webHidden/>
          </w:rPr>
          <w:t>97</w:t>
        </w:r>
        <w:r>
          <w:rPr>
            <w:noProof/>
            <w:webHidden/>
          </w:rPr>
          <w:fldChar w:fldCharType="end"/>
        </w:r>
      </w:hyperlink>
    </w:p>
    <w:p w14:paraId="49983A7A" w14:textId="72F3B181" w:rsidR="0094228B" w:rsidRDefault="0094228B">
      <w:pPr>
        <w:pStyle w:val="TOC2"/>
        <w:rPr>
          <w:rFonts w:asciiTheme="minorHAnsi" w:eastAsiaTheme="minorEastAsia" w:hAnsiTheme="minorHAnsi"/>
          <w:noProof/>
          <w:color w:val="auto"/>
          <w:sz w:val="24"/>
        </w:rPr>
      </w:pPr>
      <w:hyperlink w:anchor="_Toc236929737" w:history="1">
        <w:r w:rsidRPr="00FB14AE">
          <w:rPr>
            <w:rStyle w:val="Hyperlink"/>
            <w:noProof/>
          </w:rPr>
          <w:t>J.1 The Pilot Rules</w:t>
        </w:r>
        <w:r>
          <w:rPr>
            <w:noProof/>
            <w:webHidden/>
          </w:rPr>
          <w:tab/>
        </w:r>
        <w:r>
          <w:rPr>
            <w:noProof/>
            <w:webHidden/>
          </w:rPr>
          <w:fldChar w:fldCharType="begin"/>
        </w:r>
        <w:r>
          <w:rPr>
            <w:noProof/>
            <w:webHidden/>
          </w:rPr>
          <w:instrText xml:space="preserve"> PAGEREF _Toc236929737 \h </w:instrText>
        </w:r>
        <w:r>
          <w:rPr>
            <w:noProof/>
            <w:webHidden/>
          </w:rPr>
        </w:r>
        <w:r>
          <w:rPr>
            <w:noProof/>
            <w:webHidden/>
          </w:rPr>
          <w:fldChar w:fldCharType="separate"/>
        </w:r>
        <w:r>
          <w:rPr>
            <w:noProof/>
            <w:webHidden/>
          </w:rPr>
          <w:t>97</w:t>
        </w:r>
        <w:r>
          <w:rPr>
            <w:noProof/>
            <w:webHidden/>
          </w:rPr>
          <w:fldChar w:fldCharType="end"/>
        </w:r>
      </w:hyperlink>
    </w:p>
    <w:p w14:paraId="70082E89" w14:textId="7A782E7A" w:rsidR="0094228B" w:rsidRDefault="0094228B">
      <w:pPr>
        <w:pStyle w:val="TOC2"/>
        <w:rPr>
          <w:rFonts w:asciiTheme="minorHAnsi" w:eastAsiaTheme="minorEastAsia" w:hAnsiTheme="minorHAnsi"/>
          <w:noProof/>
          <w:color w:val="auto"/>
          <w:sz w:val="24"/>
        </w:rPr>
      </w:pPr>
      <w:hyperlink w:anchor="_Toc236929738" w:history="1">
        <w:r w:rsidRPr="00FB14AE">
          <w:rPr>
            <w:rStyle w:val="Hyperlink"/>
            <w:noProof/>
          </w:rPr>
          <w:t>J.2 The Sequential Activation Detail</w:t>
        </w:r>
        <w:r>
          <w:rPr>
            <w:noProof/>
            <w:webHidden/>
          </w:rPr>
          <w:tab/>
        </w:r>
        <w:r>
          <w:rPr>
            <w:noProof/>
            <w:webHidden/>
          </w:rPr>
          <w:fldChar w:fldCharType="begin"/>
        </w:r>
        <w:r>
          <w:rPr>
            <w:noProof/>
            <w:webHidden/>
          </w:rPr>
          <w:instrText xml:space="preserve"> PAGEREF _Toc236929738 \h </w:instrText>
        </w:r>
        <w:r>
          <w:rPr>
            <w:noProof/>
            <w:webHidden/>
          </w:rPr>
        </w:r>
        <w:r>
          <w:rPr>
            <w:noProof/>
            <w:webHidden/>
          </w:rPr>
          <w:fldChar w:fldCharType="separate"/>
        </w:r>
        <w:r>
          <w:rPr>
            <w:noProof/>
            <w:webHidden/>
          </w:rPr>
          <w:t>97</w:t>
        </w:r>
        <w:r>
          <w:rPr>
            <w:noProof/>
            <w:webHidden/>
          </w:rPr>
          <w:fldChar w:fldCharType="end"/>
        </w:r>
      </w:hyperlink>
    </w:p>
    <w:p w14:paraId="04EE4445" w14:textId="4D46DA99" w:rsidR="0094228B" w:rsidRDefault="0094228B">
      <w:pPr>
        <w:pStyle w:val="TOC2"/>
        <w:rPr>
          <w:rFonts w:asciiTheme="minorHAnsi" w:eastAsiaTheme="minorEastAsia" w:hAnsiTheme="minorHAnsi"/>
          <w:noProof/>
          <w:color w:val="auto"/>
          <w:sz w:val="24"/>
        </w:rPr>
      </w:pPr>
      <w:hyperlink w:anchor="_Toc236929739" w:history="1">
        <w:r w:rsidRPr="00FB14AE">
          <w:rPr>
            <w:rStyle w:val="Hyperlink"/>
            <w:noProof/>
          </w:rPr>
          <w:t>J.3 The Stability Audit: Domains and Metrics</w:t>
        </w:r>
        <w:r>
          <w:rPr>
            <w:noProof/>
            <w:webHidden/>
          </w:rPr>
          <w:tab/>
        </w:r>
        <w:r>
          <w:rPr>
            <w:noProof/>
            <w:webHidden/>
          </w:rPr>
          <w:fldChar w:fldCharType="begin"/>
        </w:r>
        <w:r>
          <w:rPr>
            <w:noProof/>
            <w:webHidden/>
          </w:rPr>
          <w:instrText xml:space="preserve"> PAGEREF _Toc236929739 \h </w:instrText>
        </w:r>
        <w:r>
          <w:rPr>
            <w:noProof/>
            <w:webHidden/>
          </w:rPr>
        </w:r>
        <w:r>
          <w:rPr>
            <w:noProof/>
            <w:webHidden/>
          </w:rPr>
          <w:fldChar w:fldCharType="separate"/>
        </w:r>
        <w:r>
          <w:rPr>
            <w:noProof/>
            <w:webHidden/>
          </w:rPr>
          <w:t>98</w:t>
        </w:r>
        <w:r>
          <w:rPr>
            <w:noProof/>
            <w:webHidden/>
          </w:rPr>
          <w:fldChar w:fldCharType="end"/>
        </w:r>
      </w:hyperlink>
    </w:p>
    <w:p w14:paraId="43BDC057" w14:textId="689571C4" w:rsidR="0094228B" w:rsidRDefault="0094228B">
      <w:pPr>
        <w:pStyle w:val="TOC2"/>
        <w:rPr>
          <w:rFonts w:asciiTheme="minorHAnsi" w:eastAsiaTheme="minorEastAsia" w:hAnsiTheme="minorHAnsi"/>
          <w:noProof/>
          <w:color w:val="auto"/>
          <w:sz w:val="24"/>
        </w:rPr>
      </w:pPr>
      <w:hyperlink w:anchor="_Toc236929740" w:history="1">
        <w:r w:rsidRPr="00FB14AE">
          <w:rPr>
            <w:rStyle w:val="Hyperlink"/>
            <w:noProof/>
          </w:rPr>
          <w:t>J.4 The Audit Outcomes</w:t>
        </w:r>
        <w:r>
          <w:rPr>
            <w:noProof/>
            <w:webHidden/>
          </w:rPr>
          <w:tab/>
        </w:r>
        <w:r>
          <w:rPr>
            <w:noProof/>
            <w:webHidden/>
          </w:rPr>
          <w:fldChar w:fldCharType="begin"/>
        </w:r>
        <w:r>
          <w:rPr>
            <w:noProof/>
            <w:webHidden/>
          </w:rPr>
          <w:instrText xml:space="preserve"> PAGEREF _Toc236929740 \h </w:instrText>
        </w:r>
        <w:r>
          <w:rPr>
            <w:noProof/>
            <w:webHidden/>
          </w:rPr>
        </w:r>
        <w:r>
          <w:rPr>
            <w:noProof/>
            <w:webHidden/>
          </w:rPr>
          <w:fldChar w:fldCharType="separate"/>
        </w:r>
        <w:r>
          <w:rPr>
            <w:noProof/>
            <w:webHidden/>
          </w:rPr>
          <w:t>99</w:t>
        </w:r>
        <w:r>
          <w:rPr>
            <w:noProof/>
            <w:webHidden/>
          </w:rPr>
          <w:fldChar w:fldCharType="end"/>
        </w:r>
      </w:hyperlink>
    </w:p>
    <w:p w14:paraId="6188A910" w14:textId="01C88134" w:rsidR="0094228B" w:rsidRDefault="0094228B">
      <w:pPr>
        <w:pStyle w:val="TOC1"/>
        <w:rPr>
          <w:rFonts w:asciiTheme="minorHAnsi" w:eastAsiaTheme="minorEastAsia" w:hAnsiTheme="minorHAnsi"/>
          <w:b w:val="0"/>
          <w:noProof/>
          <w:color w:val="auto"/>
          <w:sz w:val="24"/>
        </w:rPr>
      </w:pPr>
      <w:hyperlink w:anchor="_Toc236929741" w:history="1">
        <w:r w:rsidRPr="00FB14AE">
          <w:rPr>
            <w:rStyle w:val="Hyperlink"/>
            <w:noProof/>
          </w:rPr>
          <w:t>Annex K: The Simultaneous Announcement Protocol</w:t>
        </w:r>
        <w:r>
          <w:rPr>
            <w:noProof/>
            <w:webHidden/>
          </w:rPr>
          <w:tab/>
        </w:r>
        <w:r>
          <w:rPr>
            <w:noProof/>
            <w:webHidden/>
          </w:rPr>
          <w:fldChar w:fldCharType="begin"/>
        </w:r>
        <w:r>
          <w:rPr>
            <w:noProof/>
            <w:webHidden/>
          </w:rPr>
          <w:instrText xml:space="preserve"> PAGEREF _Toc236929741 \h </w:instrText>
        </w:r>
        <w:r>
          <w:rPr>
            <w:noProof/>
            <w:webHidden/>
          </w:rPr>
        </w:r>
        <w:r>
          <w:rPr>
            <w:noProof/>
            <w:webHidden/>
          </w:rPr>
          <w:fldChar w:fldCharType="separate"/>
        </w:r>
        <w:r>
          <w:rPr>
            <w:noProof/>
            <w:webHidden/>
          </w:rPr>
          <w:t>100</w:t>
        </w:r>
        <w:r>
          <w:rPr>
            <w:noProof/>
            <w:webHidden/>
          </w:rPr>
          <w:fldChar w:fldCharType="end"/>
        </w:r>
      </w:hyperlink>
    </w:p>
    <w:p w14:paraId="52CAB463" w14:textId="272A8B00" w:rsidR="0094228B" w:rsidRDefault="0094228B">
      <w:pPr>
        <w:pStyle w:val="TOC2"/>
        <w:rPr>
          <w:rFonts w:asciiTheme="minorHAnsi" w:eastAsiaTheme="minorEastAsia" w:hAnsiTheme="minorHAnsi"/>
          <w:noProof/>
          <w:color w:val="auto"/>
          <w:sz w:val="24"/>
        </w:rPr>
      </w:pPr>
      <w:hyperlink w:anchor="_Toc236929742" w:history="1">
        <w:r w:rsidRPr="00FB14AE">
          <w:rPr>
            <w:rStyle w:val="Hyperlink"/>
            <w:noProof/>
          </w:rPr>
          <w:t>K.1 The Joint Secretariat for Announcements</w:t>
        </w:r>
        <w:r>
          <w:rPr>
            <w:noProof/>
            <w:webHidden/>
          </w:rPr>
          <w:tab/>
        </w:r>
        <w:r>
          <w:rPr>
            <w:noProof/>
            <w:webHidden/>
          </w:rPr>
          <w:fldChar w:fldCharType="begin"/>
        </w:r>
        <w:r>
          <w:rPr>
            <w:noProof/>
            <w:webHidden/>
          </w:rPr>
          <w:instrText xml:space="preserve"> PAGEREF _Toc236929742 \h </w:instrText>
        </w:r>
        <w:r>
          <w:rPr>
            <w:noProof/>
            <w:webHidden/>
          </w:rPr>
        </w:r>
        <w:r>
          <w:rPr>
            <w:noProof/>
            <w:webHidden/>
          </w:rPr>
          <w:fldChar w:fldCharType="separate"/>
        </w:r>
        <w:r>
          <w:rPr>
            <w:noProof/>
            <w:webHidden/>
          </w:rPr>
          <w:t>100</w:t>
        </w:r>
        <w:r>
          <w:rPr>
            <w:noProof/>
            <w:webHidden/>
          </w:rPr>
          <w:fldChar w:fldCharType="end"/>
        </w:r>
      </w:hyperlink>
    </w:p>
    <w:p w14:paraId="4577112E" w14:textId="3150B121" w:rsidR="0094228B" w:rsidRDefault="0094228B">
      <w:pPr>
        <w:pStyle w:val="TOC2"/>
        <w:rPr>
          <w:rFonts w:asciiTheme="minorHAnsi" w:eastAsiaTheme="minorEastAsia" w:hAnsiTheme="minorHAnsi"/>
          <w:noProof/>
          <w:color w:val="auto"/>
          <w:sz w:val="24"/>
        </w:rPr>
      </w:pPr>
      <w:hyperlink w:anchor="_Toc236929743" w:history="1">
        <w:r w:rsidRPr="00FB14AE">
          <w:rPr>
            <w:rStyle w:val="Hyperlink"/>
            <w:noProof/>
          </w:rPr>
          <w:t>K.2 The Joint Statement Method</w:t>
        </w:r>
        <w:r>
          <w:rPr>
            <w:noProof/>
            <w:webHidden/>
          </w:rPr>
          <w:tab/>
        </w:r>
        <w:r>
          <w:rPr>
            <w:noProof/>
            <w:webHidden/>
          </w:rPr>
          <w:fldChar w:fldCharType="begin"/>
        </w:r>
        <w:r>
          <w:rPr>
            <w:noProof/>
            <w:webHidden/>
          </w:rPr>
          <w:instrText xml:space="preserve"> PAGEREF _Toc236929743 \h </w:instrText>
        </w:r>
        <w:r>
          <w:rPr>
            <w:noProof/>
            <w:webHidden/>
          </w:rPr>
        </w:r>
        <w:r>
          <w:rPr>
            <w:noProof/>
            <w:webHidden/>
          </w:rPr>
          <w:fldChar w:fldCharType="separate"/>
        </w:r>
        <w:r>
          <w:rPr>
            <w:noProof/>
            <w:webHidden/>
          </w:rPr>
          <w:t>100</w:t>
        </w:r>
        <w:r>
          <w:rPr>
            <w:noProof/>
            <w:webHidden/>
          </w:rPr>
          <w:fldChar w:fldCharType="end"/>
        </w:r>
      </w:hyperlink>
    </w:p>
    <w:p w14:paraId="03DAFC0A" w14:textId="6BFD3F15" w:rsidR="0094228B" w:rsidRDefault="0094228B">
      <w:pPr>
        <w:pStyle w:val="TOC2"/>
        <w:rPr>
          <w:rFonts w:asciiTheme="minorHAnsi" w:eastAsiaTheme="minorEastAsia" w:hAnsiTheme="minorHAnsi"/>
          <w:noProof/>
          <w:color w:val="auto"/>
          <w:sz w:val="24"/>
        </w:rPr>
      </w:pPr>
      <w:hyperlink w:anchor="_Toc236929744" w:history="1">
        <w:r w:rsidRPr="00FB14AE">
          <w:rPr>
            <w:rStyle w:val="Hyperlink"/>
            <w:noProof/>
          </w:rPr>
          <w:t>K.3 The Synchronized Performance Calendar</w:t>
        </w:r>
        <w:r>
          <w:rPr>
            <w:noProof/>
            <w:webHidden/>
          </w:rPr>
          <w:tab/>
        </w:r>
        <w:r>
          <w:rPr>
            <w:noProof/>
            <w:webHidden/>
          </w:rPr>
          <w:fldChar w:fldCharType="begin"/>
        </w:r>
        <w:r>
          <w:rPr>
            <w:noProof/>
            <w:webHidden/>
          </w:rPr>
          <w:instrText xml:space="preserve"> PAGEREF _Toc236929744 \h </w:instrText>
        </w:r>
        <w:r>
          <w:rPr>
            <w:noProof/>
            <w:webHidden/>
          </w:rPr>
        </w:r>
        <w:r>
          <w:rPr>
            <w:noProof/>
            <w:webHidden/>
          </w:rPr>
          <w:fldChar w:fldCharType="separate"/>
        </w:r>
        <w:r>
          <w:rPr>
            <w:noProof/>
            <w:webHidden/>
          </w:rPr>
          <w:t>100</w:t>
        </w:r>
        <w:r>
          <w:rPr>
            <w:noProof/>
            <w:webHidden/>
          </w:rPr>
          <w:fldChar w:fldCharType="end"/>
        </w:r>
      </w:hyperlink>
    </w:p>
    <w:p w14:paraId="0303B572" w14:textId="146C4CF6" w:rsidR="0094228B" w:rsidRDefault="0094228B">
      <w:pPr>
        <w:pStyle w:val="TOC2"/>
        <w:rPr>
          <w:rFonts w:asciiTheme="minorHAnsi" w:eastAsiaTheme="minorEastAsia" w:hAnsiTheme="minorHAnsi"/>
          <w:noProof/>
          <w:color w:val="auto"/>
          <w:sz w:val="24"/>
        </w:rPr>
      </w:pPr>
      <w:hyperlink w:anchor="_Toc236929745" w:history="1">
        <w:r w:rsidRPr="00FB14AE">
          <w:rPr>
            <w:rStyle w:val="Hyperlink"/>
            <w:noProof/>
          </w:rPr>
          <w:t>K.4 Crisis Communications</w:t>
        </w:r>
        <w:r>
          <w:rPr>
            <w:noProof/>
            <w:webHidden/>
          </w:rPr>
          <w:tab/>
        </w:r>
        <w:r>
          <w:rPr>
            <w:noProof/>
            <w:webHidden/>
          </w:rPr>
          <w:fldChar w:fldCharType="begin"/>
        </w:r>
        <w:r>
          <w:rPr>
            <w:noProof/>
            <w:webHidden/>
          </w:rPr>
          <w:instrText xml:space="preserve"> PAGEREF _Toc236929745 \h </w:instrText>
        </w:r>
        <w:r>
          <w:rPr>
            <w:noProof/>
            <w:webHidden/>
          </w:rPr>
        </w:r>
        <w:r>
          <w:rPr>
            <w:noProof/>
            <w:webHidden/>
          </w:rPr>
          <w:fldChar w:fldCharType="separate"/>
        </w:r>
        <w:r>
          <w:rPr>
            <w:noProof/>
            <w:webHidden/>
          </w:rPr>
          <w:t>101</w:t>
        </w:r>
        <w:r>
          <w:rPr>
            <w:noProof/>
            <w:webHidden/>
          </w:rPr>
          <w:fldChar w:fldCharType="end"/>
        </w:r>
      </w:hyperlink>
    </w:p>
    <w:p w14:paraId="40549787" w14:textId="0A2D9B13" w:rsidR="0094228B" w:rsidRDefault="0094228B">
      <w:pPr>
        <w:pStyle w:val="TOC1"/>
        <w:rPr>
          <w:rFonts w:asciiTheme="minorHAnsi" w:eastAsiaTheme="minorEastAsia" w:hAnsiTheme="minorHAnsi"/>
          <w:b w:val="0"/>
          <w:noProof/>
          <w:color w:val="auto"/>
          <w:sz w:val="24"/>
        </w:rPr>
      </w:pPr>
      <w:hyperlink w:anchor="_Toc236929746" w:history="1">
        <w:r w:rsidRPr="00FB14AE">
          <w:rPr>
            <w:rStyle w:val="Hyperlink"/>
            <w:noProof/>
          </w:rPr>
          <w:t>Annex L: The Humanitarian Corridor Protocol</w:t>
        </w:r>
        <w:r>
          <w:rPr>
            <w:noProof/>
            <w:webHidden/>
          </w:rPr>
          <w:tab/>
        </w:r>
        <w:r>
          <w:rPr>
            <w:noProof/>
            <w:webHidden/>
          </w:rPr>
          <w:fldChar w:fldCharType="begin"/>
        </w:r>
        <w:r>
          <w:rPr>
            <w:noProof/>
            <w:webHidden/>
          </w:rPr>
          <w:instrText xml:space="preserve"> PAGEREF _Toc236929746 \h </w:instrText>
        </w:r>
        <w:r>
          <w:rPr>
            <w:noProof/>
            <w:webHidden/>
          </w:rPr>
        </w:r>
        <w:r>
          <w:rPr>
            <w:noProof/>
            <w:webHidden/>
          </w:rPr>
          <w:fldChar w:fldCharType="separate"/>
        </w:r>
        <w:r>
          <w:rPr>
            <w:noProof/>
            <w:webHidden/>
          </w:rPr>
          <w:t>102</w:t>
        </w:r>
        <w:r>
          <w:rPr>
            <w:noProof/>
            <w:webHidden/>
          </w:rPr>
          <w:fldChar w:fldCharType="end"/>
        </w:r>
      </w:hyperlink>
    </w:p>
    <w:p w14:paraId="0845E9F8" w14:textId="0BAD3696" w:rsidR="0094228B" w:rsidRDefault="0094228B">
      <w:pPr>
        <w:pStyle w:val="TOC2"/>
        <w:rPr>
          <w:rFonts w:asciiTheme="minorHAnsi" w:eastAsiaTheme="minorEastAsia" w:hAnsiTheme="minorHAnsi"/>
          <w:noProof/>
          <w:color w:val="auto"/>
          <w:sz w:val="24"/>
        </w:rPr>
      </w:pPr>
      <w:hyperlink w:anchor="_Toc236929747" w:history="1">
        <w:r w:rsidRPr="00FB14AE">
          <w:rPr>
            <w:rStyle w:val="Hyperlink"/>
            <w:noProof/>
          </w:rPr>
          <w:t>L.1 The Protected Cargo Schedule</w:t>
        </w:r>
        <w:r>
          <w:rPr>
            <w:noProof/>
            <w:webHidden/>
          </w:rPr>
          <w:tab/>
        </w:r>
        <w:r>
          <w:rPr>
            <w:noProof/>
            <w:webHidden/>
          </w:rPr>
          <w:fldChar w:fldCharType="begin"/>
        </w:r>
        <w:r>
          <w:rPr>
            <w:noProof/>
            <w:webHidden/>
          </w:rPr>
          <w:instrText xml:space="preserve"> PAGEREF _Toc236929747 \h </w:instrText>
        </w:r>
        <w:r>
          <w:rPr>
            <w:noProof/>
            <w:webHidden/>
          </w:rPr>
        </w:r>
        <w:r>
          <w:rPr>
            <w:noProof/>
            <w:webHidden/>
          </w:rPr>
          <w:fldChar w:fldCharType="separate"/>
        </w:r>
        <w:r>
          <w:rPr>
            <w:noProof/>
            <w:webHidden/>
          </w:rPr>
          <w:t>102</w:t>
        </w:r>
        <w:r>
          <w:rPr>
            <w:noProof/>
            <w:webHidden/>
          </w:rPr>
          <w:fldChar w:fldCharType="end"/>
        </w:r>
      </w:hyperlink>
    </w:p>
    <w:p w14:paraId="7D2D83FD" w14:textId="087B98A1" w:rsidR="0094228B" w:rsidRDefault="0094228B">
      <w:pPr>
        <w:pStyle w:val="TOC2"/>
        <w:rPr>
          <w:rFonts w:asciiTheme="minorHAnsi" w:eastAsiaTheme="minorEastAsia" w:hAnsiTheme="minorHAnsi"/>
          <w:noProof/>
          <w:color w:val="auto"/>
          <w:sz w:val="24"/>
        </w:rPr>
      </w:pPr>
      <w:hyperlink w:anchor="_Toc236929748" w:history="1">
        <w:r w:rsidRPr="00FB14AE">
          <w:rPr>
            <w:rStyle w:val="Hyperlink"/>
            <w:noProof/>
          </w:rPr>
          <w:t>L.2 Pre-Clearance</w:t>
        </w:r>
        <w:r>
          <w:rPr>
            <w:noProof/>
            <w:webHidden/>
          </w:rPr>
          <w:tab/>
        </w:r>
        <w:r>
          <w:rPr>
            <w:noProof/>
            <w:webHidden/>
          </w:rPr>
          <w:fldChar w:fldCharType="begin"/>
        </w:r>
        <w:r>
          <w:rPr>
            <w:noProof/>
            <w:webHidden/>
          </w:rPr>
          <w:instrText xml:space="preserve"> PAGEREF _Toc236929748 \h </w:instrText>
        </w:r>
        <w:r>
          <w:rPr>
            <w:noProof/>
            <w:webHidden/>
          </w:rPr>
        </w:r>
        <w:r>
          <w:rPr>
            <w:noProof/>
            <w:webHidden/>
          </w:rPr>
          <w:fldChar w:fldCharType="separate"/>
        </w:r>
        <w:r>
          <w:rPr>
            <w:noProof/>
            <w:webHidden/>
          </w:rPr>
          <w:t>102</w:t>
        </w:r>
        <w:r>
          <w:rPr>
            <w:noProof/>
            <w:webHidden/>
          </w:rPr>
          <w:fldChar w:fldCharType="end"/>
        </w:r>
      </w:hyperlink>
    </w:p>
    <w:p w14:paraId="562D8A41" w14:textId="3D04ACFA" w:rsidR="0094228B" w:rsidRDefault="0094228B">
      <w:pPr>
        <w:pStyle w:val="TOC2"/>
        <w:rPr>
          <w:rFonts w:asciiTheme="minorHAnsi" w:eastAsiaTheme="minorEastAsia" w:hAnsiTheme="minorHAnsi"/>
          <w:noProof/>
          <w:color w:val="auto"/>
          <w:sz w:val="24"/>
        </w:rPr>
      </w:pPr>
      <w:hyperlink w:anchor="_Toc236929749" w:history="1">
        <w:r w:rsidRPr="00FB14AE">
          <w:rPr>
            <w:rStyle w:val="Hyperlink"/>
            <w:noProof/>
          </w:rPr>
          <w:t>L.3 The Standing Window and Priority</w:t>
        </w:r>
        <w:r>
          <w:rPr>
            <w:noProof/>
            <w:webHidden/>
          </w:rPr>
          <w:tab/>
        </w:r>
        <w:r>
          <w:rPr>
            <w:noProof/>
            <w:webHidden/>
          </w:rPr>
          <w:fldChar w:fldCharType="begin"/>
        </w:r>
        <w:r>
          <w:rPr>
            <w:noProof/>
            <w:webHidden/>
          </w:rPr>
          <w:instrText xml:space="preserve"> PAGEREF _Toc236929749 \h </w:instrText>
        </w:r>
        <w:r>
          <w:rPr>
            <w:noProof/>
            <w:webHidden/>
          </w:rPr>
        </w:r>
        <w:r>
          <w:rPr>
            <w:noProof/>
            <w:webHidden/>
          </w:rPr>
          <w:fldChar w:fldCharType="separate"/>
        </w:r>
        <w:r>
          <w:rPr>
            <w:noProof/>
            <w:webHidden/>
          </w:rPr>
          <w:t>102</w:t>
        </w:r>
        <w:r>
          <w:rPr>
            <w:noProof/>
            <w:webHidden/>
          </w:rPr>
          <w:fldChar w:fldCharType="end"/>
        </w:r>
      </w:hyperlink>
    </w:p>
    <w:p w14:paraId="2C1DB781" w14:textId="207EE8E7" w:rsidR="0094228B" w:rsidRDefault="0094228B">
      <w:pPr>
        <w:pStyle w:val="TOC2"/>
        <w:rPr>
          <w:rFonts w:asciiTheme="minorHAnsi" w:eastAsiaTheme="minorEastAsia" w:hAnsiTheme="minorHAnsi"/>
          <w:noProof/>
          <w:color w:val="auto"/>
          <w:sz w:val="24"/>
        </w:rPr>
      </w:pPr>
      <w:hyperlink w:anchor="_Toc236929750" w:history="1">
        <w:r w:rsidRPr="00FB14AE">
          <w:rPr>
            <w:rStyle w:val="Hyperlink"/>
            <w:noProof/>
          </w:rPr>
          <w:t>L.4 The Evacuation Playbook</w:t>
        </w:r>
        <w:r>
          <w:rPr>
            <w:noProof/>
            <w:webHidden/>
          </w:rPr>
          <w:tab/>
        </w:r>
        <w:r>
          <w:rPr>
            <w:noProof/>
            <w:webHidden/>
          </w:rPr>
          <w:fldChar w:fldCharType="begin"/>
        </w:r>
        <w:r>
          <w:rPr>
            <w:noProof/>
            <w:webHidden/>
          </w:rPr>
          <w:instrText xml:space="preserve"> PAGEREF _Toc236929750 \h </w:instrText>
        </w:r>
        <w:r>
          <w:rPr>
            <w:noProof/>
            <w:webHidden/>
          </w:rPr>
        </w:r>
        <w:r>
          <w:rPr>
            <w:noProof/>
            <w:webHidden/>
          </w:rPr>
          <w:fldChar w:fldCharType="separate"/>
        </w:r>
        <w:r>
          <w:rPr>
            <w:noProof/>
            <w:webHidden/>
          </w:rPr>
          <w:t>102</w:t>
        </w:r>
        <w:r>
          <w:rPr>
            <w:noProof/>
            <w:webHidden/>
          </w:rPr>
          <w:fldChar w:fldCharType="end"/>
        </w:r>
      </w:hyperlink>
    </w:p>
    <w:p w14:paraId="0B15AC2E" w14:textId="4EB18431" w:rsidR="0094228B" w:rsidRDefault="0094228B">
      <w:pPr>
        <w:pStyle w:val="TOC1"/>
        <w:rPr>
          <w:rFonts w:asciiTheme="minorHAnsi" w:eastAsiaTheme="minorEastAsia" w:hAnsiTheme="minorHAnsi"/>
          <w:b w:val="0"/>
          <w:noProof/>
          <w:color w:val="auto"/>
          <w:sz w:val="24"/>
        </w:rPr>
      </w:pPr>
      <w:hyperlink w:anchor="_Toc236929751" w:history="1">
        <w:r w:rsidRPr="00FB14AE">
          <w:rPr>
            <w:rStyle w:val="Hyperlink"/>
            <w:noProof/>
          </w:rPr>
          <w:t>Annex M: Definitions and the Language Reconciliation Protocol</w:t>
        </w:r>
        <w:r>
          <w:rPr>
            <w:noProof/>
            <w:webHidden/>
          </w:rPr>
          <w:tab/>
        </w:r>
        <w:r>
          <w:rPr>
            <w:noProof/>
            <w:webHidden/>
          </w:rPr>
          <w:fldChar w:fldCharType="begin"/>
        </w:r>
        <w:r>
          <w:rPr>
            <w:noProof/>
            <w:webHidden/>
          </w:rPr>
          <w:instrText xml:space="preserve"> PAGEREF _Toc236929751 \h </w:instrText>
        </w:r>
        <w:r>
          <w:rPr>
            <w:noProof/>
            <w:webHidden/>
          </w:rPr>
        </w:r>
        <w:r>
          <w:rPr>
            <w:noProof/>
            <w:webHidden/>
          </w:rPr>
          <w:fldChar w:fldCharType="separate"/>
        </w:r>
        <w:r>
          <w:rPr>
            <w:noProof/>
            <w:webHidden/>
          </w:rPr>
          <w:t>103</w:t>
        </w:r>
        <w:r>
          <w:rPr>
            <w:noProof/>
            <w:webHidden/>
          </w:rPr>
          <w:fldChar w:fldCharType="end"/>
        </w:r>
      </w:hyperlink>
    </w:p>
    <w:p w14:paraId="597B0BCB" w14:textId="42CFAAAF" w:rsidR="0094228B" w:rsidRDefault="0094228B">
      <w:pPr>
        <w:pStyle w:val="TOC2"/>
        <w:rPr>
          <w:rFonts w:asciiTheme="minorHAnsi" w:eastAsiaTheme="minorEastAsia" w:hAnsiTheme="minorHAnsi"/>
          <w:noProof/>
          <w:color w:val="auto"/>
          <w:sz w:val="24"/>
        </w:rPr>
      </w:pPr>
      <w:hyperlink w:anchor="_Toc236929752" w:history="1">
        <w:r w:rsidRPr="00FB14AE">
          <w:rPr>
            <w:rStyle w:val="Hyperlink"/>
            <w:noProof/>
          </w:rPr>
          <w:t>M.1 Definitions</w:t>
        </w:r>
        <w:r>
          <w:rPr>
            <w:noProof/>
            <w:webHidden/>
          </w:rPr>
          <w:tab/>
        </w:r>
        <w:r>
          <w:rPr>
            <w:noProof/>
            <w:webHidden/>
          </w:rPr>
          <w:fldChar w:fldCharType="begin"/>
        </w:r>
        <w:r>
          <w:rPr>
            <w:noProof/>
            <w:webHidden/>
          </w:rPr>
          <w:instrText xml:space="preserve"> PAGEREF _Toc236929752 \h </w:instrText>
        </w:r>
        <w:r>
          <w:rPr>
            <w:noProof/>
            <w:webHidden/>
          </w:rPr>
        </w:r>
        <w:r>
          <w:rPr>
            <w:noProof/>
            <w:webHidden/>
          </w:rPr>
          <w:fldChar w:fldCharType="separate"/>
        </w:r>
        <w:r>
          <w:rPr>
            <w:noProof/>
            <w:webHidden/>
          </w:rPr>
          <w:t>103</w:t>
        </w:r>
        <w:r>
          <w:rPr>
            <w:noProof/>
            <w:webHidden/>
          </w:rPr>
          <w:fldChar w:fldCharType="end"/>
        </w:r>
      </w:hyperlink>
    </w:p>
    <w:p w14:paraId="60805598" w14:textId="607597C4" w:rsidR="0094228B" w:rsidRDefault="0094228B">
      <w:pPr>
        <w:pStyle w:val="TOC2"/>
        <w:rPr>
          <w:rFonts w:asciiTheme="minorHAnsi" w:eastAsiaTheme="minorEastAsia" w:hAnsiTheme="minorHAnsi"/>
          <w:noProof/>
          <w:color w:val="auto"/>
          <w:sz w:val="24"/>
        </w:rPr>
      </w:pPr>
      <w:hyperlink w:anchor="_Toc236929753" w:history="1">
        <w:r w:rsidRPr="00FB14AE">
          <w:rPr>
            <w:rStyle w:val="Hyperlink"/>
            <w:noProof/>
          </w:rPr>
          <w:t>M.2 The Language Reconciliation Protocol</w:t>
        </w:r>
        <w:r>
          <w:rPr>
            <w:noProof/>
            <w:webHidden/>
          </w:rPr>
          <w:tab/>
        </w:r>
        <w:r>
          <w:rPr>
            <w:noProof/>
            <w:webHidden/>
          </w:rPr>
          <w:fldChar w:fldCharType="begin"/>
        </w:r>
        <w:r>
          <w:rPr>
            <w:noProof/>
            <w:webHidden/>
          </w:rPr>
          <w:instrText xml:space="preserve"> PAGEREF _Toc236929753 \h </w:instrText>
        </w:r>
        <w:r>
          <w:rPr>
            <w:noProof/>
            <w:webHidden/>
          </w:rPr>
        </w:r>
        <w:r>
          <w:rPr>
            <w:noProof/>
            <w:webHidden/>
          </w:rPr>
          <w:fldChar w:fldCharType="separate"/>
        </w:r>
        <w:r>
          <w:rPr>
            <w:noProof/>
            <w:webHidden/>
          </w:rPr>
          <w:t>104</w:t>
        </w:r>
        <w:r>
          <w:rPr>
            <w:noProof/>
            <w:webHidden/>
          </w:rPr>
          <w:fldChar w:fldCharType="end"/>
        </w:r>
      </w:hyperlink>
    </w:p>
    <w:p w14:paraId="366082CF" w14:textId="7472F29D" w:rsidR="0094228B" w:rsidRDefault="0094228B">
      <w:pPr>
        <w:pStyle w:val="TOC2"/>
        <w:rPr>
          <w:rFonts w:asciiTheme="minorHAnsi" w:eastAsiaTheme="minorEastAsia" w:hAnsiTheme="minorHAnsi"/>
          <w:noProof/>
          <w:color w:val="auto"/>
          <w:sz w:val="24"/>
        </w:rPr>
      </w:pPr>
      <w:hyperlink w:anchor="_Toc236929754" w:history="1">
        <w:r w:rsidRPr="00FB14AE">
          <w:rPr>
            <w:rStyle w:val="Hyperlink"/>
            <w:noProof/>
          </w:rPr>
          <w:t>M.3 Amendment and Version Control</w:t>
        </w:r>
        <w:r>
          <w:rPr>
            <w:noProof/>
            <w:webHidden/>
          </w:rPr>
          <w:tab/>
        </w:r>
        <w:r>
          <w:rPr>
            <w:noProof/>
            <w:webHidden/>
          </w:rPr>
          <w:fldChar w:fldCharType="begin"/>
        </w:r>
        <w:r>
          <w:rPr>
            <w:noProof/>
            <w:webHidden/>
          </w:rPr>
          <w:instrText xml:space="preserve"> PAGEREF _Toc236929754 \h </w:instrText>
        </w:r>
        <w:r>
          <w:rPr>
            <w:noProof/>
            <w:webHidden/>
          </w:rPr>
        </w:r>
        <w:r>
          <w:rPr>
            <w:noProof/>
            <w:webHidden/>
          </w:rPr>
          <w:fldChar w:fldCharType="separate"/>
        </w:r>
        <w:r>
          <w:rPr>
            <w:noProof/>
            <w:webHidden/>
          </w:rPr>
          <w:t>104</w:t>
        </w:r>
        <w:r>
          <w:rPr>
            <w:noProof/>
            <w:webHidden/>
          </w:rPr>
          <w:fldChar w:fldCharType="end"/>
        </w:r>
      </w:hyperlink>
    </w:p>
    <w:p w14:paraId="2F8709D4" w14:textId="39412616" w:rsidR="0094228B" w:rsidRDefault="0094228B">
      <w:pPr>
        <w:pStyle w:val="TOC1"/>
        <w:rPr>
          <w:rFonts w:asciiTheme="minorHAnsi" w:eastAsiaTheme="minorEastAsia" w:hAnsiTheme="minorHAnsi"/>
          <w:b w:val="0"/>
          <w:noProof/>
          <w:color w:val="auto"/>
          <w:sz w:val="24"/>
        </w:rPr>
      </w:pPr>
      <w:hyperlink w:anchor="_Toc236929755" w:history="1">
        <w:r w:rsidRPr="00FB14AE">
          <w:rPr>
            <w:rStyle w:val="Hyperlink"/>
            <w:noProof/>
          </w:rPr>
          <w:t>Closing Note: The Sobat Payedar Undertaking</w:t>
        </w:r>
        <w:r>
          <w:rPr>
            <w:noProof/>
            <w:webHidden/>
          </w:rPr>
          <w:tab/>
        </w:r>
        <w:r>
          <w:rPr>
            <w:noProof/>
            <w:webHidden/>
          </w:rPr>
          <w:fldChar w:fldCharType="begin"/>
        </w:r>
        <w:r>
          <w:rPr>
            <w:noProof/>
            <w:webHidden/>
          </w:rPr>
          <w:instrText xml:space="preserve"> PAGEREF _Toc236929755 \h </w:instrText>
        </w:r>
        <w:r>
          <w:rPr>
            <w:noProof/>
            <w:webHidden/>
          </w:rPr>
        </w:r>
        <w:r>
          <w:rPr>
            <w:noProof/>
            <w:webHidden/>
          </w:rPr>
          <w:fldChar w:fldCharType="separate"/>
        </w:r>
        <w:r>
          <w:rPr>
            <w:noProof/>
            <w:webHidden/>
          </w:rPr>
          <w:t>105</w:t>
        </w:r>
        <w:r>
          <w:rPr>
            <w:noProof/>
            <w:webHidden/>
          </w:rPr>
          <w:fldChar w:fldCharType="end"/>
        </w:r>
      </w:hyperlink>
    </w:p>
    <w:p w14:paraId="14D16875" w14:textId="6A90E08E" w:rsidR="002A4A1B" w:rsidRDefault="00000000">
      <w:r>
        <w:fldChar w:fldCharType="end"/>
      </w:r>
    </w:p>
    <w:p w14:paraId="40A11969" w14:textId="77777777" w:rsidR="002A4A1B" w:rsidRDefault="00000000">
      <w:pPr>
        <w:pStyle w:val="Heading1"/>
      </w:pPr>
      <w:bookmarkStart w:id="1" w:name="_Toc236929540"/>
      <w:r>
        <w:lastRenderedPageBreak/>
        <w:t>Document Control</w:t>
      </w:r>
      <w:bookmarkEnd w:id="1"/>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531"/>
        <w:gridCol w:w="6695"/>
      </w:tblGrid>
      <w:tr w:rsidR="002A4A1B" w14:paraId="1F910192" w14:textId="77777777">
        <w:tblPrEx>
          <w:tblCellMar>
            <w:top w:w="0" w:type="dxa"/>
            <w:bottom w:w="0" w:type="dxa"/>
          </w:tblCellMar>
        </w:tblPrEx>
        <w:trPr>
          <w:tblHeader/>
        </w:trPr>
        <w:tc>
          <w:tcPr>
            <w:tcW w:w="2600" w:type="dxa"/>
            <w:tcBorders>
              <w:bottom w:val="single" w:sz="6" w:space="0" w:color="2F5560"/>
            </w:tcBorders>
            <w:shd w:val="clear" w:color="auto" w:fill="E7EEF0"/>
            <w:tcMar>
              <w:top w:w="60" w:type="dxa"/>
              <w:left w:w="100" w:type="dxa"/>
              <w:bottom w:w="60" w:type="dxa"/>
              <w:right w:w="100" w:type="dxa"/>
            </w:tcMar>
          </w:tcPr>
          <w:p w14:paraId="7F58A0DD" w14:textId="77777777" w:rsidR="002A4A1B" w:rsidRDefault="00000000">
            <w:pPr>
              <w:spacing w:after="0" w:line="300" w:lineRule="auto"/>
            </w:pPr>
            <w:r>
              <w:rPr>
                <w:b/>
                <w:color w:val="1F3A44"/>
                <w:sz w:val="20"/>
              </w:rPr>
              <w:t>Field</w:t>
            </w:r>
          </w:p>
        </w:tc>
        <w:tc>
          <w:tcPr>
            <w:tcW w:w="7000" w:type="dxa"/>
            <w:tcBorders>
              <w:bottom w:val="single" w:sz="6" w:space="0" w:color="2F5560"/>
            </w:tcBorders>
            <w:shd w:val="clear" w:color="auto" w:fill="E7EEF0"/>
            <w:tcMar>
              <w:top w:w="60" w:type="dxa"/>
              <w:left w:w="100" w:type="dxa"/>
              <w:bottom w:w="60" w:type="dxa"/>
              <w:right w:w="100" w:type="dxa"/>
            </w:tcMar>
          </w:tcPr>
          <w:p w14:paraId="062048AE" w14:textId="77777777" w:rsidR="002A4A1B" w:rsidRDefault="00000000">
            <w:pPr>
              <w:spacing w:after="0" w:line="300" w:lineRule="auto"/>
            </w:pPr>
            <w:r>
              <w:rPr>
                <w:b/>
                <w:color w:val="1F3A44"/>
                <w:sz w:val="20"/>
              </w:rPr>
              <w:t>Entry</w:t>
            </w:r>
          </w:p>
        </w:tc>
      </w:tr>
      <w:tr w:rsidR="002A4A1B" w14:paraId="68AA5822" w14:textId="77777777">
        <w:tblPrEx>
          <w:tblCellMar>
            <w:top w:w="0" w:type="dxa"/>
            <w:bottom w:w="0" w:type="dxa"/>
          </w:tblCellMar>
        </w:tblPrEx>
        <w:tc>
          <w:tcPr>
            <w:tcW w:w="2600" w:type="dxa"/>
            <w:tcMar>
              <w:top w:w="60" w:type="dxa"/>
              <w:left w:w="100" w:type="dxa"/>
              <w:bottom w:w="60" w:type="dxa"/>
              <w:right w:w="100" w:type="dxa"/>
            </w:tcMar>
          </w:tcPr>
          <w:p w14:paraId="18F60706" w14:textId="77777777" w:rsidR="002A4A1B" w:rsidRDefault="00000000">
            <w:pPr>
              <w:spacing w:after="0" w:line="300" w:lineRule="auto"/>
            </w:pPr>
            <w:r>
              <w:rPr>
                <w:sz w:val="20"/>
              </w:rPr>
              <w:t>Instrument</w:t>
            </w:r>
          </w:p>
        </w:tc>
        <w:tc>
          <w:tcPr>
            <w:tcW w:w="7000" w:type="dxa"/>
            <w:tcMar>
              <w:top w:w="60" w:type="dxa"/>
              <w:left w:w="100" w:type="dxa"/>
              <w:bottom w:w="60" w:type="dxa"/>
              <w:right w:w="100" w:type="dxa"/>
            </w:tcMar>
          </w:tcPr>
          <w:p w14:paraId="31782182" w14:textId="77777777" w:rsidR="002A4A1B" w:rsidRDefault="00000000">
            <w:pPr>
              <w:spacing w:after="0" w:line="300" w:lineRule="auto"/>
            </w:pPr>
            <w:r>
              <w:rPr>
                <w:sz w:val="20"/>
              </w:rPr>
              <w:t>The Sobat Payedar Framework, Version 1.0</w:t>
            </w:r>
          </w:p>
        </w:tc>
      </w:tr>
      <w:tr w:rsidR="002A4A1B" w14:paraId="6CC67E5B" w14:textId="77777777">
        <w:tblPrEx>
          <w:tblCellMar>
            <w:top w:w="0" w:type="dxa"/>
            <w:bottom w:w="0" w:type="dxa"/>
          </w:tblCellMar>
        </w:tblPrEx>
        <w:tc>
          <w:tcPr>
            <w:tcW w:w="2600" w:type="dxa"/>
            <w:tcMar>
              <w:top w:w="60" w:type="dxa"/>
              <w:left w:w="100" w:type="dxa"/>
              <w:bottom w:w="60" w:type="dxa"/>
              <w:right w:w="100" w:type="dxa"/>
            </w:tcMar>
          </w:tcPr>
          <w:p w14:paraId="6A03FD5F" w14:textId="77777777" w:rsidR="002A4A1B" w:rsidRDefault="00000000">
            <w:pPr>
              <w:spacing w:after="0" w:line="300" w:lineRule="auto"/>
            </w:pPr>
            <w:r>
              <w:rPr>
                <w:sz w:val="20"/>
              </w:rPr>
              <w:t>Short title</w:t>
            </w:r>
          </w:p>
        </w:tc>
        <w:tc>
          <w:tcPr>
            <w:tcW w:w="7000" w:type="dxa"/>
            <w:tcMar>
              <w:top w:w="60" w:type="dxa"/>
              <w:left w:w="100" w:type="dxa"/>
              <w:bottom w:w="60" w:type="dxa"/>
              <w:right w:w="100" w:type="dxa"/>
            </w:tcMar>
          </w:tcPr>
          <w:p w14:paraId="361C0A5E" w14:textId="77777777" w:rsidR="002A4A1B" w:rsidRDefault="00000000">
            <w:pPr>
              <w:spacing w:after="0" w:line="300" w:lineRule="auto"/>
            </w:pPr>
            <w:r>
              <w:rPr>
                <w:sz w:val="20"/>
              </w:rPr>
              <w:t>The Framework (TSPF)</w:t>
            </w:r>
          </w:p>
        </w:tc>
      </w:tr>
      <w:tr w:rsidR="002A4A1B" w14:paraId="6788A86A" w14:textId="77777777">
        <w:tblPrEx>
          <w:tblCellMar>
            <w:top w:w="0" w:type="dxa"/>
            <w:bottom w:w="0" w:type="dxa"/>
          </w:tblCellMar>
        </w:tblPrEx>
        <w:tc>
          <w:tcPr>
            <w:tcW w:w="2600" w:type="dxa"/>
            <w:tcMar>
              <w:top w:w="60" w:type="dxa"/>
              <w:left w:w="100" w:type="dxa"/>
              <w:bottom w:w="60" w:type="dxa"/>
              <w:right w:w="100" w:type="dxa"/>
            </w:tcMar>
          </w:tcPr>
          <w:p w14:paraId="15EA4A78" w14:textId="77777777" w:rsidR="002A4A1B" w:rsidRDefault="00000000">
            <w:pPr>
              <w:spacing w:after="0" w:line="300" w:lineRule="auto"/>
            </w:pPr>
            <w:r>
              <w:rPr>
                <w:sz w:val="20"/>
              </w:rPr>
              <w:t>Version</w:t>
            </w:r>
          </w:p>
        </w:tc>
        <w:tc>
          <w:tcPr>
            <w:tcW w:w="7000" w:type="dxa"/>
            <w:tcMar>
              <w:top w:w="60" w:type="dxa"/>
              <w:left w:w="100" w:type="dxa"/>
              <w:bottom w:w="60" w:type="dxa"/>
              <w:right w:w="100" w:type="dxa"/>
            </w:tcMar>
          </w:tcPr>
          <w:p w14:paraId="5837962A" w14:textId="77777777" w:rsidR="002A4A1B" w:rsidRDefault="00000000">
            <w:pPr>
              <w:spacing w:after="0" w:line="300" w:lineRule="auto"/>
            </w:pPr>
            <w:r>
              <w:rPr>
                <w:sz w:val="20"/>
              </w:rPr>
              <w:t>1.0 (the Muscat Text)</w:t>
            </w:r>
          </w:p>
        </w:tc>
      </w:tr>
      <w:tr w:rsidR="002A4A1B" w14:paraId="1F09317D" w14:textId="77777777">
        <w:tblPrEx>
          <w:tblCellMar>
            <w:top w:w="0" w:type="dxa"/>
            <w:bottom w:w="0" w:type="dxa"/>
          </w:tblCellMar>
        </w:tblPrEx>
        <w:tc>
          <w:tcPr>
            <w:tcW w:w="2600" w:type="dxa"/>
            <w:tcMar>
              <w:top w:w="60" w:type="dxa"/>
              <w:left w:w="100" w:type="dxa"/>
              <w:bottom w:w="60" w:type="dxa"/>
              <w:right w:w="100" w:type="dxa"/>
            </w:tcMar>
          </w:tcPr>
          <w:p w14:paraId="00B1DE93" w14:textId="77777777" w:rsidR="002A4A1B" w:rsidRDefault="00000000">
            <w:pPr>
              <w:spacing w:after="0" w:line="300" w:lineRule="auto"/>
            </w:pPr>
            <w:r>
              <w:rPr>
                <w:sz w:val="20"/>
              </w:rPr>
              <w:t>Date</w:t>
            </w:r>
          </w:p>
        </w:tc>
        <w:tc>
          <w:tcPr>
            <w:tcW w:w="7000" w:type="dxa"/>
            <w:tcMar>
              <w:top w:w="60" w:type="dxa"/>
              <w:left w:w="100" w:type="dxa"/>
              <w:bottom w:w="60" w:type="dxa"/>
              <w:right w:w="100" w:type="dxa"/>
            </w:tcMar>
          </w:tcPr>
          <w:p w14:paraId="42B46EBD" w14:textId="77777777" w:rsidR="002A4A1B" w:rsidRDefault="00000000">
            <w:pPr>
              <w:spacing w:after="0" w:line="300" w:lineRule="auto"/>
            </w:pPr>
            <w:r>
              <w:rPr>
                <w:sz w:val="20"/>
              </w:rPr>
              <w:t>August 2026</w:t>
            </w:r>
          </w:p>
        </w:tc>
      </w:tr>
      <w:tr w:rsidR="002A4A1B" w14:paraId="7F82D9EC" w14:textId="77777777">
        <w:tblPrEx>
          <w:tblCellMar>
            <w:top w:w="0" w:type="dxa"/>
            <w:bottom w:w="0" w:type="dxa"/>
          </w:tblCellMar>
        </w:tblPrEx>
        <w:tc>
          <w:tcPr>
            <w:tcW w:w="2600" w:type="dxa"/>
            <w:tcMar>
              <w:top w:w="60" w:type="dxa"/>
              <w:left w:w="100" w:type="dxa"/>
              <w:bottom w:w="60" w:type="dxa"/>
              <w:right w:w="100" w:type="dxa"/>
            </w:tcMar>
          </w:tcPr>
          <w:p w14:paraId="3EBC4BC5" w14:textId="77777777" w:rsidR="002A4A1B" w:rsidRDefault="00000000">
            <w:pPr>
              <w:spacing w:after="0" w:line="300" w:lineRule="auto"/>
            </w:pPr>
            <w:r>
              <w:rPr>
                <w:sz w:val="20"/>
              </w:rPr>
              <w:t>Status</w:t>
            </w:r>
          </w:p>
        </w:tc>
        <w:tc>
          <w:tcPr>
            <w:tcW w:w="7000" w:type="dxa"/>
            <w:tcMar>
              <w:top w:w="60" w:type="dxa"/>
              <w:left w:w="100" w:type="dxa"/>
              <w:bottom w:w="60" w:type="dxa"/>
              <w:right w:w="100" w:type="dxa"/>
            </w:tcMar>
          </w:tcPr>
          <w:p w14:paraId="58B3A9B8" w14:textId="77777777" w:rsidR="002A4A1B" w:rsidRDefault="00000000">
            <w:pPr>
              <w:spacing w:after="0" w:line="300" w:lineRule="auto"/>
            </w:pPr>
            <w:r>
              <w:rPr>
                <w:sz w:val="20"/>
              </w:rPr>
              <w:t>Negotiating draft for authorized participants; text ready for technical review</w:t>
            </w:r>
          </w:p>
        </w:tc>
      </w:tr>
      <w:tr w:rsidR="002A4A1B" w14:paraId="79938252" w14:textId="77777777">
        <w:tblPrEx>
          <w:tblCellMar>
            <w:top w:w="0" w:type="dxa"/>
            <w:bottom w:w="0" w:type="dxa"/>
          </w:tblCellMar>
        </w:tblPrEx>
        <w:tc>
          <w:tcPr>
            <w:tcW w:w="2600" w:type="dxa"/>
            <w:tcMar>
              <w:top w:w="60" w:type="dxa"/>
              <w:left w:w="100" w:type="dxa"/>
              <w:bottom w:w="60" w:type="dxa"/>
              <w:right w:w="100" w:type="dxa"/>
            </w:tcMar>
          </w:tcPr>
          <w:p w14:paraId="59EF2A05" w14:textId="77777777" w:rsidR="002A4A1B" w:rsidRDefault="00000000">
            <w:pPr>
              <w:spacing w:after="0" w:line="300" w:lineRule="auto"/>
            </w:pPr>
            <w:r>
              <w:rPr>
                <w:sz w:val="20"/>
              </w:rPr>
              <w:t>Founding Parties</w:t>
            </w:r>
          </w:p>
        </w:tc>
        <w:tc>
          <w:tcPr>
            <w:tcW w:w="7000" w:type="dxa"/>
            <w:tcMar>
              <w:top w:w="60" w:type="dxa"/>
              <w:left w:w="100" w:type="dxa"/>
              <w:bottom w:w="60" w:type="dxa"/>
              <w:right w:w="100" w:type="dxa"/>
            </w:tcMar>
          </w:tcPr>
          <w:p w14:paraId="472BE240" w14:textId="77777777" w:rsidR="002A4A1B" w:rsidRDefault="00000000">
            <w:pPr>
              <w:spacing w:after="0" w:line="300" w:lineRule="auto"/>
            </w:pPr>
            <w:r>
              <w:rPr>
                <w:sz w:val="20"/>
              </w:rPr>
              <w:t>The Islamic Republic of Iran and the Sultanate of Oman</w:t>
            </w:r>
          </w:p>
        </w:tc>
      </w:tr>
      <w:tr w:rsidR="002A4A1B" w14:paraId="30D02333" w14:textId="77777777">
        <w:tblPrEx>
          <w:tblCellMar>
            <w:top w:w="0" w:type="dxa"/>
            <w:bottom w:w="0" w:type="dxa"/>
          </w:tblCellMar>
        </w:tblPrEx>
        <w:tc>
          <w:tcPr>
            <w:tcW w:w="2600" w:type="dxa"/>
            <w:tcMar>
              <w:top w:w="60" w:type="dxa"/>
              <w:left w:w="100" w:type="dxa"/>
              <w:bottom w:w="60" w:type="dxa"/>
              <w:right w:w="100" w:type="dxa"/>
            </w:tcMar>
          </w:tcPr>
          <w:p w14:paraId="2AFB7229" w14:textId="77777777" w:rsidR="002A4A1B" w:rsidRDefault="00000000">
            <w:pPr>
              <w:spacing w:after="0" w:line="300" w:lineRule="auto"/>
            </w:pPr>
            <w:r>
              <w:rPr>
                <w:sz w:val="20"/>
              </w:rPr>
              <w:t>Accession path</w:t>
            </w:r>
          </w:p>
        </w:tc>
        <w:tc>
          <w:tcPr>
            <w:tcW w:w="7000" w:type="dxa"/>
            <w:tcMar>
              <w:top w:w="60" w:type="dxa"/>
              <w:left w:w="100" w:type="dxa"/>
              <w:bottom w:w="60" w:type="dxa"/>
              <w:right w:w="100" w:type="dxa"/>
            </w:tcMar>
          </w:tcPr>
          <w:p w14:paraId="0B5757CE" w14:textId="77777777" w:rsidR="002A4A1B" w:rsidRDefault="00000000">
            <w:pPr>
              <w:spacing w:after="0" w:line="300" w:lineRule="auto"/>
            </w:pPr>
            <w:r>
              <w:rPr>
                <w:sz w:val="20"/>
              </w:rPr>
              <w:t>The United Arab Emirates, the Kingdom of Saudi Arabia, the State of Qatar, the Kingdom of Bahrain, the State of Kuwait, and the Republic of Iraq</w:t>
            </w:r>
          </w:p>
        </w:tc>
      </w:tr>
      <w:tr w:rsidR="002A4A1B" w14:paraId="495652CA" w14:textId="77777777">
        <w:tblPrEx>
          <w:tblCellMar>
            <w:top w:w="0" w:type="dxa"/>
            <w:bottom w:w="0" w:type="dxa"/>
          </w:tblCellMar>
        </w:tblPrEx>
        <w:tc>
          <w:tcPr>
            <w:tcW w:w="2600" w:type="dxa"/>
            <w:tcMar>
              <w:top w:w="60" w:type="dxa"/>
              <w:left w:w="100" w:type="dxa"/>
              <w:bottom w:w="60" w:type="dxa"/>
              <w:right w:w="100" w:type="dxa"/>
            </w:tcMar>
          </w:tcPr>
          <w:p w14:paraId="3BE31932" w14:textId="77777777" w:rsidR="002A4A1B" w:rsidRDefault="00000000">
            <w:pPr>
              <w:spacing w:after="0" w:line="300" w:lineRule="auto"/>
            </w:pPr>
            <w:r>
              <w:rPr>
                <w:sz w:val="20"/>
              </w:rPr>
              <w:t>Mediator of Record</w:t>
            </w:r>
          </w:p>
        </w:tc>
        <w:tc>
          <w:tcPr>
            <w:tcW w:w="7000" w:type="dxa"/>
            <w:tcMar>
              <w:top w:w="60" w:type="dxa"/>
              <w:left w:w="100" w:type="dxa"/>
              <w:bottom w:w="60" w:type="dxa"/>
              <w:right w:w="100" w:type="dxa"/>
            </w:tcMar>
          </w:tcPr>
          <w:p w14:paraId="124A5973" w14:textId="77777777" w:rsidR="002A4A1B" w:rsidRDefault="00000000">
            <w:pPr>
              <w:spacing w:after="0" w:line="300" w:lineRule="auto"/>
            </w:pPr>
            <w:r>
              <w:rPr>
                <w:sz w:val="20"/>
              </w:rPr>
              <w:t>The Sultanate of Oman</w:t>
            </w:r>
          </w:p>
        </w:tc>
      </w:tr>
      <w:tr w:rsidR="002A4A1B" w14:paraId="77972034" w14:textId="77777777">
        <w:tblPrEx>
          <w:tblCellMar>
            <w:top w:w="0" w:type="dxa"/>
            <w:bottom w:w="0" w:type="dxa"/>
          </w:tblCellMar>
        </w:tblPrEx>
        <w:tc>
          <w:tcPr>
            <w:tcW w:w="2600" w:type="dxa"/>
            <w:tcMar>
              <w:top w:w="60" w:type="dxa"/>
              <w:left w:w="100" w:type="dxa"/>
              <w:bottom w:w="60" w:type="dxa"/>
              <w:right w:w="100" w:type="dxa"/>
            </w:tcMar>
          </w:tcPr>
          <w:p w14:paraId="0FB2EA33" w14:textId="77777777" w:rsidR="002A4A1B" w:rsidRDefault="00000000">
            <w:pPr>
              <w:spacing w:after="0" w:line="300" w:lineRule="auto"/>
            </w:pPr>
            <w:r>
              <w:rPr>
                <w:sz w:val="20"/>
              </w:rPr>
              <w:t>Neutral Administrator</w:t>
            </w:r>
          </w:p>
        </w:tc>
        <w:tc>
          <w:tcPr>
            <w:tcW w:w="7000" w:type="dxa"/>
            <w:tcMar>
              <w:top w:w="60" w:type="dxa"/>
              <w:left w:w="100" w:type="dxa"/>
              <w:bottom w:w="60" w:type="dxa"/>
              <w:right w:w="100" w:type="dxa"/>
            </w:tcMar>
          </w:tcPr>
          <w:p w14:paraId="5DCF5FB2" w14:textId="77777777" w:rsidR="002A4A1B" w:rsidRDefault="00000000">
            <w:pPr>
              <w:spacing w:after="0" w:line="300" w:lineRule="auto"/>
            </w:pPr>
            <w:r>
              <w:rPr>
                <w:sz w:val="20"/>
              </w:rPr>
              <w:t>The Swiss Confederation</w:t>
            </w:r>
          </w:p>
        </w:tc>
      </w:tr>
      <w:tr w:rsidR="002A4A1B" w14:paraId="74360080" w14:textId="77777777">
        <w:tblPrEx>
          <w:tblCellMar>
            <w:top w:w="0" w:type="dxa"/>
            <w:bottom w:w="0" w:type="dxa"/>
          </w:tblCellMar>
        </w:tblPrEx>
        <w:tc>
          <w:tcPr>
            <w:tcW w:w="2600" w:type="dxa"/>
            <w:tcMar>
              <w:top w:w="60" w:type="dxa"/>
              <w:left w:w="100" w:type="dxa"/>
              <w:bottom w:w="60" w:type="dxa"/>
              <w:right w:w="100" w:type="dxa"/>
            </w:tcMar>
          </w:tcPr>
          <w:p w14:paraId="7BBB6459" w14:textId="77777777" w:rsidR="002A4A1B" w:rsidRDefault="00000000">
            <w:pPr>
              <w:spacing w:after="0" w:line="300" w:lineRule="auto"/>
            </w:pPr>
            <w:r>
              <w:rPr>
                <w:sz w:val="20"/>
              </w:rPr>
              <w:t>Supporting Facilitators</w:t>
            </w:r>
          </w:p>
        </w:tc>
        <w:tc>
          <w:tcPr>
            <w:tcW w:w="7000" w:type="dxa"/>
            <w:tcMar>
              <w:top w:w="60" w:type="dxa"/>
              <w:left w:w="100" w:type="dxa"/>
              <w:bottom w:w="60" w:type="dxa"/>
              <w:right w:w="100" w:type="dxa"/>
            </w:tcMar>
          </w:tcPr>
          <w:p w14:paraId="5F05951A" w14:textId="77777777" w:rsidR="002A4A1B" w:rsidRDefault="00000000">
            <w:pPr>
              <w:spacing w:after="0" w:line="300" w:lineRule="auto"/>
            </w:pPr>
            <w:r>
              <w:rPr>
                <w:sz w:val="20"/>
              </w:rPr>
              <w:t>The State of Qatar and the Islamic Republic of Pakistan</w:t>
            </w:r>
          </w:p>
        </w:tc>
      </w:tr>
      <w:tr w:rsidR="002A4A1B" w14:paraId="04CD5C38" w14:textId="77777777">
        <w:tblPrEx>
          <w:tblCellMar>
            <w:top w:w="0" w:type="dxa"/>
            <w:bottom w:w="0" w:type="dxa"/>
          </w:tblCellMar>
        </w:tblPrEx>
        <w:tc>
          <w:tcPr>
            <w:tcW w:w="2600" w:type="dxa"/>
            <w:tcMar>
              <w:top w:w="60" w:type="dxa"/>
              <w:left w:w="100" w:type="dxa"/>
              <w:bottom w:w="60" w:type="dxa"/>
              <w:right w:w="100" w:type="dxa"/>
            </w:tcMar>
          </w:tcPr>
          <w:p w14:paraId="56BE2A95" w14:textId="77777777" w:rsidR="002A4A1B" w:rsidRDefault="00000000">
            <w:pPr>
              <w:spacing w:after="0" w:line="300" w:lineRule="auto"/>
            </w:pPr>
            <w:r>
              <w:rPr>
                <w:sz w:val="20"/>
              </w:rPr>
              <w:t>Technical support</w:t>
            </w:r>
          </w:p>
        </w:tc>
        <w:tc>
          <w:tcPr>
            <w:tcW w:w="7000" w:type="dxa"/>
            <w:tcMar>
              <w:top w:w="60" w:type="dxa"/>
              <w:left w:w="100" w:type="dxa"/>
              <w:bottom w:w="60" w:type="dxa"/>
              <w:right w:w="100" w:type="dxa"/>
            </w:tcMar>
          </w:tcPr>
          <w:p w14:paraId="5874682D" w14:textId="77777777" w:rsidR="002A4A1B" w:rsidRDefault="00000000">
            <w:pPr>
              <w:spacing w:after="0" w:line="300" w:lineRule="auto"/>
            </w:pPr>
            <w:r>
              <w:rPr>
                <w:sz w:val="20"/>
              </w:rPr>
              <w:t>The International Maritime Organization (IMO), in an advisory and certification capacity</w:t>
            </w:r>
          </w:p>
        </w:tc>
      </w:tr>
      <w:tr w:rsidR="002A4A1B" w14:paraId="3A1901CB" w14:textId="77777777">
        <w:tblPrEx>
          <w:tblCellMar>
            <w:top w:w="0" w:type="dxa"/>
            <w:bottom w:w="0" w:type="dxa"/>
          </w:tblCellMar>
        </w:tblPrEx>
        <w:tc>
          <w:tcPr>
            <w:tcW w:w="2600" w:type="dxa"/>
            <w:tcMar>
              <w:top w:w="60" w:type="dxa"/>
              <w:left w:w="100" w:type="dxa"/>
              <w:bottom w:w="60" w:type="dxa"/>
              <w:right w:w="100" w:type="dxa"/>
            </w:tcMar>
          </w:tcPr>
          <w:p w14:paraId="555789F6" w14:textId="77777777" w:rsidR="002A4A1B" w:rsidRDefault="00000000">
            <w:pPr>
              <w:spacing w:after="0" w:line="300" w:lineRule="auto"/>
            </w:pPr>
            <w:r>
              <w:rPr>
                <w:sz w:val="20"/>
              </w:rPr>
              <w:t>Depositary</w:t>
            </w:r>
          </w:p>
        </w:tc>
        <w:tc>
          <w:tcPr>
            <w:tcW w:w="7000" w:type="dxa"/>
            <w:tcMar>
              <w:top w:w="60" w:type="dxa"/>
              <w:left w:w="100" w:type="dxa"/>
              <w:bottom w:w="60" w:type="dxa"/>
              <w:right w:w="100" w:type="dxa"/>
            </w:tcMar>
          </w:tcPr>
          <w:p w14:paraId="1A54965C" w14:textId="77777777" w:rsidR="002A4A1B" w:rsidRDefault="00000000">
            <w:pPr>
              <w:spacing w:after="0" w:line="300" w:lineRule="auto"/>
            </w:pPr>
            <w:r>
              <w:rPr>
                <w:sz w:val="20"/>
              </w:rPr>
              <w:t>The Swiss Confederation, as Record Guarantor</w:t>
            </w:r>
          </w:p>
        </w:tc>
      </w:tr>
      <w:tr w:rsidR="002A4A1B" w14:paraId="3FACA4D2" w14:textId="77777777">
        <w:tblPrEx>
          <w:tblCellMar>
            <w:top w:w="0" w:type="dxa"/>
            <w:bottom w:w="0" w:type="dxa"/>
          </w:tblCellMar>
        </w:tblPrEx>
        <w:tc>
          <w:tcPr>
            <w:tcW w:w="2600" w:type="dxa"/>
            <w:tcMar>
              <w:top w:w="60" w:type="dxa"/>
              <w:left w:w="100" w:type="dxa"/>
              <w:bottom w:w="60" w:type="dxa"/>
              <w:right w:w="100" w:type="dxa"/>
            </w:tcMar>
          </w:tcPr>
          <w:p w14:paraId="6C668F53" w14:textId="77777777" w:rsidR="002A4A1B" w:rsidRDefault="00000000">
            <w:pPr>
              <w:spacing w:after="0" w:line="300" w:lineRule="auto"/>
            </w:pPr>
            <w:r>
              <w:rPr>
                <w:sz w:val="20"/>
              </w:rPr>
              <w:t>Seat</w:t>
            </w:r>
          </w:p>
        </w:tc>
        <w:tc>
          <w:tcPr>
            <w:tcW w:w="7000" w:type="dxa"/>
            <w:tcMar>
              <w:top w:w="60" w:type="dxa"/>
              <w:left w:w="100" w:type="dxa"/>
              <w:bottom w:w="60" w:type="dxa"/>
              <w:right w:w="100" w:type="dxa"/>
            </w:tcMar>
          </w:tcPr>
          <w:p w14:paraId="35956767" w14:textId="77777777" w:rsidR="002A4A1B" w:rsidRDefault="00000000">
            <w:pPr>
              <w:spacing w:after="0" w:line="300" w:lineRule="auto"/>
            </w:pPr>
            <w:r>
              <w:rPr>
                <w:sz w:val="20"/>
              </w:rPr>
              <w:t>The Sobat Operations Center, Muscat, Sultanate of Oman</w:t>
            </w:r>
          </w:p>
        </w:tc>
      </w:tr>
      <w:tr w:rsidR="002A4A1B" w14:paraId="045DC720" w14:textId="77777777">
        <w:tblPrEx>
          <w:tblCellMar>
            <w:top w:w="0" w:type="dxa"/>
            <w:bottom w:w="0" w:type="dxa"/>
          </w:tblCellMar>
        </w:tblPrEx>
        <w:tc>
          <w:tcPr>
            <w:tcW w:w="2600" w:type="dxa"/>
            <w:tcMar>
              <w:top w:w="60" w:type="dxa"/>
              <w:left w:w="100" w:type="dxa"/>
              <w:bottom w:w="60" w:type="dxa"/>
              <w:right w:w="100" w:type="dxa"/>
            </w:tcMar>
          </w:tcPr>
          <w:p w14:paraId="5D3BF44A" w14:textId="77777777" w:rsidR="002A4A1B" w:rsidRDefault="00000000">
            <w:pPr>
              <w:spacing w:after="0" w:line="300" w:lineRule="auto"/>
            </w:pPr>
            <w:r>
              <w:rPr>
                <w:sz w:val="20"/>
              </w:rPr>
              <w:t>Mirror facility</w:t>
            </w:r>
          </w:p>
        </w:tc>
        <w:tc>
          <w:tcPr>
            <w:tcW w:w="7000" w:type="dxa"/>
            <w:tcMar>
              <w:top w:w="60" w:type="dxa"/>
              <w:left w:w="100" w:type="dxa"/>
              <w:bottom w:w="60" w:type="dxa"/>
              <w:right w:w="100" w:type="dxa"/>
            </w:tcMar>
          </w:tcPr>
          <w:p w14:paraId="60179937" w14:textId="77777777" w:rsidR="002A4A1B" w:rsidRDefault="00000000">
            <w:pPr>
              <w:spacing w:after="0" w:line="300" w:lineRule="auto"/>
            </w:pPr>
            <w:r>
              <w:rPr>
                <w:sz w:val="20"/>
              </w:rPr>
              <w:t>The Mirror Facility of Equal Rank, Bandar Abbas, Islamic Republic of Iran</w:t>
            </w:r>
          </w:p>
        </w:tc>
      </w:tr>
      <w:tr w:rsidR="002A4A1B" w14:paraId="69BDA2DF" w14:textId="77777777">
        <w:tblPrEx>
          <w:tblCellMar>
            <w:top w:w="0" w:type="dxa"/>
            <w:bottom w:w="0" w:type="dxa"/>
          </w:tblCellMar>
        </w:tblPrEx>
        <w:tc>
          <w:tcPr>
            <w:tcW w:w="2600" w:type="dxa"/>
            <w:tcMar>
              <w:top w:w="60" w:type="dxa"/>
              <w:left w:w="100" w:type="dxa"/>
              <w:bottom w:w="60" w:type="dxa"/>
              <w:right w:w="100" w:type="dxa"/>
            </w:tcMar>
          </w:tcPr>
          <w:p w14:paraId="1CACB892" w14:textId="77777777" w:rsidR="002A4A1B" w:rsidRDefault="00000000">
            <w:pPr>
              <w:spacing w:after="0" w:line="300" w:lineRule="auto"/>
            </w:pPr>
            <w:r>
              <w:rPr>
                <w:sz w:val="20"/>
              </w:rPr>
              <w:t>Drafting standard</w:t>
            </w:r>
          </w:p>
        </w:tc>
        <w:tc>
          <w:tcPr>
            <w:tcW w:w="7000" w:type="dxa"/>
            <w:tcMar>
              <w:top w:w="60" w:type="dxa"/>
              <w:left w:w="100" w:type="dxa"/>
              <w:bottom w:w="60" w:type="dxa"/>
              <w:right w:w="100" w:type="dxa"/>
            </w:tcMar>
          </w:tcPr>
          <w:p w14:paraId="29317762" w14:textId="77777777" w:rsidR="002A4A1B" w:rsidRDefault="00000000">
            <w:pPr>
              <w:spacing w:after="0" w:line="300" w:lineRule="auto"/>
            </w:pPr>
            <w:r>
              <w:rPr>
                <w:sz w:val="20"/>
              </w:rPr>
              <w:t>The Immutable Present-Tense Matrix, v2.5</w:t>
            </w:r>
          </w:p>
        </w:tc>
      </w:tr>
      <w:tr w:rsidR="002A4A1B" w14:paraId="17F0FEF8" w14:textId="77777777">
        <w:tblPrEx>
          <w:tblCellMar>
            <w:top w:w="0" w:type="dxa"/>
            <w:bottom w:w="0" w:type="dxa"/>
          </w:tblCellMar>
        </w:tblPrEx>
        <w:tc>
          <w:tcPr>
            <w:tcW w:w="2600" w:type="dxa"/>
            <w:tcMar>
              <w:top w:w="60" w:type="dxa"/>
              <w:left w:w="100" w:type="dxa"/>
              <w:bottom w:w="60" w:type="dxa"/>
              <w:right w:w="100" w:type="dxa"/>
            </w:tcMar>
          </w:tcPr>
          <w:p w14:paraId="2B1E2EAA" w14:textId="77777777" w:rsidR="002A4A1B" w:rsidRDefault="00000000">
            <w:pPr>
              <w:spacing w:after="0" w:line="300" w:lineRule="auto"/>
            </w:pPr>
            <w:r>
              <w:rPr>
                <w:sz w:val="20"/>
              </w:rPr>
              <w:t>First principle</w:t>
            </w:r>
          </w:p>
        </w:tc>
        <w:tc>
          <w:tcPr>
            <w:tcW w:w="7000" w:type="dxa"/>
            <w:tcMar>
              <w:top w:w="60" w:type="dxa"/>
              <w:left w:w="100" w:type="dxa"/>
              <w:bottom w:w="60" w:type="dxa"/>
              <w:right w:w="100" w:type="dxa"/>
            </w:tcMar>
          </w:tcPr>
          <w:p w14:paraId="3FF0E794" w14:textId="77777777" w:rsidR="002A4A1B" w:rsidRDefault="00000000">
            <w:pPr>
              <w:spacing w:after="0" w:line="300" w:lineRule="auto"/>
            </w:pPr>
            <w:r>
              <w:rPr>
                <w:sz w:val="20"/>
              </w:rPr>
              <w:t>The Nofade Guarantee: no sunset, no fade, no silent expiration</w:t>
            </w:r>
          </w:p>
        </w:tc>
      </w:tr>
      <w:tr w:rsidR="002A4A1B" w14:paraId="655BC215" w14:textId="77777777">
        <w:tblPrEx>
          <w:tblCellMar>
            <w:top w:w="0" w:type="dxa"/>
            <w:bottom w:w="0" w:type="dxa"/>
          </w:tblCellMar>
        </w:tblPrEx>
        <w:tc>
          <w:tcPr>
            <w:tcW w:w="2600" w:type="dxa"/>
            <w:tcMar>
              <w:top w:w="60" w:type="dxa"/>
              <w:left w:w="100" w:type="dxa"/>
              <w:bottom w:w="60" w:type="dxa"/>
              <w:right w:w="100" w:type="dxa"/>
            </w:tcMar>
          </w:tcPr>
          <w:p w14:paraId="137240A5" w14:textId="77777777" w:rsidR="002A4A1B" w:rsidRDefault="00000000">
            <w:pPr>
              <w:spacing w:after="0" w:line="300" w:lineRule="auto"/>
            </w:pPr>
            <w:r>
              <w:rPr>
                <w:sz w:val="20"/>
              </w:rPr>
              <w:t>Nuclear posture</w:t>
            </w:r>
          </w:p>
        </w:tc>
        <w:tc>
          <w:tcPr>
            <w:tcW w:w="7000" w:type="dxa"/>
            <w:tcMar>
              <w:top w:w="60" w:type="dxa"/>
              <w:left w:w="100" w:type="dxa"/>
              <w:bottom w:w="60" w:type="dxa"/>
              <w:right w:w="100" w:type="dxa"/>
            </w:tcMar>
          </w:tcPr>
          <w:p w14:paraId="2126B789" w14:textId="77777777" w:rsidR="002A4A1B" w:rsidRDefault="00000000">
            <w:pPr>
              <w:spacing w:after="0" w:line="300" w:lineRule="auto"/>
            </w:pPr>
            <w:r>
              <w:rPr>
                <w:sz w:val="20"/>
              </w:rPr>
              <w:t>The nuclear file sits outside this Framework by design (Article 4)</w:t>
            </w:r>
          </w:p>
        </w:tc>
      </w:tr>
      <w:tr w:rsidR="002A4A1B" w14:paraId="2A5F82DF" w14:textId="77777777">
        <w:tblPrEx>
          <w:tblCellMar>
            <w:top w:w="0" w:type="dxa"/>
            <w:bottom w:w="0" w:type="dxa"/>
          </w:tblCellMar>
        </w:tblPrEx>
        <w:tc>
          <w:tcPr>
            <w:tcW w:w="2600" w:type="dxa"/>
            <w:tcMar>
              <w:top w:w="60" w:type="dxa"/>
              <w:left w:w="100" w:type="dxa"/>
              <w:bottom w:w="60" w:type="dxa"/>
              <w:right w:w="100" w:type="dxa"/>
            </w:tcMar>
          </w:tcPr>
          <w:p w14:paraId="0C318C21" w14:textId="77777777" w:rsidR="002A4A1B" w:rsidRDefault="00000000">
            <w:pPr>
              <w:spacing w:after="0" w:line="300" w:lineRule="auto"/>
            </w:pPr>
            <w:r>
              <w:rPr>
                <w:sz w:val="20"/>
              </w:rPr>
              <w:t>Superseded arrangements</w:t>
            </w:r>
          </w:p>
        </w:tc>
        <w:tc>
          <w:tcPr>
            <w:tcW w:w="7000" w:type="dxa"/>
            <w:tcMar>
              <w:top w:w="60" w:type="dxa"/>
              <w:left w:w="100" w:type="dxa"/>
              <w:bottom w:w="60" w:type="dxa"/>
              <w:right w:w="100" w:type="dxa"/>
            </w:tcMar>
          </w:tcPr>
          <w:p w14:paraId="63D98210" w14:textId="77777777" w:rsidR="002A4A1B" w:rsidRDefault="00000000">
            <w:pPr>
              <w:spacing w:after="0" w:line="300" w:lineRule="auto"/>
            </w:pPr>
            <w:r>
              <w:rPr>
                <w:sz w:val="20"/>
              </w:rPr>
              <w:t>The temporary wartime lanes and ad hoc transit permissions sunset on Full Activation (Article 8)</w:t>
            </w:r>
          </w:p>
        </w:tc>
      </w:tr>
    </w:tbl>
    <w:p w14:paraId="2D2C5D6F" w14:textId="77777777" w:rsidR="002A4A1B" w:rsidRDefault="002A4A1B">
      <w:pPr>
        <w:spacing w:after="160"/>
      </w:pPr>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01E04B6E"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1A093C8D" w14:textId="77777777" w:rsidR="002A4A1B" w:rsidRDefault="00000000">
            <w:pPr>
              <w:spacing w:after="60"/>
            </w:pPr>
            <w:r>
              <w:rPr>
                <w:rFonts w:ascii="Georgia" w:hAnsi="Georgia"/>
                <w:b/>
                <w:color w:val="1F3A44"/>
                <w:sz w:val="23"/>
              </w:rPr>
              <w:t>Name and Meaning</w:t>
            </w:r>
          </w:p>
          <w:p w14:paraId="6F649CCD" w14:textId="77777777" w:rsidR="002A4A1B" w:rsidRDefault="00000000">
            <w:pPr>
              <w:spacing w:after="60" w:line="320" w:lineRule="auto"/>
              <w:jc w:val="both"/>
            </w:pPr>
            <w:r>
              <w:rPr>
                <w:sz w:val="21"/>
              </w:rPr>
              <w:t>Sobat Payedar (Persian: enduring stability) names the intent of this text. The Framework treats stability not as a pause between crises but as an engineered condition: three corridors, one shared chart, joint eyes, proportionate compliance, and an economic architecture that rewards calm. The name honors the Persian and Arabic maritime heritage of both coasts of the Strait.</w:t>
            </w:r>
          </w:p>
        </w:tc>
      </w:tr>
    </w:tbl>
    <w:p w14:paraId="14BA5E41" w14:textId="77777777" w:rsidR="002A4A1B" w:rsidRDefault="002A4A1B">
      <w:pPr>
        <w:spacing w:after="160"/>
      </w:pPr>
    </w:p>
    <w:p w14:paraId="4CBEAC4C" w14:textId="77777777" w:rsidR="002A4A1B" w:rsidRDefault="00000000">
      <w:pPr>
        <w:pStyle w:val="Heading2"/>
      </w:pPr>
      <w:bookmarkStart w:id="2" w:name="_Toc236929541"/>
      <w:r>
        <w:lastRenderedPageBreak/>
        <w:t>How to Use This Text</w:t>
      </w:r>
      <w:bookmarkEnd w:id="2"/>
    </w:p>
    <w:p w14:paraId="49E4B16E" w14:textId="77777777" w:rsidR="002A4A1B" w:rsidRDefault="00000000">
      <w:pPr>
        <w:spacing w:after="140"/>
        <w:jc w:val="both"/>
      </w:pPr>
      <w:r>
        <w:t>The main body of the Framework carries twenty-six Articles in seven Parts. Each Article states the operative rule in the active present tense. Thirteen Annexes carry the technical detail: coordinates, charges, verification mathematics, audit metrics, and procedures. The Articles reference the Annexes; the Annexes never contradict the Articles. A negotiator reads Parts I and VII first. An operator reads Articles 5 through 9 and Annexes A, D, and E. An auditor reads Article 13 and Annexes F, G, and J.</w:t>
      </w:r>
    </w:p>
    <w:p w14:paraId="6577B049" w14:textId="77777777" w:rsidR="002A4A1B" w:rsidRDefault="00000000">
      <w:pPr>
        <w:spacing w:after="140"/>
        <w:jc w:val="both"/>
      </w:pPr>
      <w:r>
        <w:t>Every module stands alone. A Party incorporates any Annex into another instrument by reference without reopening this Framework. This modularity follows the drafting practice of the Daryaban, Stillwater, Lit Beacon, Tolou-e Jadid, and Triad Bridge instruments, from which this Framework draws and which this Framework consolidates into a single operative architecture.</w:t>
      </w:r>
    </w:p>
    <w:p w14:paraId="3BB2CCDE" w14:textId="77777777" w:rsidR="002A4A1B" w:rsidRDefault="00000000">
      <w:pPr>
        <w:pStyle w:val="Heading1"/>
      </w:pPr>
      <w:bookmarkStart w:id="3" w:name="_Toc236929542"/>
      <w:r>
        <w:lastRenderedPageBreak/>
        <w:t>The Sobat Payedar Declaration of Principles</w:t>
      </w:r>
      <w:bookmarkEnd w:id="3"/>
    </w:p>
    <w:p w14:paraId="556A2D26" w14:textId="77777777" w:rsidR="002A4A1B" w:rsidRDefault="00000000">
      <w:pPr>
        <w:spacing w:after="140"/>
        <w:jc w:val="both"/>
      </w:pPr>
      <w:r>
        <w:t>The Founding Parties proclaim twelve principles. Every Article and Annex of this Framework expresses one or more of these principles, and no provision of this Framework contradicts any of them.</w:t>
      </w:r>
    </w:p>
    <w:p w14:paraId="6552F61A" w14:textId="77777777" w:rsidR="002A4A1B" w:rsidRDefault="00000000">
      <w:pPr>
        <w:spacing w:after="140"/>
        <w:jc w:val="both"/>
      </w:pPr>
      <w:r>
        <w:rPr>
          <w:b/>
          <w:color w:val="1F3A44"/>
        </w:rPr>
        <w:t xml:space="preserve">1.   </w:t>
      </w:r>
      <w:r>
        <w:t>Open water. The Strait of Hormuz operates as an international waterway in continuous, unimpeded transit passage under the United Nations Convention on the Law of the Sea and customary international law. The architecture of this Framework exists to make that passage safe, predictable, and routine, never to condition it, tax it, or suspend it.</w:t>
      </w:r>
    </w:p>
    <w:p w14:paraId="3AB8217B" w14:textId="77777777" w:rsidR="002A4A1B" w:rsidRDefault="00000000">
      <w:pPr>
        <w:spacing w:after="140"/>
        <w:jc w:val="both"/>
      </w:pPr>
      <w:r>
        <w:rPr>
          <w:b/>
          <w:color w:val="1F3A44"/>
        </w:rPr>
        <w:t xml:space="preserve">2.   </w:t>
      </w:r>
      <w:r>
        <w:t>Two captains, one chart. Iran and Oman administer complementary corridors as functional, delegable, audited roles. Functional administration never converts into sovereign appropriation of the waterway, and no provision of this Framework recognizes a sovereign toll by any state.</w:t>
      </w:r>
    </w:p>
    <w:p w14:paraId="44E943F3" w14:textId="77777777" w:rsidR="002A4A1B" w:rsidRDefault="00000000">
      <w:pPr>
        <w:spacing w:after="140"/>
        <w:jc w:val="both"/>
      </w:pPr>
      <w:r>
        <w:rPr>
          <w:b/>
          <w:color w:val="1F3A44"/>
        </w:rPr>
        <w:t xml:space="preserve">3.   </w:t>
      </w:r>
      <w:r>
        <w:t>Services, not passage. Every charge under this Framework attaches to a specific, costed, published service: traffic management, environmental monitoring, mine-risk assurance, search and rescue readiness, and data services. Passage itself remains free. The service boundary of Article 17 and Annex E enforces this distinction mechanically.</w:t>
      </w:r>
    </w:p>
    <w:p w14:paraId="43E09A11" w14:textId="77777777" w:rsidR="002A4A1B" w:rsidRDefault="00000000">
      <w:pPr>
        <w:spacing w:after="140"/>
        <w:jc w:val="both"/>
      </w:pPr>
      <w:r>
        <w:rPr>
          <w:b/>
          <w:color w:val="1F3A44"/>
        </w:rPr>
        <w:t xml:space="preserve">4.   </w:t>
      </w:r>
      <w:r>
        <w:t>Shared eyes. Every Party and every accredited observer watches the same fused radar and AIS picture at the same time. Transparency is the default state of the system; secrecy is the exception that activates only through the procedures of Annex C.</w:t>
      </w:r>
    </w:p>
    <w:p w14:paraId="1A836162" w14:textId="77777777" w:rsidR="002A4A1B" w:rsidRDefault="00000000">
      <w:pPr>
        <w:spacing w:after="140"/>
        <w:jc w:val="both"/>
      </w:pPr>
      <w:r>
        <w:rPr>
          <w:b/>
          <w:color w:val="1F3A44"/>
        </w:rPr>
        <w:t xml:space="preserve">5.   </w:t>
      </w:r>
      <w:r>
        <w:t>No unilateral hand. Consequential security action inside the corridors activates only through the dual-key rule of Article 7 and Annex D. The framework architecture excludes unilateral interdiction of commercial vessels in all circumstances.</w:t>
      </w:r>
    </w:p>
    <w:p w14:paraId="3D3BB2F6" w14:textId="77777777" w:rsidR="002A4A1B" w:rsidRDefault="00000000">
      <w:pPr>
        <w:spacing w:after="140"/>
        <w:jc w:val="both"/>
      </w:pPr>
      <w:r>
        <w:rPr>
          <w:b/>
          <w:color w:val="1F3A44"/>
        </w:rPr>
        <w:t xml:space="preserve">6.   </w:t>
      </w:r>
      <w:r>
        <w:t>Proportionate breath. The compliance engine breathes. Minor infractions produce minor, automatic, reversible consequences; sustained compliance restores full standing. The Framework contains no snapback mechanism and no binary collapse dynamic.</w:t>
      </w:r>
    </w:p>
    <w:p w14:paraId="364D5059" w14:textId="77777777" w:rsidR="002A4A1B" w:rsidRDefault="00000000">
      <w:pPr>
        <w:spacing w:after="140"/>
        <w:jc w:val="both"/>
      </w:pPr>
      <w:r>
        <w:rPr>
          <w:b/>
          <w:color w:val="1F3A44"/>
        </w:rPr>
        <w:t xml:space="preserve">7.   </w:t>
      </w:r>
      <w:r>
        <w:t>Reciprocal verification. Verification under this Framework is a shared investment, not a surveillance regime. Both coasts invest, both coasts verify, both coasts recover. The Cothrom-Payedar Method of Article 13 and Annex F governs every verification act.</w:t>
      </w:r>
    </w:p>
    <w:p w14:paraId="4F103D06" w14:textId="77777777" w:rsidR="002A4A1B" w:rsidRDefault="00000000">
      <w:pPr>
        <w:spacing w:after="140"/>
        <w:jc w:val="both"/>
      </w:pPr>
      <w:r>
        <w:rPr>
          <w:b/>
          <w:color w:val="1F3A44"/>
        </w:rPr>
        <w:t xml:space="preserve">8.   </w:t>
      </w:r>
      <w:r>
        <w:t>Firewalls. The nuclear file, the sanctions file, and every other regional dispute sit outside this Framework. Performance inside this Framework never conditions on progress in any other file, and no other file suspends performance inside this Framework except through the crisis procedure of Article 24.</w:t>
      </w:r>
    </w:p>
    <w:p w14:paraId="3D01EF17" w14:textId="77777777" w:rsidR="002A4A1B" w:rsidRDefault="00000000">
      <w:pPr>
        <w:spacing w:after="140"/>
        <w:jc w:val="both"/>
      </w:pPr>
      <w:r>
        <w:rPr>
          <w:b/>
          <w:color w:val="1F3A44"/>
        </w:rPr>
        <w:lastRenderedPageBreak/>
        <w:t xml:space="preserve">9.   </w:t>
      </w:r>
      <w:r>
        <w:t>Humanitarian passage absolute. Food, medicine, and civilian-essential cargo transit under unconditional clearance procedures at all times, in all zones, in all phases. The humanitarian default overrides every other provision of this Framework in any conflict between them.</w:t>
      </w:r>
    </w:p>
    <w:p w14:paraId="0E3E0C04" w14:textId="77777777" w:rsidR="002A4A1B" w:rsidRDefault="00000000">
      <w:pPr>
        <w:spacing w:after="140"/>
        <w:jc w:val="both"/>
      </w:pPr>
      <w:r>
        <w:rPr>
          <w:b/>
          <w:color w:val="1F3A44"/>
        </w:rPr>
        <w:t xml:space="preserve">10.   </w:t>
      </w:r>
      <w:r>
        <w:t>The Nofade Guarantee. This Framework contains no sunset clauses, no silent expirations, and no decaying obligations. Every commitment persists at full strength until the Parties jointly amend it in writing. Time never dilutes an obligation; routine never weakens a verification right; political weather never erodes a standing rule.</w:t>
      </w:r>
    </w:p>
    <w:p w14:paraId="7D5FB3F1" w14:textId="77777777" w:rsidR="002A4A1B" w:rsidRDefault="00000000">
      <w:pPr>
        <w:spacing w:after="140"/>
        <w:jc w:val="both"/>
      </w:pPr>
      <w:r>
        <w:rPr>
          <w:b/>
          <w:color w:val="1F3A44"/>
        </w:rPr>
        <w:t xml:space="preserve">11.   </w:t>
      </w:r>
      <w:r>
        <w:t>Truthful duality. The Framework defines every outcome with physical precision, so that each participant describes the same reality in its own words, truthfully, without contradiction. Simultaneous announcement under Annex K protects this duality at every milestone.</w:t>
      </w:r>
    </w:p>
    <w:p w14:paraId="5B87111F" w14:textId="77777777" w:rsidR="002A4A1B" w:rsidRDefault="00000000">
      <w:pPr>
        <w:spacing w:after="140"/>
        <w:jc w:val="both"/>
      </w:pPr>
      <w:r>
        <w:rPr>
          <w:b/>
          <w:color w:val="1F3A44"/>
        </w:rPr>
        <w:t xml:space="preserve">12.   </w:t>
      </w:r>
      <w:r>
        <w:t>Boring as the success metric. The Framework succeeds when its operations become mundane. A quarter in which the public incident log records only routine transits, and in which the fee ledger reconciles without dispute, counts as a strategic victory of the first rank.</w:t>
      </w:r>
    </w:p>
    <w:p w14:paraId="67A8B3BE" w14:textId="77777777" w:rsidR="002A4A1B" w:rsidRDefault="00000000">
      <w:pPr>
        <w:spacing w:after="140"/>
        <w:jc w:val="both"/>
      </w:pPr>
      <w:r>
        <w:rPr>
          <w:b/>
          <w:color w:val="1F3A44"/>
        </w:rPr>
        <w:t xml:space="preserve">13.   </w:t>
      </w:r>
      <w:r>
        <w:t>Cost discipline. The Framework runs lean. It reuses existing infrastructure, existing reporting channels, and existing regional institutions wherever they function. It creates one Authority, one Fusion Center with one Mirror, one Fund, and one Tribunal, and nothing more.</w:t>
      </w:r>
    </w:p>
    <w:p w14:paraId="4E0465ED" w14:textId="77777777" w:rsidR="002A4A1B" w:rsidRDefault="00000000">
      <w:pPr>
        <w:pStyle w:val="Heading1"/>
      </w:pPr>
      <w:bookmarkStart w:id="4" w:name="_Toc236929543"/>
      <w:r>
        <w:lastRenderedPageBreak/>
        <w:t>Preamble: The Moment of August 2026</w:t>
      </w:r>
      <w:bookmarkEnd w:id="4"/>
    </w:p>
    <w:p w14:paraId="19C71023" w14:textId="77777777" w:rsidR="002A4A1B" w:rsidRDefault="00000000">
      <w:pPr>
        <w:spacing w:after="140"/>
        <w:jc w:val="both"/>
      </w:pPr>
      <w:r>
        <w:t>The Strait of Hormuz enters August 2026 in a condition of fragile, incomplete recovery. The hostilities of the spring of 2026 suppressed commercial traffic from a historical average of roughly one hundred thirty-eight vessel transits per day to single-digit daily counts. Strikes on merchant vessels, seizure operations, a naval blockade of Iranian ports, mine-risk reporting in and around the legacy traffic separation scheme, and persistent interference with satellite navigation signals combined to close the Strait in practice long before any authority closed it in law. The insurance market, not any navy, executed the practical closure: war-risk premiums and notices of cancellation made routine transit uneconomic, and the world's shipping sheltered at anchor or diverted.</w:t>
      </w:r>
    </w:p>
    <w:p w14:paraId="04C2DCCB" w14:textId="77777777" w:rsidR="002A4A1B" w:rsidRDefault="00000000">
      <w:pPr>
        <w:spacing w:after="140"/>
        <w:jc w:val="both"/>
      </w:pPr>
      <w:r>
        <w:t>The recovery since June 2026 proceeds through managed and conditional access rather than restored freedom of navigation. An evacuation operation coordinated through the International Maritime Organization moved more than one hundred stranded vessels and roughly two thousand four hundred seafarers out of the Gulf before pausing after a further attack on a commercial vessel in the Gulf of Oman. Two temporary corridors, one northern through Iranian waters and one southern through Omani and Emirati waters, carry traffic outside the legacy traffic separation scheme, which remains unsafe pending survey and clearance. Iranian authorities assert route approval powers; the United States maintains enforcement activity under its blockade framework; operators navigate between overlapping and at times conflicting expectations. A political agreement between the United States and Iran, expressed in the Islamabad Memorandum of Understanding and associated understandings of June 2026, created a framework for reducing hostilities, but the parties interpret that framework differently: one side reads relief-for-performance, the other reads a reciprocal security bargain.</w:t>
      </w:r>
    </w:p>
    <w:p w14:paraId="429D1590" w14:textId="77777777" w:rsidR="002A4A1B" w:rsidRDefault="00000000">
      <w:pPr>
        <w:spacing w:after="140"/>
        <w:jc w:val="both"/>
      </w:pPr>
      <w:r>
        <w:t>Against this backdrop, the technical work on the Strait's future has advanced further than the politics. Iran and Oman have agreed on the geographical coordinates of new shipping lanes, aligned on entry and exit points, and brought a joint statement to the final review stage. The emerging operational model routes inbound traffic through Iranian waters and outbound traffic through Omani waters, separated by a central buffer, with service fees attached to security and environmental functions. Yet four components remain unfinished, and everyone involved knows their names: the security authority agreement, the fee and revenue structure, the reopening and activation mechanism, and multilateral acceptance. Until those four components exist in operative detail, the coordinates stay unpublished and the corridors stay closed.</w:t>
      </w:r>
    </w:p>
    <w:p w14:paraId="1F510989" w14:textId="77777777" w:rsidR="002A4A1B" w:rsidRDefault="00000000">
      <w:pPr>
        <w:spacing w:after="140"/>
        <w:jc w:val="both"/>
      </w:pPr>
      <w:r>
        <w:t xml:space="preserve">The demand landscape has converged to a remarkable degree. The United States insists on multilateral oversight, published coordinates, joint rather than sovereign security functions, </w:t>
      </w:r>
      <w:r>
        <w:lastRenderedPageBreak/>
        <w:t>guaranteed freedom of navigation, transparent audited charges, and sanctions-compatible payment routing. Iran seeks functional administration of the inbound corridor, recognition of its mine-risk and environmental roles, service-charge rights, equal representation, neutral arbitration, and payment channels that sanctions cannot strangle. Oman seeks outbound administration, the neutral anchor role, the hosting of the shared monitoring hub, escrow administration, and pilot-phase flexibility. The Gulf Cooperation Council states seek observer status, transparency in both directions, shared emergency response, protection of their shipping, and firm exclusion of unilateral interdiction. European maritime authorities seek IMO registration, environmental audits, uniform safety standards, incident transparency, and public documentation. International insurers seek predictable risk classification, real-time AIS compliance, published coordinates, and neutral claims handling. Every one of these demands fits inside a single coherent design. This Framework is that design.</w:t>
      </w:r>
    </w:p>
    <w:p w14:paraId="02E7868B" w14:textId="77777777" w:rsidR="002A4A1B" w:rsidRDefault="00000000">
      <w:pPr>
        <w:spacing w:after="140"/>
        <w:jc w:val="both"/>
      </w:pPr>
      <w:r>
        <w:t>The Sobat Payedar Framework therefore answers the four unfinished components directly. Article 7 and Annex D settle security authority through functional allocation and the dual-key rule, so that no state acts alone and no state stands outside. Article 17, Article 18, and Annex E settle fees through the service boundary, a published charge schedule, a jointly owned Stewardship Fund, and sanctions-compatible neutral clearing. Article 8 and Annex J settle the reopening mechanism through a six-phase, ninety-to-one-hundred-twenty-day activation sequence with a measured stability audit as the final gate. Article 10 and Annex I settle multilateral acceptance through an Authority in which Iran and Oman hold equal standing, the GCC states hold permanent observer seats, and the United States, the European Union, and the IMO hold defined observer and technical roles. The Framework takes the current situation fully into account: it assumes mine risk, navigation interference, sanctions friction, deep mistrust, and divergent public narratives, and it engineers around all five.</w:t>
      </w:r>
    </w:p>
    <w:p w14:paraId="072137B3" w14:textId="77777777" w:rsidR="002A4A1B" w:rsidRDefault="00000000">
      <w:pPr>
        <w:spacing w:after="140"/>
        <w:jc w:val="both"/>
      </w:pPr>
      <w:r>
        <w:t>The Founding Parties intend this text as the governance architecture of the Strait of Hormuz for the long term. It consolidates the corridor model already agreed in principle between Tehran and Muscat, the verification methods proven in the Cothrom, Agere, and Step-back instruments, the emergency architecture of the Zona Aequalis protocol, the fee engineering of the Malacca-style cooperative tradition, and the announcement discipline of the Simultaneous Announcement Protocol. It asks of every participant exactly one thing: performance. In return, it offers every participant the same thing: a Strait that is open, safe, audited, and boring, and an economic architecture in which calm pays better than crisis.</w:t>
      </w:r>
    </w:p>
    <w:p w14:paraId="20628029" w14:textId="77777777" w:rsidR="002A4A1B" w:rsidRDefault="00000000">
      <w:pPr>
        <w:pStyle w:val="Heading1"/>
      </w:pPr>
      <w:bookmarkStart w:id="5" w:name="_Toc236929544"/>
      <w:r>
        <w:lastRenderedPageBreak/>
        <w:t>Reading and Drafting Note</w:t>
      </w:r>
      <w:bookmarkEnd w:id="5"/>
    </w:p>
    <w:p w14:paraId="7DDB5CDA" w14:textId="77777777" w:rsidR="002A4A1B" w:rsidRDefault="00000000">
      <w:pPr>
        <w:pStyle w:val="Heading2"/>
      </w:pPr>
      <w:bookmarkStart w:id="6" w:name="_Toc236929545"/>
      <w:r>
        <w:t>The Immutable Present-Tense Matrix</w:t>
      </w:r>
      <w:bookmarkEnd w:id="6"/>
    </w:p>
    <w:p w14:paraId="63862273" w14:textId="77777777" w:rsidR="002A4A1B" w:rsidRDefault="00000000">
      <w:pPr>
        <w:spacing w:after="140"/>
        <w:jc w:val="both"/>
      </w:pPr>
      <w:r>
        <w:t>This text adheres strictly to the Immutable Present-Tense Matrix, v2.5. The Matrix governs every sentence. Four consequences matter to the reader. First, the text bans the command tense: the words of obligation and futurity that treaties traditionally carry do not appear, and every obligation reads as an active present-tense state of the operating system. Second, the text bans permissive leaks: discretionary verbs do not soften any milestone, and every operational state reads as an absolute reality of the architecture. Third, the text bans passive constructions: every sentence names an active subject performing a direct action, so responsibility never hides inside grammar. Fourth, the text frames every constraint as mutual architecture: the system itself excludes prohibited conduct, rather than any Party restraining itself for another's benefit, so no clause reads as concession, magnanimity, or subordination.</w:t>
      </w:r>
    </w:p>
    <w:p w14:paraId="2BE472C4" w14:textId="77777777" w:rsidR="002A4A1B" w:rsidRDefault="00000000">
      <w:pPr>
        <w:pStyle w:val="Heading2"/>
      </w:pPr>
      <w:bookmarkStart w:id="7" w:name="_Toc236929546"/>
      <w:r>
        <w:t>How to Read a Trigger</w:t>
      </w:r>
      <w:bookmarkEnd w:id="7"/>
    </w:p>
    <w:p w14:paraId="76138CA3" w14:textId="77777777" w:rsidR="002A4A1B" w:rsidRDefault="00000000">
      <w:pPr>
        <w:spacing w:after="140"/>
        <w:jc w:val="both"/>
      </w:pPr>
      <w:r>
        <w:t>The Framework runs on automatic logic triggers. A trigger states a condition and its consequence as one simultaneous reality. The sentence 'a certified mine sighting activates the Buffer Corridor diversion protocol' means that the diversion protocol and the sighting exist as one event: no approval step, no discretion, no delay. Where a trigger requires a human act, the text names the actor, the act, and the deadline in hours or days. Where the text sets a threshold, the threshold appears as a number, and the consequence of crossing it appears in the same sentence or the same table row.</w:t>
      </w:r>
    </w:p>
    <w:p w14:paraId="67073556" w14:textId="77777777" w:rsidR="002A4A1B" w:rsidRDefault="00000000">
      <w:pPr>
        <w:pStyle w:val="Heading2"/>
      </w:pPr>
      <w:bookmarkStart w:id="8" w:name="_Toc236929547"/>
      <w:r>
        <w:t>Modules and Incorporation</w:t>
      </w:r>
      <w:bookmarkEnd w:id="8"/>
    </w:p>
    <w:p w14:paraId="1A960248" w14:textId="77777777" w:rsidR="002A4A1B" w:rsidRDefault="00000000">
      <w:pPr>
        <w:spacing w:after="140"/>
        <w:jc w:val="both"/>
      </w:pPr>
      <w:r>
        <w:t>Each Annex is a self-contained module. A Party, a shipping line, an insurer, or another instrument incorporates any module by reference. The Demerit Matrix of Annex G, the charge schedule of Annex E, and the audit metrics of Annex J all carry version numbers and amendment procedures of their own, so the system updates its technical layers without reopening its political layer.</w:t>
      </w:r>
    </w:p>
    <w:p w14:paraId="07E23610" w14:textId="77777777" w:rsidR="002A4A1B" w:rsidRDefault="00000000">
      <w:pPr>
        <w:pStyle w:val="Heading2"/>
      </w:pPr>
      <w:bookmarkStart w:id="9" w:name="_Toc236929548"/>
      <w:r>
        <w:t>A Note on Names</w:t>
      </w:r>
      <w:bookmarkEnd w:id="9"/>
    </w:p>
    <w:p w14:paraId="0C40B63E" w14:textId="77777777" w:rsidR="002A4A1B" w:rsidRDefault="00000000">
      <w:pPr>
        <w:spacing w:after="140"/>
        <w:jc w:val="both"/>
      </w:pPr>
      <w:r>
        <w:t xml:space="preserve">The Framework names its moving parts in the shared maritime vocabulary of the region and in the working vocabulary of the verification instruments it consolidates. Sobat Payedar names the whole. The corridors carry functional names: the Payedar Corridor inbound, the Sobat Corridor outbound, the Amn Buffer between them. The verification method carries the name Cothrom-Payedar, </w:t>
      </w:r>
      <w:r>
        <w:lastRenderedPageBreak/>
        <w:t>honoring the Irish word for balance that named the parent method. The emergency architecture carries the name Zona Aequalis, the zone of equals. Annex M defines every term of art in one place.</w:t>
      </w:r>
    </w:p>
    <w:p w14:paraId="299C255E" w14:textId="77777777" w:rsidR="002A4A1B" w:rsidRDefault="00000000">
      <w:pPr>
        <w:pStyle w:val="Heading1"/>
      </w:pPr>
      <w:bookmarkStart w:id="10" w:name="_Toc236929549"/>
      <w:r>
        <w:lastRenderedPageBreak/>
        <w:t>Part I: Foundations</w:t>
      </w:r>
      <w:bookmarkEnd w:id="10"/>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4C5CF0F2"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66524D81" w14:textId="77777777" w:rsidR="002A4A1B" w:rsidRDefault="00000000">
            <w:pPr>
              <w:spacing w:after="60"/>
            </w:pPr>
            <w:r>
              <w:rPr>
                <w:rFonts w:ascii="Georgia" w:hAnsi="Georgia"/>
                <w:b/>
                <w:color w:val="1F3A44"/>
                <w:sz w:val="23"/>
              </w:rPr>
              <w:t>Part Overview</w:t>
            </w:r>
          </w:p>
          <w:p w14:paraId="7E743D34" w14:textId="77777777" w:rsidR="002A4A1B" w:rsidRDefault="00000000">
            <w:pPr>
              <w:spacing w:after="60" w:line="320" w:lineRule="auto"/>
              <w:jc w:val="both"/>
            </w:pPr>
            <w:r>
              <w:rPr>
                <w:sz w:val="21"/>
              </w:rPr>
              <w:t>Part I establishes the Framework: its purpose, its Parties, its principles, and its boundaries. Article 4 carries the firewall that keeps the nuclear file and every other regional dispute outside this architecture, so that the Strait's governance stands or falls on its own performance and on nothing else.</w:t>
            </w:r>
          </w:p>
        </w:tc>
      </w:tr>
    </w:tbl>
    <w:p w14:paraId="249453E6" w14:textId="77777777" w:rsidR="002A4A1B" w:rsidRDefault="002A4A1B">
      <w:pPr>
        <w:spacing w:after="160"/>
      </w:pPr>
    </w:p>
    <w:p w14:paraId="69636C2E" w14:textId="77777777" w:rsidR="002A4A1B" w:rsidRDefault="00000000">
      <w:pPr>
        <w:pStyle w:val="Heading1"/>
      </w:pPr>
      <w:bookmarkStart w:id="11" w:name="_Toc236929550"/>
      <w:r>
        <w:lastRenderedPageBreak/>
        <w:t>Article 1: Establishment, Purpose, and Scope</w:t>
      </w:r>
      <w:bookmarkEnd w:id="11"/>
    </w:p>
    <w:p w14:paraId="263A0172" w14:textId="77777777" w:rsidR="002A4A1B" w:rsidRDefault="00000000">
      <w:pPr>
        <w:pStyle w:val="Heading2"/>
      </w:pPr>
      <w:bookmarkStart w:id="12" w:name="_Toc236929551"/>
      <w:r>
        <w:t>1.1 Establishment</w:t>
      </w:r>
      <w:bookmarkEnd w:id="12"/>
    </w:p>
    <w:p w14:paraId="1A563900" w14:textId="77777777" w:rsidR="002A4A1B" w:rsidRDefault="00000000">
      <w:pPr>
        <w:spacing w:after="140"/>
        <w:jc w:val="both"/>
      </w:pPr>
      <w:r>
        <w:rPr>
          <w:b/>
          <w:color w:val="1F3A44"/>
        </w:rPr>
        <w:t xml:space="preserve">1.1.1   </w:t>
      </w:r>
      <w:r>
        <w:t>The Islamic Republic of Iran and the Sultanate of Oman, as Founding Parties, establish the Sobat Payedar Framework as the standing governance architecture for the Strait of Hormuz, its approaches in the Gulf of Oman, and its approaches in the Arabian Gulf, together the Framework Area as Annex A defines it.</w:t>
      </w:r>
    </w:p>
    <w:p w14:paraId="78D56C85" w14:textId="77777777" w:rsidR="002A4A1B" w:rsidRDefault="00000000">
      <w:pPr>
        <w:spacing w:after="140"/>
        <w:jc w:val="both"/>
      </w:pPr>
      <w:r>
        <w:rPr>
          <w:b/>
          <w:color w:val="1F3A44"/>
        </w:rPr>
        <w:t xml:space="preserve">1.1.2   </w:t>
      </w:r>
      <w:r>
        <w:t>The Framework takes effect as a single indivisible instrument. Signature activates every Article and every Annex simultaneously; no Party adopts the Framework in part.</w:t>
      </w:r>
    </w:p>
    <w:p w14:paraId="2EB11B03" w14:textId="77777777" w:rsidR="002A4A1B" w:rsidRDefault="00000000">
      <w:pPr>
        <w:spacing w:after="140"/>
        <w:jc w:val="both"/>
      </w:pPr>
      <w:r>
        <w:rPr>
          <w:b/>
          <w:color w:val="1F3A44"/>
        </w:rPr>
        <w:t xml:space="preserve">1.1.3   </w:t>
      </w:r>
      <w:r>
        <w:t>The Framework consolidates and succeeds the interim arrangements of the spring and summer of 2026, including the temporary wartime lanes, the ad hoc transit permission practices, and the evacuation-phase routing arrangements, each of which sunsets on the schedule Article 8 sets.</w:t>
      </w:r>
    </w:p>
    <w:p w14:paraId="5B65FCC2" w14:textId="77777777" w:rsidR="002A4A1B" w:rsidRDefault="00000000">
      <w:pPr>
        <w:pStyle w:val="Heading2"/>
      </w:pPr>
      <w:bookmarkStart w:id="13" w:name="_Toc236929552"/>
      <w:r>
        <w:t>1.2 Purpose</w:t>
      </w:r>
      <w:bookmarkEnd w:id="13"/>
    </w:p>
    <w:p w14:paraId="729E80EE" w14:textId="77777777" w:rsidR="002A4A1B" w:rsidRDefault="00000000">
      <w:pPr>
        <w:spacing w:after="140"/>
        <w:jc w:val="both"/>
      </w:pPr>
      <w:r>
        <w:rPr>
          <w:b/>
          <w:color w:val="1F3A44"/>
        </w:rPr>
        <w:t xml:space="preserve">1.2.1   </w:t>
      </w:r>
      <w:r>
        <w:t>The Framework guarantees continuous, safe, transparent, and unimpeded transit passage through the Strait of Hormuz for all vessels of all flags, in accordance with international law.</w:t>
      </w:r>
    </w:p>
    <w:p w14:paraId="45C51E3A" w14:textId="77777777" w:rsidR="002A4A1B" w:rsidRDefault="00000000">
      <w:pPr>
        <w:spacing w:after="140"/>
        <w:jc w:val="both"/>
      </w:pPr>
      <w:r>
        <w:rPr>
          <w:b/>
          <w:color w:val="1F3A44"/>
        </w:rPr>
        <w:t xml:space="preserve">1.2.2   </w:t>
      </w:r>
      <w:r>
        <w:t>The Framework converts the wartime patchwork of permissions, corridors, and ad hoc payments into one published, audited, jointly administered system of corridors, services, and charges.</w:t>
      </w:r>
    </w:p>
    <w:p w14:paraId="362562F9" w14:textId="77777777" w:rsidR="002A4A1B" w:rsidRDefault="00000000">
      <w:pPr>
        <w:spacing w:after="140"/>
        <w:jc w:val="both"/>
      </w:pPr>
      <w:r>
        <w:rPr>
          <w:b/>
          <w:color w:val="1F3A44"/>
        </w:rPr>
        <w:t xml:space="preserve">1.2.3   </w:t>
      </w:r>
      <w:r>
        <w:t>The Framework creates the institutional, verification, and economic machinery that keeps the Strait open through political weather: one Authority, one monitoring architecture, one compliance engine, one Fund, and one Tribunal.</w:t>
      </w:r>
    </w:p>
    <w:p w14:paraId="5352C45F" w14:textId="77777777" w:rsidR="002A4A1B" w:rsidRDefault="00000000">
      <w:pPr>
        <w:spacing w:after="140"/>
        <w:jc w:val="both"/>
      </w:pPr>
      <w:r>
        <w:rPr>
          <w:b/>
          <w:color w:val="1F3A44"/>
        </w:rPr>
        <w:t xml:space="preserve">1.2.4   </w:t>
      </w:r>
      <w:r>
        <w:t>The Framework anchors the economic normalization of the region in a development architecture that rewards stability and that no single government controls.</w:t>
      </w:r>
    </w:p>
    <w:p w14:paraId="29444927" w14:textId="77777777" w:rsidR="002A4A1B" w:rsidRDefault="00000000">
      <w:pPr>
        <w:pStyle w:val="Heading2"/>
      </w:pPr>
      <w:bookmarkStart w:id="14" w:name="_Toc236929553"/>
      <w:r>
        <w:t>1.3 Scope</w:t>
      </w:r>
      <w:bookmarkEnd w:id="14"/>
    </w:p>
    <w:p w14:paraId="3BB73270" w14:textId="77777777" w:rsidR="002A4A1B" w:rsidRDefault="00000000">
      <w:pPr>
        <w:spacing w:after="140"/>
        <w:jc w:val="both"/>
      </w:pPr>
      <w:r>
        <w:rPr>
          <w:b/>
          <w:color w:val="1F3A44"/>
        </w:rPr>
        <w:t xml:space="preserve">1.3.1   </w:t>
      </w:r>
      <w:r>
        <w:t>The Framework governs commercial navigation, traffic management, safety of life at sea, environmental protection, mine-risk response, search and rescue, incident reporting, service charges, and the verification of all of the foregoing within the Framework Area.</w:t>
      </w:r>
    </w:p>
    <w:p w14:paraId="7E16C149" w14:textId="77777777" w:rsidR="002A4A1B" w:rsidRDefault="00000000">
      <w:pPr>
        <w:spacing w:after="140"/>
        <w:jc w:val="both"/>
      </w:pPr>
      <w:r>
        <w:rPr>
          <w:b/>
          <w:color w:val="1F3A44"/>
        </w:rPr>
        <w:lastRenderedPageBreak/>
        <w:t xml:space="preserve">1.3.2   </w:t>
      </w:r>
      <w:r>
        <w:t>The Framework governs the conduct of naval and law-enforcement vessels of the Parties within the Framework Area to the extent that conduct interacts with commercial navigation, through the deconfliction rules of Article 7 and Annex D.</w:t>
      </w:r>
    </w:p>
    <w:p w14:paraId="4A01FC1D" w14:textId="77777777" w:rsidR="002A4A1B" w:rsidRDefault="00000000">
      <w:pPr>
        <w:spacing w:after="140"/>
        <w:jc w:val="both"/>
      </w:pPr>
      <w:r>
        <w:rPr>
          <w:b/>
          <w:color w:val="1F3A44"/>
        </w:rPr>
        <w:t xml:space="preserve">1.3.3   </w:t>
      </w:r>
      <w:r>
        <w:t>The Framework does not govern the delimitation of territorial seas or continental shelves, the ownership of resources, the domestic law of any Party, or any question Article 4 places outside its scope. The Framework leaves every sovereignty question exactly where it finds it.</w:t>
      </w:r>
    </w:p>
    <w:p w14:paraId="4931C245" w14:textId="77777777" w:rsidR="002A4A1B" w:rsidRDefault="00000000">
      <w:pPr>
        <w:spacing w:after="140"/>
        <w:jc w:val="both"/>
      </w:pPr>
      <w:r>
        <w:rPr>
          <w:b/>
          <w:color w:val="1F3A44"/>
        </w:rPr>
        <w:t xml:space="preserve">1.3.4   </w:t>
      </w:r>
      <w:r>
        <w:t>Nothing in this Framework alters the rights and obligations of any state under the United Nations Convention on the Law of the Sea. Where a provision of this Framework and a rule of international law touch the same subject, the Framework implements the rule; it never displaces it.</w:t>
      </w:r>
    </w:p>
    <w:p w14:paraId="14F6B3D3" w14:textId="77777777" w:rsidR="002A4A1B" w:rsidRDefault="00000000">
      <w:pPr>
        <w:pStyle w:val="Heading1"/>
      </w:pPr>
      <w:bookmarkStart w:id="15" w:name="_Toc236929554"/>
      <w:r>
        <w:lastRenderedPageBreak/>
        <w:t>Article 2: The Parties, Accession, and the Circle of Friends</w:t>
      </w:r>
      <w:bookmarkEnd w:id="15"/>
    </w:p>
    <w:p w14:paraId="575D6890" w14:textId="77777777" w:rsidR="002A4A1B" w:rsidRDefault="00000000">
      <w:pPr>
        <w:pStyle w:val="Heading2"/>
      </w:pPr>
      <w:bookmarkStart w:id="16" w:name="_Toc236929555"/>
      <w:r>
        <w:t>2.1 The Founding Parties</w:t>
      </w:r>
      <w:bookmarkEnd w:id="16"/>
    </w:p>
    <w:p w14:paraId="35813E05" w14:textId="77777777" w:rsidR="002A4A1B" w:rsidRDefault="00000000">
      <w:pPr>
        <w:spacing w:after="140"/>
        <w:jc w:val="both"/>
      </w:pPr>
      <w:r>
        <w:rPr>
          <w:b/>
          <w:color w:val="1F3A44"/>
        </w:rPr>
        <w:t xml:space="preserve">2.1.1   </w:t>
      </w:r>
      <w:r>
        <w:t>The Islamic Republic of Iran and the Sultanate of Oman are the Founding Parties. Each holds equal standing in every organ of the Framework: equal votes, equal vetoes over the protected matters Annex I lists, equal access to every feed and every ledger, and equal obligations under the verification architecture.</w:t>
      </w:r>
    </w:p>
    <w:p w14:paraId="3A351A43" w14:textId="77777777" w:rsidR="002A4A1B" w:rsidRDefault="00000000">
      <w:pPr>
        <w:spacing w:after="140"/>
        <w:jc w:val="both"/>
      </w:pPr>
      <w:r>
        <w:rPr>
          <w:b/>
          <w:color w:val="1F3A44"/>
        </w:rPr>
        <w:t xml:space="preserve">2.1.2   </w:t>
      </w:r>
      <w:r>
        <w:t>Equal standing expresses the design principle of the two coasts: the Strait has two shores, and the Framework treats them as one system with two administrations.</w:t>
      </w:r>
    </w:p>
    <w:p w14:paraId="223D4B04" w14:textId="77777777" w:rsidR="002A4A1B" w:rsidRDefault="00000000">
      <w:pPr>
        <w:pStyle w:val="Heading2"/>
      </w:pPr>
      <w:bookmarkStart w:id="17" w:name="_Toc236929556"/>
      <w:r>
        <w:t>2.2 Accession</w:t>
      </w:r>
      <w:bookmarkEnd w:id="17"/>
    </w:p>
    <w:p w14:paraId="2473A7A8" w14:textId="77777777" w:rsidR="002A4A1B" w:rsidRDefault="00000000">
      <w:pPr>
        <w:spacing w:after="140"/>
        <w:jc w:val="both"/>
      </w:pPr>
      <w:r>
        <w:rPr>
          <w:b/>
          <w:color w:val="1F3A44"/>
        </w:rPr>
        <w:t xml:space="preserve">2.2.1   </w:t>
      </w:r>
      <w:r>
        <w:t>The United Arab Emirates, the Kingdom of Saudi Arabia, the State of Qatar, the Kingdom of Bahrain, the State of Kuwait, and the Republic of Iraq each hold a standing invitation to accede as a Coastal Party. Accession activates through deposit of an instrument with the Depositary and takes effect thirty days after deposit.</w:t>
      </w:r>
    </w:p>
    <w:p w14:paraId="03F38B49" w14:textId="77777777" w:rsidR="002A4A1B" w:rsidRDefault="00000000">
      <w:pPr>
        <w:spacing w:after="140"/>
        <w:jc w:val="both"/>
      </w:pPr>
      <w:r>
        <w:rPr>
          <w:b/>
          <w:color w:val="1F3A44"/>
        </w:rPr>
        <w:t xml:space="preserve">2.2.2   </w:t>
      </w:r>
      <w:r>
        <w:t>A Coastal Party holds a seat on the Council of the Authority, participates in the working groups, accesses every feed, and carries the corridor obligations relevant to its waters. The Founding Parties' dual-key functions under Article 7 remain with the Founding Parties; accession never dilutes the dual-key architecture, and the dual-key architecture never excludes a Coastal Party from oversight of it.</w:t>
      </w:r>
    </w:p>
    <w:p w14:paraId="31332C4A" w14:textId="77777777" w:rsidR="002A4A1B" w:rsidRDefault="00000000">
      <w:pPr>
        <w:spacing w:after="140"/>
        <w:jc w:val="both"/>
      </w:pPr>
      <w:r>
        <w:rPr>
          <w:b/>
          <w:color w:val="1F3A44"/>
        </w:rPr>
        <w:t xml:space="preserve">2.2.3   </w:t>
      </w:r>
      <w:r>
        <w:t>The Authority, by consensus of the Council, invites additional states to accede where their territory fronts the Framework Area or their accession serves the purposes of Article 1.</w:t>
      </w:r>
    </w:p>
    <w:p w14:paraId="1336D246" w14:textId="77777777" w:rsidR="002A4A1B" w:rsidRDefault="00000000">
      <w:pPr>
        <w:pStyle w:val="Heading2"/>
      </w:pPr>
      <w:bookmarkStart w:id="18" w:name="_Toc236929557"/>
      <w:r>
        <w:t>2.3 The Circle of Friends</w:t>
      </w:r>
      <w:bookmarkEnd w:id="18"/>
    </w:p>
    <w:p w14:paraId="392D9488" w14:textId="77777777" w:rsidR="002A4A1B" w:rsidRDefault="00000000">
      <w:pPr>
        <w:spacing w:after="140"/>
        <w:jc w:val="both"/>
      </w:pPr>
      <w:r>
        <w:rPr>
          <w:b/>
          <w:color w:val="1F3A44"/>
        </w:rPr>
        <w:t xml:space="preserve">2.3.1   </w:t>
      </w:r>
      <w:r>
        <w:t>The Circle of Friends comprises the United States of America, the European Union and its member states acting through the European External Action Service, the United Kingdom, and any other user state the Council invites by consensus. The Circle of Friends holds standing observer seats on the Council, full access to the fused monitoring picture and the public ledgers, and speaking rights in every session, and it holds no vote.</w:t>
      </w:r>
    </w:p>
    <w:p w14:paraId="24A7FBBA" w14:textId="77777777" w:rsidR="002A4A1B" w:rsidRDefault="00000000">
      <w:pPr>
        <w:spacing w:after="140"/>
        <w:jc w:val="both"/>
      </w:pPr>
      <w:r>
        <w:rPr>
          <w:b/>
          <w:color w:val="1F3A44"/>
        </w:rPr>
        <w:lastRenderedPageBreak/>
        <w:t xml:space="preserve">2.3.2   </w:t>
      </w:r>
      <w:r>
        <w:t>The Circle of Friends appoints one Naval Liaison Officer each to the Deconfliction Cell under Annex D, guaranteeing every major naval actor a permanent, direct, staffed channel to the corridor system.</w:t>
      </w:r>
    </w:p>
    <w:p w14:paraId="5B70CBA3" w14:textId="77777777" w:rsidR="002A4A1B" w:rsidRDefault="00000000">
      <w:pPr>
        <w:spacing w:after="140"/>
        <w:jc w:val="both"/>
      </w:pPr>
      <w:r>
        <w:rPr>
          <w:b/>
          <w:color w:val="1F3A44"/>
        </w:rPr>
        <w:t xml:space="preserve">2.3.3   </w:t>
      </w:r>
      <w:r>
        <w:t>Observer standing carries no obligation of contribution and no exposure to the compliance engine. It carries one duty: presence. The architecture counts on the observers watching, because watching is the cheapest security mechanism ever built.</w:t>
      </w:r>
    </w:p>
    <w:p w14:paraId="1141077B" w14:textId="77777777" w:rsidR="002A4A1B" w:rsidRDefault="00000000">
      <w:pPr>
        <w:pStyle w:val="Heading2"/>
      </w:pPr>
      <w:bookmarkStart w:id="19" w:name="_Toc236929558"/>
      <w:r>
        <w:t>2.4 Institutional and Industry Participants</w:t>
      </w:r>
      <w:bookmarkEnd w:id="19"/>
    </w:p>
    <w:p w14:paraId="06C8B64E" w14:textId="77777777" w:rsidR="002A4A1B" w:rsidRDefault="00000000">
      <w:pPr>
        <w:spacing w:after="140"/>
        <w:jc w:val="both"/>
      </w:pPr>
      <w:r>
        <w:rPr>
          <w:b/>
          <w:color w:val="1F3A44"/>
        </w:rPr>
        <w:t xml:space="preserve">2.4.1   </w:t>
      </w:r>
      <w:r>
        <w:t>The International Maritime Organization holds a technical seat on the Council and the certification functions Annex A assigns it. The International Hydrographic Organization receives every chart correction the Framework issues.</w:t>
      </w:r>
    </w:p>
    <w:p w14:paraId="5D067FCA" w14:textId="77777777" w:rsidR="002A4A1B" w:rsidRDefault="00000000">
      <w:pPr>
        <w:spacing w:after="140"/>
        <w:jc w:val="both"/>
      </w:pPr>
      <w:r>
        <w:rPr>
          <w:b/>
          <w:color w:val="1F3A44"/>
        </w:rPr>
        <w:t xml:space="preserve">2.4.2   </w:t>
      </w:r>
      <w:r>
        <w:t>The shipping industry participates through the Shipping Liaison Panel of Annex I, which seats the International Chamber of Shipping, BIMCO, INTERTANKO, INTERCARGO, and OCIMF. The insurance industry participates through the War-Risk Consultative Group, which seats the Joint War Committee, the International Group of P&amp;I Clubs, and the leading war-risk underwriters.</w:t>
      </w:r>
    </w:p>
    <w:p w14:paraId="5D613DBA" w14:textId="77777777" w:rsidR="002A4A1B" w:rsidRDefault="00000000">
      <w:pPr>
        <w:spacing w:after="140"/>
        <w:jc w:val="both"/>
      </w:pPr>
      <w:r>
        <w:rPr>
          <w:b/>
          <w:color w:val="1F3A44"/>
        </w:rPr>
        <w:t xml:space="preserve">2.4.3   </w:t>
      </w:r>
      <w:r>
        <w:t>Industry participants receive every publication the Framework issues at the moment the Parties receive it. The Framework treats the shipowner and the underwriter as first-class stakeholders, because their confidence, not any declaration, reopens a strait.</w:t>
      </w:r>
    </w:p>
    <w:p w14:paraId="7689DE23" w14:textId="77777777" w:rsidR="002A4A1B" w:rsidRDefault="00000000">
      <w:pPr>
        <w:pStyle w:val="Heading2"/>
      </w:pPr>
      <w:bookmarkStart w:id="20" w:name="_Toc236929559"/>
      <w:r>
        <w:t>2.5 The Guarantors</w:t>
      </w:r>
      <w:bookmarkEnd w:id="20"/>
    </w:p>
    <w:p w14:paraId="221BCF31" w14:textId="77777777" w:rsidR="002A4A1B" w:rsidRDefault="00000000">
      <w:pPr>
        <w:spacing w:after="140"/>
        <w:jc w:val="both"/>
      </w:pPr>
      <w:r>
        <w:rPr>
          <w:b/>
          <w:color w:val="1F3A44"/>
        </w:rPr>
        <w:t xml:space="preserve">2.5.1   </w:t>
      </w:r>
      <w:r>
        <w:t>The Swiss Confederation serves as Neutral Administrator and Depositary. The Neutral Administrator administers the Stewardship Fund's neutral accounts under Annex E, certifies the integrity of the shared registries, and convenes the Tribunal under Annex I.</w:t>
      </w:r>
    </w:p>
    <w:p w14:paraId="1FE842A0" w14:textId="77777777" w:rsidR="002A4A1B" w:rsidRDefault="00000000">
      <w:pPr>
        <w:spacing w:after="140"/>
        <w:jc w:val="both"/>
      </w:pPr>
      <w:r>
        <w:rPr>
          <w:b/>
          <w:color w:val="1F3A44"/>
        </w:rPr>
        <w:t xml:space="preserve">2.5.2   </w:t>
      </w:r>
      <w:r>
        <w:t>The State of Qatar and the Islamic Republic of Pakistan serve as Supporting Facilitators. Each maintains a facilitation office attached to the Sobat Operations Center and carries the shuttle and convening functions Annex K assigns.</w:t>
      </w:r>
    </w:p>
    <w:p w14:paraId="2C50B3F7" w14:textId="77777777" w:rsidR="002A4A1B" w:rsidRDefault="00000000">
      <w:pPr>
        <w:spacing w:after="140"/>
        <w:jc w:val="both"/>
      </w:pPr>
      <w:r>
        <w:rPr>
          <w:b/>
          <w:color w:val="1F3A44"/>
        </w:rPr>
        <w:t xml:space="preserve">2.5.3   </w:t>
      </w:r>
      <w:r>
        <w:t>The guarantors act as the institutional memory and the honest brokers of the Framework. They hold no corridor function and no vote, and their neutrality is a protected asset of the system: the Parties jointly fund it and jointly defend it.</w:t>
      </w:r>
    </w:p>
    <w:p w14:paraId="2F14DB48" w14:textId="77777777" w:rsidR="002A4A1B" w:rsidRDefault="00000000">
      <w:pPr>
        <w:pStyle w:val="Heading1"/>
      </w:pPr>
      <w:bookmarkStart w:id="21" w:name="_Toc236929560"/>
      <w:r>
        <w:lastRenderedPageBreak/>
        <w:t>Article 3: Governing Principles</w:t>
      </w:r>
      <w:bookmarkEnd w:id="21"/>
    </w:p>
    <w:p w14:paraId="4E2D16BF" w14:textId="77777777" w:rsidR="002A4A1B" w:rsidRDefault="00000000">
      <w:pPr>
        <w:pStyle w:val="Heading2"/>
      </w:pPr>
      <w:bookmarkStart w:id="22" w:name="_Toc236929561"/>
      <w:r>
        <w:t>3.1 The Nofade Guarantee, First Among Equals</w:t>
      </w:r>
      <w:bookmarkEnd w:id="22"/>
    </w:p>
    <w:p w14:paraId="32CE8311" w14:textId="77777777" w:rsidR="002A4A1B" w:rsidRDefault="00000000">
      <w:pPr>
        <w:spacing w:after="140"/>
        <w:jc w:val="both"/>
      </w:pPr>
      <w:r>
        <w:rPr>
          <w:b/>
          <w:color w:val="1F3A44"/>
        </w:rPr>
        <w:t xml:space="preserve">3.1.1   </w:t>
      </w:r>
      <w:r>
        <w:t>No sunset. The Framework contains no sunset clauses, no silent expirations, and no decaying obligations. It operates on a continuous horizon by design, because a commitment that expires is a commitment that plans to fail.</w:t>
      </w:r>
    </w:p>
    <w:p w14:paraId="3786E94F" w14:textId="77777777" w:rsidR="002A4A1B" w:rsidRDefault="00000000">
      <w:pPr>
        <w:spacing w:after="140"/>
        <w:jc w:val="both"/>
      </w:pPr>
      <w:r>
        <w:rPr>
          <w:b/>
          <w:color w:val="1F3A44"/>
        </w:rPr>
        <w:t xml:space="preserve">3.1.2   </w:t>
      </w:r>
      <w:r>
        <w:t>No fade of commitments. Every commitment persists at full strength from activation until the Parties jointly amend it in writing under Article 26. Time never dilutes an obligation; routine never weakens a verification right; political weather never erodes a standing rule.</w:t>
      </w:r>
    </w:p>
    <w:p w14:paraId="4DB15623" w14:textId="77777777" w:rsidR="002A4A1B" w:rsidRDefault="00000000">
      <w:pPr>
        <w:spacing w:after="140"/>
        <w:jc w:val="both"/>
      </w:pPr>
      <w:r>
        <w:rPr>
          <w:b/>
          <w:color w:val="1F3A44"/>
        </w:rPr>
        <w:t xml:space="preserve">3.1.3   </w:t>
      </w:r>
      <w:r>
        <w:t>Active maintenance. The Framework renews itself through scheduled, deliberate review rather than drifting with events. The quinquennial Review Summit of Article 26 confirms the continuing force of the Nofade Guarantee as its first agenda item, every time, without exception.</w:t>
      </w:r>
    </w:p>
    <w:p w14:paraId="27425FC6" w14:textId="77777777" w:rsidR="002A4A1B" w:rsidRDefault="00000000">
      <w:pPr>
        <w:pStyle w:val="Heading2"/>
      </w:pPr>
      <w:bookmarkStart w:id="23" w:name="_Toc236929562"/>
      <w:r>
        <w:t>3.2 Mutual Architecture</w:t>
      </w:r>
      <w:bookmarkEnd w:id="23"/>
    </w:p>
    <w:p w14:paraId="3860E75A" w14:textId="77777777" w:rsidR="002A4A1B" w:rsidRDefault="00000000">
      <w:pPr>
        <w:spacing w:after="140"/>
        <w:jc w:val="both"/>
      </w:pPr>
      <w:r>
        <w:rPr>
          <w:b/>
          <w:color w:val="1F3A44"/>
        </w:rPr>
        <w:t xml:space="preserve">3.2.1   </w:t>
      </w:r>
      <w:r>
        <w:t>Every constraint in this Framework binds the system, not a Party. The architecture excludes prohibited conduct by design; it never records one Party's restraint as another Party's prize. This principle protects every participant from the domestic political cost of the appearance of concession.</w:t>
      </w:r>
    </w:p>
    <w:p w14:paraId="789838EA" w14:textId="77777777" w:rsidR="002A4A1B" w:rsidRDefault="00000000">
      <w:pPr>
        <w:spacing w:after="140"/>
        <w:jc w:val="both"/>
      </w:pPr>
      <w:r>
        <w:rPr>
          <w:b/>
          <w:color w:val="1F3A44"/>
        </w:rPr>
        <w:t xml:space="preserve">3.2.2   </w:t>
      </w:r>
      <w:r>
        <w:t>Every benefit in this Framework flows through shared structures: the Fund, the Fusion Center, the corridors, the development facility. No Party draws a benefit that the architecture does not also extend, in functionally equivalent form, to the other coast.</w:t>
      </w:r>
    </w:p>
    <w:p w14:paraId="02CC6551" w14:textId="77777777" w:rsidR="002A4A1B" w:rsidRDefault="00000000">
      <w:pPr>
        <w:pStyle w:val="Heading2"/>
      </w:pPr>
      <w:bookmarkStart w:id="24" w:name="_Toc236929563"/>
      <w:r>
        <w:t>3.3 Sovereignty Symmetry</w:t>
      </w:r>
      <w:bookmarkEnd w:id="24"/>
    </w:p>
    <w:p w14:paraId="76579516" w14:textId="77777777" w:rsidR="002A4A1B" w:rsidRDefault="00000000">
      <w:pPr>
        <w:spacing w:after="140"/>
        <w:jc w:val="both"/>
      </w:pPr>
      <w:r>
        <w:rPr>
          <w:b/>
          <w:color w:val="1F3A44"/>
        </w:rPr>
        <w:t xml:space="preserve">3.3.1   </w:t>
      </w:r>
      <w:r>
        <w:t>The Framework respects the sovereignty and territorial integrity of every Party and changes none of them. Functional administration of a corridor is a service the administrator performs for the system, not an enlargement of the administrator's jurisdiction.</w:t>
      </w:r>
    </w:p>
    <w:p w14:paraId="18FF63D5" w14:textId="77777777" w:rsidR="002A4A1B" w:rsidRDefault="00000000">
      <w:pPr>
        <w:spacing w:after="140"/>
        <w:jc w:val="both"/>
      </w:pPr>
      <w:r>
        <w:rPr>
          <w:b/>
          <w:color w:val="1F3A44"/>
        </w:rPr>
        <w:t xml:space="preserve">3.3.2   </w:t>
      </w:r>
      <w:r>
        <w:t>Every function one coast performs, the other coast observes in real time; every function one coast performs in its corridor, the other coast performs in its own. Symmetry of function, symmetry of oversight, symmetry of obligation.</w:t>
      </w:r>
    </w:p>
    <w:p w14:paraId="18A5B015" w14:textId="77777777" w:rsidR="002A4A1B" w:rsidRDefault="00000000">
      <w:pPr>
        <w:pStyle w:val="Heading2"/>
      </w:pPr>
      <w:bookmarkStart w:id="25" w:name="_Toc236929564"/>
      <w:r>
        <w:lastRenderedPageBreak/>
        <w:t>3.4 Proportionality and Reversibility</w:t>
      </w:r>
      <w:bookmarkEnd w:id="25"/>
    </w:p>
    <w:p w14:paraId="2760D6F8" w14:textId="77777777" w:rsidR="002A4A1B" w:rsidRDefault="00000000">
      <w:pPr>
        <w:spacing w:after="140"/>
        <w:jc w:val="both"/>
      </w:pPr>
      <w:r>
        <w:rPr>
          <w:b/>
          <w:color w:val="1F3A44"/>
        </w:rPr>
        <w:t xml:space="preserve">3.4.1   </w:t>
      </w:r>
      <w:r>
        <w:t>Every consequence the compliance engine produces matches the verified severity of its trigger and reverses on verified remediation. The Framework contains no penalty that outlives its cause.</w:t>
      </w:r>
    </w:p>
    <w:p w14:paraId="4923AA8E" w14:textId="77777777" w:rsidR="002A4A1B" w:rsidRDefault="00000000">
      <w:pPr>
        <w:pStyle w:val="Heading2"/>
      </w:pPr>
      <w:bookmarkStart w:id="26" w:name="_Toc236929565"/>
      <w:r>
        <w:t>3.5 Transparency as Default</w:t>
      </w:r>
      <w:bookmarkEnd w:id="26"/>
    </w:p>
    <w:p w14:paraId="7852E7D8" w14:textId="77777777" w:rsidR="002A4A1B" w:rsidRDefault="00000000">
      <w:pPr>
        <w:spacing w:after="140"/>
        <w:jc w:val="both"/>
      </w:pPr>
      <w:r>
        <w:rPr>
          <w:b/>
          <w:color w:val="1F3A44"/>
        </w:rPr>
        <w:t xml:space="preserve">3.5.1   </w:t>
      </w:r>
      <w:r>
        <w:t>Every feed, ledger, log, and audit under this Framework is visible to every Party and every observer in real time, and to the public on the schedule Annex C sets. Confidentiality attaches only to the narrow categories Annex C enumerates, and even then only for defined periods.</w:t>
      </w:r>
    </w:p>
    <w:p w14:paraId="1F9536A4" w14:textId="77777777" w:rsidR="002A4A1B" w:rsidRDefault="00000000">
      <w:pPr>
        <w:pStyle w:val="Heading2"/>
      </w:pPr>
      <w:bookmarkStart w:id="27" w:name="_Toc236929566"/>
      <w:r>
        <w:t>3.6 Cost Discipline</w:t>
      </w:r>
      <w:bookmarkEnd w:id="27"/>
    </w:p>
    <w:p w14:paraId="3A5DFE15" w14:textId="77777777" w:rsidR="002A4A1B" w:rsidRDefault="00000000">
      <w:pPr>
        <w:spacing w:after="140"/>
        <w:jc w:val="both"/>
      </w:pPr>
      <w:r>
        <w:rPr>
          <w:b/>
          <w:color w:val="1F3A44"/>
        </w:rPr>
        <w:t xml:space="preserve">3.6.1   </w:t>
      </w:r>
      <w:r>
        <w:t>The Framework builds on what already works: existing coastal radar and AIS networks, existing reporting centers, existing regional institutions, existing international law. It creates the minimum new machinery the functions demand and staffs it at the minimum the workload requires. Annex H publishes the full operating budget, and the charge schedule of Annex E funds it.</w:t>
      </w:r>
    </w:p>
    <w:p w14:paraId="42E93090" w14:textId="77777777" w:rsidR="002A4A1B" w:rsidRDefault="00000000">
      <w:pPr>
        <w:pStyle w:val="Heading2"/>
      </w:pPr>
      <w:bookmarkStart w:id="28" w:name="_Toc236929567"/>
      <w:r>
        <w:t>3.7 Synchronization</w:t>
      </w:r>
      <w:bookmarkEnd w:id="28"/>
    </w:p>
    <w:p w14:paraId="06F8E25A" w14:textId="77777777" w:rsidR="002A4A1B" w:rsidRDefault="00000000">
      <w:pPr>
        <w:spacing w:after="140"/>
        <w:jc w:val="both"/>
      </w:pPr>
      <w:r>
        <w:rPr>
          <w:b/>
          <w:color w:val="1F3A44"/>
        </w:rPr>
        <w:t xml:space="preserve">3.7.1   </w:t>
      </w:r>
      <w:r>
        <w:t>The Framework sequences every interdependent act so that no Party moves first into exposure. Paired obligations execute on the same day, at the same hour, through the simultaneous announcement and simultaneous performance procedures of Annex K. The architecture answers the question of who moves first with a structural reply: everyone moves together.</w:t>
      </w:r>
    </w:p>
    <w:p w14:paraId="1510489A" w14:textId="77777777" w:rsidR="002A4A1B" w:rsidRDefault="00000000">
      <w:pPr>
        <w:pStyle w:val="Heading1"/>
      </w:pPr>
      <w:bookmarkStart w:id="29" w:name="_Toc236929568"/>
      <w:r>
        <w:lastRenderedPageBreak/>
        <w:t>Article 4: The Nuclear Firewall and the Separation of Files</w:t>
      </w:r>
      <w:bookmarkEnd w:id="29"/>
    </w:p>
    <w:p w14:paraId="2CBDEE60" w14:textId="77777777" w:rsidR="002A4A1B" w:rsidRDefault="00000000">
      <w:pPr>
        <w:pStyle w:val="Heading2"/>
      </w:pPr>
      <w:bookmarkStart w:id="30" w:name="_Toc236929569"/>
      <w:r>
        <w:t>4.1 The Firewall</w:t>
      </w:r>
      <w:bookmarkEnd w:id="30"/>
    </w:p>
    <w:p w14:paraId="0D6E95B8" w14:textId="77777777" w:rsidR="002A4A1B" w:rsidRDefault="00000000">
      <w:pPr>
        <w:spacing w:after="140"/>
        <w:jc w:val="both"/>
      </w:pPr>
      <w:r>
        <w:rPr>
          <w:b/>
          <w:color w:val="1F3A44"/>
        </w:rPr>
        <w:t xml:space="preserve">4.1.1   </w:t>
      </w:r>
      <w:r>
        <w:t>The nuclear file sits outside this Framework. No Article, Annex, procedure, charge, or verification act under this Framework addresses, conditions on, references, or touches the nuclear program of any state. The Framework neither grants nor withholds anything on account of any nuclear fact, negotiation, or dispute.</w:t>
      </w:r>
    </w:p>
    <w:p w14:paraId="66727A33" w14:textId="77777777" w:rsidR="002A4A1B" w:rsidRDefault="00000000">
      <w:pPr>
        <w:spacing w:after="140"/>
        <w:jc w:val="both"/>
      </w:pPr>
      <w:r>
        <w:rPr>
          <w:b/>
          <w:color w:val="1F3A44"/>
        </w:rPr>
        <w:t xml:space="preserve">4.1.2   </w:t>
      </w:r>
      <w:r>
        <w:t>The firewall operates in both directions. Performance under this Framework creates no precedent, obligation, or argument in any nuclear process, and no development in any nuclear process suspends, slows, or accelerates performance under this Framework. The only exception is the crisis procedure of Article 24, which activates on armed hostilities in the Framework Area and on nothing else.</w:t>
      </w:r>
    </w:p>
    <w:p w14:paraId="50C6E5DF" w14:textId="77777777" w:rsidR="002A4A1B" w:rsidRDefault="00000000">
      <w:pPr>
        <w:spacing w:after="140"/>
        <w:jc w:val="both"/>
      </w:pPr>
      <w:r>
        <w:rPr>
          <w:b/>
          <w:color w:val="1F3A44"/>
        </w:rPr>
        <w:t xml:space="preserve">4.1.3   </w:t>
      </w:r>
      <w:r>
        <w:t>The firewall carries a structural guarantee: the Authority, the Fund, the Tribunal, and the Fusion Center each operate under charters that omit the nuclear file from their mandates. No organ of this Framework possesses the institutional capacity to trade in that file, and capacity, not intention, is what firewalls are made of.</w:t>
      </w:r>
    </w:p>
    <w:p w14:paraId="796D72B3" w14:textId="77777777" w:rsidR="002A4A1B" w:rsidRDefault="00000000">
      <w:pPr>
        <w:pStyle w:val="Heading2"/>
      </w:pPr>
      <w:bookmarkStart w:id="31" w:name="_Toc236929570"/>
      <w:r>
        <w:t>4.2 The Separation of Files Generally</w:t>
      </w:r>
      <w:bookmarkEnd w:id="31"/>
    </w:p>
    <w:p w14:paraId="76D6434C" w14:textId="77777777" w:rsidR="002A4A1B" w:rsidRDefault="00000000">
      <w:pPr>
        <w:spacing w:after="140"/>
        <w:jc w:val="both"/>
      </w:pPr>
      <w:r>
        <w:rPr>
          <w:b/>
          <w:color w:val="1F3A44"/>
        </w:rPr>
        <w:t xml:space="preserve">4.2.1   </w:t>
      </w:r>
      <w:r>
        <w:t>The same separation applies to every other regional file: sanctions policy beyond the payment-routing provisions of Annex E, territorial disputes, alliance structures, and bilateral grievances. Each lives in its own channel. The Strait's governance answers to its own performance metrics alone.</w:t>
      </w:r>
    </w:p>
    <w:p w14:paraId="14E0A7A2" w14:textId="77777777" w:rsidR="002A4A1B" w:rsidRDefault="00000000">
      <w:pPr>
        <w:spacing w:after="140"/>
        <w:jc w:val="both"/>
      </w:pPr>
      <w:r>
        <w:rPr>
          <w:b/>
          <w:color w:val="1F3A44"/>
        </w:rPr>
        <w:t xml:space="preserve">4.2.2   </w:t>
      </w:r>
      <w:r>
        <w:t>A Party that raises an outside file inside an organ of the Framework triggers the procedural ruling of the presiding officer, who strikes the matter from the agenda. The ruling is automatic and unappealable inside the Framework, because the firewall protects the Framework itself, not any Party's negotiating position.</w:t>
      </w:r>
    </w:p>
    <w:p w14:paraId="098BB06C" w14:textId="77777777" w:rsidR="002A4A1B" w:rsidRDefault="00000000">
      <w:pPr>
        <w:pStyle w:val="Heading2"/>
      </w:pPr>
      <w:bookmarkStart w:id="32" w:name="_Toc236929571"/>
      <w:r>
        <w:t>4.3 Why the Firewall Exists</w:t>
      </w:r>
      <w:bookmarkEnd w:id="32"/>
    </w:p>
    <w:p w14:paraId="4EFBC60C" w14:textId="77777777" w:rsidR="002A4A1B" w:rsidRDefault="00000000">
      <w:pPr>
        <w:spacing w:after="140"/>
        <w:jc w:val="both"/>
      </w:pPr>
      <w:r>
        <w:rPr>
          <w:b/>
          <w:color w:val="1F3A44"/>
        </w:rPr>
        <w:t xml:space="preserve">4.3.1   </w:t>
      </w:r>
      <w:r>
        <w:t xml:space="preserve">Linkage kills strait regimes. A navigation system that conditions on the hardest file in the region inherits that file's failure rate. The firewall keeps the Strait's governance solvable by keeping it </w:t>
      </w:r>
      <w:r>
        <w:lastRenderedPageBreak/>
        <w:t>separate, and it gives every capital the same honest sentence: the Strait answers to the merits of the Strait.</w:t>
      </w:r>
    </w:p>
    <w:p w14:paraId="2BE997A6" w14:textId="77777777" w:rsidR="002A4A1B" w:rsidRDefault="00000000">
      <w:pPr>
        <w:spacing w:after="140"/>
        <w:jc w:val="both"/>
      </w:pPr>
      <w:r>
        <w:rPr>
          <w:b/>
          <w:color w:val="1F3A44"/>
        </w:rPr>
        <w:t xml:space="preserve">4.3.2   </w:t>
      </w:r>
      <w:r>
        <w:t>The firewall also protects the verification architecture. The Cothrom-Payedar Method verifies maritime performance with maritime instruments, sensors, and audits. It carries no nuclear verification function, borrows none, and lends none.</w:t>
      </w:r>
    </w:p>
    <w:p w14:paraId="3B6B7440" w14:textId="77777777" w:rsidR="002A4A1B" w:rsidRDefault="00000000">
      <w:pPr>
        <w:pStyle w:val="Heading1"/>
      </w:pPr>
      <w:bookmarkStart w:id="33" w:name="_Toc236929572"/>
      <w:r>
        <w:lastRenderedPageBreak/>
        <w:t>Part II: The Maritime Architecture</w:t>
      </w:r>
      <w:bookmarkEnd w:id="33"/>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0D6D8450"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245796E4" w14:textId="77777777" w:rsidR="002A4A1B" w:rsidRDefault="00000000">
            <w:pPr>
              <w:spacing w:after="60"/>
            </w:pPr>
            <w:r>
              <w:rPr>
                <w:rFonts w:ascii="Georgia" w:hAnsi="Georgia"/>
                <w:b/>
                <w:color w:val="1F3A44"/>
                <w:sz w:val="23"/>
              </w:rPr>
              <w:t>Part Overview</w:t>
            </w:r>
          </w:p>
          <w:p w14:paraId="4F4461EC" w14:textId="77777777" w:rsidR="002A4A1B" w:rsidRDefault="00000000">
            <w:pPr>
              <w:spacing w:after="60" w:line="320" w:lineRule="auto"/>
              <w:jc w:val="both"/>
            </w:pPr>
            <w:r>
              <w:rPr>
                <w:sz w:val="21"/>
              </w:rPr>
              <w:t>Part II describes the physical system: three corridors, one buffer, one chart. It settles the four questions the wartime negotiations left open: where ships go, who performs which function, how the Strait reopens, and how the system certifies itself safe. The design takes the corridor geometry already agreed between Tehran and Muscat as its foundation and builds the operative layer the geometry still lacks.</w:t>
            </w:r>
          </w:p>
        </w:tc>
      </w:tr>
    </w:tbl>
    <w:p w14:paraId="3D79A1EB" w14:textId="77777777" w:rsidR="002A4A1B" w:rsidRDefault="002A4A1B">
      <w:pPr>
        <w:spacing w:after="160"/>
      </w:pPr>
    </w:p>
    <w:p w14:paraId="7E457854" w14:textId="77777777" w:rsidR="002A4A1B" w:rsidRDefault="00000000">
      <w:pPr>
        <w:pStyle w:val="Heading1"/>
      </w:pPr>
      <w:bookmarkStart w:id="34" w:name="_Toc236929573"/>
      <w:r>
        <w:lastRenderedPageBreak/>
        <w:t>Article 5: The Three-Corridor System</w:t>
      </w:r>
      <w:bookmarkEnd w:id="34"/>
    </w:p>
    <w:p w14:paraId="4A26250D" w14:textId="77777777" w:rsidR="002A4A1B" w:rsidRDefault="00000000">
      <w:pPr>
        <w:pStyle w:val="Heading2"/>
      </w:pPr>
      <w:bookmarkStart w:id="35" w:name="_Toc236929574"/>
      <w:r>
        <w:t>5.1 The Architecture</w:t>
      </w:r>
      <w:bookmarkEnd w:id="35"/>
    </w:p>
    <w:p w14:paraId="34684B59" w14:textId="77777777" w:rsidR="002A4A1B" w:rsidRDefault="00000000">
      <w:pPr>
        <w:spacing w:after="140"/>
        <w:jc w:val="both"/>
      </w:pPr>
      <w:r>
        <w:rPr>
          <w:b/>
          <w:color w:val="1F3A44"/>
        </w:rPr>
        <w:t xml:space="preserve">5.1.1   </w:t>
      </w:r>
      <w:r>
        <w:t>The Strait operates under a three-corridor system: the Payedar Corridor for inbound traffic, the Sobat Corridor for outbound traffic, and the Amn Buffer between them. Annex A publishes the geographical coordinates, the entry and exit points, and the chartlets for all three, and registers them with the International Maritime Organization and the International Hydrographic Organization.</w:t>
      </w:r>
    </w:p>
    <w:p w14:paraId="201F7731" w14:textId="77777777" w:rsidR="002A4A1B" w:rsidRDefault="00000000">
      <w:pPr>
        <w:spacing w:after="140"/>
        <w:jc w:val="both"/>
      </w:pPr>
      <w:r>
        <w:rPr>
          <w:b/>
          <w:color w:val="1F3A44"/>
        </w:rPr>
        <w:t xml:space="preserve">5.1.2   </w:t>
      </w:r>
      <w:r>
        <w:t>The Payedar Corridor carries all eastbound, Gulf-entering commercial traffic through Iranian waters. The Sobat Corridor carries all westbound, Gulf-exiting commercial traffic through Omani waters. The Amn Buffer carries no routine commercial traffic; it exists for emergency diversion, mine-risk avoidance, naval deconfliction, and search and rescue routing.</w:t>
      </w:r>
    </w:p>
    <w:p w14:paraId="722C4ED1" w14:textId="77777777" w:rsidR="002A4A1B" w:rsidRDefault="00000000">
      <w:pPr>
        <w:spacing w:after="140"/>
        <w:jc w:val="both"/>
      </w:pPr>
      <w:r>
        <w:rPr>
          <w:b/>
          <w:color w:val="1F3A44"/>
        </w:rPr>
        <w:t xml:space="preserve">5.1.3   </w:t>
      </w:r>
      <w:r>
        <w:t>The corridor system replaces the temporary wartime lanes and the degraded legacy traffic separation scheme. The corridors sit south of the mine-affected legacy lanes wherever the survey record of Annex B requires, and the system routes around residual risk rather than through it.</w:t>
      </w:r>
    </w:p>
    <w:p w14:paraId="28D894B9" w14:textId="77777777" w:rsidR="002A4A1B" w:rsidRDefault="00000000">
      <w:pPr>
        <w:spacing w:after="140"/>
        <w:jc w:val="both"/>
      </w:pPr>
      <w:r>
        <w:rPr>
          <w:b/>
          <w:color w:val="1F3A44"/>
        </w:rPr>
        <w:t xml:space="preserve">5.1.4   </w:t>
      </w:r>
      <w:r>
        <w:t>Each corridor carries a design width of two nautical miles for its traffic lane, with a one-nautical-mile inshore traffic zone where the geography allows, and the Amn Buffer carries a design width of not less than two nautical miles. Annex A states the precise geometry; the Authority adjusts geometry only through the multilateral procedure of Article 5.4.</w:t>
      </w:r>
    </w:p>
    <w:p w14:paraId="17CE4D29" w14:textId="77777777" w:rsidR="002A4A1B" w:rsidRDefault="00000000">
      <w:pPr>
        <w:pStyle w:val="Heading2"/>
      </w:pPr>
      <w:bookmarkStart w:id="36" w:name="_Toc236929575"/>
      <w:r>
        <w:t>5.2 Functional Administration</w:t>
      </w:r>
      <w:bookmarkEnd w:id="36"/>
    </w:p>
    <w:p w14:paraId="6072CA1A" w14:textId="77777777" w:rsidR="002A4A1B" w:rsidRDefault="00000000">
      <w:pPr>
        <w:spacing w:after="140"/>
        <w:jc w:val="both"/>
      </w:pPr>
      <w:r>
        <w:rPr>
          <w:b/>
          <w:color w:val="1F3A44"/>
        </w:rPr>
        <w:t xml:space="preserve">5.2.1   </w:t>
      </w:r>
      <w:r>
        <w:t>Iran performs the traffic management, navigation safety, and environmental monitoring functions of the Payedar Corridor. Oman performs the same functions of the Sobat Corridor. The Founding Parties jointly perform the functions of the Amn Buffer under the co-administration rules of Annex D.</w:t>
      </w:r>
    </w:p>
    <w:p w14:paraId="2EC027BB" w14:textId="77777777" w:rsidR="002A4A1B" w:rsidRDefault="00000000">
      <w:pPr>
        <w:spacing w:after="140"/>
        <w:jc w:val="both"/>
      </w:pPr>
      <w:r>
        <w:rPr>
          <w:b/>
          <w:color w:val="1F3A44"/>
        </w:rPr>
        <w:t xml:space="preserve">5.2.2   </w:t>
      </w:r>
      <w:r>
        <w:t>Functional administration is a service to the system. It carries the duty to keep the corridor safe, marked, monitored, and reported, and it carries no power to condition, delay, or deny transit passage, to levy any charge outside Annex E, or to alter any coordinate outside Article 5.4.</w:t>
      </w:r>
    </w:p>
    <w:p w14:paraId="1CC0F412" w14:textId="77777777" w:rsidR="002A4A1B" w:rsidRDefault="00000000">
      <w:pPr>
        <w:spacing w:after="140"/>
        <w:jc w:val="both"/>
      </w:pPr>
      <w:r>
        <w:rPr>
          <w:b/>
          <w:color w:val="1F3A44"/>
        </w:rPr>
        <w:t xml:space="preserve">5.2.3   </w:t>
      </w:r>
      <w:r>
        <w:t>Each administrator staffs a Corridor Desk inside the Muscat Fusion Center and a mirror desk inside the Bandar Abbas Mirror Facility. The desks operate on the same fused picture, the same software, and the same shift pattern, so that the system presents one face to the mariner at all times.</w:t>
      </w:r>
    </w:p>
    <w:p w14:paraId="316026CA" w14:textId="77777777" w:rsidR="002A4A1B" w:rsidRDefault="00000000">
      <w:pPr>
        <w:pStyle w:val="Heading2"/>
      </w:pPr>
      <w:bookmarkStart w:id="37" w:name="_Toc236929576"/>
      <w:r>
        <w:lastRenderedPageBreak/>
        <w:t>5.3 Aids to Navigation and Charting</w:t>
      </w:r>
      <w:bookmarkEnd w:id="37"/>
    </w:p>
    <w:p w14:paraId="50BCDB77" w14:textId="77777777" w:rsidR="002A4A1B" w:rsidRDefault="00000000">
      <w:pPr>
        <w:spacing w:after="140"/>
        <w:jc w:val="both"/>
      </w:pPr>
      <w:r>
        <w:rPr>
          <w:b/>
          <w:color w:val="1F3A44"/>
        </w:rPr>
        <w:t xml:space="preserve">5.3.1   </w:t>
      </w:r>
      <w:r>
        <w:t>The administrators maintain the buoyage, racons, and virtual AIS aids to navigation that Annex A schedules for each corridor. The Authority inspects every aid on a ninety-day cycle and publishes the inspection record.</w:t>
      </w:r>
    </w:p>
    <w:p w14:paraId="783C3407" w14:textId="77777777" w:rsidR="002A4A1B" w:rsidRDefault="00000000">
      <w:pPr>
        <w:spacing w:after="140"/>
        <w:jc w:val="both"/>
      </w:pPr>
      <w:r>
        <w:rPr>
          <w:b/>
          <w:color w:val="1F3A44"/>
        </w:rPr>
        <w:t xml:space="preserve">5.3.2   </w:t>
      </w:r>
      <w:r>
        <w:t>The Authority issues chart corrections through the International Hydrographic Organization channel within seventy-two hours of any coordinate change, and issues navigational warnings through the NAVAREA IX coordinator within twenty-four hours of any operational change.</w:t>
      </w:r>
    </w:p>
    <w:p w14:paraId="38A4DB8B" w14:textId="77777777" w:rsidR="002A4A1B" w:rsidRDefault="00000000">
      <w:pPr>
        <w:pStyle w:val="Heading2"/>
      </w:pPr>
      <w:bookmarkStart w:id="38" w:name="_Toc236929577"/>
      <w:r>
        <w:t>5.4 Changing the Geometry</w:t>
      </w:r>
      <w:bookmarkEnd w:id="38"/>
    </w:p>
    <w:p w14:paraId="278725A9" w14:textId="77777777" w:rsidR="002A4A1B" w:rsidRDefault="00000000">
      <w:pPr>
        <w:spacing w:after="140"/>
        <w:jc w:val="both"/>
      </w:pPr>
      <w:r>
        <w:rPr>
          <w:b/>
          <w:color w:val="1F3A44"/>
        </w:rPr>
        <w:t xml:space="preserve">5.4.1   </w:t>
      </w:r>
      <w:r>
        <w:t>No Party alters any corridor coordinate unilaterally. A geometry change activates only through a written proposal to the Council, a technical review by the IMO technical seat, a thirty-day notice to mariners, and a consensus decision of the Council recorded in the public register.</w:t>
      </w:r>
    </w:p>
    <w:p w14:paraId="06BC86C9" w14:textId="77777777" w:rsidR="002A4A1B" w:rsidRDefault="00000000">
      <w:pPr>
        <w:spacing w:after="140"/>
        <w:jc w:val="both"/>
      </w:pPr>
      <w:r>
        <w:rPr>
          <w:b/>
          <w:color w:val="1F3A44"/>
        </w:rPr>
        <w:t xml:space="preserve">5.4.2   </w:t>
      </w:r>
      <w:r>
        <w:t>An emergency temporary deviation, driven by a certified mine sighting or an equivalent hazard, activates under Annex D for not more than seventy-two hours and converts into a formal geometry change under Article 5.4.1 or lapses automatically at the seventy-second hour.</w:t>
      </w:r>
    </w:p>
    <w:p w14:paraId="098B7DF4" w14:textId="77777777" w:rsidR="002A4A1B" w:rsidRDefault="00000000">
      <w:pPr>
        <w:pStyle w:val="Heading1"/>
      </w:pPr>
      <w:bookmarkStart w:id="39" w:name="_Toc236929578"/>
      <w:r>
        <w:lastRenderedPageBreak/>
        <w:t>Article 6: Rights of Passage</w:t>
      </w:r>
      <w:bookmarkEnd w:id="39"/>
    </w:p>
    <w:p w14:paraId="476B9E35" w14:textId="77777777" w:rsidR="002A4A1B" w:rsidRDefault="00000000">
      <w:pPr>
        <w:pStyle w:val="Heading2"/>
      </w:pPr>
      <w:bookmarkStart w:id="40" w:name="_Toc236929579"/>
      <w:r>
        <w:t>6.1 Transit Passage</w:t>
      </w:r>
      <w:bookmarkEnd w:id="40"/>
    </w:p>
    <w:p w14:paraId="06A1234F" w14:textId="77777777" w:rsidR="002A4A1B" w:rsidRDefault="00000000">
      <w:pPr>
        <w:spacing w:after="140"/>
        <w:jc w:val="both"/>
      </w:pPr>
      <w:r>
        <w:rPr>
          <w:b/>
          <w:color w:val="1F3A44"/>
        </w:rPr>
        <w:t xml:space="preserve">6.1.1   </w:t>
      </w:r>
      <w:r>
        <w:t>All vessels of all flags enjoy continuous and expeditious transit passage through the Strait in accordance with international law. The framework architecture operates under an absolute non-suspension protocol: no organ, Party, or officer suspends, impedes, or conditions transit passage for any reason within the Framework's competence.</w:t>
      </w:r>
    </w:p>
    <w:p w14:paraId="6ED44F2F" w14:textId="77777777" w:rsidR="002A4A1B" w:rsidRDefault="00000000">
      <w:pPr>
        <w:spacing w:after="140"/>
        <w:jc w:val="both"/>
      </w:pPr>
      <w:r>
        <w:rPr>
          <w:b/>
          <w:color w:val="1F3A44"/>
        </w:rPr>
        <w:t xml:space="preserve">6.1.2   </w:t>
      </w:r>
      <w:r>
        <w:t>The architecture recognizes no permit regime for passage. Pre-transit coordination under the Shipping Liaison Protocol of Annex D is a safety and deconfliction service: a vessel files its passage plan, receives its corridor assignment and its data feed, and transits. The filing is a notification, never an application.</w:t>
      </w:r>
    </w:p>
    <w:p w14:paraId="61EEB4D5" w14:textId="77777777" w:rsidR="002A4A1B" w:rsidRDefault="00000000">
      <w:pPr>
        <w:spacing w:after="140"/>
        <w:jc w:val="both"/>
      </w:pPr>
      <w:r>
        <w:rPr>
          <w:b/>
          <w:color w:val="1F3A44"/>
        </w:rPr>
        <w:t xml:space="preserve">6.1.3   </w:t>
      </w:r>
      <w:r>
        <w:t>Military vessels of all states transit under the same legal regime, coordinated through the Deconfliction Cell of Annex D so that commercial traffic and naval movements never occupy the same water on different assumptions.</w:t>
      </w:r>
    </w:p>
    <w:p w14:paraId="1D9C4BD6" w14:textId="77777777" w:rsidR="002A4A1B" w:rsidRDefault="00000000">
      <w:pPr>
        <w:pStyle w:val="Heading2"/>
      </w:pPr>
      <w:bookmarkStart w:id="41" w:name="_Toc236929580"/>
      <w:r>
        <w:t>6.2 The Service Boundary</w:t>
      </w:r>
      <w:bookmarkEnd w:id="41"/>
    </w:p>
    <w:p w14:paraId="10161F45" w14:textId="77777777" w:rsidR="002A4A1B" w:rsidRDefault="00000000">
      <w:pPr>
        <w:spacing w:after="140"/>
        <w:jc w:val="both"/>
      </w:pPr>
      <w:r>
        <w:rPr>
          <w:b/>
          <w:color w:val="1F3A44"/>
        </w:rPr>
        <w:t xml:space="preserve">6.2.1   </w:t>
      </w:r>
      <w:r>
        <w:t>The architecture excludes sovereign tolls absolutely. No charge of any kind attaches to the act of passage. Charges attach only to the specific, costed, published services of Annex E, and every charge carries a published cost basis, a published audit trail, and a published waiver path.</w:t>
      </w:r>
    </w:p>
    <w:p w14:paraId="3BBA5B54" w14:textId="77777777" w:rsidR="002A4A1B" w:rsidRDefault="00000000">
      <w:pPr>
        <w:spacing w:after="140"/>
        <w:jc w:val="both"/>
      </w:pPr>
      <w:r>
        <w:rPr>
          <w:b/>
          <w:color w:val="1F3A44"/>
        </w:rPr>
        <w:t xml:space="preserve">6.2.2   </w:t>
      </w:r>
      <w:r>
        <w:t>A vessel that declines every optional service transits free of any charge. The system never conditions safety-of-life services, emergency response, or search and rescue on any payment, membership, or contribution.</w:t>
      </w:r>
    </w:p>
    <w:p w14:paraId="774E875E" w14:textId="77777777" w:rsidR="002A4A1B" w:rsidRDefault="00000000">
      <w:pPr>
        <w:pStyle w:val="Heading2"/>
      </w:pPr>
      <w:bookmarkStart w:id="42" w:name="_Toc236929581"/>
      <w:r>
        <w:t>6.3 Non-Discrimination</w:t>
      </w:r>
      <w:bookmarkEnd w:id="42"/>
    </w:p>
    <w:p w14:paraId="1AAC29E5" w14:textId="77777777" w:rsidR="002A4A1B" w:rsidRDefault="00000000">
      <w:pPr>
        <w:spacing w:after="140"/>
        <w:jc w:val="both"/>
      </w:pPr>
      <w:r>
        <w:rPr>
          <w:b/>
          <w:color w:val="1F3A44"/>
        </w:rPr>
        <w:t xml:space="preserve">6.3.1   </w:t>
      </w:r>
      <w:r>
        <w:t>The corridors, the services, and the charges apply identically to every flag, every ownership structure, and every cargo lawfully carried. The risk-class differentiation of Annex E differentiates on verified safety records alone, never on nationality, political alignment, or port-call history.</w:t>
      </w:r>
    </w:p>
    <w:p w14:paraId="59CFFCB3" w14:textId="77777777" w:rsidR="002A4A1B" w:rsidRDefault="00000000">
      <w:pPr>
        <w:spacing w:after="140"/>
        <w:jc w:val="both"/>
      </w:pPr>
      <w:r>
        <w:rPr>
          <w:b/>
          <w:color w:val="1F3A44"/>
        </w:rPr>
        <w:t xml:space="preserve">6.3.2   </w:t>
      </w:r>
      <w:r>
        <w:t>The protected humanitarian flows of Article 22 and Annex L enjoy priority routing and unconditional clearance at all times, and no provision of this Framework delays them for any administrative reason.</w:t>
      </w:r>
    </w:p>
    <w:p w14:paraId="1B1E35F2" w14:textId="77777777" w:rsidR="002A4A1B" w:rsidRDefault="00000000">
      <w:pPr>
        <w:pStyle w:val="Heading1"/>
      </w:pPr>
      <w:bookmarkStart w:id="43" w:name="_Toc236929582"/>
      <w:r>
        <w:lastRenderedPageBreak/>
        <w:t>Article 7: Functional Responsibilities and the Dual-Key Rule</w:t>
      </w:r>
      <w:bookmarkEnd w:id="43"/>
    </w:p>
    <w:p w14:paraId="7108535C" w14:textId="77777777" w:rsidR="002A4A1B" w:rsidRDefault="00000000">
      <w:pPr>
        <w:pStyle w:val="Heading2"/>
      </w:pPr>
      <w:bookmarkStart w:id="44" w:name="_Toc236929583"/>
      <w:r>
        <w:t>7.1 The Functional Map</w:t>
      </w:r>
      <w:bookmarkEnd w:id="44"/>
    </w:p>
    <w:p w14:paraId="6772F771" w14:textId="77777777" w:rsidR="002A4A1B" w:rsidRDefault="00000000">
      <w:pPr>
        <w:spacing w:after="140"/>
        <w:jc w:val="both"/>
      </w:pPr>
      <w:r>
        <w:rPr>
          <w:b/>
          <w:color w:val="1F3A44"/>
        </w:rPr>
        <w:t xml:space="preserve">7.1.1   </w:t>
      </w:r>
      <w:r>
        <w:t>The Framework allocates every governance function by the functional map of Annex D. The map answers, for each function, four questions: who performs it, who observes it, who verifies it, and whose key turns it. Sovereignty never answers any of the four.</w:t>
      </w:r>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310"/>
        <w:gridCol w:w="2310"/>
        <w:gridCol w:w="2314"/>
        <w:gridCol w:w="2292"/>
      </w:tblGrid>
      <w:tr w:rsidR="002A4A1B" w14:paraId="01D5B05C" w14:textId="77777777">
        <w:tblPrEx>
          <w:tblCellMar>
            <w:top w:w="0" w:type="dxa"/>
            <w:bottom w:w="0" w:type="dxa"/>
          </w:tblCellMar>
        </w:tblPrEx>
        <w:trPr>
          <w:tblHeader/>
        </w:trPr>
        <w:tc>
          <w:tcPr>
            <w:tcW w:w="2400" w:type="dxa"/>
            <w:tcBorders>
              <w:bottom w:val="single" w:sz="6" w:space="0" w:color="2F5560"/>
            </w:tcBorders>
            <w:shd w:val="clear" w:color="auto" w:fill="E7EEF0"/>
            <w:tcMar>
              <w:top w:w="60" w:type="dxa"/>
              <w:left w:w="100" w:type="dxa"/>
              <w:bottom w:w="60" w:type="dxa"/>
              <w:right w:w="100" w:type="dxa"/>
            </w:tcMar>
          </w:tcPr>
          <w:p w14:paraId="408B902E" w14:textId="77777777" w:rsidR="002A4A1B" w:rsidRDefault="00000000">
            <w:pPr>
              <w:spacing w:after="0" w:line="300" w:lineRule="auto"/>
            </w:pPr>
            <w:r>
              <w:rPr>
                <w:b/>
                <w:color w:val="1F3A44"/>
                <w:sz w:val="20"/>
              </w:rPr>
              <w:t>Function</w:t>
            </w:r>
          </w:p>
        </w:tc>
        <w:tc>
          <w:tcPr>
            <w:tcW w:w="2400" w:type="dxa"/>
            <w:tcBorders>
              <w:bottom w:val="single" w:sz="6" w:space="0" w:color="2F5560"/>
            </w:tcBorders>
            <w:shd w:val="clear" w:color="auto" w:fill="E7EEF0"/>
            <w:tcMar>
              <w:top w:w="60" w:type="dxa"/>
              <w:left w:w="100" w:type="dxa"/>
              <w:bottom w:w="60" w:type="dxa"/>
              <w:right w:w="100" w:type="dxa"/>
            </w:tcMar>
          </w:tcPr>
          <w:p w14:paraId="4526FE4A" w14:textId="77777777" w:rsidR="002A4A1B" w:rsidRDefault="00000000">
            <w:pPr>
              <w:spacing w:after="0" w:line="300" w:lineRule="auto"/>
            </w:pPr>
            <w:r>
              <w:rPr>
                <w:b/>
                <w:color w:val="1F3A44"/>
                <w:sz w:val="20"/>
              </w:rPr>
              <w:t>Performed by</w:t>
            </w:r>
          </w:p>
        </w:tc>
        <w:tc>
          <w:tcPr>
            <w:tcW w:w="2400" w:type="dxa"/>
            <w:tcBorders>
              <w:bottom w:val="single" w:sz="6" w:space="0" w:color="2F5560"/>
            </w:tcBorders>
            <w:shd w:val="clear" w:color="auto" w:fill="E7EEF0"/>
            <w:tcMar>
              <w:top w:w="60" w:type="dxa"/>
              <w:left w:w="100" w:type="dxa"/>
              <w:bottom w:w="60" w:type="dxa"/>
              <w:right w:w="100" w:type="dxa"/>
            </w:tcMar>
          </w:tcPr>
          <w:p w14:paraId="03F644F6" w14:textId="77777777" w:rsidR="002A4A1B" w:rsidRDefault="00000000">
            <w:pPr>
              <w:spacing w:after="0" w:line="300" w:lineRule="auto"/>
            </w:pPr>
            <w:r>
              <w:rPr>
                <w:b/>
                <w:color w:val="1F3A44"/>
                <w:sz w:val="20"/>
              </w:rPr>
              <w:t>Observed by</w:t>
            </w:r>
          </w:p>
        </w:tc>
        <w:tc>
          <w:tcPr>
            <w:tcW w:w="2400" w:type="dxa"/>
            <w:tcBorders>
              <w:bottom w:val="single" w:sz="6" w:space="0" w:color="2F5560"/>
            </w:tcBorders>
            <w:shd w:val="clear" w:color="auto" w:fill="E7EEF0"/>
            <w:tcMar>
              <w:top w:w="60" w:type="dxa"/>
              <w:left w:w="100" w:type="dxa"/>
              <w:bottom w:w="60" w:type="dxa"/>
              <w:right w:w="100" w:type="dxa"/>
            </w:tcMar>
          </w:tcPr>
          <w:p w14:paraId="19C0504F" w14:textId="77777777" w:rsidR="002A4A1B" w:rsidRDefault="00000000">
            <w:pPr>
              <w:spacing w:after="0" w:line="300" w:lineRule="auto"/>
            </w:pPr>
            <w:r>
              <w:rPr>
                <w:b/>
                <w:color w:val="1F3A44"/>
                <w:sz w:val="20"/>
              </w:rPr>
              <w:t>Key rule</w:t>
            </w:r>
          </w:p>
        </w:tc>
      </w:tr>
      <w:tr w:rsidR="002A4A1B" w14:paraId="19991568" w14:textId="77777777">
        <w:tblPrEx>
          <w:tblCellMar>
            <w:top w:w="0" w:type="dxa"/>
            <w:bottom w:w="0" w:type="dxa"/>
          </w:tblCellMar>
        </w:tblPrEx>
        <w:tc>
          <w:tcPr>
            <w:tcW w:w="2400" w:type="dxa"/>
            <w:tcMar>
              <w:top w:w="60" w:type="dxa"/>
              <w:left w:w="100" w:type="dxa"/>
              <w:bottom w:w="60" w:type="dxa"/>
              <w:right w:w="100" w:type="dxa"/>
            </w:tcMar>
          </w:tcPr>
          <w:p w14:paraId="7DDB5BBC" w14:textId="77777777" w:rsidR="002A4A1B" w:rsidRDefault="00000000">
            <w:pPr>
              <w:spacing w:after="0" w:line="300" w:lineRule="auto"/>
            </w:pPr>
            <w:r>
              <w:rPr>
                <w:sz w:val="20"/>
              </w:rPr>
              <w:t>Payedar traffic management</w:t>
            </w:r>
          </w:p>
        </w:tc>
        <w:tc>
          <w:tcPr>
            <w:tcW w:w="2400" w:type="dxa"/>
            <w:tcMar>
              <w:top w:w="60" w:type="dxa"/>
              <w:left w:w="100" w:type="dxa"/>
              <w:bottom w:w="60" w:type="dxa"/>
              <w:right w:w="100" w:type="dxa"/>
            </w:tcMar>
          </w:tcPr>
          <w:p w14:paraId="635B42D8" w14:textId="77777777" w:rsidR="002A4A1B" w:rsidRDefault="00000000">
            <w:pPr>
              <w:spacing w:after="0" w:line="300" w:lineRule="auto"/>
            </w:pPr>
            <w:r>
              <w:rPr>
                <w:sz w:val="20"/>
              </w:rPr>
              <w:t>Iran Corridor Desk</w:t>
            </w:r>
          </w:p>
        </w:tc>
        <w:tc>
          <w:tcPr>
            <w:tcW w:w="2400" w:type="dxa"/>
            <w:tcMar>
              <w:top w:w="60" w:type="dxa"/>
              <w:left w:w="100" w:type="dxa"/>
              <w:bottom w:w="60" w:type="dxa"/>
              <w:right w:w="100" w:type="dxa"/>
            </w:tcMar>
          </w:tcPr>
          <w:p w14:paraId="3F203980" w14:textId="77777777" w:rsidR="002A4A1B" w:rsidRDefault="00000000">
            <w:pPr>
              <w:spacing w:after="0" w:line="300" w:lineRule="auto"/>
            </w:pPr>
            <w:r>
              <w:rPr>
                <w:sz w:val="20"/>
              </w:rPr>
              <w:t>Oman, observers</w:t>
            </w:r>
          </w:p>
        </w:tc>
        <w:tc>
          <w:tcPr>
            <w:tcW w:w="2400" w:type="dxa"/>
            <w:tcMar>
              <w:top w:w="60" w:type="dxa"/>
              <w:left w:w="100" w:type="dxa"/>
              <w:bottom w:w="60" w:type="dxa"/>
              <w:right w:w="100" w:type="dxa"/>
            </w:tcMar>
          </w:tcPr>
          <w:p w14:paraId="524AC5F4" w14:textId="77777777" w:rsidR="002A4A1B" w:rsidRDefault="00000000">
            <w:pPr>
              <w:spacing w:after="0" w:line="300" w:lineRule="auto"/>
            </w:pPr>
            <w:r>
              <w:rPr>
                <w:sz w:val="20"/>
              </w:rPr>
              <w:t>Single desk, dual-audited</w:t>
            </w:r>
          </w:p>
        </w:tc>
      </w:tr>
      <w:tr w:rsidR="002A4A1B" w14:paraId="6B81473E" w14:textId="77777777">
        <w:tblPrEx>
          <w:tblCellMar>
            <w:top w:w="0" w:type="dxa"/>
            <w:bottom w:w="0" w:type="dxa"/>
          </w:tblCellMar>
        </w:tblPrEx>
        <w:tc>
          <w:tcPr>
            <w:tcW w:w="2400" w:type="dxa"/>
            <w:tcMar>
              <w:top w:w="60" w:type="dxa"/>
              <w:left w:w="100" w:type="dxa"/>
              <w:bottom w:w="60" w:type="dxa"/>
              <w:right w:w="100" w:type="dxa"/>
            </w:tcMar>
          </w:tcPr>
          <w:p w14:paraId="20D7029C" w14:textId="77777777" w:rsidR="002A4A1B" w:rsidRDefault="00000000">
            <w:pPr>
              <w:spacing w:after="0" w:line="300" w:lineRule="auto"/>
            </w:pPr>
            <w:r>
              <w:rPr>
                <w:sz w:val="20"/>
              </w:rPr>
              <w:t>Sobat traffic management</w:t>
            </w:r>
          </w:p>
        </w:tc>
        <w:tc>
          <w:tcPr>
            <w:tcW w:w="2400" w:type="dxa"/>
            <w:tcMar>
              <w:top w:w="60" w:type="dxa"/>
              <w:left w:w="100" w:type="dxa"/>
              <w:bottom w:w="60" w:type="dxa"/>
              <w:right w:w="100" w:type="dxa"/>
            </w:tcMar>
          </w:tcPr>
          <w:p w14:paraId="738BED9D" w14:textId="77777777" w:rsidR="002A4A1B" w:rsidRDefault="00000000">
            <w:pPr>
              <w:spacing w:after="0" w:line="300" w:lineRule="auto"/>
            </w:pPr>
            <w:r>
              <w:rPr>
                <w:sz w:val="20"/>
              </w:rPr>
              <w:t>Oman Corridor Desk</w:t>
            </w:r>
          </w:p>
        </w:tc>
        <w:tc>
          <w:tcPr>
            <w:tcW w:w="2400" w:type="dxa"/>
            <w:tcMar>
              <w:top w:w="60" w:type="dxa"/>
              <w:left w:w="100" w:type="dxa"/>
              <w:bottom w:w="60" w:type="dxa"/>
              <w:right w:w="100" w:type="dxa"/>
            </w:tcMar>
          </w:tcPr>
          <w:p w14:paraId="5A27A329" w14:textId="77777777" w:rsidR="002A4A1B" w:rsidRDefault="00000000">
            <w:pPr>
              <w:spacing w:after="0" w:line="300" w:lineRule="auto"/>
            </w:pPr>
            <w:r>
              <w:rPr>
                <w:sz w:val="20"/>
              </w:rPr>
              <w:t>Iran, observers</w:t>
            </w:r>
          </w:p>
        </w:tc>
        <w:tc>
          <w:tcPr>
            <w:tcW w:w="2400" w:type="dxa"/>
            <w:tcMar>
              <w:top w:w="60" w:type="dxa"/>
              <w:left w:w="100" w:type="dxa"/>
              <w:bottom w:w="60" w:type="dxa"/>
              <w:right w:w="100" w:type="dxa"/>
            </w:tcMar>
          </w:tcPr>
          <w:p w14:paraId="3DAB30F0" w14:textId="77777777" w:rsidR="002A4A1B" w:rsidRDefault="00000000">
            <w:pPr>
              <w:spacing w:after="0" w:line="300" w:lineRule="auto"/>
            </w:pPr>
            <w:r>
              <w:rPr>
                <w:sz w:val="20"/>
              </w:rPr>
              <w:t>Single desk, dual-audited</w:t>
            </w:r>
          </w:p>
        </w:tc>
      </w:tr>
      <w:tr w:rsidR="002A4A1B" w14:paraId="45FC4DEC" w14:textId="77777777">
        <w:tblPrEx>
          <w:tblCellMar>
            <w:top w:w="0" w:type="dxa"/>
            <w:bottom w:w="0" w:type="dxa"/>
          </w:tblCellMar>
        </w:tblPrEx>
        <w:tc>
          <w:tcPr>
            <w:tcW w:w="2400" w:type="dxa"/>
            <w:tcMar>
              <w:top w:w="60" w:type="dxa"/>
              <w:left w:w="100" w:type="dxa"/>
              <w:bottom w:w="60" w:type="dxa"/>
              <w:right w:w="100" w:type="dxa"/>
            </w:tcMar>
          </w:tcPr>
          <w:p w14:paraId="5997107B" w14:textId="77777777" w:rsidR="002A4A1B" w:rsidRDefault="00000000">
            <w:pPr>
              <w:spacing w:after="0" w:line="300" w:lineRule="auto"/>
            </w:pPr>
            <w:r>
              <w:rPr>
                <w:sz w:val="20"/>
              </w:rPr>
              <w:t>Amn Buffer activation</w:t>
            </w:r>
          </w:p>
        </w:tc>
        <w:tc>
          <w:tcPr>
            <w:tcW w:w="2400" w:type="dxa"/>
            <w:tcMar>
              <w:top w:w="60" w:type="dxa"/>
              <w:left w:w="100" w:type="dxa"/>
              <w:bottom w:w="60" w:type="dxa"/>
              <w:right w:w="100" w:type="dxa"/>
            </w:tcMar>
          </w:tcPr>
          <w:p w14:paraId="13601B5F" w14:textId="77777777" w:rsidR="002A4A1B" w:rsidRDefault="00000000">
            <w:pPr>
              <w:spacing w:after="0" w:line="300" w:lineRule="auto"/>
            </w:pPr>
            <w:r>
              <w:rPr>
                <w:sz w:val="20"/>
              </w:rPr>
              <w:t>Joint Desk</w:t>
            </w:r>
          </w:p>
        </w:tc>
        <w:tc>
          <w:tcPr>
            <w:tcW w:w="2400" w:type="dxa"/>
            <w:tcMar>
              <w:top w:w="60" w:type="dxa"/>
              <w:left w:w="100" w:type="dxa"/>
              <w:bottom w:w="60" w:type="dxa"/>
              <w:right w:w="100" w:type="dxa"/>
            </w:tcMar>
          </w:tcPr>
          <w:p w14:paraId="6906D96F" w14:textId="77777777" w:rsidR="002A4A1B" w:rsidRDefault="00000000">
            <w:pPr>
              <w:spacing w:after="0" w:line="300" w:lineRule="auto"/>
            </w:pPr>
            <w:r>
              <w:rPr>
                <w:sz w:val="20"/>
              </w:rPr>
              <w:t>All observers</w:t>
            </w:r>
          </w:p>
        </w:tc>
        <w:tc>
          <w:tcPr>
            <w:tcW w:w="2400" w:type="dxa"/>
            <w:tcMar>
              <w:top w:w="60" w:type="dxa"/>
              <w:left w:w="100" w:type="dxa"/>
              <w:bottom w:w="60" w:type="dxa"/>
              <w:right w:w="100" w:type="dxa"/>
            </w:tcMar>
          </w:tcPr>
          <w:p w14:paraId="46D073EE" w14:textId="77777777" w:rsidR="002A4A1B" w:rsidRDefault="00000000">
            <w:pPr>
              <w:spacing w:after="0" w:line="300" w:lineRule="auto"/>
            </w:pPr>
            <w:r>
              <w:rPr>
                <w:sz w:val="20"/>
              </w:rPr>
              <w:t>Dual-key</w:t>
            </w:r>
          </w:p>
        </w:tc>
      </w:tr>
      <w:tr w:rsidR="002A4A1B" w14:paraId="108B5D2B" w14:textId="77777777">
        <w:tblPrEx>
          <w:tblCellMar>
            <w:top w:w="0" w:type="dxa"/>
            <w:bottom w:w="0" w:type="dxa"/>
          </w:tblCellMar>
        </w:tblPrEx>
        <w:tc>
          <w:tcPr>
            <w:tcW w:w="2400" w:type="dxa"/>
            <w:tcMar>
              <w:top w:w="60" w:type="dxa"/>
              <w:left w:w="100" w:type="dxa"/>
              <w:bottom w:w="60" w:type="dxa"/>
              <w:right w:w="100" w:type="dxa"/>
            </w:tcMar>
          </w:tcPr>
          <w:p w14:paraId="7B46361D" w14:textId="77777777" w:rsidR="002A4A1B" w:rsidRDefault="00000000">
            <w:pPr>
              <w:spacing w:after="0" w:line="300" w:lineRule="auto"/>
            </w:pPr>
            <w:r>
              <w:rPr>
                <w:sz w:val="20"/>
              </w:rPr>
              <w:t>Inbound incident response</w:t>
            </w:r>
          </w:p>
        </w:tc>
        <w:tc>
          <w:tcPr>
            <w:tcW w:w="2400" w:type="dxa"/>
            <w:tcMar>
              <w:top w:w="60" w:type="dxa"/>
              <w:left w:w="100" w:type="dxa"/>
              <w:bottom w:w="60" w:type="dxa"/>
              <w:right w:w="100" w:type="dxa"/>
            </w:tcMar>
          </w:tcPr>
          <w:p w14:paraId="4F96FF81" w14:textId="77777777" w:rsidR="002A4A1B" w:rsidRDefault="00000000">
            <w:pPr>
              <w:spacing w:after="0" w:line="300" w:lineRule="auto"/>
            </w:pPr>
            <w:r>
              <w:rPr>
                <w:sz w:val="20"/>
              </w:rPr>
              <w:t>Iran lead</w:t>
            </w:r>
          </w:p>
        </w:tc>
        <w:tc>
          <w:tcPr>
            <w:tcW w:w="2400" w:type="dxa"/>
            <w:tcMar>
              <w:top w:w="60" w:type="dxa"/>
              <w:left w:w="100" w:type="dxa"/>
              <w:bottom w:w="60" w:type="dxa"/>
              <w:right w:w="100" w:type="dxa"/>
            </w:tcMar>
          </w:tcPr>
          <w:p w14:paraId="6ED4D333" w14:textId="77777777" w:rsidR="002A4A1B" w:rsidRDefault="00000000">
            <w:pPr>
              <w:spacing w:after="0" w:line="300" w:lineRule="auto"/>
            </w:pPr>
            <w:r>
              <w:rPr>
                <w:sz w:val="20"/>
              </w:rPr>
              <w:t>Oman co-key, observers</w:t>
            </w:r>
          </w:p>
        </w:tc>
        <w:tc>
          <w:tcPr>
            <w:tcW w:w="2400" w:type="dxa"/>
            <w:tcMar>
              <w:top w:w="60" w:type="dxa"/>
              <w:left w:w="100" w:type="dxa"/>
              <w:bottom w:w="60" w:type="dxa"/>
              <w:right w:w="100" w:type="dxa"/>
            </w:tcMar>
          </w:tcPr>
          <w:p w14:paraId="75B73579" w14:textId="77777777" w:rsidR="002A4A1B" w:rsidRDefault="00000000">
            <w:pPr>
              <w:spacing w:after="0" w:line="300" w:lineRule="auto"/>
            </w:pPr>
            <w:r>
              <w:rPr>
                <w:sz w:val="20"/>
              </w:rPr>
              <w:t>Dual-key</w:t>
            </w:r>
          </w:p>
        </w:tc>
      </w:tr>
      <w:tr w:rsidR="002A4A1B" w14:paraId="40C2CCD1" w14:textId="77777777">
        <w:tblPrEx>
          <w:tblCellMar>
            <w:top w:w="0" w:type="dxa"/>
            <w:bottom w:w="0" w:type="dxa"/>
          </w:tblCellMar>
        </w:tblPrEx>
        <w:tc>
          <w:tcPr>
            <w:tcW w:w="2400" w:type="dxa"/>
            <w:tcMar>
              <w:top w:w="60" w:type="dxa"/>
              <w:left w:w="100" w:type="dxa"/>
              <w:bottom w:w="60" w:type="dxa"/>
              <w:right w:w="100" w:type="dxa"/>
            </w:tcMar>
          </w:tcPr>
          <w:p w14:paraId="4D81F7FD" w14:textId="77777777" w:rsidR="002A4A1B" w:rsidRDefault="00000000">
            <w:pPr>
              <w:spacing w:after="0" w:line="300" w:lineRule="auto"/>
            </w:pPr>
            <w:r>
              <w:rPr>
                <w:sz w:val="20"/>
              </w:rPr>
              <w:t>Outbound incident response</w:t>
            </w:r>
          </w:p>
        </w:tc>
        <w:tc>
          <w:tcPr>
            <w:tcW w:w="2400" w:type="dxa"/>
            <w:tcMar>
              <w:top w:w="60" w:type="dxa"/>
              <w:left w:w="100" w:type="dxa"/>
              <w:bottom w:w="60" w:type="dxa"/>
              <w:right w:w="100" w:type="dxa"/>
            </w:tcMar>
          </w:tcPr>
          <w:p w14:paraId="0E1375B0" w14:textId="77777777" w:rsidR="002A4A1B" w:rsidRDefault="00000000">
            <w:pPr>
              <w:spacing w:after="0" w:line="300" w:lineRule="auto"/>
            </w:pPr>
            <w:r>
              <w:rPr>
                <w:sz w:val="20"/>
              </w:rPr>
              <w:t>Oman lead</w:t>
            </w:r>
          </w:p>
        </w:tc>
        <w:tc>
          <w:tcPr>
            <w:tcW w:w="2400" w:type="dxa"/>
            <w:tcMar>
              <w:top w:w="60" w:type="dxa"/>
              <w:left w:w="100" w:type="dxa"/>
              <w:bottom w:w="60" w:type="dxa"/>
              <w:right w:w="100" w:type="dxa"/>
            </w:tcMar>
          </w:tcPr>
          <w:p w14:paraId="1B968D13" w14:textId="77777777" w:rsidR="002A4A1B" w:rsidRDefault="00000000">
            <w:pPr>
              <w:spacing w:after="0" w:line="300" w:lineRule="auto"/>
            </w:pPr>
            <w:r>
              <w:rPr>
                <w:sz w:val="20"/>
              </w:rPr>
              <w:t>GCC observer co-key</w:t>
            </w:r>
          </w:p>
        </w:tc>
        <w:tc>
          <w:tcPr>
            <w:tcW w:w="2400" w:type="dxa"/>
            <w:tcMar>
              <w:top w:w="60" w:type="dxa"/>
              <w:left w:w="100" w:type="dxa"/>
              <w:bottom w:w="60" w:type="dxa"/>
              <w:right w:w="100" w:type="dxa"/>
            </w:tcMar>
          </w:tcPr>
          <w:p w14:paraId="79AEC4DA" w14:textId="77777777" w:rsidR="002A4A1B" w:rsidRDefault="00000000">
            <w:pPr>
              <w:spacing w:after="0" w:line="300" w:lineRule="auto"/>
            </w:pPr>
            <w:r>
              <w:rPr>
                <w:sz w:val="20"/>
              </w:rPr>
              <w:t>Dual-key</w:t>
            </w:r>
          </w:p>
        </w:tc>
      </w:tr>
      <w:tr w:rsidR="002A4A1B" w14:paraId="0EB7B502" w14:textId="77777777">
        <w:tblPrEx>
          <w:tblCellMar>
            <w:top w:w="0" w:type="dxa"/>
            <w:bottom w:w="0" w:type="dxa"/>
          </w:tblCellMar>
        </w:tblPrEx>
        <w:tc>
          <w:tcPr>
            <w:tcW w:w="2400" w:type="dxa"/>
            <w:tcMar>
              <w:top w:w="60" w:type="dxa"/>
              <w:left w:w="100" w:type="dxa"/>
              <w:bottom w:w="60" w:type="dxa"/>
              <w:right w:w="100" w:type="dxa"/>
            </w:tcMar>
          </w:tcPr>
          <w:p w14:paraId="0C383DE1" w14:textId="77777777" w:rsidR="002A4A1B" w:rsidRDefault="00000000">
            <w:pPr>
              <w:spacing w:after="0" w:line="300" w:lineRule="auto"/>
            </w:pPr>
            <w:r>
              <w:rPr>
                <w:sz w:val="20"/>
              </w:rPr>
              <w:t>Mine-risk operations</w:t>
            </w:r>
          </w:p>
        </w:tc>
        <w:tc>
          <w:tcPr>
            <w:tcW w:w="2400" w:type="dxa"/>
            <w:tcMar>
              <w:top w:w="60" w:type="dxa"/>
              <w:left w:w="100" w:type="dxa"/>
              <w:bottom w:w="60" w:type="dxa"/>
              <w:right w:w="100" w:type="dxa"/>
            </w:tcMar>
          </w:tcPr>
          <w:p w14:paraId="64AA8CF2" w14:textId="77777777" w:rsidR="002A4A1B" w:rsidRDefault="00000000">
            <w:pPr>
              <w:spacing w:after="0" w:line="300" w:lineRule="auto"/>
            </w:pPr>
            <w:r>
              <w:rPr>
                <w:sz w:val="20"/>
              </w:rPr>
              <w:t>MCM Group</w:t>
            </w:r>
          </w:p>
        </w:tc>
        <w:tc>
          <w:tcPr>
            <w:tcW w:w="2400" w:type="dxa"/>
            <w:tcMar>
              <w:top w:w="60" w:type="dxa"/>
              <w:left w:w="100" w:type="dxa"/>
              <w:bottom w:w="60" w:type="dxa"/>
              <w:right w:w="100" w:type="dxa"/>
            </w:tcMar>
          </w:tcPr>
          <w:p w14:paraId="7DEE0032" w14:textId="77777777" w:rsidR="002A4A1B" w:rsidRDefault="00000000">
            <w:pPr>
              <w:spacing w:after="0" w:line="300" w:lineRule="auto"/>
            </w:pPr>
            <w:r>
              <w:rPr>
                <w:sz w:val="20"/>
              </w:rPr>
              <w:t>Iran, Oman, neutral observer</w:t>
            </w:r>
          </w:p>
        </w:tc>
        <w:tc>
          <w:tcPr>
            <w:tcW w:w="2400" w:type="dxa"/>
            <w:tcMar>
              <w:top w:w="60" w:type="dxa"/>
              <w:left w:w="100" w:type="dxa"/>
              <w:bottom w:w="60" w:type="dxa"/>
              <w:right w:w="100" w:type="dxa"/>
            </w:tcMar>
          </w:tcPr>
          <w:p w14:paraId="2E8A67AA" w14:textId="77777777" w:rsidR="002A4A1B" w:rsidRDefault="00000000">
            <w:pPr>
              <w:spacing w:after="0" w:line="300" w:lineRule="auto"/>
            </w:pPr>
            <w:r>
              <w:rPr>
                <w:sz w:val="20"/>
              </w:rPr>
              <w:t>Triple-key</w:t>
            </w:r>
          </w:p>
        </w:tc>
      </w:tr>
      <w:tr w:rsidR="002A4A1B" w14:paraId="1F4C50A1" w14:textId="77777777">
        <w:tblPrEx>
          <w:tblCellMar>
            <w:top w:w="0" w:type="dxa"/>
            <w:bottom w:w="0" w:type="dxa"/>
          </w:tblCellMar>
        </w:tblPrEx>
        <w:tc>
          <w:tcPr>
            <w:tcW w:w="2400" w:type="dxa"/>
            <w:tcMar>
              <w:top w:w="60" w:type="dxa"/>
              <w:left w:w="100" w:type="dxa"/>
              <w:bottom w:w="60" w:type="dxa"/>
              <w:right w:w="100" w:type="dxa"/>
            </w:tcMar>
          </w:tcPr>
          <w:p w14:paraId="38A7D5CF" w14:textId="77777777" w:rsidR="002A4A1B" w:rsidRDefault="00000000">
            <w:pPr>
              <w:spacing w:after="0" w:line="300" w:lineRule="auto"/>
            </w:pPr>
            <w:r>
              <w:rPr>
                <w:sz w:val="20"/>
              </w:rPr>
              <w:t>Military deconfliction</w:t>
            </w:r>
          </w:p>
        </w:tc>
        <w:tc>
          <w:tcPr>
            <w:tcW w:w="2400" w:type="dxa"/>
            <w:tcMar>
              <w:top w:w="60" w:type="dxa"/>
              <w:left w:w="100" w:type="dxa"/>
              <w:bottom w:w="60" w:type="dxa"/>
              <w:right w:w="100" w:type="dxa"/>
            </w:tcMar>
          </w:tcPr>
          <w:p w14:paraId="19C23600" w14:textId="77777777" w:rsidR="002A4A1B" w:rsidRDefault="00000000">
            <w:pPr>
              <w:spacing w:after="0" w:line="300" w:lineRule="auto"/>
            </w:pPr>
            <w:r>
              <w:rPr>
                <w:sz w:val="20"/>
              </w:rPr>
              <w:t>Deconfliction Cell</w:t>
            </w:r>
          </w:p>
        </w:tc>
        <w:tc>
          <w:tcPr>
            <w:tcW w:w="2400" w:type="dxa"/>
            <w:tcMar>
              <w:top w:w="60" w:type="dxa"/>
              <w:left w:w="100" w:type="dxa"/>
              <w:bottom w:w="60" w:type="dxa"/>
              <w:right w:w="100" w:type="dxa"/>
            </w:tcMar>
          </w:tcPr>
          <w:p w14:paraId="4A9E62A2" w14:textId="77777777" w:rsidR="002A4A1B" w:rsidRDefault="00000000">
            <w:pPr>
              <w:spacing w:after="0" w:line="300" w:lineRule="auto"/>
            </w:pPr>
            <w:r>
              <w:rPr>
                <w:sz w:val="20"/>
              </w:rPr>
              <w:t>Naval Liaison Officers</w:t>
            </w:r>
          </w:p>
        </w:tc>
        <w:tc>
          <w:tcPr>
            <w:tcW w:w="2400" w:type="dxa"/>
            <w:tcMar>
              <w:top w:w="60" w:type="dxa"/>
              <w:left w:w="100" w:type="dxa"/>
              <w:bottom w:w="60" w:type="dxa"/>
              <w:right w:w="100" w:type="dxa"/>
            </w:tcMar>
          </w:tcPr>
          <w:p w14:paraId="393AC961" w14:textId="77777777" w:rsidR="002A4A1B" w:rsidRDefault="00000000">
            <w:pPr>
              <w:spacing w:after="0" w:line="300" w:lineRule="auto"/>
            </w:pPr>
            <w:r>
              <w:rPr>
                <w:sz w:val="20"/>
              </w:rPr>
              <w:t>Triple-key</w:t>
            </w:r>
          </w:p>
        </w:tc>
      </w:tr>
      <w:tr w:rsidR="002A4A1B" w14:paraId="401731CE" w14:textId="77777777">
        <w:tblPrEx>
          <w:tblCellMar>
            <w:top w:w="0" w:type="dxa"/>
            <w:bottom w:w="0" w:type="dxa"/>
          </w:tblCellMar>
        </w:tblPrEx>
        <w:tc>
          <w:tcPr>
            <w:tcW w:w="2400" w:type="dxa"/>
            <w:tcMar>
              <w:top w:w="60" w:type="dxa"/>
              <w:left w:w="100" w:type="dxa"/>
              <w:bottom w:w="60" w:type="dxa"/>
              <w:right w:w="100" w:type="dxa"/>
            </w:tcMar>
          </w:tcPr>
          <w:p w14:paraId="4DBDE16A" w14:textId="77777777" w:rsidR="002A4A1B" w:rsidRDefault="00000000">
            <w:pPr>
              <w:spacing w:after="0" w:line="300" w:lineRule="auto"/>
            </w:pPr>
            <w:r>
              <w:rPr>
                <w:sz w:val="20"/>
              </w:rPr>
              <w:t>Charge collection</w:t>
            </w:r>
          </w:p>
        </w:tc>
        <w:tc>
          <w:tcPr>
            <w:tcW w:w="2400" w:type="dxa"/>
            <w:tcMar>
              <w:top w:w="60" w:type="dxa"/>
              <w:left w:w="100" w:type="dxa"/>
              <w:bottom w:w="60" w:type="dxa"/>
              <w:right w:w="100" w:type="dxa"/>
            </w:tcMar>
          </w:tcPr>
          <w:p w14:paraId="087D90CE" w14:textId="77777777" w:rsidR="002A4A1B" w:rsidRDefault="00000000">
            <w:pPr>
              <w:spacing w:after="0" w:line="300" w:lineRule="auto"/>
            </w:pPr>
            <w:r>
              <w:rPr>
                <w:sz w:val="20"/>
              </w:rPr>
              <w:t>Stewardship Fund</w:t>
            </w:r>
          </w:p>
        </w:tc>
        <w:tc>
          <w:tcPr>
            <w:tcW w:w="2400" w:type="dxa"/>
            <w:tcMar>
              <w:top w:w="60" w:type="dxa"/>
              <w:left w:w="100" w:type="dxa"/>
              <w:bottom w:w="60" w:type="dxa"/>
              <w:right w:w="100" w:type="dxa"/>
            </w:tcMar>
          </w:tcPr>
          <w:p w14:paraId="5428D486" w14:textId="77777777" w:rsidR="002A4A1B" w:rsidRDefault="00000000">
            <w:pPr>
              <w:spacing w:after="0" w:line="300" w:lineRule="auto"/>
            </w:pPr>
            <w:r>
              <w:rPr>
                <w:sz w:val="20"/>
              </w:rPr>
              <w:t>Neutral Administrator</w:t>
            </w:r>
          </w:p>
        </w:tc>
        <w:tc>
          <w:tcPr>
            <w:tcW w:w="2400" w:type="dxa"/>
            <w:tcMar>
              <w:top w:w="60" w:type="dxa"/>
              <w:left w:w="100" w:type="dxa"/>
              <w:bottom w:w="60" w:type="dxa"/>
              <w:right w:w="100" w:type="dxa"/>
            </w:tcMar>
          </w:tcPr>
          <w:p w14:paraId="3D6E0088" w14:textId="77777777" w:rsidR="002A4A1B" w:rsidRDefault="00000000">
            <w:pPr>
              <w:spacing w:after="0" w:line="300" w:lineRule="auto"/>
            </w:pPr>
            <w:r>
              <w:rPr>
                <w:sz w:val="20"/>
              </w:rPr>
              <w:t>Automatic</w:t>
            </w:r>
          </w:p>
        </w:tc>
      </w:tr>
      <w:tr w:rsidR="002A4A1B" w14:paraId="63E2E3DB" w14:textId="77777777">
        <w:tblPrEx>
          <w:tblCellMar>
            <w:top w:w="0" w:type="dxa"/>
            <w:bottom w:w="0" w:type="dxa"/>
          </w:tblCellMar>
        </w:tblPrEx>
        <w:tc>
          <w:tcPr>
            <w:tcW w:w="2400" w:type="dxa"/>
            <w:tcMar>
              <w:top w:w="60" w:type="dxa"/>
              <w:left w:w="100" w:type="dxa"/>
              <w:bottom w:w="60" w:type="dxa"/>
              <w:right w:w="100" w:type="dxa"/>
            </w:tcMar>
          </w:tcPr>
          <w:p w14:paraId="54DE81DA" w14:textId="77777777" w:rsidR="002A4A1B" w:rsidRDefault="00000000">
            <w:pPr>
              <w:spacing w:after="0" w:line="300" w:lineRule="auto"/>
            </w:pPr>
            <w:r>
              <w:rPr>
                <w:sz w:val="20"/>
              </w:rPr>
              <w:t>Compliance findings</w:t>
            </w:r>
          </w:p>
        </w:tc>
        <w:tc>
          <w:tcPr>
            <w:tcW w:w="2400" w:type="dxa"/>
            <w:tcMar>
              <w:top w:w="60" w:type="dxa"/>
              <w:left w:w="100" w:type="dxa"/>
              <w:bottom w:w="60" w:type="dxa"/>
              <w:right w:w="100" w:type="dxa"/>
            </w:tcMar>
          </w:tcPr>
          <w:p w14:paraId="7728761D" w14:textId="77777777" w:rsidR="002A4A1B" w:rsidRDefault="00000000">
            <w:pPr>
              <w:spacing w:after="0" w:line="300" w:lineRule="auto"/>
            </w:pPr>
            <w:r>
              <w:rPr>
                <w:sz w:val="20"/>
              </w:rPr>
              <w:t>Verification Chamber</w:t>
            </w:r>
          </w:p>
        </w:tc>
        <w:tc>
          <w:tcPr>
            <w:tcW w:w="2400" w:type="dxa"/>
            <w:tcMar>
              <w:top w:w="60" w:type="dxa"/>
              <w:left w:w="100" w:type="dxa"/>
              <w:bottom w:w="60" w:type="dxa"/>
              <w:right w:w="100" w:type="dxa"/>
            </w:tcMar>
          </w:tcPr>
          <w:p w14:paraId="66482248" w14:textId="77777777" w:rsidR="002A4A1B" w:rsidRDefault="00000000">
            <w:pPr>
              <w:spacing w:after="0" w:line="300" w:lineRule="auto"/>
            </w:pPr>
            <w:r>
              <w:rPr>
                <w:sz w:val="20"/>
              </w:rPr>
              <w:t>All Parties, observers</w:t>
            </w:r>
          </w:p>
        </w:tc>
        <w:tc>
          <w:tcPr>
            <w:tcW w:w="2400" w:type="dxa"/>
            <w:tcMar>
              <w:top w:w="60" w:type="dxa"/>
              <w:left w:w="100" w:type="dxa"/>
              <w:bottom w:w="60" w:type="dxa"/>
              <w:right w:w="100" w:type="dxa"/>
            </w:tcMar>
          </w:tcPr>
          <w:p w14:paraId="785805C9" w14:textId="77777777" w:rsidR="002A4A1B" w:rsidRDefault="00000000">
            <w:pPr>
              <w:spacing w:after="0" w:line="300" w:lineRule="auto"/>
            </w:pPr>
            <w:r>
              <w:rPr>
                <w:sz w:val="20"/>
              </w:rPr>
              <w:t>Automatic</w:t>
            </w:r>
          </w:p>
        </w:tc>
      </w:tr>
    </w:tbl>
    <w:p w14:paraId="124C41DF" w14:textId="77777777" w:rsidR="002A4A1B" w:rsidRDefault="002A4A1B">
      <w:pPr>
        <w:spacing w:after="160"/>
      </w:pPr>
    </w:p>
    <w:p w14:paraId="1287BE6A" w14:textId="77777777" w:rsidR="002A4A1B" w:rsidRDefault="00000000">
      <w:pPr>
        <w:pStyle w:val="Heading2"/>
      </w:pPr>
      <w:bookmarkStart w:id="45" w:name="_Toc236929584"/>
      <w:r>
        <w:t>7.2 The Dual-Key Rule</w:t>
      </w:r>
      <w:bookmarkEnd w:id="45"/>
    </w:p>
    <w:p w14:paraId="7CA09709" w14:textId="77777777" w:rsidR="002A4A1B" w:rsidRDefault="00000000">
      <w:pPr>
        <w:spacing w:after="140"/>
        <w:jc w:val="both"/>
      </w:pPr>
      <w:r>
        <w:rPr>
          <w:b/>
          <w:color w:val="1F3A44"/>
        </w:rPr>
        <w:t xml:space="preserve">7.2.1   </w:t>
      </w:r>
      <w:r>
        <w:t>A consequential security action inside the corridors activates only when two designated keys turn together. For an action in the Payedar Corridor, the keys are the Iran Corridor Desk and the Oman Joint Desk. For an action in the Sobat Corridor, the keys are the Oman Corridor Desk and the rotating GCC observer key. For an action in the Amn Buffer, a mine-risk action, or a military deconfliction action, the keys are both Founding Parties plus the neutral observer on duty, a triple-key.</w:t>
      </w:r>
    </w:p>
    <w:p w14:paraId="37CF2CC1" w14:textId="77777777" w:rsidR="002A4A1B" w:rsidRDefault="00000000">
      <w:pPr>
        <w:spacing w:after="140"/>
        <w:jc w:val="both"/>
      </w:pPr>
      <w:r>
        <w:rPr>
          <w:b/>
          <w:color w:val="1F3A44"/>
        </w:rPr>
        <w:lastRenderedPageBreak/>
        <w:t xml:space="preserve">7.2.2   </w:t>
      </w:r>
      <w:r>
        <w:t>The keys are cryptographic and procedural at once: the Fusion Center's action log records both authorizations in the same second, and a single-key entry opens nothing. The technical specification lives in Annex C, and the human procedure lives in Annex D.</w:t>
      </w:r>
    </w:p>
    <w:p w14:paraId="21F4C4F4" w14:textId="77777777" w:rsidR="002A4A1B" w:rsidRDefault="00000000">
      <w:pPr>
        <w:spacing w:after="140"/>
        <w:jc w:val="both"/>
      </w:pPr>
      <w:r>
        <w:rPr>
          <w:b/>
          <w:color w:val="1F3A44"/>
        </w:rPr>
        <w:t xml:space="preserve">7.2.3   </w:t>
      </w:r>
      <w:r>
        <w:t>Imminent danger to life at sea activates the standing exception: the on-scene commander acts to save life first and logs the action within one hour, and the Verification Chamber reviews the log within twenty-four hours. The exception covers rescue and collision avoidance, and nothing else.</w:t>
      </w:r>
    </w:p>
    <w:p w14:paraId="46347A24" w14:textId="77777777" w:rsidR="002A4A1B" w:rsidRDefault="00000000">
      <w:pPr>
        <w:pStyle w:val="Heading2"/>
      </w:pPr>
      <w:bookmarkStart w:id="46" w:name="_Toc236929585"/>
      <w:r>
        <w:t>7.3 The Absolute Non-Interdiction Protocol</w:t>
      </w:r>
      <w:bookmarkEnd w:id="46"/>
    </w:p>
    <w:p w14:paraId="663E8514" w14:textId="77777777" w:rsidR="002A4A1B" w:rsidRDefault="00000000">
      <w:pPr>
        <w:spacing w:after="140"/>
        <w:jc w:val="both"/>
      </w:pPr>
      <w:r>
        <w:rPr>
          <w:b/>
          <w:color w:val="1F3A44"/>
        </w:rPr>
        <w:t xml:space="preserve">7.3.1   </w:t>
      </w:r>
      <w:r>
        <w:t>Commercial transit operates under an absolute non-interdiction protocol within the Framework. The architecture excludes stopping, boarding, diverting, detaining, or seizing any commercial vessel in the Framework Area as an instrument of policy, in all circumstances, by all actors.</w:t>
      </w:r>
    </w:p>
    <w:p w14:paraId="07842D7B" w14:textId="77777777" w:rsidR="002A4A1B" w:rsidRDefault="00000000">
      <w:pPr>
        <w:spacing w:after="140"/>
        <w:jc w:val="both"/>
      </w:pPr>
      <w:r>
        <w:rPr>
          <w:b/>
          <w:color w:val="1F3A44"/>
        </w:rPr>
        <w:t xml:space="preserve">7.3.2   </w:t>
      </w:r>
      <w:r>
        <w:t>The narrow law-enforcement residue that international law preserves, covering stateless vessels, piracy, and slavery, executes only under the triple-key procedure of Annex D, on the high-seas side of the Framework Area, with a neutral observer embarked or on the circuit, and with the full record published within seventy-two hours.</w:t>
      </w:r>
    </w:p>
    <w:p w14:paraId="74D179A8" w14:textId="77777777" w:rsidR="002A4A1B" w:rsidRDefault="00000000">
      <w:pPr>
        <w:spacing w:after="140"/>
        <w:jc w:val="both"/>
      </w:pPr>
      <w:r>
        <w:rPr>
          <w:b/>
          <w:color w:val="1F3A44"/>
        </w:rPr>
        <w:t xml:space="preserve">7.3.3   </w:t>
      </w:r>
      <w:r>
        <w:t>Any interdiction outside Article 7.3.2 registers as a Tier 3 event under the Demerit Matrix of Annex G at the moment it occurs. The compliance engine answers it automatically, and the Zona Aequalis architecture of Article 16 governs the consequences. No deliberation stands between the act and the consequence; the architecture, not any government, responds.</w:t>
      </w:r>
    </w:p>
    <w:p w14:paraId="23352828" w14:textId="77777777" w:rsidR="002A4A1B" w:rsidRDefault="00000000">
      <w:pPr>
        <w:pStyle w:val="Heading2"/>
      </w:pPr>
      <w:bookmarkStart w:id="47" w:name="_Toc236929586"/>
      <w:r>
        <w:t>7.4 Deconfliction of Naval Movements</w:t>
      </w:r>
      <w:bookmarkEnd w:id="47"/>
    </w:p>
    <w:p w14:paraId="49523F67" w14:textId="77777777" w:rsidR="002A4A1B" w:rsidRDefault="00000000">
      <w:pPr>
        <w:spacing w:after="140"/>
        <w:jc w:val="both"/>
      </w:pPr>
      <w:r>
        <w:rPr>
          <w:b/>
          <w:color w:val="1F3A44"/>
        </w:rPr>
        <w:t xml:space="preserve">7.4.1   </w:t>
      </w:r>
      <w:r>
        <w:t>Every Party and every Circle of Friends naval actor files its intended movements in the Framework Area with the Deconfliction Cell not less than twenty-four hours in advance, and the Cell publishes a deconflicted naval movement picture to every Naval Liaison Officer.</w:t>
      </w:r>
    </w:p>
    <w:p w14:paraId="73572716" w14:textId="77777777" w:rsidR="002A4A1B" w:rsidRDefault="00000000">
      <w:pPr>
        <w:spacing w:after="140"/>
        <w:jc w:val="both"/>
      </w:pPr>
      <w:r>
        <w:rPr>
          <w:b/>
          <w:color w:val="1F3A44"/>
        </w:rPr>
        <w:t xml:space="preserve">7.4.2   </w:t>
      </w:r>
      <w:r>
        <w:t>The Cell maintains the standing separation rule: naval units of different states hold not less than five nautical miles of separation inside the Framework Area unless both commanders log consent to closer passage. The rule exists to make miscalculation expensive and accident unlikely.</w:t>
      </w:r>
    </w:p>
    <w:p w14:paraId="71835A92" w14:textId="77777777" w:rsidR="002A4A1B" w:rsidRDefault="00000000">
      <w:pPr>
        <w:spacing w:after="140"/>
        <w:jc w:val="both"/>
      </w:pPr>
      <w:r>
        <w:rPr>
          <w:b/>
          <w:color w:val="1F3A44"/>
        </w:rPr>
        <w:t xml:space="preserve">7.4.3   </w:t>
      </w:r>
      <w:r>
        <w:t>The military hotline of Annex D connects the Deconfliction Cell to the national operations centers of Iran, Oman, the United States, and every other participating naval actor. The hotline carries a sixty-second answer obligation at all hours, and the Verification Chamber audits answer performance monthly.</w:t>
      </w:r>
    </w:p>
    <w:p w14:paraId="57367C50" w14:textId="77777777" w:rsidR="002A4A1B" w:rsidRDefault="00000000">
      <w:pPr>
        <w:pStyle w:val="Heading1"/>
      </w:pPr>
      <w:bookmarkStart w:id="48" w:name="_Toc236929587"/>
      <w:r>
        <w:lastRenderedPageBreak/>
        <w:t>Article 8: Reopening and the Phased Activation Sequence</w:t>
      </w:r>
      <w:bookmarkEnd w:id="48"/>
    </w:p>
    <w:p w14:paraId="604BEAD8" w14:textId="77777777" w:rsidR="002A4A1B" w:rsidRDefault="00000000">
      <w:pPr>
        <w:pStyle w:val="Heading2"/>
      </w:pPr>
      <w:bookmarkStart w:id="49" w:name="_Toc236929588"/>
      <w:r>
        <w:t>8.1 The Indivisible Event Principle</w:t>
      </w:r>
      <w:bookmarkEnd w:id="49"/>
    </w:p>
    <w:p w14:paraId="5B7D3BE1" w14:textId="77777777" w:rsidR="002A4A1B" w:rsidRDefault="00000000">
      <w:pPr>
        <w:spacing w:after="140"/>
        <w:jc w:val="both"/>
      </w:pPr>
      <w:r>
        <w:rPr>
          <w:b/>
          <w:color w:val="1F3A44"/>
        </w:rPr>
        <w:t xml:space="preserve">8.1.1   </w:t>
      </w:r>
      <w:r>
        <w:t>The reopening of the Strait is one event executed in six phases, not six events hostage to six political moments. Signature of this Framework launches the sequence; the sequence runs on the calendar of this Article; and each phase hands to the next automatically on certification of its exit criteria. The phases exist to manage risk, not to create vetoes.</w:t>
      </w:r>
    </w:p>
    <w:p w14:paraId="6E6F17A7" w14:textId="77777777" w:rsidR="002A4A1B" w:rsidRDefault="00000000">
      <w:pPr>
        <w:spacing w:after="140"/>
        <w:jc w:val="both"/>
      </w:pPr>
      <w:r>
        <w:rPr>
          <w:b/>
          <w:color w:val="1F3A44"/>
        </w:rPr>
        <w:t xml:space="preserve">8.1.2   </w:t>
      </w:r>
      <w:r>
        <w:t>The full sequence completes in not less than ninety days and not more than one hundred twenty days from signature. Annex J carries the day-by-day operational plan, the pilot rules, and the stability audit that closes the sequence.</w:t>
      </w:r>
    </w:p>
    <w:p w14:paraId="36EB579B" w14:textId="77777777" w:rsidR="002A4A1B" w:rsidRDefault="00000000">
      <w:pPr>
        <w:pStyle w:val="Heading2"/>
      </w:pPr>
      <w:bookmarkStart w:id="50" w:name="_Toc236929589"/>
      <w:r>
        <w:t>8.2 The Six Phases</w:t>
      </w:r>
      <w:bookmarkEnd w:id="50"/>
    </w:p>
    <w:p w14:paraId="7D8CAB8C" w14:textId="77777777" w:rsidR="002A4A1B" w:rsidRDefault="00000000">
      <w:pPr>
        <w:spacing w:after="140"/>
        <w:jc w:val="both"/>
      </w:pPr>
      <w:r>
        <w:rPr>
          <w:b/>
          <w:color w:val="1F3A44"/>
        </w:rPr>
        <w:t xml:space="preserve">8.2.1   </w:t>
      </w:r>
      <w:r>
        <w:t>Phase One, Foundation, days zero to ten. The Parties deposit instruments; the Authority convenes; the provisional corridor guidance publishes; the Fusion Center and the Mirror Facility activate on the fused picture; the temporary charge schedule of Annex E takes provisional effect; and the simultaneous announcement of Annex K informs the world in one voice.</w:t>
      </w:r>
    </w:p>
    <w:p w14:paraId="189E1CB0" w14:textId="77777777" w:rsidR="002A4A1B" w:rsidRDefault="00000000">
      <w:pPr>
        <w:spacing w:after="140"/>
        <w:jc w:val="both"/>
      </w:pPr>
      <w:r>
        <w:rPr>
          <w:b/>
          <w:color w:val="1F3A44"/>
        </w:rPr>
        <w:t xml:space="preserve">8.2.2   </w:t>
      </w:r>
      <w:r>
        <w:t>Phase Two, Announcement, days ten to twenty. The Authority publishes the pilot notice to mariners, the provisional routing guidance, and the AIS pre-routing instructions; the Shipping Liaison Panel and the War-Risk Consultative Group receive the full technical package; the humanitarian corridor of Annex L opens first, before all other traffic, as the Framework's first public act.</w:t>
      </w:r>
    </w:p>
    <w:p w14:paraId="04BF451D" w14:textId="77777777" w:rsidR="002A4A1B" w:rsidRDefault="00000000">
      <w:pPr>
        <w:spacing w:after="140"/>
        <w:jc w:val="both"/>
      </w:pPr>
      <w:r>
        <w:rPr>
          <w:b/>
          <w:color w:val="1F3A44"/>
        </w:rPr>
        <w:t xml:space="preserve">8.2.3   </w:t>
      </w:r>
      <w:r>
        <w:t>Phase Three, Sequential Corridor Activation, days twenty to forty. The Amn Buffer activates first, establishing safe separation and emergency routing. The Sobat Corridor activates second, under Omani administration, the politically quietest first step. The Payedar Corridor activates third, under Iranian administration, with every observer watching. Each activation follows a forty-eight-hour shadow period in which the corridor runs in parallel with the legacy routing before the legacy lane sunsets.</w:t>
      </w:r>
    </w:p>
    <w:p w14:paraId="38CB0D5A" w14:textId="77777777" w:rsidR="002A4A1B" w:rsidRDefault="00000000">
      <w:pPr>
        <w:spacing w:after="140"/>
        <w:jc w:val="both"/>
      </w:pPr>
      <w:r>
        <w:rPr>
          <w:b/>
          <w:color w:val="1F3A44"/>
        </w:rPr>
        <w:t xml:space="preserve">8.2.4   </w:t>
      </w:r>
      <w:r>
        <w:t>Phase Four, Payment Channel, days forty to fifty-five. The Neutral Administrator opens the Stewardship Fund accounts; the escrow and clearing architecture of Annex E goes live; charge collection begins at the pilot rates; and the sanctions-compatible routing passes its first full-cycle test with live transactions from volunteer carriers.</w:t>
      </w:r>
    </w:p>
    <w:p w14:paraId="60CC08CA" w14:textId="77777777" w:rsidR="002A4A1B" w:rsidRDefault="00000000">
      <w:pPr>
        <w:spacing w:after="140"/>
        <w:jc w:val="both"/>
      </w:pPr>
      <w:r>
        <w:rPr>
          <w:b/>
          <w:color w:val="1F3A44"/>
        </w:rPr>
        <w:lastRenderedPageBreak/>
        <w:t xml:space="preserve">8.2.5   </w:t>
      </w:r>
      <w:r>
        <w:t>Phase Five, Stability Audit, days fifty-five to ninety. The Verification Chamber runs the audit of Annex J across the five domains: navigation and AIS compliance, security and deconfliction, monitoring and transparency, environment and safety, and charges and payments. The audit produces a pass, a conditional pass with named annex adjustments, or an extension of the pilot. The audit, not any capital, decides the pace.</w:t>
      </w:r>
    </w:p>
    <w:p w14:paraId="0E7A1816" w14:textId="77777777" w:rsidR="002A4A1B" w:rsidRDefault="00000000">
      <w:pPr>
        <w:spacing w:after="140"/>
        <w:jc w:val="both"/>
      </w:pPr>
      <w:r>
        <w:rPr>
          <w:b/>
          <w:color w:val="1F3A44"/>
        </w:rPr>
        <w:t xml:space="preserve">8.2.6   </w:t>
      </w:r>
      <w:r>
        <w:t>Phase Six, Full Activation, days ninety to one hundred twenty. The final coordinates publish and register with the IMO; the permanent charge schedule replaces the pilot rates; the dual-key security system assumes full standing; the temporary wartime lanes sunset; and the Authority declares the Strait fully open under this Framework by simultaneous announcement.</w:t>
      </w:r>
    </w:p>
    <w:p w14:paraId="7CFAAA47" w14:textId="77777777" w:rsidR="002A4A1B" w:rsidRDefault="00000000">
      <w:pPr>
        <w:pStyle w:val="Heading2"/>
      </w:pPr>
      <w:bookmarkStart w:id="51" w:name="_Toc236929590"/>
      <w:r>
        <w:t>8.3 The Pilot Rules</w:t>
      </w:r>
      <w:bookmarkEnd w:id="51"/>
    </w:p>
    <w:p w14:paraId="37635F07" w14:textId="77777777" w:rsidR="002A4A1B" w:rsidRDefault="00000000">
      <w:pPr>
        <w:spacing w:after="140"/>
        <w:jc w:val="both"/>
      </w:pPr>
      <w:r>
        <w:rPr>
          <w:b/>
          <w:color w:val="1F3A44"/>
        </w:rPr>
        <w:t xml:space="preserve">8.3.1   </w:t>
      </w:r>
      <w:r>
        <w:t>During Phases One through Five, the pilot rules of Annex J govern: reduced charges, heightened monitoring, weekly public reporting, and adjustment windows in which each administrator tunes its procedures within the bounds of the annexes. The pilot exists to absorb friction before the architecture locks, and its flexibility belongs to the operators, not to the politics.</w:t>
      </w:r>
    </w:p>
    <w:p w14:paraId="7A41657C" w14:textId="77777777" w:rsidR="002A4A1B" w:rsidRDefault="00000000">
      <w:pPr>
        <w:spacing w:after="140"/>
        <w:jc w:val="both"/>
      </w:pPr>
      <w:r>
        <w:rPr>
          <w:b/>
          <w:color w:val="1F3A44"/>
        </w:rPr>
        <w:t xml:space="preserve">8.3.2   </w:t>
      </w:r>
      <w:r>
        <w:t>The pilot extends once, by not more than thirty days, on a conditional pass of the stability audit. A second extension activates the review procedure of Article 24, which treats a stuck pilot as a system fault, not a negotiating opportunity.</w:t>
      </w:r>
    </w:p>
    <w:p w14:paraId="39DF2D00" w14:textId="77777777" w:rsidR="002A4A1B" w:rsidRDefault="00000000">
      <w:pPr>
        <w:pStyle w:val="Heading1"/>
      </w:pPr>
      <w:bookmarkStart w:id="52" w:name="_Toc236929591"/>
      <w:r>
        <w:lastRenderedPageBreak/>
        <w:t>Article 9: Mine Countermeasures and the Beacon Certificate</w:t>
      </w:r>
      <w:bookmarkEnd w:id="52"/>
    </w:p>
    <w:p w14:paraId="41CE22A8" w14:textId="77777777" w:rsidR="002A4A1B" w:rsidRDefault="00000000">
      <w:pPr>
        <w:pStyle w:val="Heading2"/>
      </w:pPr>
      <w:bookmarkStart w:id="53" w:name="_Toc236929592"/>
      <w:r>
        <w:t>9.1 The Standing Mine-Risk Posture</w:t>
      </w:r>
      <w:bookmarkEnd w:id="53"/>
    </w:p>
    <w:p w14:paraId="1C144FB7" w14:textId="77777777" w:rsidR="002A4A1B" w:rsidRDefault="00000000">
      <w:pPr>
        <w:spacing w:after="140"/>
        <w:jc w:val="both"/>
      </w:pPr>
      <w:r>
        <w:rPr>
          <w:b/>
          <w:color w:val="1F3A44"/>
        </w:rPr>
        <w:t xml:space="preserve">9.1.1   </w:t>
      </w:r>
      <w:r>
        <w:t>The Framework treats mine risk as the residual hazard that outlives every political settlement. The architecture assumes mines ignore ceasefires, distinguish no flag, and persist long after hostilities subside, and it builds its routing, its survey program, and its certification around that assumption.</w:t>
      </w:r>
    </w:p>
    <w:p w14:paraId="5242DA4C" w14:textId="77777777" w:rsidR="002A4A1B" w:rsidRDefault="00000000">
      <w:pPr>
        <w:spacing w:after="140"/>
        <w:jc w:val="both"/>
      </w:pPr>
      <w:r>
        <w:rPr>
          <w:b/>
          <w:color w:val="1F3A44"/>
        </w:rPr>
        <w:t xml:space="preserve">9.1.2   </w:t>
      </w:r>
      <w:r>
        <w:t>The Parties declare every mined area within their knowledge to the Fusion Center at signature, with coordinates, quantities, and types, under the verification procedures of Annex F. The declaration is a one-time, complete act, and its completeness stands under continuous verification thereafter.</w:t>
      </w:r>
    </w:p>
    <w:p w14:paraId="69BD8600" w14:textId="77777777" w:rsidR="002A4A1B" w:rsidRDefault="00000000">
      <w:pPr>
        <w:pStyle w:val="Heading2"/>
      </w:pPr>
      <w:bookmarkStart w:id="54" w:name="_Toc236929593"/>
      <w:r>
        <w:t>9.2 The Mine Countermeasure Group</w:t>
      </w:r>
      <w:bookmarkEnd w:id="54"/>
    </w:p>
    <w:p w14:paraId="26CA9986" w14:textId="77777777" w:rsidR="002A4A1B" w:rsidRDefault="00000000">
      <w:pPr>
        <w:spacing w:after="140"/>
        <w:jc w:val="both"/>
      </w:pPr>
      <w:r>
        <w:rPr>
          <w:b/>
          <w:color w:val="1F3A44"/>
        </w:rPr>
        <w:t xml:space="preserve">9.2.1   </w:t>
      </w:r>
      <w:r>
        <w:t>The Mine Countermeasure Group, the MCM Group, conducts survey and clearance of the legacy traffic separation scheme and any other declared or suspected mined area. The Group comprises vessels, helicopters, and autonomous underwater vehicles contributed by the Parties and by contributing states of the Circle of Friends, under a rotating command that never holds for more than six months.</w:t>
      </w:r>
    </w:p>
    <w:p w14:paraId="45707642" w14:textId="77777777" w:rsidR="002A4A1B" w:rsidRDefault="00000000">
      <w:pPr>
        <w:spacing w:after="140"/>
        <w:jc w:val="both"/>
      </w:pPr>
      <w:r>
        <w:rPr>
          <w:b/>
          <w:color w:val="1F3A44"/>
        </w:rPr>
        <w:t xml:space="preserve">9.2.2   </w:t>
      </w:r>
      <w:r>
        <w:t>Iran's mine-risk capacity, including its knowledge of its own historical fields, integrates into the Group under the triple-key rule: Iran performs, Oman co-performs, and the neutral observer verifies. This architecture converts the region's most sensitive military knowledge into a shared safety asset without converting it into leverage.</w:t>
      </w:r>
    </w:p>
    <w:p w14:paraId="06758DE2" w14:textId="77777777" w:rsidR="002A4A1B" w:rsidRDefault="00000000">
      <w:pPr>
        <w:spacing w:after="140"/>
        <w:jc w:val="both"/>
      </w:pPr>
      <w:r>
        <w:rPr>
          <w:b/>
          <w:color w:val="1F3A44"/>
        </w:rPr>
        <w:t xml:space="preserve">9.2.3   </w:t>
      </w:r>
      <w:r>
        <w:t>Clearance of a declared area completes on a dual-survey standard: two independent survey passes by different national assets, separated by not less than thirty days, each reporting nil contacts, certified by the Verification Chamber. The standard is expensive by design and cheap compared to one hull.</w:t>
      </w:r>
    </w:p>
    <w:p w14:paraId="66D0CAA6" w14:textId="77777777" w:rsidR="002A4A1B" w:rsidRDefault="00000000">
      <w:pPr>
        <w:pStyle w:val="Heading2"/>
      </w:pPr>
      <w:bookmarkStart w:id="55" w:name="_Toc236929594"/>
      <w:r>
        <w:t>9.3 The Beacon Certificate</w:t>
      </w:r>
      <w:bookmarkEnd w:id="55"/>
    </w:p>
    <w:p w14:paraId="72FB414E" w14:textId="77777777" w:rsidR="002A4A1B" w:rsidRDefault="00000000">
      <w:pPr>
        <w:spacing w:after="140"/>
        <w:jc w:val="both"/>
      </w:pPr>
      <w:r>
        <w:rPr>
          <w:b/>
          <w:color w:val="1F3A44"/>
        </w:rPr>
        <w:t xml:space="preserve">9.3.1   </w:t>
      </w:r>
      <w:r>
        <w:t xml:space="preserve">The Authority, acting on the dual-survey record and the IMO technical seat's review, issues the Beacon Certificate for each corridor and each cleared area. The Beacon Certificate is the system's </w:t>
      </w:r>
      <w:r>
        <w:lastRenderedPageBreak/>
        <w:t>seal of approval: the published, auditable, internationally registered statement that a defined body of water meets the Framework's safety standard on a stated date.</w:t>
      </w:r>
    </w:p>
    <w:p w14:paraId="2C0548F8" w14:textId="77777777" w:rsidR="002A4A1B" w:rsidRDefault="00000000">
      <w:pPr>
        <w:spacing w:after="140"/>
        <w:jc w:val="both"/>
      </w:pPr>
      <w:r>
        <w:rPr>
          <w:b/>
          <w:color w:val="1F3A44"/>
        </w:rPr>
        <w:t xml:space="preserve">9.3.2   </w:t>
      </w:r>
      <w:r>
        <w:t>The War-Risk Consultative Group receives every Beacon Certificate at issuance, together with the underlying survey data. The certificate exists to give underwriters the actuarial basis for normalizing premiums, because the underwriter's risk model, not any communique, reopens a strait to commerce.</w:t>
      </w:r>
    </w:p>
    <w:p w14:paraId="61CD20D7" w14:textId="77777777" w:rsidR="002A4A1B" w:rsidRDefault="00000000">
      <w:pPr>
        <w:spacing w:after="140"/>
        <w:jc w:val="both"/>
      </w:pPr>
      <w:r>
        <w:rPr>
          <w:b/>
          <w:color w:val="1F3A44"/>
        </w:rPr>
        <w:t xml:space="preserve">9.3.3   </w:t>
      </w:r>
      <w:r>
        <w:t>A certified mine sighting inside a certificated area suspends the certificate automatically, activates the Buffer diversion, and restarts the dual-survey clock. The suspension publishes within one hour; the system errs toward the mariner, every time, without debate.</w:t>
      </w:r>
    </w:p>
    <w:p w14:paraId="1571D4A4" w14:textId="77777777" w:rsidR="002A4A1B" w:rsidRDefault="00000000">
      <w:pPr>
        <w:pStyle w:val="Heading2"/>
      </w:pPr>
      <w:bookmarkStart w:id="56" w:name="_Toc236929595"/>
      <w:r>
        <w:t>9.4 Navigation Integrity</w:t>
      </w:r>
      <w:bookmarkEnd w:id="56"/>
    </w:p>
    <w:p w14:paraId="4AF746B5" w14:textId="77777777" w:rsidR="002A4A1B" w:rsidRDefault="00000000">
      <w:pPr>
        <w:spacing w:after="140"/>
        <w:jc w:val="both"/>
      </w:pPr>
      <w:r>
        <w:rPr>
          <w:b/>
          <w:color w:val="1F3A44"/>
        </w:rPr>
        <w:t xml:space="preserve">9.4.1   </w:t>
      </w:r>
      <w:r>
        <w:t>The Framework treats interference with satellite navigation as a standing hazard and a governed event. The Fusion Center operates the interference monitoring network of Annex C, publishes a daily interference picture, and maintains terrestrial backup: the enhanced Loran and radar beacon chain Annex A schedules along both coasts.</w:t>
      </w:r>
    </w:p>
    <w:p w14:paraId="0B607143" w14:textId="77777777" w:rsidR="002A4A1B" w:rsidRDefault="00000000">
      <w:pPr>
        <w:spacing w:after="140"/>
        <w:jc w:val="both"/>
      </w:pPr>
      <w:r>
        <w:rPr>
          <w:b/>
          <w:color w:val="1F3A44"/>
        </w:rPr>
        <w:t xml:space="preserve">9.4.2   </w:t>
      </w:r>
      <w:r>
        <w:t>Deliberate interference with navigation signals inside the Framework Area registers as a Tier 2 event under the Demerit Matrix, with attribution procedures under Annex F. The Parties engineer the corridors so that transits complete safely even under full interference, because resilience outperforms attribution as a deterrent.</w:t>
      </w:r>
    </w:p>
    <w:p w14:paraId="0DE5D336" w14:textId="77777777" w:rsidR="002A4A1B" w:rsidRDefault="00000000">
      <w:pPr>
        <w:pStyle w:val="Heading1"/>
      </w:pPr>
      <w:bookmarkStart w:id="57" w:name="_Toc236929596"/>
      <w:r>
        <w:lastRenderedPageBreak/>
        <w:t>Part III: Institutions</w:t>
      </w:r>
      <w:bookmarkEnd w:id="57"/>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09C39065"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44E4771D" w14:textId="77777777" w:rsidR="002A4A1B" w:rsidRDefault="00000000">
            <w:pPr>
              <w:spacing w:after="60"/>
            </w:pPr>
            <w:r>
              <w:rPr>
                <w:rFonts w:ascii="Georgia" w:hAnsi="Georgia"/>
                <w:b/>
                <w:color w:val="1F3A44"/>
                <w:sz w:val="23"/>
              </w:rPr>
              <w:t>Part Overview</w:t>
            </w:r>
          </w:p>
          <w:p w14:paraId="0BBA6BBB" w14:textId="77777777" w:rsidR="002A4A1B" w:rsidRDefault="00000000">
            <w:pPr>
              <w:spacing w:after="60" w:line="320" w:lineRule="auto"/>
              <w:jc w:val="both"/>
            </w:pPr>
            <w:r>
              <w:rPr>
                <w:sz w:val="21"/>
              </w:rPr>
              <w:t>Part III builds the minimum machinery the system demands: one Authority in which the two coasts hold equal standing, one monitoring architecture with a center and a mirror, and one dispute mechanism that answers quickly and technically. Every institution runs on published rules, public ledgers, and the cost discipline of Principle 13.</w:t>
            </w:r>
          </w:p>
        </w:tc>
      </w:tr>
    </w:tbl>
    <w:p w14:paraId="2E8733A8" w14:textId="77777777" w:rsidR="002A4A1B" w:rsidRDefault="002A4A1B">
      <w:pPr>
        <w:spacing w:after="160"/>
      </w:pPr>
    </w:p>
    <w:p w14:paraId="13D57A04" w14:textId="77777777" w:rsidR="002A4A1B" w:rsidRDefault="00000000">
      <w:pPr>
        <w:pStyle w:val="Heading1"/>
      </w:pPr>
      <w:bookmarkStart w:id="58" w:name="_Toc236929597"/>
      <w:r>
        <w:lastRenderedPageBreak/>
        <w:t>Article 10: The Sobat Payedar Authority</w:t>
      </w:r>
      <w:bookmarkEnd w:id="58"/>
    </w:p>
    <w:p w14:paraId="7FB6B7F4" w14:textId="77777777" w:rsidR="002A4A1B" w:rsidRDefault="00000000">
      <w:pPr>
        <w:pStyle w:val="Heading2"/>
      </w:pPr>
      <w:bookmarkStart w:id="59" w:name="_Toc236929598"/>
      <w:r>
        <w:t>10.1 Establishment and Legal Personality</w:t>
      </w:r>
      <w:bookmarkEnd w:id="59"/>
    </w:p>
    <w:p w14:paraId="1FBBF6F1" w14:textId="77777777" w:rsidR="002A4A1B" w:rsidRDefault="00000000">
      <w:pPr>
        <w:spacing w:after="140"/>
        <w:jc w:val="both"/>
      </w:pPr>
      <w:r>
        <w:rPr>
          <w:b/>
          <w:color w:val="1F3A44"/>
        </w:rPr>
        <w:t xml:space="preserve">10.1.1   </w:t>
      </w:r>
      <w:r>
        <w:t>The Parties establish the Sobat Payedar Authority, the Authority, as an international body with legal personality, seated at the Sobat Operations Center in Muscat, with the Mirror Facility of Equal Rank at Bandar Abbas. The Authority enjoys the privileges and immunities its functions demand under the Headquarters Agreement of Annex I.</w:t>
      </w:r>
    </w:p>
    <w:p w14:paraId="08FD333A" w14:textId="77777777" w:rsidR="002A4A1B" w:rsidRDefault="00000000">
      <w:pPr>
        <w:spacing w:after="140"/>
        <w:jc w:val="both"/>
      </w:pPr>
      <w:r>
        <w:rPr>
          <w:b/>
          <w:color w:val="1F3A44"/>
        </w:rPr>
        <w:t xml:space="preserve">10.1.2   </w:t>
      </w:r>
      <w:r>
        <w:t>The Authority administers this Framework day to day. It publishes the notices, maintains the registries, runs the Fusion Center, staffs the Corridor Desks, convenes the organs, and reports to the Council. It holds no corridor function of its own beyond what the functional map assigns, and it holds no power to condition passage.</w:t>
      </w:r>
    </w:p>
    <w:p w14:paraId="74A2E9F8" w14:textId="77777777" w:rsidR="002A4A1B" w:rsidRDefault="00000000">
      <w:pPr>
        <w:pStyle w:val="Heading2"/>
      </w:pPr>
      <w:bookmarkStart w:id="60" w:name="_Toc236929599"/>
      <w:r>
        <w:t>10.2 The Council</w:t>
      </w:r>
      <w:bookmarkEnd w:id="60"/>
    </w:p>
    <w:p w14:paraId="28F6CE40" w14:textId="77777777" w:rsidR="002A4A1B" w:rsidRDefault="00000000">
      <w:pPr>
        <w:spacing w:after="140"/>
        <w:jc w:val="both"/>
      </w:pPr>
      <w:r>
        <w:rPr>
          <w:b/>
          <w:color w:val="1F3A44"/>
        </w:rPr>
        <w:t xml:space="preserve">10.2.1   </w:t>
      </w:r>
      <w:r>
        <w:t>The Council is the governing organ. Its voting members are the Founding Parties and each Coastal Party on accession. Its standing observers are the Circle of Friends, the IMO technical seat, and the chairs of the Shipping Liaison Panel and the War-Risk Consultative Group.</w:t>
      </w:r>
    </w:p>
    <w:p w14:paraId="1F532A2B" w14:textId="77777777" w:rsidR="002A4A1B" w:rsidRDefault="00000000">
      <w:pPr>
        <w:spacing w:after="140"/>
        <w:jc w:val="both"/>
      </w:pPr>
      <w:r>
        <w:rPr>
          <w:b/>
          <w:color w:val="1F3A44"/>
        </w:rPr>
        <w:t xml:space="preserve">10.2.2   </w:t>
      </w:r>
      <w:r>
        <w:t>The Council decides ordinary matters by consensus of voting members, and where consensus fails after two readings, by a three-quarters majority that includes both Founding Parties. The protected matters of Annex I, covering corridor geometry, charge schedules, verification thresholds, and amendment of this Framework, pass only by consensus of the Founding Parties.</w:t>
      </w:r>
    </w:p>
    <w:p w14:paraId="548580F2" w14:textId="77777777" w:rsidR="002A4A1B" w:rsidRDefault="00000000">
      <w:pPr>
        <w:spacing w:after="140"/>
        <w:jc w:val="both"/>
      </w:pPr>
      <w:r>
        <w:rPr>
          <w:b/>
          <w:color w:val="1F3A44"/>
        </w:rPr>
        <w:t xml:space="preserve">10.2.3   </w:t>
      </w:r>
      <w:r>
        <w:t>The Council meets monthly in ordinary session, alternately in Muscat and Bandar Abbas, and in extraordinary session within forty-eight hours on the call of any voting member or on any Red Zone activation under Article 16. Every session publishes its agenda in advance and its decisions within twenty-four hours.</w:t>
      </w:r>
    </w:p>
    <w:p w14:paraId="20B0AF24" w14:textId="77777777" w:rsidR="002A4A1B" w:rsidRDefault="00000000">
      <w:pPr>
        <w:pStyle w:val="Heading2"/>
      </w:pPr>
      <w:bookmarkStart w:id="61" w:name="_Toc236929600"/>
      <w:r>
        <w:t>10.3 The Secretariat</w:t>
      </w:r>
      <w:bookmarkEnd w:id="61"/>
    </w:p>
    <w:p w14:paraId="353BA8C8" w14:textId="77777777" w:rsidR="002A4A1B" w:rsidRDefault="00000000">
      <w:pPr>
        <w:spacing w:after="140"/>
        <w:jc w:val="both"/>
      </w:pPr>
      <w:r>
        <w:rPr>
          <w:b/>
          <w:color w:val="1F3A44"/>
        </w:rPr>
        <w:t xml:space="preserve">10.3.1   </w:t>
      </w:r>
      <w:r>
        <w:t>The Secretariat serves the Council. A Director-General, appointed alternately from Iranian and Omani nominees for a single non-renewable term of four years, leads it. The Deputy Director-General always holds the other nationality. The alternation is structural, not courteous: the system's memory never sits on one coast alone.</w:t>
      </w:r>
    </w:p>
    <w:p w14:paraId="4CC6DD0B" w14:textId="77777777" w:rsidR="002A4A1B" w:rsidRDefault="00000000">
      <w:pPr>
        <w:spacing w:after="140"/>
        <w:jc w:val="both"/>
      </w:pPr>
      <w:r>
        <w:rPr>
          <w:b/>
          <w:color w:val="1F3A44"/>
        </w:rPr>
        <w:t xml:space="preserve">10.3.2   </w:t>
      </w:r>
      <w:r>
        <w:t xml:space="preserve">The Secretariat staffs five standing units: the Corridor Operations Unit, the Verification Chamber secretariat, the Fund secretariat, the Publications and Registry Unit, and the Safety and </w:t>
      </w:r>
      <w:r>
        <w:lastRenderedPageBreak/>
        <w:t>Environment Unit. Annex I publishes the staffing table, which the cost discipline of Principle 13 caps at the workload the traffic data justifies.</w:t>
      </w:r>
    </w:p>
    <w:p w14:paraId="041AC76A" w14:textId="77777777" w:rsidR="002A4A1B" w:rsidRDefault="00000000">
      <w:pPr>
        <w:spacing w:after="140"/>
        <w:jc w:val="both"/>
      </w:pPr>
      <w:r>
        <w:rPr>
          <w:b/>
          <w:color w:val="1F3A44"/>
        </w:rPr>
        <w:t xml:space="preserve">10.3.3   </w:t>
      </w:r>
      <w:r>
        <w:t>The Secretariat recruits internationally through open competition. Nationals of the Parties, of the Coastal Parties, and of the Circle of Friends serve side by side in every unit, and no unit falls under the exclusive control of one nationality.</w:t>
      </w:r>
    </w:p>
    <w:p w14:paraId="1260EDE0" w14:textId="77777777" w:rsidR="002A4A1B" w:rsidRDefault="00000000">
      <w:pPr>
        <w:pStyle w:val="Heading2"/>
      </w:pPr>
      <w:bookmarkStart w:id="62" w:name="_Toc236929601"/>
      <w:r>
        <w:t>10.4 Budget and Finance</w:t>
      </w:r>
      <w:bookmarkEnd w:id="62"/>
    </w:p>
    <w:p w14:paraId="2B925EFA" w14:textId="77777777" w:rsidR="002A4A1B" w:rsidRDefault="00000000">
      <w:pPr>
        <w:spacing w:after="140"/>
        <w:jc w:val="both"/>
      </w:pPr>
      <w:r>
        <w:rPr>
          <w:b/>
          <w:color w:val="1F3A44"/>
        </w:rPr>
        <w:t xml:space="preserve">10.4.1   </w:t>
      </w:r>
      <w:r>
        <w:t>The Stewardship Fund of Article 18 funds the Authority's operating budget. The Council adopts the budget annually by consensus; the Neutral Administrator audits it quarterly; and the Authority publishes every line of it. The first-year operating budget appears in Annex H and runs lean by design: the architecture buys sensors and auditors, not palaces.</w:t>
      </w:r>
    </w:p>
    <w:p w14:paraId="295263EE" w14:textId="77777777" w:rsidR="002A4A1B" w:rsidRDefault="00000000">
      <w:pPr>
        <w:spacing w:after="140"/>
        <w:jc w:val="both"/>
      </w:pPr>
      <w:r>
        <w:rPr>
          <w:b/>
          <w:color w:val="1F3A44"/>
        </w:rPr>
        <w:t xml:space="preserve">10.4.2   </w:t>
      </w:r>
      <w:r>
        <w:t>A Party in arrears to the Fund for more than ninety days loses its committee chairmanships until it cures, an automatic consequence that no vote suspends. The Fund's own governance of Article 18 keeps the money and the politics in separate rooms.</w:t>
      </w:r>
    </w:p>
    <w:p w14:paraId="58D06366" w14:textId="77777777" w:rsidR="002A4A1B" w:rsidRDefault="00000000">
      <w:pPr>
        <w:pStyle w:val="Heading1"/>
      </w:pPr>
      <w:bookmarkStart w:id="63" w:name="_Toc236929602"/>
      <w:r>
        <w:lastRenderedPageBreak/>
        <w:t>Article 11: The Muscat Fusion Center and the Bandar Abbas Mirror</w:t>
      </w:r>
      <w:bookmarkEnd w:id="63"/>
    </w:p>
    <w:p w14:paraId="4D8213E6" w14:textId="77777777" w:rsidR="002A4A1B" w:rsidRDefault="00000000">
      <w:pPr>
        <w:pStyle w:val="Heading2"/>
      </w:pPr>
      <w:bookmarkStart w:id="64" w:name="_Toc236929603"/>
      <w:r>
        <w:t>11.1 One Picture, Two Buildings</w:t>
      </w:r>
      <w:bookmarkEnd w:id="64"/>
    </w:p>
    <w:p w14:paraId="12424236" w14:textId="77777777" w:rsidR="002A4A1B" w:rsidRDefault="00000000">
      <w:pPr>
        <w:spacing w:after="140"/>
        <w:jc w:val="both"/>
      </w:pPr>
      <w:r>
        <w:rPr>
          <w:b/>
          <w:color w:val="1F3A44"/>
        </w:rPr>
        <w:t xml:space="preserve">11.1.1   </w:t>
      </w:r>
      <w:r>
        <w:t>The Muscat Fusion Center fuses the radar, AIS, electro-optical, and communications picture of the entire Framework Area into one shared operational display. The Bandar Abbas Mirror Facility holds the identical display, the identical data, and the identical authority to act, at the same time. The system runs from either building; the two exist so that neither coast ever depends on the other's building for its own eyes.</w:t>
      </w:r>
    </w:p>
    <w:p w14:paraId="12F2DB6D" w14:textId="77777777" w:rsidR="002A4A1B" w:rsidRDefault="00000000">
      <w:pPr>
        <w:spacing w:after="140"/>
        <w:jc w:val="both"/>
      </w:pPr>
      <w:r>
        <w:rPr>
          <w:b/>
          <w:color w:val="1F3A44"/>
        </w:rPr>
        <w:t xml:space="preserve">11.1.2   </w:t>
      </w:r>
      <w:r>
        <w:t>The fused picture integrates the coastal radar chains of Iran and Oman, the AIS network, the corridor camera and sensor chain, the interference monitoring network, and the incident reporting channels. Annex C carries the technical specification, the data-sharing protocol, and the observer access rules.</w:t>
      </w:r>
    </w:p>
    <w:p w14:paraId="09D894DB" w14:textId="77777777" w:rsidR="002A4A1B" w:rsidRDefault="00000000">
      <w:pPr>
        <w:spacing w:after="140"/>
        <w:jc w:val="both"/>
      </w:pPr>
      <w:r>
        <w:rPr>
          <w:b/>
          <w:color w:val="1F3A44"/>
        </w:rPr>
        <w:t xml:space="preserve">11.1.3   </w:t>
      </w:r>
      <w:r>
        <w:t>The Fusion Center operates on the two-coasts staffing rule: every watch of every day carries Iranian and Omani watchkeepers side by side, plus the neutral observer of the day. The watches follow one shift pattern, one procedures manual, and one log, mirrored in real time between the two buildings.</w:t>
      </w:r>
    </w:p>
    <w:p w14:paraId="54D34822" w14:textId="77777777" w:rsidR="002A4A1B" w:rsidRDefault="00000000">
      <w:pPr>
        <w:pStyle w:val="Heading2"/>
      </w:pPr>
      <w:bookmarkStart w:id="65" w:name="_Toc236929604"/>
      <w:r>
        <w:t>11.2 Observer Access</w:t>
      </w:r>
      <w:bookmarkEnd w:id="65"/>
    </w:p>
    <w:p w14:paraId="4883317E" w14:textId="77777777" w:rsidR="002A4A1B" w:rsidRDefault="00000000">
      <w:pPr>
        <w:spacing w:after="140"/>
        <w:jc w:val="both"/>
      </w:pPr>
      <w:r>
        <w:rPr>
          <w:b/>
          <w:color w:val="1F3A44"/>
        </w:rPr>
        <w:t xml:space="preserve">11.2.1   </w:t>
      </w:r>
      <w:r>
        <w:t>Every member of the Circle of Friends, every Coastal Party, the IMO technical seat, and the accredited industry panels receive the full fused picture in real time through the observer feed of Annex C. The feed is read-only, encrypted, logged, and identical to the operational display, with the sole exception of the narrow delay Annex C defines for sensitive military tracks.</w:t>
      </w:r>
    </w:p>
    <w:p w14:paraId="6C0E9340" w14:textId="77777777" w:rsidR="002A4A1B" w:rsidRDefault="00000000">
      <w:pPr>
        <w:spacing w:after="140"/>
        <w:jc w:val="both"/>
      </w:pPr>
      <w:r>
        <w:rPr>
          <w:b/>
          <w:color w:val="1F3A44"/>
        </w:rPr>
        <w:t xml:space="preserve">11.2.2   </w:t>
      </w:r>
      <w:r>
        <w:t>Observer access carries an uptime obligation: the Fusion Center maintains the observer feed at not less than 99.5 percent availability measured monthly, and the Verification Chamber audits the availability record. The feed is the Framework's promise that watching costs nothing and hiding costs everything.</w:t>
      </w:r>
    </w:p>
    <w:p w14:paraId="0633EE59" w14:textId="77777777" w:rsidR="002A4A1B" w:rsidRDefault="00000000">
      <w:pPr>
        <w:pStyle w:val="Heading2"/>
      </w:pPr>
      <w:bookmarkStart w:id="66" w:name="_Toc236929605"/>
      <w:r>
        <w:t>11.3 The Public Layer</w:t>
      </w:r>
      <w:bookmarkEnd w:id="66"/>
    </w:p>
    <w:p w14:paraId="114B759F" w14:textId="77777777" w:rsidR="002A4A1B" w:rsidRDefault="00000000">
      <w:pPr>
        <w:spacing w:after="140"/>
        <w:jc w:val="both"/>
      </w:pPr>
      <w:r>
        <w:rPr>
          <w:b/>
          <w:color w:val="1F3A44"/>
        </w:rPr>
        <w:t xml:space="preserve">11.3.1   </w:t>
      </w:r>
      <w:r>
        <w:t xml:space="preserve">The Authority publishes the public layer of the picture: corridor status, navigation warnings, the interference picture, the incident log, and the charge ledger, on the schedule Annex C sets. The </w:t>
      </w:r>
      <w:r>
        <w:lastRenderedPageBreak/>
        <w:t>public layer serves the mariner, the insurer, the researcher, and the citizen, and it serves them identically.</w:t>
      </w:r>
    </w:p>
    <w:p w14:paraId="16EC0B76" w14:textId="77777777" w:rsidR="002A4A1B" w:rsidRDefault="00000000">
      <w:pPr>
        <w:pStyle w:val="Heading1"/>
      </w:pPr>
      <w:bookmarkStart w:id="67" w:name="_Toc236929606"/>
      <w:r>
        <w:lastRenderedPageBreak/>
        <w:t>Article 12: Dispute Resolution and the Muscat Tribunal</w:t>
      </w:r>
      <w:bookmarkEnd w:id="67"/>
    </w:p>
    <w:p w14:paraId="78807845" w14:textId="77777777" w:rsidR="002A4A1B" w:rsidRDefault="00000000">
      <w:pPr>
        <w:pStyle w:val="Heading2"/>
      </w:pPr>
      <w:bookmarkStart w:id="68" w:name="_Toc236929607"/>
      <w:r>
        <w:t>12.1 The Three Lanes</w:t>
      </w:r>
      <w:bookmarkEnd w:id="68"/>
    </w:p>
    <w:p w14:paraId="7392D710" w14:textId="77777777" w:rsidR="002A4A1B" w:rsidRDefault="00000000">
      <w:pPr>
        <w:spacing w:after="140"/>
        <w:jc w:val="both"/>
      </w:pPr>
      <w:r>
        <w:rPr>
          <w:b/>
          <w:color w:val="1F3A44"/>
        </w:rPr>
        <w:t xml:space="preserve">12.1.1   </w:t>
      </w:r>
      <w:r>
        <w:t>The Framework resolves disputes in three lanes, matched to the dispute. Technical disputes go to the Technical Panel. Compliance disputes go to the Verification Chamber's dispute procedure under Annex F. Everything else goes to the Muscat Tribunal. A dispute enters its lane automatically by its subject matter, and no forum shopping exists inside the Framework.</w:t>
      </w:r>
    </w:p>
    <w:p w14:paraId="63518582" w14:textId="77777777" w:rsidR="002A4A1B" w:rsidRDefault="00000000">
      <w:pPr>
        <w:spacing w:after="140"/>
        <w:jc w:val="both"/>
      </w:pPr>
      <w:r>
        <w:rPr>
          <w:b/>
          <w:color w:val="1F3A44"/>
        </w:rPr>
        <w:t xml:space="preserve">12.1.2   </w:t>
      </w:r>
      <w:r>
        <w:t>Negotiation precedes every lane: the disputing parties confer for fourteen days with the good offices of the Supporting Facilitators before any panel convenes. Most disputes die in this room, by design, because the room is cheap and the panels are expensive.</w:t>
      </w:r>
    </w:p>
    <w:p w14:paraId="497BC071" w14:textId="77777777" w:rsidR="002A4A1B" w:rsidRDefault="00000000">
      <w:pPr>
        <w:pStyle w:val="Heading2"/>
      </w:pPr>
      <w:bookmarkStart w:id="69" w:name="_Toc236929608"/>
      <w:r>
        <w:t>12.2 The Technical Panel</w:t>
      </w:r>
      <w:bookmarkEnd w:id="69"/>
    </w:p>
    <w:p w14:paraId="2B927E54" w14:textId="77777777" w:rsidR="002A4A1B" w:rsidRDefault="00000000">
      <w:pPr>
        <w:spacing w:after="140"/>
        <w:jc w:val="both"/>
      </w:pPr>
      <w:r>
        <w:rPr>
          <w:b/>
          <w:color w:val="1F3A44"/>
        </w:rPr>
        <w:t xml:space="preserve">12.2.1   </w:t>
      </w:r>
      <w:r>
        <w:t>The Technical Panel decides disputes over corridor operations, charge calculations, data integrity, and audit findings. Three engineers or mariners from the roster of Annex I decide within twenty-one days, on the record, with reasons published. The Panel's findings of fact bind every organ of the Framework.</w:t>
      </w:r>
    </w:p>
    <w:p w14:paraId="2E0516BD" w14:textId="77777777" w:rsidR="002A4A1B" w:rsidRDefault="00000000">
      <w:pPr>
        <w:spacing w:after="140"/>
        <w:jc w:val="both"/>
      </w:pPr>
      <w:r>
        <w:rPr>
          <w:b/>
          <w:color w:val="1F3A44"/>
        </w:rPr>
        <w:t xml:space="preserve">12.2.2   </w:t>
      </w:r>
      <w:r>
        <w:t>The roster mixes nationalities on every panel: no panel sits with two members of one coast. The Neutral Administrator draws the panels by lot from the roster, and the draw, not any government, composes each panel.</w:t>
      </w:r>
    </w:p>
    <w:p w14:paraId="1446094F" w14:textId="77777777" w:rsidR="002A4A1B" w:rsidRDefault="00000000">
      <w:pPr>
        <w:pStyle w:val="Heading2"/>
      </w:pPr>
      <w:bookmarkStart w:id="70" w:name="_Toc236929609"/>
      <w:r>
        <w:t>12.3 The Muscat Tribunal</w:t>
      </w:r>
      <w:bookmarkEnd w:id="70"/>
    </w:p>
    <w:p w14:paraId="5DDFDB76" w14:textId="77777777" w:rsidR="002A4A1B" w:rsidRDefault="00000000">
      <w:pPr>
        <w:spacing w:after="140"/>
        <w:jc w:val="both"/>
      </w:pPr>
      <w:r>
        <w:rPr>
          <w:b/>
          <w:color w:val="1F3A44"/>
        </w:rPr>
        <w:t xml:space="preserve">12.3.1   </w:t>
      </w:r>
      <w:r>
        <w:t>The Muscat Tribunal decides disputes over the interpretation and application of this Framework. Five jurists decide: two nominated by the Founding Parties, one by the Coastal Parties, one by the Circle of Friends, and a president drawn by lot from the Neutral Administrator's list. The Tribunal sits in Muscat and sits in public unless the sensitive categories of Annex C apply.</w:t>
      </w:r>
    </w:p>
    <w:p w14:paraId="6FF32DCF" w14:textId="77777777" w:rsidR="002A4A1B" w:rsidRDefault="00000000">
      <w:pPr>
        <w:spacing w:after="140"/>
        <w:jc w:val="both"/>
      </w:pPr>
      <w:r>
        <w:rPr>
          <w:b/>
          <w:color w:val="1F3A44"/>
        </w:rPr>
        <w:t xml:space="preserve">12.3.2   </w:t>
      </w:r>
      <w:r>
        <w:t>The Tribunal decides within ninety days of seisin, on the text of this Framework and the rules of international law. Its awards bind the Parties. The Tribunal holds no power to amend the Framework, to create obligations, or to touch the firewalled files of Article 4.</w:t>
      </w:r>
    </w:p>
    <w:p w14:paraId="5F314646" w14:textId="77777777" w:rsidR="002A4A1B" w:rsidRDefault="00000000">
      <w:pPr>
        <w:spacing w:after="140"/>
        <w:jc w:val="both"/>
      </w:pPr>
      <w:r>
        <w:rPr>
          <w:b/>
          <w:color w:val="1F3A44"/>
        </w:rPr>
        <w:t xml:space="preserve">12.3.3   </w:t>
      </w:r>
      <w:r>
        <w:t>Awards execute through the compliance engine: the Verification Chamber monitors performance of every award, and non-performance registers in the Demerit Matrix of Annex G like any other verified non-performance. The Tribunal's teeth are the same teeth everything else in this Framework uses, so no party faces a special court with special rules.</w:t>
      </w:r>
    </w:p>
    <w:p w14:paraId="0061D0D0" w14:textId="77777777" w:rsidR="002A4A1B" w:rsidRDefault="00000000">
      <w:pPr>
        <w:pStyle w:val="Heading2"/>
      </w:pPr>
      <w:bookmarkStart w:id="71" w:name="_Toc236929610"/>
      <w:r>
        <w:lastRenderedPageBreak/>
        <w:t>12.4 Claims of the Industry</w:t>
      </w:r>
      <w:bookmarkEnd w:id="71"/>
    </w:p>
    <w:p w14:paraId="439465D2" w14:textId="77777777" w:rsidR="002A4A1B" w:rsidRDefault="00000000">
      <w:pPr>
        <w:spacing w:after="140"/>
        <w:jc w:val="both"/>
      </w:pPr>
      <w:r>
        <w:rPr>
          <w:b/>
          <w:color w:val="1F3A44"/>
        </w:rPr>
        <w:t xml:space="preserve">12.4.1   </w:t>
      </w:r>
      <w:r>
        <w:t>Shipowners, charterers, cargo interests, and insurers bring claims arising from corridor operations, charge assessments, or incident handling to the Claims Chamber of the Tribunal under the fast procedure of Annex I: filing to decision within sixty days, on documents alone where the facts allow, with a small-claims track for amounts under the threshold Annex I sets.</w:t>
      </w:r>
    </w:p>
    <w:p w14:paraId="2F131437" w14:textId="77777777" w:rsidR="002A4A1B" w:rsidRDefault="00000000">
      <w:pPr>
        <w:spacing w:after="140"/>
        <w:jc w:val="both"/>
      </w:pPr>
      <w:r>
        <w:rPr>
          <w:b/>
          <w:color w:val="1F3A44"/>
        </w:rPr>
        <w:t xml:space="preserve">12.4.2   </w:t>
      </w:r>
      <w:r>
        <w:t>The Claims Chamber's docket publishes in full. An industry that sees its grievances answered on a public docket in sixty days insures the Strait; an industry that does not, prices the risk instead. The Framework chooses the first outcome on purpose.</w:t>
      </w:r>
    </w:p>
    <w:p w14:paraId="09FB4B90" w14:textId="77777777" w:rsidR="002A4A1B" w:rsidRDefault="00000000">
      <w:pPr>
        <w:pStyle w:val="Heading1"/>
      </w:pPr>
      <w:bookmarkStart w:id="72" w:name="_Toc236929611"/>
      <w:r>
        <w:lastRenderedPageBreak/>
        <w:t>Part IV: Verification and Compliance</w:t>
      </w:r>
      <w:bookmarkEnd w:id="72"/>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22381AB4"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088E9507" w14:textId="77777777" w:rsidR="002A4A1B" w:rsidRDefault="00000000">
            <w:pPr>
              <w:spacing w:after="60"/>
            </w:pPr>
            <w:r>
              <w:rPr>
                <w:rFonts w:ascii="Georgia" w:hAnsi="Georgia"/>
                <w:b/>
                <w:color w:val="1F3A44"/>
                <w:sz w:val="23"/>
              </w:rPr>
              <w:t>Part Overview</w:t>
            </w:r>
          </w:p>
          <w:p w14:paraId="60F7EC7B" w14:textId="77777777" w:rsidR="002A4A1B" w:rsidRDefault="00000000">
            <w:pPr>
              <w:spacing w:after="60" w:line="320" w:lineRule="auto"/>
              <w:jc w:val="both"/>
            </w:pPr>
            <w:r>
              <w:rPr>
                <w:sz w:val="21"/>
              </w:rPr>
              <w:t>Part IV carries the compliance engine. Its design premise: snapback kills agreements. A binary collapse dynamic converts every minor infraction into an existential crisis and rewards escalation over remediation. This Framework replaces collapse with breath: reciprocal verification, proportional consequences, automatic earn-back, and an emergency architecture with teeth that point in both directions. Fairness here is structural: both coasts invest, both coasts verify, both coasts recover.</w:t>
            </w:r>
          </w:p>
        </w:tc>
      </w:tr>
    </w:tbl>
    <w:p w14:paraId="5D653412" w14:textId="77777777" w:rsidR="002A4A1B" w:rsidRDefault="002A4A1B">
      <w:pPr>
        <w:spacing w:after="160"/>
      </w:pPr>
    </w:p>
    <w:p w14:paraId="0E8B77B9" w14:textId="77777777" w:rsidR="002A4A1B" w:rsidRDefault="00000000">
      <w:pPr>
        <w:pStyle w:val="Heading1"/>
      </w:pPr>
      <w:bookmarkStart w:id="73" w:name="_Toc236929612"/>
      <w:r>
        <w:lastRenderedPageBreak/>
        <w:t>Article 13: The Cothrom-Payedar Verification Method</w:t>
      </w:r>
      <w:bookmarkEnd w:id="73"/>
    </w:p>
    <w:p w14:paraId="177CBE3D" w14:textId="77777777" w:rsidR="002A4A1B" w:rsidRDefault="00000000">
      <w:pPr>
        <w:pStyle w:val="Heading2"/>
      </w:pPr>
      <w:bookmarkStart w:id="74" w:name="_Toc236929613"/>
      <w:r>
        <w:t>13.1 The Principle of Balance</w:t>
      </w:r>
      <w:bookmarkEnd w:id="74"/>
    </w:p>
    <w:p w14:paraId="279AEF52" w14:textId="77777777" w:rsidR="002A4A1B" w:rsidRDefault="00000000">
      <w:pPr>
        <w:spacing w:after="140"/>
        <w:jc w:val="both"/>
      </w:pPr>
      <w:r>
        <w:rPr>
          <w:b/>
          <w:color w:val="1F3A44"/>
        </w:rPr>
        <w:t xml:space="preserve">13.1.1   </w:t>
      </w:r>
      <w:r>
        <w:t>Verification under this Framework follows the Cothrom-Payedar Method of Annex F: a unified, balanced architecture in which verification is a reciprocal investment, never a surveillance regime. Both coasts fund the sensors, both coasts read the data, both coasts challenge the findings, and both coasts recover standing by the same rules.</w:t>
      </w:r>
    </w:p>
    <w:p w14:paraId="7DDBE95D" w14:textId="77777777" w:rsidR="002A4A1B" w:rsidRDefault="00000000">
      <w:pPr>
        <w:spacing w:after="140"/>
        <w:jc w:val="both"/>
      </w:pPr>
      <w:r>
        <w:rPr>
          <w:b/>
          <w:color w:val="1F3A44"/>
        </w:rPr>
        <w:t xml:space="preserve">13.1.2   </w:t>
      </w:r>
      <w:r>
        <w:t>The Method verifies performance, not intention. Every verification act attaches to a physical, measurable, published fact: a track on the fused picture, a sensor reading, a ledger entry, an inspection record. No organ of this Framework verifies motives, and no finding rests on testimony the record cannot corroborate.</w:t>
      </w:r>
    </w:p>
    <w:p w14:paraId="7894870C" w14:textId="77777777" w:rsidR="002A4A1B" w:rsidRDefault="00000000">
      <w:pPr>
        <w:spacing w:after="140"/>
        <w:jc w:val="both"/>
      </w:pPr>
      <w:r>
        <w:rPr>
          <w:b/>
          <w:color w:val="1F3A44"/>
        </w:rPr>
        <w:t xml:space="preserve">13.1.3   </w:t>
      </w:r>
      <w:r>
        <w:t>The Method treats verification data as a shared asset. Every sensor feed lands in the shared registry of Annex C in real time, visible to both coasts and every observer simultaneously. A fact one coast sees, every coast sees in the same second.</w:t>
      </w:r>
    </w:p>
    <w:p w14:paraId="750DD7B5" w14:textId="77777777" w:rsidR="002A4A1B" w:rsidRDefault="00000000">
      <w:pPr>
        <w:pStyle w:val="Heading2"/>
      </w:pPr>
      <w:bookmarkStart w:id="75" w:name="_Toc236929614"/>
      <w:r>
        <w:t>13.2 The Verification Chamber</w:t>
      </w:r>
      <w:bookmarkEnd w:id="75"/>
    </w:p>
    <w:p w14:paraId="2F1940CD" w14:textId="77777777" w:rsidR="002A4A1B" w:rsidRDefault="00000000">
      <w:pPr>
        <w:spacing w:after="140"/>
        <w:jc w:val="both"/>
      </w:pPr>
      <w:r>
        <w:rPr>
          <w:b/>
          <w:color w:val="1F3A44"/>
        </w:rPr>
        <w:t xml:space="preserve">13.2.1   </w:t>
      </w:r>
      <w:r>
        <w:t>The Verification Chamber conducts every verification act under this Framework. It comprises twelve verification officers: four Iranian, four Omani, and four international officers drawn by lot from the Neutral Administrator's roster. It decides findings by simple majority, and every finding publishes with its evidence within twenty-four hours.</w:t>
      </w:r>
    </w:p>
    <w:p w14:paraId="76D7D0A9" w14:textId="77777777" w:rsidR="002A4A1B" w:rsidRDefault="00000000">
      <w:pPr>
        <w:spacing w:after="140"/>
        <w:jc w:val="both"/>
      </w:pPr>
      <w:r>
        <w:rPr>
          <w:b/>
          <w:color w:val="1F3A44"/>
        </w:rPr>
        <w:t xml:space="preserve">13.2.2   </w:t>
      </w:r>
      <w:r>
        <w:t>The Chamber works from instruments, not from politics: the sensor chain of Annex C, the AIS record, the charge ledger, the inspection reports, and the declared data of the Parties. Where instruments disagree, the Chamber applies the reconciliation procedure of Annex F, and where reconciliation fails, the Chamber records the divergence and treats the fact as unproven, in favor of continuity.</w:t>
      </w:r>
    </w:p>
    <w:p w14:paraId="506CDB94" w14:textId="77777777" w:rsidR="002A4A1B" w:rsidRDefault="00000000">
      <w:pPr>
        <w:spacing w:after="140"/>
        <w:jc w:val="both"/>
      </w:pPr>
      <w:r>
        <w:rPr>
          <w:b/>
          <w:color w:val="1F3A44"/>
        </w:rPr>
        <w:t xml:space="preserve">13.2.3   </w:t>
      </w:r>
      <w:r>
        <w:t>The Chamber verifies symmetrically by design. Every inspection template, every data request, and every audit that applies to one coast applies to the other on the same schedule. Symmetry of verification is the Method's first fairness guarantee, and the Chamber's annual symmetry audit publishes the proof.</w:t>
      </w:r>
    </w:p>
    <w:p w14:paraId="7B30A417" w14:textId="77777777" w:rsidR="002A4A1B" w:rsidRDefault="00000000">
      <w:pPr>
        <w:pStyle w:val="Heading2"/>
      </w:pPr>
      <w:bookmarkStart w:id="76" w:name="_Toc236929615"/>
      <w:r>
        <w:lastRenderedPageBreak/>
        <w:t>13.3 Adversarial Fairness</w:t>
      </w:r>
      <w:bookmarkEnd w:id="76"/>
    </w:p>
    <w:p w14:paraId="1413F2B4" w14:textId="77777777" w:rsidR="002A4A1B" w:rsidRDefault="00000000">
      <w:pPr>
        <w:spacing w:after="140"/>
        <w:jc w:val="both"/>
      </w:pPr>
      <w:r>
        <w:rPr>
          <w:b/>
          <w:color w:val="1F3A44"/>
        </w:rPr>
        <w:t xml:space="preserve">13.3.1   </w:t>
      </w:r>
      <w:r>
        <w:t>Each Party holds a standing right to challenge any datum, any finding, and any instrument. The challenge lands in the shared registry, receives a technical answer within seventy-two hours, and escalates to the Chamber's dispute procedure if the answer fails to resolve it. The right to challenge never expires, never requires permission, and never carries a cost.</w:t>
      </w:r>
    </w:p>
    <w:p w14:paraId="5C52B00A" w14:textId="77777777" w:rsidR="002A4A1B" w:rsidRDefault="00000000">
      <w:pPr>
        <w:spacing w:after="140"/>
        <w:jc w:val="both"/>
      </w:pPr>
      <w:r>
        <w:rPr>
          <w:b/>
          <w:color w:val="1F3A44"/>
        </w:rPr>
        <w:t xml:space="preserve">13.3.2   </w:t>
      </w:r>
      <w:r>
        <w:t>The Method guards its own instruments. Tampering with any sensor, feed, or registry entry registers as a Tier 3 event under the Demerit Matrix, and the discovery procedure of Annex F treats the integrity of the verification architecture itself as the Framework's most protected asset.</w:t>
      </w:r>
    </w:p>
    <w:p w14:paraId="6B3868DD" w14:textId="77777777" w:rsidR="002A4A1B" w:rsidRDefault="00000000">
      <w:pPr>
        <w:pStyle w:val="Heading2"/>
      </w:pPr>
      <w:bookmarkStart w:id="77" w:name="_Toc236929616"/>
      <w:r>
        <w:t>13.4 Reciprocal Recovery</w:t>
      </w:r>
      <w:bookmarkEnd w:id="77"/>
    </w:p>
    <w:p w14:paraId="6E1BE270" w14:textId="77777777" w:rsidR="002A4A1B" w:rsidRDefault="00000000">
      <w:pPr>
        <w:spacing w:after="140"/>
        <w:jc w:val="both"/>
      </w:pPr>
      <w:r>
        <w:rPr>
          <w:b/>
          <w:color w:val="1F3A44"/>
        </w:rPr>
        <w:t xml:space="preserve">13.4.1   </w:t>
      </w:r>
      <w:r>
        <w:t>Every consequence the engine produces carries an automatic earn-back pathway of equal clarity. Recovery is a structural feature, not a favor: the same instruments that record a deviation record its remediation, and the same engine that steps a benefit back steps it forward on verified performance.</w:t>
      </w:r>
    </w:p>
    <w:p w14:paraId="3ECAE224" w14:textId="77777777" w:rsidR="002A4A1B" w:rsidRDefault="00000000">
      <w:pPr>
        <w:pStyle w:val="Heading1"/>
      </w:pPr>
      <w:bookmarkStart w:id="78" w:name="_Toc236929617"/>
      <w:r>
        <w:lastRenderedPageBreak/>
        <w:t>Article 14: The Step-Back and Earn-Back Engine</w:t>
      </w:r>
      <w:bookmarkEnd w:id="78"/>
    </w:p>
    <w:p w14:paraId="085257DF" w14:textId="77777777" w:rsidR="002A4A1B" w:rsidRDefault="00000000">
      <w:pPr>
        <w:pStyle w:val="Heading2"/>
      </w:pPr>
      <w:bookmarkStart w:id="79" w:name="_Toc236929618"/>
      <w:r>
        <w:t>14.1 The Three Tiers</w:t>
      </w:r>
      <w:bookmarkEnd w:id="79"/>
    </w:p>
    <w:p w14:paraId="5A01C2DA" w14:textId="77777777" w:rsidR="002A4A1B" w:rsidRDefault="00000000">
      <w:pPr>
        <w:spacing w:after="140"/>
        <w:jc w:val="both"/>
      </w:pPr>
      <w:r>
        <w:rPr>
          <w:b/>
          <w:color w:val="1F3A44"/>
        </w:rPr>
        <w:t xml:space="preserve">14.1.1   </w:t>
      </w:r>
      <w:r>
        <w:t>Every compliance event sorts into one of three tiers by its verified severity, and the tier determines every subsequent response. Annex G carries the exhaustive classification schedule; the classified summaries follow here.</w:t>
      </w:r>
    </w:p>
    <w:p w14:paraId="109D11EB" w14:textId="77777777" w:rsidR="002A4A1B" w:rsidRDefault="00000000">
      <w:pPr>
        <w:spacing w:after="140"/>
        <w:jc w:val="both"/>
      </w:pPr>
      <w:r>
        <w:rPr>
          <w:b/>
          <w:color w:val="1F3A44"/>
        </w:rPr>
        <w:t xml:space="preserve">14.1.2   </w:t>
      </w:r>
      <w:r>
        <w:t>Tier One, Technical Deviation. Administrative delays, minor data interruptions with documented cause, single-day reporting lapses, and deviations within the published tolerance bands. Response: no benefit reduction, no step-back. The Verification Chamber provides technical assistance within seventy-two hours, the engineering resolution window runs fourteen days, and the handling stays confidential. Tier One events resolve independently and never accumulate.</w:t>
      </w:r>
    </w:p>
    <w:p w14:paraId="74C52D59" w14:textId="77777777" w:rsidR="002A4A1B" w:rsidRDefault="00000000">
      <w:pPr>
        <w:spacing w:after="140"/>
        <w:jc w:val="both"/>
      </w:pPr>
      <w:r>
        <w:rPr>
          <w:b/>
          <w:color w:val="1F3A44"/>
        </w:rPr>
        <w:t xml:space="preserve">14.1.3   </w:t>
      </w:r>
      <w:r>
        <w:t>Tier Two, Material Disruption. Corridor operation outside published parameters, obstruction of any verification act beyond seventy-two hours, unauthorized geometry deviation, charge assessment outside the published schedule, or a pattern of anomalous data suggesting manipulation. Response: graduated step-back of discretionary benefits under Annex G, proportional to duration, with the earn-back clock starting on verified remediation.</w:t>
      </w:r>
    </w:p>
    <w:p w14:paraId="4B69AC63" w14:textId="77777777" w:rsidR="002A4A1B" w:rsidRDefault="00000000">
      <w:pPr>
        <w:spacing w:after="140"/>
        <w:jc w:val="both"/>
      </w:pPr>
      <w:r>
        <w:rPr>
          <w:b/>
          <w:color w:val="1F3A44"/>
        </w:rPr>
        <w:t xml:space="preserve">14.1.4   </w:t>
      </w:r>
      <w:r>
        <w:t>Tier Three, Strategic Breach. Any interdiction outside Article 7.3.2, any attack on or seizure of a commercial vessel, any mining of any water, any falsification of telemetry or ledger data, or any tampering with the verification architecture. Response: immediate activation of the Zona Aequalis emergency architecture of Article 16, with the automatic consequences Annex G states and the earn-back ladder of Article 16.5.</w:t>
      </w:r>
    </w:p>
    <w:p w14:paraId="300731F3" w14:textId="77777777" w:rsidR="002A4A1B" w:rsidRDefault="00000000">
      <w:pPr>
        <w:pStyle w:val="Heading2"/>
      </w:pPr>
      <w:bookmarkStart w:id="80" w:name="_Toc236929619"/>
      <w:r>
        <w:t>14.2 The Order of Consequences</w:t>
      </w:r>
      <w:bookmarkEnd w:id="80"/>
    </w:p>
    <w:p w14:paraId="1F1404E8" w14:textId="77777777" w:rsidR="002A4A1B" w:rsidRDefault="00000000">
      <w:pPr>
        <w:spacing w:after="140"/>
        <w:jc w:val="both"/>
      </w:pPr>
      <w:r>
        <w:rPr>
          <w:b/>
          <w:color w:val="1F3A44"/>
        </w:rPr>
        <w:t xml:space="preserve">14.2.1   </w:t>
      </w:r>
      <w:r>
        <w:t>The engine breathes in a fixed order. Discretionary benefits pause first: convening privileges, chairmanships, pilot-phase flexibilities, and the economic accelerators of Annex H. Core constraints survive longest: the corridors keep operating, the humanitarian flows keep moving, the monitoring keeps running. Humanitarian protections remain absolute in every tier, in every zone, without exception.</w:t>
      </w:r>
    </w:p>
    <w:p w14:paraId="5E0CF2A6" w14:textId="77777777" w:rsidR="002A4A1B" w:rsidRDefault="00000000">
      <w:pPr>
        <w:spacing w:after="140"/>
        <w:jc w:val="both"/>
      </w:pPr>
      <w:r>
        <w:rPr>
          <w:b/>
          <w:color w:val="1F3A44"/>
        </w:rPr>
        <w:t xml:space="preserve">14.2.2   </w:t>
      </w:r>
      <w:r>
        <w:t>The engine never produces surprise. Every consequence publishes in Annex G next to its trigger, in the same table row, in numbers. A Party reads its exposure before it acts, which is the entire point of writing consequences down in advance.</w:t>
      </w:r>
    </w:p>
    <w:p w14:paraId="31C5B740" w14:textId="77777777" w:rsidR="002A4A1B" w:rsidRDefault="00000000">
      <w:pPr>
        <w:pStyle w:val="Heading2"/>
      </w:pPr>
      <w:bookmarkStart w:id="81" w:name="_Toc236929620"/>
      <w:r>
        <w:lastRenderedPageBreak/>
        <w:t>14.3 Earn-Back</w:t>
      </w:r>
      <w:bookmarkEnd w:id="81"/>
    </w:p>
    <w:p w14:paraId="0913F024" w14:textId="77777777" w:rsidR="002A4A1B" w:rsidRDefault="00000000">
      <w:pPr>
        <w:spacing w:after="140"/>
        <w:jc w:val="both"/>
      </w:pPr>
      <w:r>
        <w:rPr>
          <w:b/>
          <w:color w:val="1F3A44"/>
        </w:rPr>
        <w:t xml:space="preserve">14.3.1   </w:t>
      </w:r>
      <w:r>
        <w:t>Earn-back activates on verified remediation and runs on published clocks: seven verified days restore the first tranche of paused benefits, thirty restore the second, ninety restore full standing. The Verification Chamber certifies each tranche on the instrument record, and certification restores automatically, without a vote and without a favor.</w:t>
      </w:r>
    </w:p>
    <w:p w14:paraId="5CF0390B" w14:textId="77777777" w:rsidR="002A4A1B" w:rsidRDefault="00000000">
      <w:pPr>
        <w:spacing w:after="140"/>
        <w:jc w:val="both"/>
      </w:pPr>
      <w:r>
        <w:rPr>
          <w:b/>
          <w:color w:val="1F3A44"/>
        </w:rPr>
        <w:t xml:space="preserve">14.3.2   </w:t>
      </w:r>
      <w:r>
        <w:t>No violation creates permanent exclusion. The Framework's architecture treats every Party as a future compliant Party, and builds the path back into the same tables that build the consequence.</w:t>
      </w:r>
    </w:p>
    <w:p w14:paraId="06C93C08" w14:textId="77777777" w:rsidR="002A4A1B" w:rsidRDefault="00000000">
      <w:pPr>
        <w:pStyle w:val="Heading1"/>
      </w:pPr>
      <w:bookmarkStart w:id="82" w:name="_Toc236929621"/>
      <w:r>
        <w:lastRenderedPageBreak/>
        <w:t>Article 15: The Demerit Point System</w:t>
      </w:r>
      <w:bookmarkEnd w:id="82"/>
    </w:p>
    <w:p w14:paraId="7110BAFF" w14:textId="77777777" w:rsidR="002A4A1B" w:rsidRDefault="00000000">
      <w:pPr>
        <w:pStyle w:val="Heading2"/>
      </w:pPr>
      <w:bookmarkStart w:id="83" w:name="_Toc236929622"/>
      <w:r>
        <w:t>15.1 The Matrix</w:t>
      </w:r>
      <w:bookmarkEnd w:id="83"/>
    </w:p>
    <w:p w14:paraId="29E2BC67" w14:textId="77777777" w:rsidR="002A4A1B" w:rsidRDefault="00000000">
      <w:pPr>
        <w:spacing w:after="140"/>
        <w:jc w:val="both"/>
      </w:pPr>
      <w:r>
        <w:rPr>
          <w:b/>
          <w:color w:val="1F3A44"/>
        </w:rPr>
        <w:t xml:space="preserve">15.1.1   </w:t>
      </w:r>
      <w:r>
        <w:t>The Demerit Point Matrix of Annex G provides the definitive, exhaustive schedule of demerit points for each verifiable violation of this Framework. Point values reflect severity and strategic significance: minor administrative delays carry minimal points; deliberate subversion of the verification architecture carries the maximum.</w:t>
      </w:r>
    </w:p>
    <w:p w14:paraId="7A628751" w14:textId="77777777" w:rsidR="002A4A1B" w:rsidRDefault="00000000">
      <w:pPr>
        <w:spacing w:after="140"/>
        <w:jc w:val="both"/>
      </w:pPr>
      <w:r>
        <w:rPr>
          <w:b/>
          <w:color w:val="1F3A44"/>
        </w:rPr>
        <w:t xml:space="preserve">15.1.2   </w:t>
      </w:r>
      <w:r>
        <w:t>Points assess automatically on Verification Chamber certification of a violation. No political discretion enters the assessment. The only human intervention is the dispute procedure of Annex F, which reviews the finding, never the arithmetic.</w:t>
      </w:r>
    </w:p>
    <w:p w14:paraId="30EE2EB4" w14:textId="77777777" w:rsidR="002A4A1B" w:rsidRDefault="00000000">
      <w:pPr>
        <w:spacing w:after="140"/>
        <w:jc w:val="both"/>
      </w:pPr>
      <w:r>
        <w:rPr>
          <w:b/>
          <w:color w:val="1F3A44"/>
        </w:rPr>
        <w:t xml:space="preserve">15.1.3   </w:t>
      </w:r>
      <w:r>
        <w:t>Points expire automatically one hundred eighty days after assessment, provided the assessed Party maintains full, verified compliance during that period. Only active points count toward the escalation thresholds. A single violation carries points under one category only, the most severe applicable, and continuing violations assess on the first day alone.</w:t>
      </w:r>
    </w:p>
    <w:p w14:paraId="3C828808" w14:textId="77777777" w:rsidR="002A4A1B" w:rsidRDefault="00000000">
      <w:pPr>
        <w:pStyle w:val="Heading2"/>
      </w:pPr>
      <w:bookmarkStart w:id="84" w:name="_Toc236929623"/>
      <w:r>
        <w:t>15.2 The Escalation Thresholds</w:t>
      </w:r>
      <w:bookmarkEnd w:id="84"/>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127"/>
        <w:gridCol w:w="7099"/>
      </w:tblGrid>
      <w:tr w:rsidR="002A4A1B" w14:paraId="2ACBFE96" w14:textId="77777777">
        <w:tblPrEx>
          <w:tblCellMar>
            <w:top w:w="0" w:type="dxa"/>
            <w:bottom w:w="0" w:type="dxa"/>
          </w:tblCellMar>
        </w:tblPrEx>
        <w:trPr>
          <w:tblHeader/>
        </w:trPr>
        <w:tc>
          <w:tcPr>
            <w:tcW w:w="2200" w:type="dxa"/>
            <w:tcBorders>
              <w:bottom w:val="single" w:sz="6" w:space="0" w:color="2F5560"/>
            </w:tcBorders>
            <w:shd w:val="clear" w:color="auto" w:fill="E7EEF0"/>
            <w:tcMar>
              <w:top w:w="60" w:type="dxa"/>
              <w:left w:w="100" w:type="dxa"/>
              <w:bottom w:w="60" w:type="dxa"/>
              <w:right w:w="100" w:type="dxa"/>
            </w:tcMar>
          </w:tcPr>
          <w:p w14:paraId="76A9702C" w14:textId="77777777" w:rsidR="002A4A1B" w:rsidRDefault="00000000">
            <w:pPr>
              <w:spacing w:after="0" w:line="300" w:lineRule="auto"/>
            </w:pPr>
            <w:r>
              <w:rPr>
                <w:b/>
                <w:color w:val="1F3A44"/>
                <w:sz w:val="20"/>
              </w:rPr>
              <w:t>Active points</w:t>
            </w:r>
          </w:p>
        </w:tc>
        <w:tc>
          <w:tcPr>
            <w:tcW w:w="7400" w:type="dxa"/>
            <w:tcBorders>
              <w:bottom w:val="single" w:sz="6" w:space="0" w:color="2F5560"/>
            </w:tcBorders>
            <w:shd w:val="clear" w:color="auto" w:fill="E7EEF0"/>
            <w:tcMar>
              <w:top w:w="60" w:type="dxa"/>
              <w:left w:w="100" w:type="dxa"/>
              <w:bottom w:w="60" w:type="dxa"/>
              <w:right w:w="100" w:type="dxa"/>
            </w:tcMar>
          </w:tcPr>
          <w:p w14:paraId="5D413CF2" w14:textId="77777777" w:rsidR="002A4A1B" w:rsidRDefault="00000000">
            <w:pPr>
              <w:spacing w:after="0" w:line="300" w:lineRule="auto"/>
            </w:pPr>
            <w:r>
              <w:rPr>
                <w:b/>
                <w:color w:val="1F3A44"/>
                <w:sz w:val="20"/>
              </w:rPr>
              <w:t>Automatic consequence</w:t>
            </w:r>
          </w:p>
        </w:tc>
      </w:tr>
      <w:tr w:rsidR="002A4A1B" w14:paraId="45B9ACD0" w14:textId="77777777">
        <w:tblPrEx>
          <w:tblCellMar>
            <w:top w:w="0" w:type="dxa"/>
            <w:bottom w:w="0" w:type="dxa"/>
          </w:tblCellMar>
        </w:tblPrEx>
        <w:tc>
          <w:tcPr>
            <w:tcW w:w="2200" w:type="dxa"/>
            <w:tcMar>
              <w:top w:w="60" w:type="dxa"/>
              <w:left w:w="100" w:type="dxa"/>
              <w:bottom w:w="60" w:type="dxa"/>
              <w:right w:w="100" w:type="dxa"/>
            </w:tcMar>
          </w:tcPr>
          <w:p w14:paraId="6EF27ED4" w14:textId="77777777" w:rsidR="002A4A1B" w:rsidRDefault="00000000">
            <w:pPr>
              <w:spacing w:after="0" w:line="300" w:lineRule="auto"/>
            </w:pPr>
            <w:r>
              <w:rPr>
                <w:sz w:val="20"/>
              </w:rPr>
              <w:t>0 to 4</w:t>
            </w:r>
          </w:p>
        </w:tc>
        <w:tc>
          <w:tcPr>
            <w:tcW w:w="7400" w:type="dxa"/>
            <w:tcMar>
              <w:top w:w="60" w:type="dxa"/>
              <w:left w:w="100" w:type="dxa"/>
              <w:bottom w:w="60" w:type="dxa"/>
              <w:right w:w="100" w:type="dxa"/>
            </w:tcMar>
          </w:tcPr>
          <w:p w14:paraId="67F89003" w14:textId="77777777" w:rsidR="002A4A1B" w:rsidRDefault="00000000">
            <w:pPr>
              <w:spacing w:after="0" w:line="300" w:lineRule="auto"/>
            </w:pPr>
            <w:r>
              <w:rPr>
                <w:sz w:val="20"/>
              </w:rPr>
              <w:t>No additional consequence beyond the base response of the triggering tier</w:t>
            </w:r>
          </w:p>
        </w:tc>
      </w:tr>
      <w:tr w:rsidR="002A4A1B" w14:paraId="70C3A74F" w14:textId="77777777">
        <w:tblPrEx>
          <w:tblCellMar>
            <w:top w:w="0" w:type="dxa"/>
            <w:bottom w:w="0" w:type="dxa"/>
          </w:tblCellMar>
        </w:tblPrEx>
        <w:tc>
          <w:tcPr>
            <w:tcW w:w="2200" w:type="dxa"/>
            <w:tcMar>
              <w:top w:w="60" w:type="dxa"/>
              <w:left w:w="100" w:type="dxa"/>
              <w:bottom w:w="60" w:type="dxa"/>
              <w:right w:w="100" w:type="dxa"/>
            </w:tcMar>
          </w:tcPr>
          <w:p w14:paraId="7F278CB6" w14:textId="77777777" w:rsidR="002A4A1B" w:rsidRDefault="00000000">
            <w:pPr>
              <w:spacing w:after="0" w:line="300" w:lineRule="auto"/>
            </w:pPr>
            <w:r>
              <w:rPr>
                <w:sz w:val="20"/>
              </w:rPr>
              <w:t>5 to 7</w:t>
            </w:r>
          </w:p>
        </w:tc>
        <w:tc>
          <w:tcPr>
            <w:tcW w:w="7400" w:type="dxa"/>
            <w:tcMar>
              <w:top w:w="60" w:type="dxa"/>
              <w:left w:w="100" w:type="dxa"/>
              <w:bottom w:w="60" w:type="dxa"/>
              <w:right w:w="100" w:type="dxa"/>
            </w:tcMar>
          </w:tcPr>
          <w:p w14:paraId="2B4E2A90" w14:textId="77777777" w:rsidR="002A4A1B" w:rsidRDefault="00000000">
            <w:pPr>
              <w:spacing w:after="0" w:line="300" w:lineRule="auto"/>
            </w:pPr>
            <w:r>
              <w:rPr>
                <w:sz w:val="20"/>
              </w:rPr>
              <w:t>Amber notice: the Council convenes a compliance session within seven days; the Party presents a remediation plan</w:t>
            </w:r>
          </w:p>
        </w:tc>
      </w:tr>
      <w:tr w:rsidR="002A4A1B" w14:paraId="6A962C6F" w14:textId="77777777">
        <w:tblPrEx>
          <w:tblCellMar>
            <w:top w:w="0" w:type="dxa"/>
            <w:bottom w:w="0" w:type="dxa"/>
          </w:tblCellMar>
        </w:tblPrEx>
        <w:tc>
          <w:tcPr>
            <w:tcW w:w="2200" w:type="dxa"/>
            <w:tcMar>
              <w:top w:w="60" w:type="dxa"/>
              <w:left w:w="100" w:type="dxa"/>
              <w:bottom w:w="60" w:type="dxa"/>
              <w:right w:w="100" w:type="dxa"/>
            </w:tcMar>
          </w:tcPr>
          <w:p w14:paraId="1CF6691A" w14:textId="77777777" w:rsidR="002A4A1B" w:rsidRDefault="00000000">
            <w:pPr>
              <w:spacing w:after="0" w:line="300" w:lineRule="auto"/>
            </w:pPr>
            <w:r>
              <w:rPr>
                <w:sz w:val="20"/>
              </w:rPr>
              <w:t>8 to 11</w:t>
            </w:r>
          </w:p>
        </w:tc>
        <w:tc>
          <w:tcPr>
            <w:tcW w:w="7400" w:type="dxa"/>
            <w:tcMar>
              <w:top w:w="60" w:type="dxa"/>
              <w:left w:w="100" w:type="dxa"/>
              <w:bottom w:w="60" w:type="dxa"/>
              <w:right w:w="100" w:type="dxa"/>
            </w:tcMar>
          </w:tcPr>
          <w:p w14:paraId="342AD766" w14:textId="77777777" w:rsidR="002A4A1B" w:rsidRDefault="00000000">
            <w:pPr>
              <w:spacing w:after="0" w:line="300" w:lineRule="auto"/>
            </w:pPr>
            <w:r>
              <w:rPr>
                <w:sz w:val="20"/>
              </w:rPr>
              <w:t>Orange notice: discretionary benefits pause under Annex G; the earn-back clock and plan publish in full</w:t>
            </w:r>
          </w:p>
        </w:tc>
      </w:tr>
      <w:tr w:rsidR="002A4A1B" w14:paraId="0AC159D5" w14:textId="77777777">
        <w:tblPrEx>
          <w:tblCellMar>
            <w:top w:w="0" w:type="dxa"/>
            <w:bottom w:w="0" w:type="dxa"/>
          </w:tblCellMar>
        </w:tblPrEx>
        <w:tc>
          <w:tcPr>
            <w:tcW w:w="2200" w:type="dxa"/>
            <w:tcMar>
              <w:top w:w="60" w:type="dxa"/>
              <w:left w:w="100" w:type="dxa"/>
              <w:bottom w:w="60" w:type="dxa"/>
              <w:right w:w="100" w:type="dxa"/>
            </w:tcMar>
          </w:tcPr>
          <w:p w14:paraId="1E338A00" w14:textId="77777777" w:rsidR="002A4A1B" w:rsidRDefault="00000000">
            <w:pPr>
              <w:spacing w:after="0" w:line="300" w:lineRule="auto"/>
            </w:pPr>
            <w:r>
              <w:rPr>
                <w:sz w:val="20"/>
              </w:rPr>
              <w:t>12 or more</w:t>
            </w:r>
          </w:p>
        </w:tc>
        <w:tc>
          <w:tcPr>
            <w:tcW w:w="7400" w:type="dxa"/>
            <w:tcMar>
              <w:top w:w="60" w:type="dxa"/>
              <w:left w:w="100" w:type="dxa"/>
              <w:bottom w:w="60" w:type="dxa"/>
              <w:right w:w="100" w:type="dxa"/>
            </w:tcMar>
          </w:tcPr>
          <w:p w14:paraId="3A41D627" w14:textId="77777777" w:rsidR="002A4A1B" w:rsidRDefault="00000000">
            <w:pPr>
              <w:spacing w:after="0" w:line="300" w:lineRule="auto"/>
            </w:pPr>
            <w:r>
              <w:rPr>
                <w:sz w:val="20"/>
              </w:rPr>
              <w:t>Red notice: the Zona Aequalis architecture of Article 16 activates for the responsible Party</w:t>
            </w:r>
          </w:p>
        </w:tc>
      </w:tr>
    </w:tbl>
    <w:p w14:paraId="369FF4AE" w14:textId="77777777" w:rsidR="002A4A1B" w:rsidRDefault="002A4A1B">
      <w:pPr>
        <w:spacing w:after="160"/>
      </w:pPr>
    </w:p>
    <w:p w14:paraId="317A88CF" w14:textId="77777777" w:rsidR="002A4A1B" w:rsidRDefault="00000000">
      <w:pPr>
        <w:spacing w:after="140"/>
        <w:jc w:val="both"/>
      </w:pPr>
      <w:r>
        <w:rPr>
          <w:b/>
          <w:color w:val="1F3A44"/>
        </w:rPr>
        <w:t xml:space="preserve">15.2.1   </w:t>
      </w:r>
      <w:r>
        <w:t>The thresholds operate identically for both coasts. The matrix names no Party; it names conduct. Symmetry of consequence is the second fairness guarantee of the Method.</w:t>
      </w:r>
    </w:p>
    <w:p w14:paraId="44DF3F9F" w14:textId="77777777" w:rsidR="002A4A1B" w:rsidRDefault="00000000">
      <w:pPr>
        <w:pStyle w:val="Heading2"/>
      </w:pPr>
      <w:bookmarkStart w:id="85" w:name="_Toc236929624"/>
      <w:r>
        <w:t>15.3 The Challenge Right</w:t>
      </w:r>
      <w:bookmarkEnd w:id="85"/>
    </w:p>
    <w:p w14:paraId="4398891C" w14:textId="77777777" w:rsidR="002A4A1B" w:rsidRDefault="00000000">
      <w:pPr>
        <w:spacing w:after="140"/>
        <w:jc w:val="both"/>
      </w:pPr>
      <w:r>
        <w:rPr>
          <w:b/>
          <w:color w:val="1F3A44"/>
        </w:rPr>
        <w:t xml:space="preserve">15.3.1   </w:t>
      </w:r>
      <w:r>
        <w:t>The assessed Party challenges any point assessment within fourteen days through the dispute procedure of Annex F. Points remain active during the challenge and void retroactively if the challenge succeeds. The challenge right is the engine's due process, and it costs nothing to use.</w:t>
      </w:r>
    </w:p>
    <w:p w14:paraId="4DD0C28D" w14:textId="77777777" w:rsidR="002A4A1B" w:rsidRDefault="00000000">
      <w:pPr>
        <w:pStyle w:val="Heading1"/>
      </w:pPr>
      <w:bookmarkStart w:id="86" w:name="_Toc236929625"/>
      <w:r>
        <w:lastRenderedPageBreak/>
        <w:t>Article 16: The Zona Aequalis Emergency Architecture</w:t>
      </w:r>
      <w:bookmarkEnd w:id="86"/>
    </w:p>
    <w:p w14:paraId="5CC46AB8" w14:textId="77777777" w:rsidR="002A4A1B" w:rsidRDefault="00000000">
      <w:pPr>
        <w:pStyle w:val="Heading2"/>
      </w:pPr>
      <w:bookmarkStart w:id="87" w:name="_Toc236929626"/>
      <w:r>
        <w:t>16.1 The Four Zones</w:t>
      </w:r>
      <w:bookmarkEnd w:id="87"/>
    </w:p>
    <w:p w14:paraId="763F0A54" w14:textId="77777777" w:rsidR="002A4A1B" w:rsidRDefault="00000000">
      <w:pPr>
        <w:spacing w:after="140"/>
        <w:jc w:val="both"/>
      </w:pPr>
      <w:r>
        <w:rPr>
          <w:b/>
          <w:color w:val="1F3A44"/>
        </w:rPr>
        <w:t xml:space="preserve">16.1.1   </w:t>
      </w:r>
      <w:r>
        <w:t>The Framework's emergency architecture organizes into four zones of equal application: Green, Amber, Orange, and Red. Zone status attaches to conduct, not to identity: any Party enters any zone only through the verified events of Annex G, and exits only through the earn-back ladder of this Article. The zone of equals means what its name says: the same map for everyone.</w:t>
      </w:r>
    </w:p>
    <w:p w14:paraId="6B7C3186" w14:textId="77777777" w:rsidR="002A4A1B" w:rsidRDefault="00000000">
      <w:pPr>
        <w:spacing w:after="140"/>
        <w:jc w:val="both"/>
      </w:pPr>
      <w:r>
        <w:rPr>
          <w:b/>
          <w:color w:val="1F3A44"/>
        </w:rPr>
        <w:t xml:space="preserve">16.1.2   </w:t>
      </w:r>
      <w:r>
        <w:t>Green Zone is the ordinary state: full standing, full benefits, full verification access. Amber Zone activates on the accumulation of five active demerit points or one certified Tier Two event: enhanced verification tempo and a published remediation plan. Orange Zone activates on eight active points or a second certified Tier Two event within one hundred eighty days: discretionary benefits pause and the verification tempo doubles. Red Zone activates on twelve active points or one certified Tier Three event: the emergency measures of this Article execute.</w:t>
      </w:r>
    </w:p>
    <w:p w14:paraId="1684C902" w14:textId="77777777" w:rsidR="002A4A1B" w:rsidRDefault="00000000">
      <w:pPr>
        <w:pStyle w:val="Heading2"/>
      </w:pPr>
      <w:bookmarkStart w:id="88" w:name="_Toc236929627"/>
      <w:r>
        <w:t>16.2 Automaticity and Independent Confirmation</w:t>
      </w:r>
      <w:bookmarkEnd w:id="88"/>
    </w:p>
    <w:p w14:paraId="7F2017C8" w14:textId="77777777" w:rsidR="002A4A1B" w:rsidRDefault="00000000">
      <w:pPr>
        <w:spacing w:after="140"/>
        <w:jc w:val="both"/>
      </w:pPr>
      <w:r>
        <w:rPr>
          <w:b/>
          <w:color w:val="1F3A44"/>
        </w:rPr>
        <w:t xml:space="preserve">16.2.1   </w:t>
      </w:r>
      <w:r>
        <w:t>Zone transitions execute automatically on the Verification Chamber's certification, and every certification rests on independent confirmation: two of the Chamber's three nationality groups concur in every zone-moving finding. No single coast's officers move any Party between zones; the architecture distributes that power exactly where it distributes everything else.</w:t>
      </w:r>
    </w:p>
    <w:p w14:paraId="0D3D4D7E" w14:textId="77777777" w:rsidR="002A4A1B" w:rsidRDefault="00000000">
      <w:pPr>
        <w:spacing w:after="140"/>
        <w:jc w:val="both"/>
      </w:pPr>
      <w:r>
        <w:rPr>
          <w:b/>
          <w:color w:val="1F3A44"/>
        </w:rPr>
        <w:t xml:space="preserve">16.2.2   </w:t>
      </w:r>
      <w:r>
        <w:t>Zone status publishes in the shared registry within one hour of transition, with the full evidence record attached. The industry reads zone status in the same hour as the governments, because the market prices what it sees.</w:t>
      </w:r>
    </w:p>
    <w:p w14:paraId="03D29BBE" w14:textId="77777777" w:rsidR="002A4A1B" w:rsidRDefault="00000000">
      <w:pPr>
        <w:pStyle w:val="Heading2"/>
      </w:pPr>
      <w:bookmarkStart w:id="89" w:name="_Toc236929628"/>
      <w:r>
        <w:t>16.3 Red Zone Measures</w:t>
      </w:r>
      <w:bookmarkEnd w:id="89"/>
    </w:p>
    <w:p w14:paraId="41AD67A5" w14:textId="77777777" w:rsidR="002A4A1B" w:rsidRDefault="00000000">
      <w:pPr>
        <w:spacing w:after="140"/>
        <w:jc w:val="both"/>
      </w:pPr>
      <w:r>
        <w:rPr>
          <w:b/>
          <w:color w:val="1F3A44"/>
        </w:rPr>
        <w:t xml:space="preserve">16.3.1   </w:t>
      </w:r>
      <w:r>
        <w:t>Red Zone activation executes three measures simultaneously. First, the responsible Party's discretionary benefits pause in full: its accelerators under Annex H freeze, its convening privileges suspend, and its pilot flexibilities lapse. Second, the verification tempo for that Party rises to continuous presence: Chamber officers co-locate with every relevant operation of that Party in the Framework Area. Third, the sixty-day asset measure of Annex G activates: the tranche of the Stewardship Fund distribution due to that Party freezes in the neutral account for sixty days, earning to the Charity Pool if the zone persists.</w:t>
      </w:r>
    </w:p>
    <w:p w14:paraId="346DF172" w14:textId="77777777" w:rsidR="002A4A1B" w:rsidRDefault="00000000">
      <w:pPr>
        <w:spacing w:after="140"/>
        <w:jc w:val="both"/>
      </w:pPr>
      <w:r>
        <w:rPr>
          <w:b/>
          <w:color w:val="1F3A44"/>
        </w:rPr>
        <w:t xml:space="preserve">16.3.2   </w:t>
      </w:r>
      <w:r>
        <w:t xml:space="preserve">Red Zone measures never touch the core. The corridors keep operating; humanitarian passage continues absolute; the monitoring picture stays shared; the affected Party keeps every </w:t>
      </w:r>
      <w:r>
        <w:lastRenderedPageBreak/>
        <w:t>vote, every feed, and every verification right. The architecture punishes conduct, never presence, because presence is what makes recovery verifiable.</w:t>
      </w:r>
    </w:p>
    <w:p w14:paraId="78D46758" w14:textId="77777777" w:rsidR="002A4A1B" w:rsidRDefault="00000000">
      <w:pPr>
        <w:pStyle w:val="Heading2"/>
      </w:pPr>
      <w:bookmarkStart w:id="90" w:name="_Toc236929629"/>
      <w:r>
        <w:t>16.4 The Charity Pool</w:t>
      </w:r>
      <w:bookmarkEnd w:id="90"/>
    </w:p>
    <w:p w14:paraId="078D9F5F" w14:textId="77777777" w:rsidR="002A4A1B" w:rsidRDefault="00000000">
      <w:pPr>
        <w:spacing w:after="140"/>
        <w:jc w:val="both"/>
      </w:pPr>
      <w:r>
        <w:rPr>
          <w:b/>
          <w:color w:val="1F3A44"/>
        </w:rPr>
        <w:t xml:space="preserve">16.4.1   </w:t>
      </w:r>
      <w:r>
        <w:t>Frozen distributions that persist beyond sixty days transfer to the Charity Pool, which funds maritime safety and environmental remediation in the Framework Area under the Neutral Administrator's administration, with the affected Party's consent procedure replaced by the automaticity of this Article. The Pool finances buoyage, spill response capacity, and seafarer welfare, and publishes every disbursement. The design makes breach expensive and makes the price useful.</w:t>
      </w:r>
    </w:p>
    <w:p w14:paraId="5F27B17D" w14:textId="77777777" w:rsidR="002A4A1B" w:rsidRDefault="00000000">
      <w:pPr>
        <w:pStyle w:val="Heading2"/>
      </w:pPr>
      <w:bookmarkStart w:id="91" w:name="_Toc236929630"/>
      <w:r>
        <w:t>16.5 The Three-Strike Earn-Back Ladder</w:t>
      </w:r>
      <w:bookmarkEnd w:id="91"/>
    </w:p>
    <w:p w14:paraId="10D0E82C" w14:textId="77777777" w:rsidR="002A4A1B" w:rsidRDefault="00000000">
      <w:pPr>
        <w:spacing w:after="140"/>
        <w:jc w:val="both"/>
      </w:pPr>
      <w:r>
        <w:rPr>
          <w:b/>
          <w:color w:val="1F3A44"/>
        </w:rPr>
        <w:t xml:space="preserve">16.5.1   </w:t>
      </w:r>
      <w:r>
        <w:t>Exit from any zone climbs the three-strike earn-back ladder of Annex G. Strike One: the Party presents a remediation and compliance plan, and the Chamber certifies the plan within fourteen days. Strike Two: the Party implements the plan under continuous verification, and the Chamber certifies implementation, restoring half the paused benefits. Strike Three: the Party completes full remediation and maintains verified compliance for the ladder period, and the Chamber certifies restoration in full, returning the Party to Green standing with all benefits, all rights, and no residue.</w:t>
      </w:r>
    </w:p>
    <w:p w14:paraId="396798B5" w14:textId="77777777" w:rsidR="002A4A1B" w:rsidRDefault="00000000">
      <w:pPr>
        <w:spacing w:after="140"/>
        <w:jc w:val="both"/>
      </w:pPr>
      <w:r>
        <w:rPr>
          <w:b/>
          <w:color w:val="1F3A44"/>
        </w:rPr>
        <w:t xml:space="preserve">16.5.2   </w:t>
      </w:r>
      <w:r>
        <w:t>Each strike carries a verification bond: a defined performance milestone with a published metric, verified by instruments, never by testimony. The ladder's every rung is physical, dated, and public, so that the way down and the way back are the same road traveled in opposite directions.</w:t>
      </w:r>
    </w:p>
    <w:p w14:paraId="565A1E7C" w14:textId="77777777" w:rsidR="002A4A1B" w:rsidRDefault="00000000">
      <w:pPr>
        <w:pStyle w:val="Heading1"/>
      </w:pPr>
      <w:bookmarkStart w:id="92" w:name="_Toc236929631"/>
      <w:r>
        <w:lastRenderedPageBreak/>
        <w:t>Part V: The Economic Architecture</w:t>
      </w:r>
      <w:bookmarkEnd w:id="92"/>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33F30FDD"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5A5066DE" w14:textId="77777777" w:rsidR="002A4A1B" w:rsidRDefault="00000000">
            <w:pPr>
              <w:spacing w:after="60"/>
            </w:pPr>
            <w:r>
              <w:rPr>
                <w:rFonts w:ascii="Georgia" w:hAnsi="Georgia"/>
                <w:b/>
                <w:color w:val="1F3A44"/>
                <w:sz w:val="23"/>
              </w:rPr>
              <w:t>Part Overview</w:t>
            </w:r>
          </w:p>
          <w:p w14:paraId="59873B19" w14:textId="77777777" w:rsidR="002A4A1B" w:rsidRDefault="00000000">
            <w:pPr>
              <w:spacing w:after="60" w:line="320" w:lineRule="auto"/>
              <w:jc w:val="both"/>
            </w:pPr>
            <w:r>
              <w:rPr>
                <w:sz w:val="21"/>
              </w:rPr>
              <w:t>Part V solves the fees question, the hardest knot in the negotiation, by engineering rather than bargaining: a strict service boundary, one jointly owned Fund, neutral administration, sanctions-compatible routing, and an incentive structure in which calm pays measurably better than crisis. It then answers the larger question of what peace is worth, through a development architecture funded by the region and its partners rather than by any single treasury.</w:t>
            </w:r>
          </w:p>
        </w:tc>
      </w:tr>
    </w:tbl>
    <w:p w14:paraId="0EB46CB3" w14:textId="77777777" w:rsidR="002A4A1B" w:rsidRDefault="002A4A1B">
      <w:pPr>
        <w:spacing w:after="160"/>
      </w:pPr>
    </w:p>
    <w:p w14:paraId="3ABAD995" w14:textId="77777777" w:rsidR="002A4A1B" w:rsidRDefault="00000000">
      <w:pPr>
        <w:pStyle w:val="Heading1"/>
      </w:pPr>
      <w:bookmarkStart w:id="93" w:name="_Toc236929632"/>
      <w:r>
        <w:lastRenderedPageBreak/>
        <w:t>Article 17: The Service Charge System</w:t>
      </w:r>
      <w:bookmarkEnd w:id="93"/>
    </w:p>
    <w:p w14:paraId="2D39F8B4" w14:textId="77777777" w:rsidR="002A4A1B" w:rsidRDefault="00000000">
      <w:pPr>
        <w:pStyle w:val="Heading2"/>
      </w:pPr>
      <w:bookmarkStart w:id="94" w:name="_Toc236929633"/>
      <w:r>
        <w:t>17.1 The Service Boundary</w:t>
      </w:r>
      <w:bookmarkEnd w:id="94"/>
    </w:p>
    <w:p w14:paraId="2406E77C" w14:textId="77777777" w:rsidR="002A4A1B" w:rsidRDefault="00000000">
      <w:pPr>
        <w:spacing w:after="140"/>
        <w:jc w:val="both"/>
      </w:pPr>
      <w:r>
        <w:rPr>
          <w:b/>
          <w:color w:val="1F3A44"/>
        </w:rPr>
        <w:t xml:space="preserve">17.1.1   </w:t>
      </w:r>
      <w:r>
        <w:t>The architecture distinguishes absolutely between a charge on passage, which the Framework excludes, and a charge for a specific service, which the Framework publishes. Every charge under this Framework attaches to an enumerated service: corridor traffic management, navigation data services, environmental monitoring, mine-risk assurance, emergency-response readiness, and pilotage where a vessel requests it. Passage itself carries no charge, in any corridor, at any time, for any flag.</w:t>
      </w:r>
    </w:p>
    <w:p w14:paraId="37EB4E93" w14:textId="77777777" w:rsidR="002A4A1B" w:rsidRDefault="00000000">
      <w:pPr>
        <w:spacing w:after="140"/>
        <w:jc w:val="both"/>
      </w:pPr>
      <w:r>
        <w:rPr>
          <w:b/>
          <w:color w:val="1F3A44"/>
        </w:rPr>
        <w:t xml:space="preserve">17.1.2   </w:t>
      </w:r>
      <w:r>
        <w:t>Every service carries a published cost basis. The Authority costs each service annually from the operating budget, allocates the cost across the user base by the formula of Annex E, and publishes the arithmetic. A charge that exceeds its cost basis registers as a Tier Two event; the audit catches it automatically because the arithmetic is public.</w:t>
      </w:r>
    </w:p>
    <w:p w14:paraId="59321EAA" w14:textId="77777777" w:rsidR="002A4A1B" w:rsidRDefault="00000000">
      <w:pPr>
        <w:spacing w:after="140"/>
        <w:jc w:val="both"/>
      </w:pPr>
      <w:r>
        <w:rPr>
          <w:b/>
          <w:color w:val="1F3A44"/>
        </w:rPr>
        <w:t xml:space="preserve">17.1.3   </w:t>
      </w:r>
      <w:r>
        <w:t>Every service charge is opt-out capable at the vessel level: a vessel that declines the data subscription, declines the convoy window, and declines pilotage pays only the core traffic-management component, and the core component funds from the State Partner contributions of Annex E during the pilot, so that no vessel pays anything at all to transit during Phases One through Five beyond the published pilot rates.</w:t>
      </w:r>
    </w:p>
    <w:p w14:paraId="72CF419D" w14:textId="77777777" w:rsidR="002A4A1B" w:rsidRDefault="00000000">
      <w:pPr>
        <w:pStyle w:val="Heading2"/>
      </w:pPr>
      <w:bookmarkStart w:id="95" w:name="_Toc236929634"/>
      <w:r>
        <w:t>17.2 The Five Charge Lines</w:t>
      </w:r>
      <w:bookmarkEnd w:id="95"/>
    </w:p>
    <w:p w14:paraId="1415066B" w14:textId="77777777" w:rsidR="002A4A1B" w:rsidRDefault="00000000">
      <w:pPr>
        <w:spacing w:after="140"/>
        <w:jc w:val="both"/>
      </w:pPr>
      <w:r>
        <w:rPr>
          <w:b/>
          <w:color w:val="1F3A44"/>
        </w:rPr>
        <w:t xml:space="preserve">17.2.1   </w:t>
      </w:r>
      <w:r>
        <w:t>The charge system organizes into five published lines, each detailed in Annex E. Line One, the Core Traffic Service, funds corridor management, the Fusion Center, and the watch system, priced per transit on a published scale by vessel type and size. Line Two, the Route Assurance Data Subscription, sells the enhanced data product: the fused picture extract, the interference alerts, and the certified routing files, priced as an annual subscription. Line Three, the Environmental and Mine-Risk Assurance contribution, funds the survey program, the spill-response readiness, and the environmental monitoring, priced per transit and discounted for cleaner vessels. Line Four, the Scheduled Convoy Window, sells priority, predictability, and coordinated transit windows to vessels that value schedule certainty, priced per window. Line Five, Requested Services, covers pilotage, tug, and escort services a vessel affirmatively requests, priced at published cost-plus-zero margins.</w:t>
      </w:r>
    </w:p>
    <w:p w14:paraId="05A3FD62" w14:textId="77777777" w:rsidR="002A4A1B" w:rsidRDefault="00000000">
      <w:pPr>
        <w:spacing w:after="140"/>
        <w:jc w:val="both"/>
      </w:pPr>
      <w:r>
        <w:rPr>
          <w:b/>
          <w:color w:val="1F3A44"/>
        </w:rPr>
        <w:t xml:space="preserve">17.2.2   </w:t>
      </w:r>
      <w:r>
        <w:t xml:space="preserve">Line One carries the nondiscrimination guarantee of Article 6.3 and the heavy-user cap of Annex E: no operator's annual Line One charges exceed the published cap, so the largest energy fleets hold absolute cost certainty. Lines Two and Four are genuinely optional commercial products. </w:t>
      </w:r>
      <w:r>
        <w:lastRenderedPageBreak/>
        <w:t>Line Three carries the green discount: vessels meeting the published emission standard pay half. Line Five prices at cost and serves every vessel identically.</w:t>
      </w:r>
    </w:p>
    <w:p w14:paraId="7F3C4927" w14:textId="77777777" w:rsidR="002A4A1B" w:rsidRDefault="00000000">
      <w:pPr>
        <w:pStyle w:val="Heading2"/>
      </w:pPr>
      <w:bookmarkStart w:id="96" w:name="_Toc236929635"/>
      <w:r>
        <w:t>17.3 Voluntary Contributions</w:t>
      </w:r>
      <w:bookmarkEnd w:id="96"/>
    </w:p>
    <w:p w14:paraId="46CF51FB" w14:textId="77777777" w:rsidR="002A4A1B" w:rsidRDefault="00000000">
      <w:pPr>
        <w:spacing w:after="140"/>
        <w:jc w:val="both"/>
      </w:pPr>
      <w:r>
        <w:rPr>
          <w:b/>
          <w:color w:val="1F3A44"/>
        </w:rPr>
        <w:t xml:space="preserve">17.3.1   </w:t>
      </w:r>
      <w:r>
        <w:t>Alongside the charge lines, the Stewardship Fund accepts voluntary contributions from user states, shipping companies, cargo owners, and any other contributor, on the Malacca cooperative model. Voluntary contributions fund the safety commons: aids to navigation, search and rescue readiness, and environmental baseline science. The Fund publishes every contribution and every use, and the architecture never conditions any service, any passage, or any insurance outcome on a contribution.</w:t>
      </w:r>
    </w:p>
    <w:p w14:paraId="1A88EAEB" w14:textId="77777777" w:rsidR="002A4A1B" w:rsidRDefault="00000000">
      <w:pPr>
        <w:spacing w:after="140"/>
        <w:jc w:val="both"/>
      </w:pPr>
      <w:r>
        <w:rPr>
          <w:b/>
          <w:color w:val="1F3A44"/>
        </w:rPr>
        <w:t xml:space="preserve">17.3.2   </w:t>
      </w:r>
      <w:r>
        <w:t>The voluntary channel carries the first-mover design of Annex E: early contributors receive public recognition and priority access to the data products, building momentum for the system without building obligation into it.</w:t>
      </w:r>
    </w:p>
    <w:p w14:paraId="11A8FFF5" w14:textId="77777777" w:rsidR="002A4A1B" w:rsidRDefault="00000000">
      <w:pPr>
        <w:pStyle w:val="Heading1"/>
      </w:pPr>
      <w:bookmarkStart w:id="97" w:name="_Toc236929636"/>
      <w:r>
        <w:lastRenderedPageBreak/>
        <w:t>Article 18: The Hormuz Stewardship Fund and the Payment Channel</w:t>
      </w:r>
      <w:bookmarkEnd w:id="97"/>
    </w:p>
    <w:p w14:paraId="1B701187" w14:textId="77777777" w:rsidR="002A4A1B" w:rsidRDefault="00000000">
      <w:pPr>
        <w:pStyle w:val="Heading2"/>
      </w:pPr>
      <w:bookmarkStart w:id="98" w:name="_Toc236929637"/>
      <w:r>
        <w:t>18.1 One Fund, Jointly Owned</w:t>
      </w:r>
      <w:bookmarkEnd w:id="98"/>
    </w:p>
    <w:p w14:paraId="355D325F" w14:textId="77777777" w:rsidR="002A4A1B" w:rsidRDefault="00000000">
      <w:pPr>
        <w:spacing w:after="140"/>
        <w:jc w:val="both"/>
      </w:pPr>
      <w:r>
        <w:rPr>
          <w:b/>
          <w:color w:val="1F3A44"/>
        </w:rPr>
        <w:t xml:space="preserve">18.1.1   </w:t>
      </w:r>
      <w:r>
        <w:t>The Parties establish the Hormuz Stewardship Fund as the single financial vehicle of the Framework. The Fund receives every charge, every contribution, and every distribution under this Framework, and it funds the Authority, the corridors, the survey program, the safety commons, and the distributions of this Article. The Founding Parties own the Fund in equal shares; the Neutral Administrator administers it; the Verification Chamber audits it; the world reads its ledger.</w:t>
      </w:r>
    </w:p>
    <w:p w14:paraId="5362478B" w14:textId="77777777" w:rsidR="002A4A1B" w:rsidRDefault="00000000">
      <w:pPr>
        <w:spacing w:after="140"/>
        <w:jc w:val="both"/>
      </w:pPr>
      <w:r>
        <w:rPr>
          <w:b/>
          <w:color w:val="1F3A44"/>
        </w:rPr>
        <w:t xml:space="preserve">18.1.2   </w:t>
      </w:r>
      <w:r>
        <w:t>The Fund's ledger publishes in full: every receipt, every disbursement, every balance, on a thirty-day publication cycle with a real-time summary. A maritime finance system that publishes its own ledger answers most audits before anyone asks them.</w:t>
      </w:r>
    </w:p>
    <w:p w14:paraId="7C5F81F3" w14:textId="77777777" w:rsidR="002A4A1B" w:rsidRDefault="00000000">
      <w:pPr>
        <w:pStyle w:val="Heading2"/>
      </w:pPr>
      <w:bookmarkStart w:id="99" w:name="_Toc236929638"/>
      <w:r>
        <w:t>18.2 The Neutral Payment Channel</w:t>
      </w:r>
      <w:bookmarkEnd w:id="99"/>
    </w:p>
    <w:p w14:paraId="77093B0A" w14:textId="77777777" w:rsidR="002A4A1B" w:rsidRDefault="00000000">
      <w:pPr>
        <w:spacing w:after="140"/>
        <w:jc w:val="both"/>
      </w:pPr>
      <w:r>
        <w:rPr>
          <w:b/>
          <w:color w:val="1F3A44"/>
        </w:rPr>
        <w:t xml:space="preserve">18.2.1   </w:t>
      </w:r>
      <w:r>
        <w:t>Every payment under this Framework routes through the neutral channel: the payer pays the Fund's account at the Neutral Administrator's designated institution; the Fund's own books allocate the receipt; distributions to the Parties flow from the Fund, never from any payer. The payer pays a multilateral fund; the Fund pays the Parties; and no payer ever pays any Party. The channel severs the direct-payment link that sanctions law and political exposure both target, and it severs it structurally, not by promise.</w:t>
      </w:r>
    </w:p>
    <w:p w14:paraId="382AE0E6" w14:textId="77777777" w:rsidR="002A4A1B" w:rsidRDefault="00000000">
      <w:pPr>
        <w:spacing w:after="140"/>
        <w:jc w:val="both"/>
      </w:pPr>
      <w:r>
        <w:rPr>
          <w:b/>
          <w:color w:val="1F3A44"/>
        </w:rPr>
        <w:t xml:space="preserve">18.2.2   </w:t>
      </w:r>
      <w:r>
        <w:t>The Neutral Administrator maintains the sanctions-compatibility file for every channel it operates: the legal opinions, the license record where licenses apply, and the correspondence with the relevant authorities. The file publishes to every Party and to the Circle of Friends, so that a shipping line in any jurisdiction reads the same legal ground before it pays anything.</w:t>
      </w:r>
    </w:p>
    <w:p w14:paraId="6002B18B" w14:textId="77777777" w:rsidR="002A4A1B" w:rsidRDefault="00000000">
      <w:pPr>
        <w:spacing w:after="140"/>
        <w:jc w:val="both"/>
      </w:pPr>
      <w:r>
        <w:rPr>
          <w:b/>
          <w:color w:val="1F3A44"/>
        </w:rPr>
        <w:t xml:space="preserve">18.2.3   </w:t>
      </w:r>
      <w:r>
        <w:t>The channel accepts payment in the published settlement currencies of Annex E, through ordinary correspondent banking, and it requires no exotic instrument, no novel currency, and no special arrangement by any payer. The architecture achieves sanctions compatibility through structure and transparency, not through engineering that alarms the compliance officer of an ordinary bank.</w:t>
      </w:r>
    </w:p>
    <w:p w14:paraId="6262011A" w14:textId="77777777" w:rsidR="002A4A1B" w:rsidRDefault="00000000">
      <w:pPr>
        <w:pStyle w:val="Heading2"/>
      </w:pPr>
      <w:bookmarkStart w:id="100" w:name="_Toc236929639"/>
      <w:r>
        <w:lastRenderedPageBreak/>
        <w:t>18.3 The Collection Points</w:t>
      </w:r>
      <w:bookmarkEnd w:id="100"/>
    </w:p>
    <w:p w14:paraId="64D139F4" w14:textId="77777777" w:rsidR="002A4A1B" w:rsidRDefault="00000000">
      <w:pPr>
        <w:spacing w:after="140"/>
        <w:jc w:val="both"/>
      </w:pPr>
      <w:r>
        <w:rPr>
          <w:b/>
          <w:color w:val="1F3A44"/>
        </w:rPr>
        <w:t xml:space="preserve">18.3.1   </w:t>
      </w:r>
      <w:r>
        <w:t>Charges collect away from the chokepoint, by design. The core line collects through the port-of-origin and port-of-destination processing of Annex E: the charge appears on the port documentation at load or discharge ports outside the Strait, so no vessel ever settles anything at the point of transit. The subscription line collects annually. The convoy line collects at booking. The architecture leaves the water itself free of commerce, because commerce at a chokepoint reads as a toll no matter what anyone calls it.</w:t>
      </w:r>
    </w:p>
    <w:p w14:paraId="49A93AFA" w14:textId="77777777" w:rsidR="002A4A1B" w:rsidRDefault="00000000">
      <w:pPr>
        <w:spacing w:after="140"/>
        <w:jc w:val="both"/>
      </w:pPr>
      <w:r>
        <w:rPr>
          <w:b/>
          <w:color w:val="1F3A44"/>
        </w:rPr>
        <w:t xml:space="preserve">18.3.2   </w:t>
      </w:r>
      <w:r>
        <w:t>War-risk underwriters participate as a convenience channel, not as collectors: an underwriter remits a vessel's elected charges alongside the premium where the vessel so instructs, and the Fund credits the vessel. The channel exists to reduce friction, never to create obligation.</w:t>
      </w:r>
    </w:p>
    <w:p w14:paraId="7C4873E4" w14:textId="77777777" w:rsidR="002A4A1B" w:rsidRDefault="00000000">
      <w:pPr>
        <w:pStyle w:val="Heading2"/>
      </w:pPr>
      <w:bookmarkStart w:id="101" w:name="_Toc236929640"/>
      <w:r>
        <w:t>18.4 Distributions and the Stability Dividend</w:t>
      </w:r>
      <w:bookmarkEnd w:id="101"/>
    </w:p>
    <w:p w14:paraId="0292E153" w14:textId="77777777" w:rsidR="002A4A1B" w:rsidRDefault="00000000">
      <w:pPr>
        <w:spacing w:after="140"/>
        <w:jc w:val="both"/>
      </w:pPr>
      <w:r>
        <w:rPr>
          <w:b/>
          <w:color w:val="1F3A44"/>
        </w:rPr>
        <w:t xml:space="preserve">18.4.1   </w:t>
      </w:r>
      <w:r>
        <w:t>The Fund distributes its net revenue quarterly by the published formula of Annex E: first, the operating budget of the Authority; second, the survey and safety commons reserve; third, the Founding Parties' administrations in equal shares for their corridor functions; fourth, the Stability Dividend.</w:t>
      </w:r>
    </w:p>
    <w:p w14:paraId="57DAEB6B" w14:textId="77777777" w:rsidR="002A4A1B" w:rsidRDefault="00000000">
      <w:pPr>
        <w:spacing w:after="140"/>
        <w:jc w:val="both"/>
      </w:pPr>
      <w:r>
        <w:rPr>
          <w:b/>
          <w:color w:val="1F3A44"/>
        </w:rPr>
        <w:t xml:space="preserve">18.4.2   </w:t>
      </w:r>
      <w:r>
        <w:t>The Stability Dividend pays out from the fourth tranche on the performance record: each incident-free week in the Framework Area adds to the dividend pool at the published rate, and the pool distributes equally to the Founding Parties at quarter end. Incidents reduce the pool by the published schedule. The dividend makes calm measurable, bankable, and shared, and it gives every week of quiet a price everyone sees.</w:t>
      </w:r>
    </w:p>
    <w:p w14:paraId="04863F8B" w14:textId="77777777" w:rsidR="002A4A1B" w:rsidRDefault="00000000">
      <w:pPr>
        <w:pStyle w:val="Heading1"/>
      </w:pPr>
      <w:bookmarkStart w:id="102" w:name="_Toc236929641"/>
      <w:r>
        <w:lastRenderedPageBreak/>
        <w:t>Article 19: The Economic Reconciliation Architecture</w:t>
      </w:r>
      <w:bookmarkEnd w:id="102"/>
    </w:p>
    <w:p w14:paraId="2D406F8B" w14:textId="77777777" w:rsidR="002A4A1B" w:rsidRDefault="00000000">
      <w:pPr>
        <w:pStyle w:val="Heading2"/>
      </w:pPr>
      <w:bookmarkStart w:id="103" w:name="_Toc236929642"/>
      <w:r>
        <w:t>19.1 The Sobat Development Facility</w:t>
      </w:r>
      <w:bookmarkEnd w:id="103"/>
    </w:p>
    <w:p w14:paraId="1C03FC3E" w14:textId="77777777" w:rsidR="002A4A1B" w:rsidRDefault="00000000">
      <w:pPr>
        <w:spacing w:after="140"/>
        <w:jc w:val="both"/>
      </w:pPr>
      <w:r>
        <w:rPr>
          <w:b/>
          <w:color w:val="1F3A44"/>
        </w:rPr>
        <w:t xml:space="preserve">19.1.1   </w:t>
      </w:r>
      <w:r>
        <w:t>The Parties and the contributing partners establish the Sobat Development Facility under Annex H: a multilateral financing vehicle with a target capitalization of three hundred billion dollars over ten years, dedicated to the reconstruction and development of the Strait region, with Iran's coastal provinces as its first geography. The Facility finances ports, desalination, energy, transport, and industrial zones on the project criteria of Annex H, and it finances nothing else.</w:t>
      </w:r>
    </w:p>
    <w:p w14:paraId="5FF09AB5" w14:textId="77777777" w:rsidR="002A4A1B" w:rsidRDefault="00000000">
      <w:pPr>
        <w:spacing w:after="140"/>
        <w:jc w:val="both"/>
      </w:pPr>
      <w:r>
        <w:rPr>
          <w:b/>
          <w:color w:val="1F3A44"/>
        </w:rPr>
        <w:t xml:space="preserve">19.1.2   </w:t>
      </w:r>
      <w:r>
        <w:t>The Facility's architecture follows the rule that no single treasury carries it: contributions come from the Gulf states, the European Union and its member states, international financial institutions, and private capital, in the tranches Annex H publishes. The United States participates through the waiver, licensing, and market-access track of Article 19.2 rather than through appropriations, so the architecture delivers its largest economic effect without asking the United States Congress for a dollar.</w:t>
      </w:r>
    </w:p>
    <w:p w14:paraId="2C6BF6D5" w14:textId="77777777" w:rsidR="002A4A1B" w:rsidRDefault="00000000">
      <w:pPr>
        <w:spacing w:after="140"/>
        <w:jc w:val="both"/>
      </w:pPr>
      <w:r>
        <w:rPr>
          <w:b/>
          <w:color w:val="1F3A44"/>
        </w:rPr>
        <w:t xml:space="preserve">19.1.3   </w:t>
      </w:r>
      <w:r>
        <w:t>The Facility disburses against project milestones, verified by the Facility's own engineers under the verification standards of Annex F. Disbursement never conditions on any file outside this Framework, and it never pauses except under the Red Zone measures of Article 16, which freeze accelerators, not projects serving civilian populations.</w:t>
      </w:r>
    </w:p>
    <w:p w14:paraId="44E9247E" w14:textId="77777777" w:rsidR="002A4A1B" w:rsidRDefault="00000000">
      <w:pPr>
        <w:pStyle w:val="Heading2"/>
      </w:pPr>
      <w:bookmarkStart w:id="104" w:name="_Toc236929643"/>
      <w:r>
        <w:t>19.2 The Market-Access Track</w:t>
      </w:r>
      <w:bookmarkEnd w:id="104"/>
    </w:p>
    <w:p w14:paraId="3F29CAD1" w14:textId="77777777" w:rsidR="002A4A1B" w:rsidRDefault="00000000">
      <w:pPr>
        <w:spacing w:after="140"/>
        <w:jc w:val="both"/>
      </w:pPr>
      <w:r>
        <w:rPr>
          <w:b/>
          <w:color w:val="1F3A44"/>
        </w:rPr>
        <w:t xml:space="preserve">19.2.1   </w:t>
      </w:r>
      <w:r>
        <w:t>The market-access track normalizes Iran's commercial relationship with the region and the world through steps other capitals take, in the sequence Annex H publishes: oil export normalization through waiver and licensing architecture; insurance market reopening for Iranian cargoes and hulls; banking channel restoration through the corresponding-bank network; and trade facilitation through the chambers of commerce the region establishes under this Article.</w:t>
      </w:r>
    </w:p>
    <w:p w14:paraId="415693FC" w14:textId="77777777" w:rsidR="002A4A1B" w:rsidRDefault="00000000">
      <w:pPr>
        <w:spacing w:after="140"/>
        <w:jc w:val="both"/>
      </w:pPr>
      <w:r>
        <w:rPr>
          <w:b/>
          <w:color w:val="1F3A44"/>
        </w:rPr>
        <w:t xml:space="preserve">19.2.2   </w:t>
      </w:r>
      <w:r>
        <w:t>Each step lands in the synchronized calendar of Annex K: the steps pair with the Framework's own milestones, so that economic normalization and maritime performance advance together and neither outruns the other. Synchronization here answers the oldest question in the file, who moves first, with the Framework's standing answer: everyone moves together.</w:t>
      </w:r>
    </w:p>
    <w:p w14:paraId="3177FF24" w14:textId="77777777" w:rsidR="002A4A1B" w:rsidRDefault="00000000">
      <w:pPr>
        <w:pStyle w:val="Heading2"/>
      </w:pPr>
      <w:bookmarkStart w:id="105" w:name="_Toc236929644"/>
      <w:r>
        <w:t>19.3 The People's Dividend</w:t>
      </w:r>
      <w:bookmarkEnd w:id="105"/>
    </w:p>
    <w:p w14:paraId="6383E4B0" w14:textId="77777777" w:rsidR="002A4A1B" w:rsidRDefault="00000000">
      <w:pPr>
        <w:spacing w:after="140"/>
        <w:jc w:val="both"/>
      </w:pPr>
      <w:r>
        <w:rPr>
          <w:b/>
          <w:color w:val="1F3A44"/>
        </w:rPr>
        <w:t xml:space="preserve">19.3.1   </w:t>
      </w:r>
      <w:r>
        <w:t xml:space="preserve">The architecture measures its success in civilian life: medicines arriving through the humanitarian channel of Annex L, food cargoes on priority routing, port jobs in the coastal provinces, </w:t>
      </w:r>
      <w:r>
        <w:lastRenderedPageBreak/>
        <w:t>air links reopening, remittances flowing through ordinary banks. Annex H publishes the civilian indicators and the Authority reports them quarterly, because a framework that feeds no one convinces no one.</w:t>
      </w:r>
    </w:p>
    <w:p w14:paraId="55E92142" w14:textId="77777777" w:rsidR="002A4A1B" w:rsidRDefault="00000000">
      <w:pPr>
        <w:spacing w:after="140"/>
        <w:jc w:val="both"/>
      </w:pPr>
      <w:r>
        <w:rPr>
          <w:b/>
          <w:color w:val="1F3A44"/>
        </w:rPr>
        <w:t xml:space="preserve">19.3.2   </w:t>
      </w:r>
      <w:r>
        <w:t>The regional security dividend compounds the economic one: the Framework's non-aggression undertaking of Article 25.3 lowers the risk premium on every project, every premium, and every investment decision in the region, and that lowering is the largest single economic effect the Framework produces.</w:t>
      </w:r>
    </w:p>
    <w:p w14:paraId="6BADBB56" w14:textId="77777777" w:rsidR="002A4A1B" w:rsidRDefault="00000000">
      <w:pPr>
        <w:pStyle w:val="Heading1"/>
      </w:pPr>
      <w:bookmarkStart w:id="106" w:name="_Toc236929645"/>
      <w:r>
        <w:lastRenderedPageBreak/>
        <w:t>Part VI: Safety, Environment, and Humanitarian Passage</w:t>
      </w:r>
      <w:bookmarkEnd w:id="106"/>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07E13AFA"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02F8D4B2" w14:textId="77777777" w:rsidR="002A4A1B" w:rsidRDefault="00000000">
            <w:pPr>
              <w:spacing w:after="60"/>
            </w:pPr>
            <w:r>
              <w:rPr>
                <w:rFonts w:ascii="Georgia" w:hAnsi="Georgia"/>
                <w:b/>
                <w:color w:val="1F3A44"/>
                <w:sz w:val="23"/>
              </w:rPr>
              <w:t>Part Overview</w:t>
            </w:r>
          </w:p>
          <w:p w14:paraId="1F046D49" w14:textId="77777777" w:rsidR="002A4A1B" w:rsidRDefault="00000000">
            <w:pPr>
              <w:spacing w:after="60" w:line="320" w:lineRule="auto"/>
              <w:jc w:val="both"/>
            </w:pPr>
            <w:r>
              <w:rPr>
                <w:sz w:val="21"/>
              </w:rPr>
              <w:t>Part VI governs the physical commons: the water itself, the lives upon it, and the cargoes that sustain civilian populations. Its provisions enjoy the highest precedence in the Framework: when any two provisions conflict, the humanitarian and safety provision governs.</w:t>
            </w:r>
          </w:p>
        </w:tc>
      </w:tr>
    </w:tbl>
    <w:p w14:paraId="66A04ECD" w14:textId="77777777" w:rsidR="002A4A1B" w:rsidRDefault="002A4A1B">
      <w:pPr>
        <w:spacing w:after="160"/>
      </w:pPr>
    </w:p>
    <w:p w14:paraId="2EFC0157" w14:textId="77777777" w:rsidR="002A4A1B" w:rsidRDefault="00000000">
      <w:pPr>
        <w:pStyle w:val="Heading1"/>
      </w:pPr>
      <w:bookmarkStart w:id="107" w:name="_Toc236929646"/>
      <w:r>
        <w:lastRenderedPageBreak/>
        <w:t>Article 20: Environmental Protection</w:t>
      </w:r>
      <w:bookmarkEnd w:id="107"/>
    </w:p>
    <w:p w14:paraId="14CC2B8B" w14:textId="77777777" w:rsidR="002A4A1B" w:rsidRDefault="00000000">
      <w:pPr>
        <w:pStyle w:val="Heading2"/>
      </w:pPr>
      <w:bookmarkStart w:id="108" w:name="_Toc236929647"/>
      <w:r>
        <w:t>20.1 The Baseline and the Watch</w:t>
      </w:r>
      <w:bookmarkEnd w:id="108"/>
    </w:p>
    <w:p w14:paraId="77AF2B2A" w14:textId="77777777" w:rsidR="002A4A1B" w:rsidRDefault="00000000">
      <w:pPr>
        <w:spacing w:after="140"/>
        <w:jc w:val="both"/>
      </w:pPr>
      <w:r>
        <w:rPr>
          <w:b/>
          <w:color w:val="1F3A44"/>
        </w:rPr>
        <w:t xml:space="preserve">20.1.1   </w:t>
      </w:r>
      <w:r>
        <w:t>The Parties establish the environmental baseline of Annex B within ninety days of signature: water quality, air emissions, ecological indicators, and noise, measured at the published stations along both coasts and in the Buffer. Every subsequent measurement reads against this baseline, and every deviation of consequence publishes within twenty-four hours.</w:t>
      </w:r>
    </w:p>
    <w:p w14:paraId="1617E8E4" w14:textId="77777777" w:rsidR="002A4A1B" w:rsidRDefault="00000000">
      <w:pPr>
        <w:spacing w:after="140"/>
        <w:jc w:val="both"/>
      </w:pPr>
      <w:r>
        <w:rPr>
          <w:b/>
          <w:color w:val="1F3A44"/>
        </w:rPr>
        <w:t xml:space="preserve">20.1.2   </w:t>
      </w:r>
      <w:r>
        <w:t>The environmental watch runs continuously: the sensor chain of Annex C carries the water-quality and emissions instruments, the Fusion Center fuses their data, and the Safety and Environment Unit publishes the monthly environmental picture. Both coasts' environmental agencies co-sign every report, because a shared coastline admits no separate truths.</w:t>
      </w:r>
    </w:p>
    <w:p w14:paraId="2E4E2568" w14:textId="77777777" w:rsidR="002A4A1B" w:rsidRDefault="00000000">
      <w:pPr>
        <w:pStyle w:val="Heading2"/>
      </w:pPr>
      <w:bookmarkStart w:id="109" w:name="_Toc236929648"/>
      <w:r>
        <w:t>20.2 Spill Prevention and Response</w:t>
      </w:r>
      <w:bookmarkEnd w:id="109"/>
    </w:p>
    <w:p w14:paraId="06FDD190" w14:textId="77777777" w:rsidR="002A4A1B" w:rsidRDefault="00000000">
      <w:pPr>
        <w:spacing w:after="140"/>
        <w:jc w:val="both"/>
      </w:pPr>
      <w:r>
        <w:rPr>
          <w:b/>
          <w:color w:val="1F3A44"/>
        </w:rPr>
        <w:t xml:space="preserve">20.2.1   </w:t>
      </w:r>
      <w:r>
        <w:t>The corridors operate under the vessel standards of Annex B: double-hull requirements for tankers, discharge prohibitions, ballast management, and the reporting duties of the International Convention for the Prevention of Pollution from Ships as the floor, not the ceiling.</w:t>
      </w:r>
    </w:p>
    <w:p w14:paraId="525D3F6D" w14:textId="77777777" w:rsidR="002A4A1B" w:rsidRDefault="00000000">
      <w:pPr>
        <w:spacing w:after="140"/>
        <w:jc w:val="both"/>
      </w:pPr>
      <w:r>
        <w:rPr>
          <w:b/>
          <w:color w:val="1F3A44"/>
        </w:rPr>
        <w:t xml:space="preserve">20.2.2   </w:t>
      </w:r>
      <w:r>
        <w:t>The Joint Spill Response Capability of Annex B stations response vessels, boom, and dispersant stockpiles at Muscat and Bandar Abbas, reaches any point in the Framework Area within six hours, and drills quarterly under dual-key command. The Fund finances the capability from Line Three; the capability answers to the system, not to either coast.</w:t>
      </w:r>
    </w:p>
    <w:p w14:paraId="5E5728B0" w14:textId="77777777" w:rsidR="002A4A1B" w:rsidRDefault="00000000">
      <w:pPr>
        <w:pStyle w:val="Heading2"/>
      </w:pPr>
      <w:bookmarkStart w:id="110" w:name="_Toc236929649"/>
      <w:r>
        <w:t>20.3 The Green Incentives</w:t>
      </w:r>
      <w:bookmarkEnd w:id="110"/>
    </w:p>
    <w:p w14:paraId="50C0DDF3" w14:textId="77777777" w:rsidR="002A4A1B" w:rsidRDefault="00000000">
      <w:pPr>
        <w:spacing w:after="140"/>
        <w:jc w:val="both"/>
      </w:pPr>
      <w:r>
        <w:rPr>
          <w:b/>
          <w:color w:val="1F3A44"/>
        </w:rPr>
        <w:t xml:space="preserve">20.3.1   </w:t>
      </w:r>
      <w:r>
        <w:t>The green discount of Annex E halves the environmental contribution for vessels meeting the published emission standard, and the Authority publishes the register of qualifying vessels. The incentive prices cleaner shipping into the Strait's economics without pricing any vessel out of the water.</w:t>
      </w:r>
    </w:p>
    <w:p w14:paraId="120F9057" w14:textId="77777777" w:rsidR="002A4A1B" w:rsidRDefault="00000000">
      <w:pPr>
        <w:pStyle w:val="Heading1"/>
      </w:pPr>
      <w:bookmarkStart w:id="111" w:name="_Toc236929650"/>
      <w:r>
        <w:lastRenderedPageBreak/>
        <w:t>Article 21: Search and Rescue and Emergency Response</w:t>
      </w:r>
      <w:bookmarkEnd w:id="111"/>
    </w:p>
    <w:p w14:paraId="7A212402" w14:textId="77777777" w:rsidR="002A4A1B" w:rsidRDefault="00000000">
      <w:pPr>
        <w:pStyle w:val="Heading2"/>
      </w:pPr>
      <w:bookmarkStart w:id="112" w:name="_Toc236929651"/>
      <w:r>
        <w:t>21.1 The Joint Rescue Architecture</w:t>
      </w:r>
      <w:bookmarkEnd w:id="112"/>
    </w:p>
    <w:p w14:paraId="646F48BA" w14:textId="77777777" w:rsidR="002A4A1B" w:rsidRDefault="00000000">
      <w:pPr>
        <w:spacing w:after="140"/>
        <w:jc w:val="both"/>
      </w:pPr>
      <w:r>
        <w:rPr>
          <w:b/>
          <w:color w:val="1F3A44"/>
        </w:rPr>
        <w:t xml:space="preserve">21.1.1   </w:t>
      </w:r>
      <w:r>
        <w:t>The Parties operate the Joint Rescue Coordination function of Annex D: one rescue plan for the whole Framework Area, executed by the Iranian and Omani rescue coordination centers as one team, with the Amn Buffer as the standing emergency routing for every rescue case. Rescue never waits on politics, and the architecture logs any delay as a Tier Two event against whichever desk caused it.</w:t>
      </w:r>
    </w:p>
    <w:p w14:paraId="1C45E5E8" w14:textId="77777777" w:rsidR="002A4A1B" w:rsidRDefault="00000000">
      <w:pPr>
        <w:spacing w:after="140"/>
        <w:jc w:val="both"/>
      </w:pPr>
      <w:r>
        <w:rPr>
          <w:b/>
          <w:color w:val="1F3A44"/>
        </w:rPr>
        <w:t xml:space="preserve">21.1.2   </w:t>
      </w:r>
      <w:r>
        <w:t>The emergency-response guarantee of this Framework is absolute: every vessel in distress in the Framework Area receives the system's full response without regard to flag, cargo, payment status, zone status, or the state of any dispute. The guarantee binds the architecture itself, and no officer of any Party holds the power to suspend it.</w:t>
      </w:r>
    </w:p>
    <w:p w14:paraId="4091C30F" w14:textId="77777777" w:rsidR="002A4A1B" w:rsidRDefault="00000000">
      <w:pPr>
        <w:pStyle w:val="Heading2"/>
      </w:pPr>
      <w:bookmarkStart w:id="113" w:name="_Toc236929652"/>
      <w:r>
        <w:t>21.2 Diversion and Refuge</w:t>
      </w:r>
      <w:bookmarkEnd w:id="113"/>
    </w:p>
    <w:p w14:paraId="32F4DEC2" w14:textId="77777777" w:rsidR="002A4A1B" w:rsidRDefault="00000000">
      <w:pPr>
        <w:spacing w:after="140"/>
        <w:jc w:val="both"/>
      </w:pPr>
      <w:r>
        <w:rPr>
          <w:b/>
          <w:color w:val="1F3A44"/>
        </w:rPr>
        <w:t xml:space="preserve">21.2.1   </w:t>
      </w:r>
      <w:r>
        <w:t>The Amn Buffer serves as the primary diversion water, and Annex D schedules the places of refuge on both coasts for vessels in distress. A vessel in distress diverts on its master's decision alone; the system receives, monitors, and assists, and asks questions afterward.</w:t>
      </w:r>
    </w:p>
    <w:p w14:paraId="771276D0" w14:textId="77777777" w:rsidR="002A4A1B" w:rsidRDefault="00000000">
      <w:pPr>
        <w:pStyle w:val="Heading2"/>
      </w:pPr>
      <w:bookmarkStart w:id="114" w:name="_Toc236929653"/>
      <w:r>
        <w:t>21.3 Seafarer Welfare</w:t>
      </w:r>
      <w:bookmarkEnd w:id="114"/>
    </w:p>
    <w:p w14:paraId="1A650E90" w14:textId="77777777" w:rsidR="002A4A1B" w:rsidRDefault="00000000">
      <w:pPr>
        <w:spacing w:after="140"/>
        <w:jc w:val="both"/>
      </w:pPr>
      <w:r>
        <w:rPr>
          <w:b/>
          <w:color w:val="1F3A44"/>
        </w:rPr>
        <w:t xml:space="preserve">21.3.1   </w:t>
      </w:r>
      <w:r>
        <w:t>The Framework protects seafarers as a first-order interest. The evacuation playbook of Annex L, drawn from the hard lessons of the 2026 evacuation operation, keeps crew welfare at the center of every emergency procedure: notification to families and flag states, medical reception at both coasts, and repatriation logistics funded from the safety commons.</w:t>
      </w:r>
    </w:p>
    <w:p w14:paraId="31EC6DAD" w14:textId="77777777" w:rsidR="002A4A1B" w:rsidRDefault="00000000">
      <w:pPr>
        <w:pStyle w:val="Heading1"/>
      </w:pPr>
      <w:bookmarkStart w:id="115" w:name="_Toc236929654"/>
      <w:r>
        <w:lastRenderedPageBreak/>
        <w:t>Article 22: Humanitarian Passage</w:t>
      </w:r>
      <w:bookmarkEnd w:id="115"/>
    </w:p>
    <w:p w14:paraId="563844A3" w14:textId="77777777" w:rsidR="002A4A1B" w:rsidRDefault="00000000">
      <w:pPr>
        <w:pStyle w:val="Heading2"/>
      </w:pPr>
      <w:bookmarkStart w:id="116" w:name="_Toc236929655"/>
      <w:r>
        <w:t>22.1 The Absolute Priority</w:t>
      </w:r>
      <w:bookmarkEnd w:id="116"/>
    </w:p>
    <w:p w14:paraId="47AE034C" w14:textId="77777777" w:rsidR="002A4A1B" w:rsidRDefault="00000000">
      <w:pPr>
        <w:spacing w:after="140"/>
        <w:jc w:val="both"/>
      </w:pPr>
      <w:r>
        <w:rPr>
          <w:b/>
          <w:color w:val="1F3A44"/>
        </w:rPr>
        <w:t xml:space="preserve">22.1.1   </w:t>
      </w:r>
      <w:r>
        <w:t>Food, medicine, medical equipment, and other civilian-essential cargo, as Annex L defines the schedule, transit under unconditional clearance: no charge, no inspection delay beyond the safety screening of Annex L, priority routing in every corridor, and priority berthing at both coasts. The humanitarian default overrides every other provision of this Framework in any conflict between them, in every zone, in every phase, forever.</w:t>
      </w:r>
    </w:p>
    <w:p w14:paraId="79C14B87" w14:textId="77777777" w:rsidR="002A4A1B" w:rsidRDefault="00000000">
      <w:pPr>
        <w:spacing w:after="140"/>
        <w:jc w:val="both"/>
      </w:pPr>
      <w:r>
        <w:rPr>
          <w:b/>
          <w:color w:val="1F3A44"/>
        </w:rPr>
        <w:t xml:space="preserve">22.1.2   </w:t>
      </w:r>
      <w:r>
        <w:t>The humanitarian corridor of Annex L opens before all other traffic in the activation sequence of Article 8, as the Framework's first public act, and it never closes. Even the crisis procedure of Article 24 carries the humanitarian carve-out as its first clause.</w:t>
      </w:r>
    </w:p>
    <w:p w14:paraId="077B80D8" w14:textId="77777777" w:rsidR="002A4A1B" w:rsidRDefault="00000000">
      <w:pPr>
        <w:pStyle w:val="Heading2"/>
      </w:pPr>
      <w:bookmarkStart w:id="117" w:name="_Toc236929656"/>
      <w:r>
        <w:t>22.2 The Standing Humanitarian Window</w:t>
      </w:r>
      <w:bookmarkEnd w:id="117"/>
    </w:p>
    <w:p w14:paraId="280A8941" w14:textId="77777777" w:rsidR="002A4A1B" w:rsidRDefault="00000000">
      <w:pPr>
        <w:spacing w:after="140"/>
        <w:jc w:val="both"/>
      </w:pPr>
      <w:r>
        <w:rPr>
          <w:b/>
          <w:color w:val="1F3A44"/>
        </w:rPr>
        <w:t xml:space="preserve">22.2.1   </w:t>
      </w:r>
      <w:r>
        <w:t>Annex L maintains the standing humanitarian window: a published weekly convoy window for humanitarian cargoes, coordinated with the humanitarian agencies, screened under the pre-clearance procedure that replaces wartime vetting with ordinary documentation review, and sailed on the system's highest priority. The window exists so that no civilian waits on a negotiation, ever again.</w:t>
      </w:r>
    </w:p>
    <w:p w14:paraId="37405197" w14:textId="77777777" w:rsidR="002A4A1B" w:rsidRDefault="00000000">
      <w:pPr>
        <w:pStyle w:val="Heading1"/>
      </w:pPr>
      <w:bookmarkStart w:id="118" w:name="_Toc236929657"/>
      <w:r>
        <w:lastRenderedPageBreak/>
        <w:t>Part VII: Transparency, Continuity, and Final Provisions</w:t>
      </w:r>
      <w:bookmarkEnd w:id="118"/>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780C3C76"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3986D291" w14:textId="77777777" w:rsidR="002A4A1B" w:rsidRDefault="00000000">
            <w:pPr>
              <w:spacing w:after="60"/>
            </w:pPr>
            <w:r>
              <w:rPr>
                <w:rFonts w:ascii="Georgia" w:hAnsi="Georgia"/>
                <w:b/>
                <w:color w:val="1F3A44"/>
                <w:sz w:val="23"/>
              </w:rPr>
              <w:t>Part Overview</w:t>
            </w:r>
          </w:p>
          <w:p w14:paraId="0448CDCF" w14:textId="77777777" w:rsidR="002A4A1B" w:rsidRDefault="00000000">
            <w:pPr>
              <w:spacing w:after="60" w:line="320" w:lineRule="auto"/>
              <w:jc w:val="both"/>
            </w:pPr>
            <w:r>
              <w:rPr>
                <w:sz w:val="21"/>
              </w:rPr>
              <w:t>Part VII closes the architecture: what the public sees, how the system behaves in a crisis, how it sits among the other instruments of the region, and how it enters into force and endures. The crisis article is written for the worst day, and the final article for the longest horizon.</w:t>
            </w:r>
          </w:p>
        </w:tc>
      </w:tr>
    </w:tbl>
    <w:p w14:paraId="087878E6" w14:textId="77777777" w:rsidR="002A4A1B" w:rsidRDefault="002A4A1B">
      <w:pPr>
        <w:spacing w:after="160"/>
      </w:pPr>
    </w:p>
    <w:p w14:paraId="10C2D71D" w14:textId="77777777" w:rsidR="002A4A1B" w:rsidRDefault="00000000">
      <w:pPr>
        <w:pStyle w:val="Heading1"/>
      </w:pPr>
      <w:bookmarkStart w:id="119" w:name="_Toc236929658"/>
      <w:r>
        <w:lastRenderedPageBreak/>
        <w:t>Article 23: Transparency and Public Information</w:t>
      </w:r>
      <w:bookmarkEnd w:id="119"/>
    </w:p>
    <w:p w14:paraId="1DC338EC" w14:textId="77777777" w:rsidR="002A4A1B" w:rsidRDefault="00000000">
      <w:pPr>
        <w:pStyle w:val="Heading2"/>
      </w:pPr>
      <w:bookmarkStart w:id="120" w:name="_Toc236929659"/>
      <w:r>
        <w:t>23.1 The Publications</w:t>
      </w:r>
      <w:bookmarkEnd w:id="120"/>
    </w:p>
    <w:p w14:paraId="656B70DA" w14:textId="77777777" w:rsidR="002A4A1B" w:rsidRDefault="00000000">
      <w:pPr>
        <w:spacing w:after="140"/>
        <w:jc w:val="both"/>
      </w:pPr>
      <w:r>
        <w:rPr>
          <w:b/>
          <w:color w:val="1F3A44"/>
        </w:rPr>
        <w:t xml:space="preserve">23.1.1   </w:t>
      </w:r>
      <w:r>
        <w:t>The Authority publishes, on the schedule of Annex C: the corridor coordinates and every change to them; the traffic rules and operational manuals; the charge schedule and its cost arithmetic; the public incident log, time-stamped and complete; the environmental picture; the interference picture; the Fund ledger; the audit reports; the zone register; and the annual report of the whole system's performance.</w:t>
      </w:r>
    </w:p>
    <w:p w14:paraId="65D54119" w14:textId="77777777" w:rsidR="002A4A1B" w:rsidRDefault="00000000">
      <w:pPr>
        <w:spacing w:after="140"/>
        <w:jc w:val="both"/>
      </w:pPr>
      <w:r>
        <w:rPr>
          <w:b/>
          <w:color w:val="1F3A44"/>
        </w:rPr>
        <w:t xml:space="preserve">23.1.2   </w:t>
      </w:r>
      <w:r>
        <w:t>Every publication lands in one public registry, in open formats, in English, Arabic, and Persian, without registration, payment, or permission. The researcher in any country reads the same document at the same hour as the minister.</w:t>
      </w:r>
    </w:p>
    <w:p w14:paraId="412F371F" w14:textId="77777777" w:rsidR="002A4A1B" w:rsidRDefault="00000000">
      <w:pPr>
        <w:pStyle w:val="Heading2"/>
      </w:pPr>
      <w:bookmarkStart w:id="121" w:name="_Toc236929660"/>
      <w:r>
        <w:t>23.2 The AIS Guidance Layer</w:t>
      </w:r>
      <w:bookmarkEnd w:id="121"/>
    </w:p>
    <w:p w14:paraId="4B626E56" w14:textId="77777777" w:rsidR="002A4A1B" w:rsidRDefault="00000000">
      <w:pPr>
        <w:spacing w:after="140"/>
        <w:jc w:val="both"/>
      </w:pPr>
      <w:r>
        <w:rPr>
          <w:b/>
          <w:color w:val="1F3A44"/>
        </w:rPr>
        <w:t xml:space="preserve">23.2.1   </w:t>
      </w:r>
      <w:r>
        <w:t>The Authority broadcasts the real-time corridor guidance layer to every vessel in the Framework Area: corridor status, routing instructions, interference alerts, and safety broadcasts, over the standard maritime channels. The mariner experiences the entire governance architecture as one clear voice on the radio and one clean layer on the chart, which is exactly how a strait authority earns trust.</w:t>
      </w:r>
    </w:p>
    <w:p w14:paraId="1A2FBD6D" w14:textId="77777777" w:rsidR="002A4A1B" w:rsidRDefault="00000000">
      <w:pPr>
        <w:pStyle w:val="Heading2"/>
      </w:pPr>
      <w:bookmarkStart w:id="122" w:name="_Toc236929661"/>
      <w:r>
        <w:t>23.3 The Sequenced Disclosure Rule</w:t>
      </w:r>
      <w:bookmarkEnd w:id="122"/>
    </w:p>
    <w:p w14:paraId="3482AC74" w14:textId="77777777" w:rsidR="002A4A1B" w:rsidRDefault="00000000">
      <w:pPr>
        <w:spacing w:after="140"/>
        <w:jc w:val="both"/>
      </w:pPr>
      <w:r>
        <w:rPr>
          <w:b/>
          <w:color w:val="1F3A44"/>
        </w:rPr>
        <w:t xml:space="preserve">23.3.1   </w:t>
      </w:r>
      <w:r>
        <w:t>During the negotiation and pilot phases, disclosure follows the sequence of Annex K: principles first, then corridor logic, then monitoring architecture, then the fee framework, then security functions, then the final coordinates last. The sequence protects the process from premature storm while guaranteeing that everything publishes before Full Activation. After Full Activation, the sequence dissolves into the standing transparency of Article 23.1.</w:t>
      </w:r>
    </w:p>
    <w:p w14:paraId="141EBE47" w14:textId="77777777" w:rsidR="002A4A1B" w:rsidRDefault="00000000">
      <w:pPr>
        <w:pStyle w:val="Heading1"/>
      </w:pPr>
      <w:bookmarkStart w:id="123" w:name="_Toc236929662"/>
      <w:r>
        <w:lastRenderedPageBreak/>
        <w:t>Article 24: Crisis Continuity and Suspension Conditions</w:t>
      </w:r>
      <w:bookmarkEnd w:id="123"/>
    </w:p>
    <w:p w14:paraId="7A765EFD" w14:textId="77777777" w:rsidR="002A4A1B" w:rsidRDefault="00000000">
      <w:pPr>
        <w:pStyle w:val="Heading2"/>
      </w:pPr>
      <w:bookmarkStart w:id="124" w:name="_Toc236929663"/>
      <w:r>
        <w:t>24.1 The Design Premise</w:t>
      </w:r>
      <w:bookmarkEnd w:id="124"/>
    </w:p>
    <w:p w14:paraId="2A270EC4" w14:textId="77777777" w:rsidR="002A4A1B" w:rsidRDefault="00000000">
      <w:pPr>
        <w:spacing w:after="140"/>
        <w:jc w:val="both"/>
      </w:pPr>
      <w:r>
        <w:rPr>
          <w:b/>
          <w:color w:val="1F3A44"/>
        </w:rPr>
        <w:t xml:space="preserve">24.1.1   </w:t>
      </w:r>
      <w:r>
        <w:t>The Framework assumes political crises occur and engineers for continuity through them. Its payment channel, its monitoring picture, its compliance engine, and its humanitarian corridor each run on machinery no single capital switches off, because the lesson of the spring of 2026 is that the Strait's governance dies exactly when politics spikes unless someone builds it to survive the spike.</w:t>
      </w:r>
    </w:p>
    <w:p w14:paraId="376E3C9C" w14:textId="77777777" w:rsidR="002A4A1B" w:rsidRDefault="00000000">
      <w:pPr>
        <w:pStyle w:val="Heading2"/>
      </w:pPr>
      <w:bookmarkStart w:id="125" w:name="_Toc236929664"/>
      <w:r>
        <w:t>24.2 The Crisis Procedure</w:t>
      </w:r>
      <w:bookmarkEnd w:id="125"/>
    </w:p>
    <w:p w14:paraId="1B180A7C" w14:textId="77777777" w:rsidR="002A4A1B" w:rsidRDefault="00000000">
      <w:pPr>
        <w:spacing w:after="140"/>
        <w:jc w:val="both"/>
      </w:pPr>
      <w:r>
        <w:rPr>
          <w:b/>
          <w:color w:val="1F3A44"/>
        </w:rPr>
        <w:t xml:space="preserve">24.2.1   </w:t>
      </w:r>
      <w:r>
        <w:t>Armed hostilities in the Framework Area activate the crisis procedure, and nothing else does. On activation: the corridors convert to the emergency routing of Annex D; the Deconfliction Cell rises to continuous session; the humanitarian corridor continues absolute; the charge collection continues through the neutral channel; the verification instruments keep recording; and the simultaneous announcement procedure of Annex K informs the world in one voice within six hours.</w:t>
      </w:r>
    </w:p>
    <w:p w14:paraId="0456FA69" w14:textId="77777777" w:rsidR="002A4A1B" w:rsidRDefault="00000000">
      <w:pPr>
        <w:spacing w:after="140"/>
        <w:jc w:val="both"/>
      </w:pPr>
      <w:r>
        <w:rPr>
          <w:b/>
          <w:color w:val="1F3A44"/>
        </w:rPr>
        <w:t xml:space="preserve">24.2.2   </w:t>
      </w:r>
      <w:r>
        <w:t>The crisis procedure suspends only the discretionary layers: convenings, dividend distributions, and pilot flexibilities. It never suspends transit passage, humanitarian flow, monitoring, or the compliance engine's recording function. The architecture records everything in a crisis precisely so that the aftermath has facts to rebuild from.</w:t>
      </w:r>
    </w:p>
    <w:p w14:paraId="17D14CF0" w14:textId="77777777" w:rsidR="002A4A1B" w:rsidRDefault="00000000">
      <w:pPr>
        <w:spacing w:after="140"/>
        <w:jc w:val="both"/>
      </w:pPr>
      <w:r>
        <w:rPr>
          <w:b/>
          <w:color w:val="1F3A44"/>
        </w:rPr>
        <w:t xml:space="preserve">24.2.3   </w:t>
      </w:r>
      <w:r>
        <w:t>The procedure ends on the Council's consensus declaration or sixty days after the last verified hostile act, whichever comes first, and the earn-back logic of Article 14 governs the restoration of every paused layer. Even crisis exit is pre-committed, because a framework that improvises its way out of crises improvises its way into them.</w:t>
      </w:r>
    </w:p>
    <w:p w14:paraId="53814EE8" w14:textId="77777777" w:rsidR="002A4A1B" w:rsidRDefault="00000000">
      <w:pPr>
        <w:pStyle w:val="Heading2"/>
      </w:pPr>
      <w:bookmarkStart w:id="126" w:name="_Toc236929665"/>
      <w:r>
        <w:t>24.3 The Stuck-Pilot Fault</w:t>
      </w:r>
      <w:bookmarkEnd w:id="126"/>
    </w:p>
    <w:p w14:paraId="22BCEB35" w14:textId="77777777" w:rsidR="002A4A1B" w:rsidRDefault="00000000">
      <w:pPr>
        <w:spacing w:after="140"/>
        <w:jc w:val="both"/>
      </w:pPr>
      <w:r>
        <w:rPr>
          <w:b/>
          <w:color w:val="1F3A44"/>
        </w:rPr>
        <w:t xml:space="preserve">24.3.1   </w:t>
      </w:r>
      <w:r>
        <w:t>A pilot phase that fails its second stability audit extension activates the fault procedure: the Neutral Administrator convenes the guarantors, the Council meets in continuous session, and the technical faults receive engineering answers on a published thirty-day clock. The fault procedure treats a stuck system as a machine to repair, never as a hostage to trade.</w:t>
      </w:r>
    </w:p>
    <w:p w14:paraId="44980A53" w14:textId="77777777" w:rsidR="002A4A1B" w:rsidRDefault="00000000">
      <w:pPr>
        <w:pStyle w:val="Heading1"/>
      </w:pPr>
      <w:bookmarkStart w:id="127" w:name="_Toc236929666"/>
      <w:r>
        <w:lastRenderedPageBreak/>
        <w:t>Article 25: Relationship to Other Instruments</w:t>
      </w:r>
      <w:bookmarkEnd w:id="127"/>
    </w:p>
    <w:p w14:paraId="17D0E33A" w14:textId="77777777" w:rsidR="002A4A1B" w:rsidRDefault="00000000">
      <w:pPr>
        <w:pStyle w:val="Heading2"/>
      </w:pPr>
      <w:bookmarkStart w:id="128" w:name="_Toc236929667"/>
      <w:r>
        <w:t>25.1 International Law</w:t>
      </w:r>
      <w:bookmarkEnd w:id="128"/>
    </w:p>
    <w:p w14:paraId="43A9F014" w14:textId="77777777" w:rsidR="002A4A1B" w:rsidRDefault="00000000">
      <w:pPr>
        <w:spacing w:after="140"/>
        <w:jc w:val="both"/>
      </w:pPr>
      <w:r>
        <w:rPr>
          <w:b/>
          <w:color w:val="1F3A44"/>
        </w:rPr>
        <w:t xml:space="preserve">25.1.1   </w:t>
      </w:r>
      <w:r>
        <w:t>The Framework implements the United Nations Convention on the Law of the Sea, the Safety of Life at Sea Convention, the Convention on the International Regulations for Preventing Collisions at Sea, and the pollution conventions as their strait-level operating layer. The Authority lodges the Framework and its corridor coordinates with the International Maritime Organization and registers them with the International Hydrographic Organization.</w:t>
      </w:r>
    </w:p>
    <w:p w14:paraId="696BF818" w14:textId="77777777" w:rsidR="002A4A1B" w:rsidRDefault="00000000">
      <w:pPr>
        <w:spacing w:after="140"/>
        <w:jc w:val="both"/>
      </w:pPr>
      <w:r>
        <w:rPr>
          <w:b/>
          <w:color w:val="1F3A44"/>
        </w:rPr>
        <w:t xml:space="preserve">25.1.2   </w:t>
      </w:r>
      <w:r>
        <w:t>The Framework draws its cooperative method from the straits tradition: the cooperative mechanism of the Straits of Malacca and Singapore, in which coastal states, user states, and industry share the costs and the work of safety, supplies the template for the Stewardship Fund and the voluntary contribution channel.</w:t>
      </w:r>
    </w:p>
    <w:p w14:paraId="6E199FD6" w14:textId="77777777" w:rsidR="002A4A1B" w:rsidRDefault="00000000">
      <w:pPr>
        <w:pStyle w:val="Heading2"/>
      </w:pPr>
      <w:bookmarkStart w:id="129" w:name="_Toc236929668"/>
      <w:r>
        <w:t>25.2 The Political Instruments of 2026</w:t>
      </w:r>
      <w:bookmarkEnd w:id="129"/>
    </w:p>
    <w:p w14:paraId="6815BCE4" w14:textId="77777777" w:rsidR="002A4A1B" w:rsidRDefault="00000000">
      <w:pPr>
        <w:spacing w:after="140"/>
        <w:jc w:val="both"/>
      </w:pPr>
      <w:r>
        <w:rPr>
          <w:b/>
          <w:color w:val="1F3A44"/>
        </w:rPr>
        <w:t xml:space="preserve">25.2.1   </w:t>
      </w:r>
      <w:r>
        <w:t>The Framework operates alongside the political understandings of June 2026, including the Islamabad Memorandum of Understanding and its phased schedule, without merging with them. Where those instruments sequence political steps, this Framework supplies the permanent maritime machine those steps point toward. The Framework's own firewall of Article 4 keeps the politics out; this Article keeps the architecture available to the politics when the politics is ready.</w:t>
      </w:r>
    </w:p>
    <w:p w14:paraId="24FC6340" w14:textId="77777777" w:rsidR="002A4A1B" w:rsidRDefault="00000000">
      <w:pPr>
        <w:spacing w:after="140"/>
        <w:jc w:val="both"/>
      </w:pPr>
      <w:r>
        <w:rPr>
          <w:b/>
          <w:color w:val="1F3A44"/>
        </w:rPr>
        <w:t xml:space="preserve">25.2.2   </w:t>
      </w:r>
      <w:r>
        <w:t>The Framework consolidates the drafting family from which it descends: the corridor architecture of the Triad Bridge Compact, the governance design of the Daryaban Framework and the Stillwater Accord, the light-governance method of the Tolou-e Jadid Compact, the modular annex discipline of the Lit Beacon Accord, and the verification instruments named in Article 13. Where a provision of this Framework and a provision of a predecessor instrument conflict, this Framework governs among its Parties.</w:t>
      </w:r>
    </w:p>
    <w:p w14:paraId="017861B9" w14:textId="77777777" w:rsidR="002A4A1B" w:rsidRDefault="00000000">
      <w:pPr>
        <w:pStyle w:val="Heading2"/>
      </w:pPr>
      <w:bookmarkStart w:id="130" w:name="_Toc236929669"/>
      <w:r>
        <w:t>25.3 The Regional Undertaking</w:t>
      </w:r>
      <w:bookmarkEnd w:id="130"/>
    </w:p>
    <w:p w14:paraId="0249B706" w14:textId="77777777" w:rsidR="002A4A1B" w:rsidRDefault="00000000">
      <w:pPr>
        <w:spacing w:after="140"/>
        <w:jc w:val="both"/>
      </w:pPr>
      <w:r>
        <w:rPr>
          <w:b/>
          <w:color w:val="1F3A44"/>
        </w:rPr>
        <w:t xml:space="preserve">25.3.1   </w:t>
      </w:r>
      <w:r>
        <w:t>The Parties record their mutual undertaking of non-aggression and respect for sovereignty within the Framework Area, and they record it as architecture: the deconfliction rules, the separation rule, the hotline, and the non-interdiction protocol together make the undertaking operational rather than rhetorical. The Circle of Friends witnesses the undertaking and receives the instruments that verify it.</w:t>
      </w:r>
    </w:p>
    <w:p w14:paraId="60FF193A" w14:textId="77777777" w:rsidR="002A4A1B" w:rsidRDefault="00000000">
      <w:pPr>
        <w:spacing w:after="140"/>
        <w:jc w:val="both"/>
      </w:pPr>
      <w:r>
        <w:rPr>
          <w:b/>
          <w:color w:val="1F3A44"/>
        </w:rPr>
        <w:lastRenderedPageBreak/>
        <w:t xml:space="preserve">25.3.2   </w:t>
      </w:r>
      <w:r>
        <w:t>The Framework invites every regional security dialogue to build on its machinery: the Fusion Center's picture, the Tribunal's docket, and the Fund's ledger stand ready to serve any wider settlement, as tools already proven in daily use.</w:t>
      </w:r>
    </w:p>
    <w:p w14:paraId="3577A650" w14:textId="77777777" w:rsidR="002A4A1B" w:rsidRDefault="00000000">
      <w:pPr>
        <w:pStyle w:val="Heading1"/>
      </w:pPr>
      <w:bookmarkStart w:id="131" w:name="_Toc236929670"/>
      <w:r>
        <w:lastRenderedPageBreak/>
        <w:t>Article 26: Signature, Entry into Force, Amendment, and Review</w:t>
      </w:r>
      <w:bookmarkEnd w:id="131"/>
    </w:p>
    <w:p w14:paraId="4A342D4B" w14:textId="77777777" w:rsidR="002A4A1B" w:rsidRDefault="00000000">
      <w:pPr>
        <w:pStyle w:val="Heading2"/>
      </w:pPr>
      <w:bookmarkStart w:id="132" w:name="_Toc236929671"/>
      <w:r>
        <w:t>26.1 Signature and Entry into Force</w:t>
      </w:r>
      <w:bookmarkEnd w:id="132"/>
    </w:p>
    <w:p w14:paraId="4EBA751B" w14:textId="77777777" w:rsidR="002A4A1B" w:rsidRDefault="00000000">
      <w:pPr>
        <w:spacing w:after="140"/>
        <w:jc w:val="both"/>
      </w:pPr>
      <w:r>
        <w:rPr>
          <w:b/>
          <w:color w:val="1F3A44"/>
        </w:rPr>
        <w:t xml:space="preserve">26.1.1   </w:t>
      </w:r>
      <w:r>
        <w:t>The Framework opens for signature at Muscat. It enters into force on the day both Founding Parties deposit instruments of ratification with the Depositary, and entry into force launches the activation sequence of Article 8 on the same hour. Signature, ratification, and activation synchronize under Annex K, so the world hears one announcement, not three.</w:t>
      </w:r>
    </w:p>
    <w:p w14:paraId="622B64FF" w14:textId="77777777" w:rsidR="002A4A1B" w:rsidRDefault="00000000">
      <w:pPr>
        <w:spacing w:after="140"/>
        <w:jc w:val="both"/>
      </w:pPr>
      <w:r>
        <w:rPr>
          <w:b/>
          <w:color w:val="1F3A44"/>
        </w:rPr>
        <w:t xml:space="preserve">26.1.2   </w:t>
      </w:r>
      <w:r>
        <w:t>The Depositary notifies every signature, ratification, accession, and declaration to every Party, every observer, and the Secretary-General of the International Maritime Organization within twenty-four hours.</w:t>
      </w:r>
    </w:p>
    <w:p w14:paraId="35CE82D3" w14:textId="77777777" w:rsidR="002A4A1B" w:rsidRDefault="00000000">
      <w:pPr>
        <w:pStyle w:val="Heading2"/>
      </w:pPr>
      <w:bookmarkStart w:id="133" w:name="_Toc236929672"/>
      <w:r>
        <w:t>26.2 Amendment</w:t>
      </w:r>
      <w:bookmarkEnd w:id="133"/>
    </w:p>
    <w:p w14:paraId="4E7D999D" w14:textId="77777777" w:rsidR="002A4A1B" w:rsidRDefault="00000000">
      <w:pPr>
        <w:spacing w:after="140"/>
        <w:jc w:val="both"/>
      </w:pPr>
      <w:r>
        <w:rPr>
          <w:b/>
          <w:color w:val="1F3A44"/>
        </w:rPr>
        <w:t xml:space="preserve">26.2.1   </w:t>
      </w:r>
      <w:r>
        <w:t>The Parties amend the Articles by consensus recorded in writing, on the proposal of any Party after ninety days' notice. The Council amends the technical Annexes A, B, C, D, E, and J by its own consensus under the protected-matters rule of Article 10.2.2, and each annex carries its own version number and effective date so the technical layers evolve without reopening the political text.</w:t>
      </w:r>
    </w:p>
    <w:p w14:paraId="437B0862" w14:textId="77777777" w:rsidR="002A4A1B" w:rsidRDefault="00000000">
      <w:pPr>
        <w:spacing w:after="140"/>
        <w:jc w:val="both"/>
      </w:pPr>
      <w:r>
        <w:rPr>
          <w:b/>
          <w:color w:val="1F3A44"/>
        </w:rPr>
        <w:t xml:space="preserve">26.2.2   </w:t>
      </w:r>
      <w:r>
        <w:t>No amendment narrows the rights of passage of Article 6, the humanitarian guarantees of Article 22, or the Nofade Guarantee of Article 3.1. These three provisions form the constitutional core of the Framework, and the architecture places them beyond amendment, permanently.</w:t>
      </w:r>
    </w:p>
    <w:p w14:paraId="61FD641A" w14:textId="77777777" w:rsidR="002A4A1B" w:rsidRDefault="00000000">
      <w:pPr>
        <w:pStyle w:val="Heading2"/>
      </w:pPr>
      <w:bookmarkStart w:id="134" w:name="_Toc236929673"/>
      <w:r>
        <w:t>26.3 The Review Summit</w:t>
      </w:r>
      <w:bookmarkEnd w:id="134"/>
    </w:p>
    <w:p w14:paraId="50F624BE" w14:textId="77777777" w:rsidR="002A4A1B" w:rsidRDefault="00000000">
      <w:pPr>
        <w:spacing w:after="140"/>
        <w:jc w:val="both"/>
      </w:pPr>
      <w:r>
        <w:rPr>
          <w:b/>
          <w:color w:val="1F3A44"/>
        </w:rPr>
        <w:t xml:space="preserve">26.3.1   </w:t>
      </w:r>
      <w:r>
        <w:t>The Depositary convenes the Review Summit every five years, first in 2031. The Summit confirms the Nofade Guarantee as its first item, reviews the performance record against the audit metrics, incorporates technical updates, and addresses new challenges to the Strait. The Summit adopts changes only through Article 26.2, and its every session publishes in full.</w:t>
      </w:r>
    </w:p>
    <w:p w14:paraId="0DEC6B10" w14:textId="77777777" w:rsidR="002A4A1B" w:rsidRDefault="00000000">
      <w:pPr>
        <w:spacing w:after="140"/>
        <w:jc w:val="both"/>
      </w:pPr>
      <w:r>
        <w:rPr>
          <w:b/>
          <w:color w:val="1F3A44"/>
        </w:rPr>
        <w:t xml:space="preserve">26.3.2   </w:t>
      </w:r>
      <w:r>
        <w:t>The Youth and Future Generations Council of Annex I addresses every Summit: the generation that inherits the water speaks into the record that governs it.</w:t>
      </w:r>
    </w:p>
    <w:p w14:paraId="41D3F6B7" w14:textId="77777777" w:rsidR="002A4A1B" w:rsidRDefault="00000000">
      <w:pPr>
        <w:pStyle w:val="Heading2"/>
      </w:pPr>
      <w:bookmarkStart w:id="135" w:name="_Toc236929674"/>
      <w:r>
        <w:t>26.4 Withdrawal and Its Engineering</w:t>
      </w:r>
      <w:bookmarkEnd w:id="135"/>
    </w:p>
    <w:p w14:paraId="7BACA344" w14:textId="77777777" w:rsidR="002A4A1B" w:rsidRDefault="00000000">
      <w:pPr>
        <w:spacing w:after="140"/>
        <w:jc w:val="both"/>
      </w:pPr>
      <w:r>
        <w:rPr>
          <w:b/>
          <w:color w:val="1F3A44"/>
        </w:rPr>
        <w:t xml:space="preserve">26.4.1   </w:t>
      </w:r>
      <w:r>
        <w:t xml:space="preserve">A Party withdraws by written notice to the Depositary, effective twelve months after notice. During those twelve months, every obligation persists at full strength under the Nofade Guarantee, </w:t>
      </w:r>
      <w:r>
        <w:lastRenderedPageBreak/>
        <w:t>and the continuity machinery of Article 24 prepares the corridors to keep operating: the withdrawing Party's functions transfer by the pre-committed succession table of Annex I, so that even departure, the last political act any Party holds, cannot close the water.</w:t>
      </w:r>
    </w:p>
    <w:p w14:paraId="29007146" w14:textId="77777777" w:rsidR="002A4A1B" w:rsidRDefault="00000000">
      <w:pPr>
        <w:spacing w:after="140"/>
        <w:jc w:val="both"/>
      </w:pPr>
      <w:r>
        <w:rPr>
          <w:b/>
          <w:color w:val="1F3A44"/>
        </w:rPr>
        <w:t xml:space="preserve">26.4.2   </w:t>
      </w:r>
      <w:r>
        <w:t>Withdrawal carries no retroactive effect on the Fund's published ledger, the Tribunal's docket, or any verification record. The archive outlives every member, by design.</w:t>
      </w:r>
    </w:p>
    <w:p w14:paraId="110650CA" w14:textId="77777777" w:rsidR="002A4A1B" w:rsidRDefault="00000000">
      <w:pPr>
        <w:pStyle w:val="Heading2"/>
      </w:pPr>
      <w:bookmarkStart w:id="136" w:name="_Toc236929675"/>
      <w:r>
        <w:t>26.5 Depositary and Authentic Texts</w:t>
      </w:r>
      <w:bookmarkEnd w:id="136"/>
    </w:p>
    <w:p w14:paraId="3A561E5D" w14:textId="77777777" w:rsidR="002A4A1B" w:rsidRDefault="00000000">
      <w:pPr>
        <w:spacing w:after="140"/>
        <w:jc w:val="both"/>
      </w:pPr>
      <w:r>
        <w:rPr>
          <w:b/>
          <w:color w:val="1F3A44"/>
        </w:rPr>
        <w:t xml:space="preserve">26.5.1   </w:t>
      </w:r>
      <w:r>
        <w:t>The Swiss Confederation, as Depositary, holds the original texts. The Framework is drawn up in English, Arabic, and Persian, each text equally authentic, and the reconciliation protocol of Annex M governs any divergence among them in favor of the interpretation that best serves the purposes of Article 1.</w:t>
      </w:r>
    </w:p>
    <w:p w14:paraId="14D7AC7B" w14:textId="77777777" w:rsidR="002A4A1B" w:rsidRDefault="00000000">
      <w:pPr>
        <w:pStyle w:val="Heading1"/>
      </w:pPr>
      <w:bookmarkStart w:id="137" w:name="_Toc236929676"/>
      <w:r>
        <w:lastRenderedPageBreak/>
        <w:t>Annex A: Corridor Coordinates, Routing Geometry, and Publication Protocol</w:t>
      </w:r>
      <w:bookmarkEnd w:id="137"/>
    </w:p>
    <w:p w14:paraId="3100A43B" w14:textId="77777777" w:rsidR="002A4A1B" w:rsidRDefault="00000000">
      <w:pPr>
        <w:spacing w:after="140"/>
        <w:jc w:val="both"/>
      </w:pPr>
      <w:r>
        <w:t>This Annex carries the geographic substance of the Framework: the definition of the Framework Area, the architecture of the corridor coordinates, the aids to navigation schedule, and the protocol by which coordinates publish and register. The precise coordinate sets, already agreed between the Founding Parties in the technical talks, deposit with the Depositary at signature in a sealed technical schedule and publish at the moment Article 23.3 permits, so the negotiation sequence never holds the geometry hostage and the geometry never leaks ahead of the politics.</w:t>
      </w:r>
    </w:p>
    <w:p w14:paraId="00A93218" w14:textId="77777777" w:rsidR="002A4A1B" w:rsidRDefault="00000000">
      <w:pPr>
        <w:pStyle w:val="Heading2"/>
      </w:pPr>
      <w:bookmarkStart w:id="138" w:name="_Toc236929677"/>
      <w:r>
        <w:t>A.1 The Framework Area</w:t>
      </w:r>
      <w:bookmarkEnd w:id="138"/>
    </w:p>
    <w:p w14:paraId="75F38135" w14:textId="77777777" w:rsidR="002A4A1B" w:rsidRDefault="00000000">
      <w:pPr>
        <w:spacing w:after="140"/>
        <w:jc w:val="both"/>
      </w:pPr>
      <w:r>
        <w:rPr>
          <w:b/>
          <w:color w:val="1F3A44"/>
        </w:rPr>
        <w:t xml:space="preserve">A.1.1   </w:t>
      </w:r>
      <w:r>
        <w:t>The Framework Area comprises the Strait of Hormuz and its approaches: the waters bounded to the west by the line of 56 degrees 00 minutes East, to the east by the line of 58 degrees 30 minutes East, to the north by the Iranian mainland and islands, and to the south by the Musandam Peninsula and the Omani coast, together with the designated approach anchorage areas in the Gulf of Oman that the technical schedule lists.</w:t>
      </w:r>
    </w:p>
    <w:p w14:paraId="19B0BAD4" w14:textId="77777777" w:rsidR="002A4A1B" w:rsidRDefault="00000000">
      <w:pPr>
        <w:spacing w:after="140"/>
        <w:jc w:val="both"/>
      </w:pPr>
      <w:r>
        <w:rPr>
          <w:b/>
          <w:color w:val="1F3A44"/>
        </w:rPr>
        <w:t xml:space="preserve">A.1.2   </w:t>
      </w:r>
      <w:r>
        <w:t>The Framework Area divides into three operating waters: the corridor waters, in which the three corridors run; the anchorage waters, in which the Authority manages the concentration areas; and the remaining waters, in which ordinary coastal-state administration continues unchanged.</w:t>
      </w:r>
    </w:p>
    <w:p w14:paraId="2BFC1DAD" w14:textId="77777777" w:rsidR="002A4A1B" w:rsidRDefault="00000000">
      <w:pPr>
        <w:pStyle w:val="Heading2"/>
      </w:pPr>
      <w:bookmarkStart w:id="139" w:name="_Toc236929678"/>
      <w:r>
        <w:t>A.2 The Coordinate Architecture</w:t>
      </w:r>
      <w:bookmarkEnd w:id="139"/>
    </w:p>
    <w:p w14:paraId="020B3458" w14:textId="77777777" w:rsidR="002A4A1B" w:rsidRDefault="00000000">
      <w:pPr>
        <w:spacing w:after="140"/>
        <w:jc w:val="both"/>
      </w:pPr>
      <w:r>
        <w:rPr>
          <w:b/>
          <w:color w:val="1F3A44"/>
        </w:rPr>
        <w:t xml:space="preserve">A.2.1   </w:t>
      </w:r>
      <w:r>
        <w:t>Each corridor's coordinates publish as an ordered list of turning points in WGS-84, with the corridor centerline, the lane boundaries, and the buffer margins each separately defined. The technical schedule states, for every turning point, its identifier, its coordinates to one-tenth of a second, and its chart datum.</w:t>
      </w:r>
    </w:p>
    <w:p w14:paraId="02E3B3D1" w14:textId="77777777" w:rsidR="002A4A1B" w:rsidRDefault="00000000">
      <w:pPr>
        <w:spacing w:after="140"/>
        <w:jc w:val="both"/>
      </w:pPr>
      <w:r>
        <w:rPr>
          <w:b/>
          <w:color w:val="1F3A44"/>
        </w:rPr>
        <w:t xml:space="preserve">A.2.2   </w:t>
      </w:r>
      <w:r>
        <w:t>The Payedar Corridor runs from its eastern entry point in the Gulf of Oman approaches, through Iranian waters north of the Amn Buffer, to its western exit into the Arabian Gulf traffic lanes. The Sobat Corridor runs from its western entry in the Gulf lanes, through Omani waters south of the Amn Buffer, to its eastern exit into the Gulf of Oman. The Amn Buffer runs the full length between them, with the emergency anchorages and diversion pockets the technical schedule marks.</w:t>
      </w:r>
    </w:p>
    <w:p w14:paraId="747613F8" w14:textId="77777777" w:rsidR="002A4A1B" w:rsidRDefault="00000000">
      <w:pPr>
        <w:spacing w:after="140"/>
        <w:jc w:val="both"/>
      </w:pPr>
      <w:r>
        <w:rPr>
          <w:b/>
          <w:color w:val="1F3A44"/>
        </w:rPr>
        <w:t xml:space="preserve">A.2.3   </w:t>
      </w:r>
      <w:r>
        <w:t xml:space="preserve">The entry and exit points carry the agreed designations from the Iran-Oman technical talks: each entry point pairs with a reporting gate at which vessels file their corridor confirmation, and </w:t>
      </w:r>
      <w:r>
        <w:lastRenderedPageBreak/>
        <w:t>each exit point pairs with a clearing gate at which the corridor system hands the vessel back to ordinary open-sea navigation.</w:t>
      </w:r>
    </w:p>
    <w:p w14:paraId="70E90706" w14:textId="77777777" w:rsidR="002A4A1B" w:rsidRDefault="00000000">
      <w:pPr>
        <w:spacing w:after="140"/>
        <w:jc w:val="both"/>
      </w:pPr>
      <w:r>
        <w:rPr>
          <w:b/>
          <w:color w:val="1F3A44"/>
        </w:rPr>
        <w:t xml:space="preserve">A.2.4   </w:t>
      </w:r>
      <w:r>
        <w:t>Depth, width, and under-keel clearance: the technical schedule states the surveyed minimum depth of each lane, the maintenance soundings schedule, and the under-keel clearance standard of not less than fifteen percent of draft for the deepest-drafted class using the lane. The Authority resurveys on the ninety-day cycle of Article 5.3 and after every seabed-disturbing event.</w:t>
      </w:r>
    </w:p>
    <w:p w14:paraId="36BF6625" w14:textId="77777777" w:rsidR="002A4A1B" w:rsidRDefault="00000000">
      <w:pPr>
        <w:pStyle w:val="Heading2"/>
      </w:pPr>
      <w:bookmarkStart w:id="140" w:name="_Toc236929679"/>
      <w:r>
        <w:t>A.3 Provisional and Final Coordinates</w:t>
      </w:r>
      <w:bookmarkEnd w:id="140"/>
    </w:p>
    <w:p w14:paraId="67BE61BF" w14:textId="77777777" w:rsidR="002A4A1B" w:rsidRDefault="00000000">
      <w:pPr>
        <w:spacing w:after="140"/>
        <w:jc w:val="both"/>
      </w:pPr>
      <w:r>
        <w:rPr>
          <w:b/>
          <w:color w:val="1F3A44"/>
        </w:rPr>
        <w:t xml:space="preserve">A.3.1   </w:t>
      </w:r>
      <w:r>
        <w:t>Provisional coordinates publish at Phase Two of the activation sequence as simplified corridor lines and routing guidance, sufficient for safe transit planning and deliberately rounded, so that industry updates its software while the final survey-grade set completes registration.</w:t>
      </w:r>
    </w:p>
    <w:p w14:paraId="0DB8C118" w14:textId="77777777" w:rsidR="002A4A1B" w:rsidRDefault="00000000">
      <w:pPr>
        <w:spacing w:after="140"/>
        <w:jc w:val="both"/>
      </w:pPr>
      <w:r>
        <w:rPr>
          <w:b/>
          <w:color w:val="1F3A44"/>
        </w:rPr>
        <w:t xml:space="preserve">A.3.2   </w:t>
      </w:r>
      <w:r>
        <w:t>Final coordinates publish at Full Activation in survey-grade precision, lodge with the International Maritime Organization for recognition of the associated routeing measures, and register with the International Hydrographic Organization for charting. From that moment, the coordinates exist as public international routeing data, and no Party holds a private copy with operative effect.</w:t>
      </w:r>
    </w:p>
    <w:p w14:paraId="03D46DFE" w14:textId="77777777" w:rsidR="002A4A1B" w:rsidRDefault="00000000">
      <w:pPr>
        <w:pStyle w:val="Heading2"/>
      </w:pPr>
      <w:bookmarkStart w:id="141" w:name="_Toc236929680"/>
      <w:r>
        <w:t>A.4 Aids to Navigation Schedule</w:t>
      </w:r>
      <w:bookmarkEnd w:id="141"/>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504"/>
        <w:gridCol w:w="3271"/>
        <w:gridCol w:w="3451"/>
      </w:tblGrid>
      <w:tr w:rsidR="002A4A1B" w14:paraId="4E872622" w14:textId="77777777">
        <w:tblPrEx>
          <w:tblCellMar>
            <w:top w:w="0" w:type="dxa"/>
            <w:bottom w:w="0" w:type="dxa"/>
          </w:tblCellMar>
        </w:tblPrEx>
        <w:trPr>
          <w:tblHeader/>
        </w:trPr>
        <w:tc>
          <w:tcPr>
            <w:tcW w:w="2600" w:type="dxa"/>
            <w:tcBorders>
              <w:bottom w:val="single" w:sz="6" w:space="0" w:color="2F5560"/>
            </w:tcBorders>
            <w:shd w:val="clear" w:color="auto" w:fill="E7EEF0"/>
            <w:tcMar>
              <w:top w:w="60" w:type="dxa"/>
              <w:left w:w="100" w:type="dxa"/>
              <w:bottom w:w="60" w:type="dxa"/>
              <w:right w:w="100" w:type="dxa"/>
            </w:tcMar>
          </w:tcPr>
          <w:p w14:paraId="078C6C90" w14:textId="77777777" w:rsidR="002A4A1B" w:rsidRDefault="00000000">
            <w:pPr>
              <w:spacing w:after="0" w:line="300" w:lineRule="auto"/>
            </w:pPr>
            <w:r>
              <w:rPr>
                <w:b/>
                <w:color w:val="1F3A44"/>
                <w:sz w:val="20"/>
              </w:rPr>
              <w:t>Aid class</w:t>
            </w:r>
          </w:p>
        </w:tc>
        <w:tc>
          <w:tcPr>
            <w:tcW w:w="3400" w:type="dxa"/>
            <w:tcBorders>
              <w:bottom w:val="single" w:sz="6" w:space="0" w:color="2F5560"/>
            </w:tcBorders>
            <w:shd w:val="clear" w:color="auto" w:fill="E7EEF0"/>
            <w:tcMar>
              <w:top w:w="60" w:type="dxa"/>
              <w:left w:w="100" w:type="dxa"/>
              <w:bottom w:w="60" w:type="dxa"/>
              <w:right w:w="100" w:type="dxa"/>
            </w:tcMar>
          </w:tcPr>
          <w:p w14:paraId="312D8823" w14:textId="77777777" w:rsidR="002A4A1B" w:rsidRDefault="00000000">
            <w:pPr>
              <w:spacing w:after="0" w:line="300" w:lineRule="auto"/>
            </w:pPr>
            <w:r>
              <w:rPr>
                <w:b/>
                <w:color w:val="1F3A44"/>
                <w:sz w:val="20"/>
              </w:rPr>
              <w:t>Provision</w:t>
            </w:r>
          </w:p>
        </w:tc>
        <w:tc>
          <w:tcPr>
            <w:tcW w:w="3600" w:type="dxa"/>
            <w:tcBorders>
              <w:bottom w:val="single" w:sz="6" w:space="0" w:color="2F5560"/>
            </w:tcBorders>
            <w:shd w:val="clear" w:color="auto" w:fill="E7EEF0"/>
            <w:tcMar>
              <w:top w:w="60" w:type="dxa"/>
              <w:left w:w="100" w:type="dxa"/>
              <w:bottom w:w="60" w:type="dxa"/>
              <w:right w:w="100" w:type="dxa"/>
            </w:tcMar>
          </w:tcPr>
          <w:p w14:paraId="3ACC668E" w14:textId="77777777" w:rsidR="002A4A1B" w:rsidRDefault="00000000">
            <w:pPr>
              <w:spacing w:after="0" w:line="300" w:lineRule="auto"/>
            </w:pPr>
            <w:r>
              <w:rPr>
                <w:b/>
                <w:color w:val="1F3A44"/>
                <w:sz w:val="20"/>
              </w:rPr>
              <w:t>Inspection cycle</w:t>
            </w:r>
          </w:p>
        </w:tc>
      </w:tr>
      <w:tr w:rsidR="002A4A1B" w14:paraId="46FE8FEE" w14:textId="77777777">
        <w:tblPrEx>
          <w:tblCellMar>
            <w:top w:w="0" w:type="dxa"/>
            <w:bottom w:w="0" w:type="dxa"/>
          </w:tblCellMar>
        </w:tblPrEx>
        <w:tc>
          <w:tcPr>
            <w:tcW w:w="2600" w:type="dxa"/>
            <w:tcMar>
              <w:top w:w="60" w:type="dxa"/>
              <w:left w:w="100" w:type="dxa"/>
              <w:bottom w:w="60" w:type="dxa"/>
              <w:right w:w="100" w:type="dxa"/>
            </w:tcMar>
          </w:tcPr>
          <w:p w14:paraId="31CECA4F" w14:textId="77777777" w:rsidR="002A4A1B" w:rsidRDefault="00000000">
            <w:pPr>
              <w:spacing w:after="0" w:line="300" w:lineRule="auto"/>
            </w:pPr>
            <w:r>
              <w:rPr>
                <w:sz w:val="20"/>
              </w:rPr>
              <w:t>Lateral buoys</w:t>
            </w:r>
          </w:p>
        </w:tc>
        <w:tc>
          <w:tcPr>
            <w:tcW w:w="3400" w:type="dxa"/>
            <w:tcMar>
              <w:top w:w="60" w:type="dxa"/>
              <w:left w:w="100" w:type="dxa"/>
              <w:bottom w:w="60" w:type="dxa"/>
              <w:right w:w="100" w:type="dxa"/>
            </w:tcMar>
          </w:tcPr>
          <w:p w14:paraId="6533F803" w14:textId="77777777" w:rsidR="002A4A1B" w:rsidRDefault="00000000">
            <w:pPr>
              <w:spacing w:after="0" w:line="300" w:lineRule="auto"/>
            </w:pPr>
            <w:r>
              <w:rPr>
                <w:sz w:val="20"/>
              </w:rPr>
              <w:t>Pairs marking each lane boundary at intervals the technical schedule sets</w:t>
            </w:r>
          </w:p>
        </w:tc>
        <w:tc>
          <w:tcPr>
            <w:tcW w:w="3600" w:type="dxa"/>
            <w:tcMar>
              <w:top w:w="60" w:type="dxa"/>
              <w:left w:w="100" w:type="dxa"/>
              <w:bottom w:w="60" w:type="dxa"/>
              <w:right w:w="100" w:type="dxa"/>
            </w:tcMar>
          </w:tcPr>
          <w:p w14:paraId="15BE7797" w14:textId="77777777" w:rsidR="002A4A1B" w:rsidRDefault="00000000">
            <w:pPr>
              <w:spacing w:after="0" w:line="300" w:lineRule="auto"/>
            </w:pPr>
            <w:r>
              <w:rPr>
                <w:sz w:val="20"/>
              </w:rPr>
              <w:t>Ninety days</w:t>
            </w:r>
          </w:p>
        </w:tc>
      </w:tr>
      <w:tr w:rsidR="002A4A1B" w14:paraId="43F9410B" w14:textId="77777777">
        <w:tblPrEx>
          <w:tblCellMar>
            <w:top w:w="0" w:type="dxa"/>
            <w:bottom w:w="0" w:type="dxa"/>
          </w:tblCellMar>
        </w:tblPrEx>
        <w:tc>
          <w:tcPr>
            <w:tcW w:w="2600" w:type="dxa"/>
            <w:tcMar>
              <w:top w:w="60" w:type="dxa"/>
              <w:left w:w="100" w:type="dxa"/>
              <w:bottom w:w="60" w:type="dxa"/>
              <w:right w:w="100" w:type="dxa"/>
            </w:tcMar>
          </w:tcPr>
          <w:p w14:paraId="2EE48084" w14:textId="77777777" w:rsidR="002A4A1B" w:rsidRDefault="00000000">
            <w:pPr>
              <w:spacing w:after="0" w:line="300" w:lineRule="auto"/>
            </w:pPr>
            <w:r>
              <w:rPr>
                <w:sz w:val="20"/>
              </w:rPr>
              <w:t>Virtual AIS aids</w:t>
            </w:r>
          </w:p>
        </w:tc>
        <w:tc>
          <w:tcPr>
            <w:tcW w:w="3400" w:type="dxa"/>
            <w:tcMar>
              <w:top w:w="60" w:type="dxa"/>
              <w:left w:w="100" w:type="dxa"/>
              <w:bottom w:w="60" w:type="dxa"/>
              <w:right w:w="100" w:type="dxa"/>
            </w:tcMar>
          </w:tcPr>
          <w:p w14:paraId="0F2326BE" w14:textId="77777777" w:rsidR="002A4A1B" w:rsidRDefault="00000000">
            <w:pPr>
              <w:spacing w:after="0" w:line="300" w:lineRule="auto"/>
            </w:pPr>
            <w:r>
              <w:rPr>
                <w:sz w:val="20"/>
              </w:rPr>
              <w:t>Synthetic marks at every turning point and gate</w:t>
            </w:r>
          </w:p>
        </w:tc>
        <w:tc>
          <w:tcPr>
            <w:tcW w:w="3600" w:type="dxa"/>
            <w:tcMar>
              <w:top w:w="60" w:type="dxa"/>
              <w:left w:w="100" w:type="dxa"/>
              <w:bottom w:w="60" w:type="dxa"/>
              <w:right w:w="100" w:type="dxa"/>
            </w:tcMar>
          </w:tcPr>
          <w:p w14:paraId="5291F1E2" w14:textId="77777777" w:rsidR="002A4A1B" w:rsidRDefault="00000000">
            <w:pPr>
              <w:spacing w:after="0" w:line="300" w:lineRule="auto"/>
            </w:pPr>
            <w:r>
              <w:rPr>
                <w:sz w:val="20"/>
              </w:rPr>
              <w:t>Continuous monitoring</w:t>
            </w:r>
          </w:p>
        </w:tc>
      </w:tr>
      <w:tr w:rsidR="002A4A1B" w14:paraId="3F86CF44" w14:textId="77777777">
        <w:tblPrEx>
          <w:tblCellMar>
            <w:top w:w="0" w:type="dxa"/>
            <w:bottom w:w="0" w:type="dxa"/>
          </w:tblCellMar>
        </w:tblPrEx>
        <w:tc>
          <w:tcPr>
            <w:tcW w:w="2600" w:type="dxa"/>
            <w:tcMar>
              <w:top w:w="60" w:type="dxa"/>
              <w:left w:w="100" w:type="dxa"/>
              <w:bottom w:w="60" w:type="dxa"/>
              <w:right w:w="100" w:type="dxa"/>
            </w:tcMar>
          </w:tcPr>
          <w:p w14:paraId="4C4129F2" w14:textId="77777777" w:rsidR="002A4A1B" w:rsidRDefault="00000000">
            <w:pPr>
              <w:spacing w:after="0" w:line="300" w:lineRule="auto"/>
            </w:pPr>
            <w:r>
              <w:rPr>
                <w:sz w:val="20"/>
              </w:rPr>
              <w:t>Racons</w:t>
            </w:r>
          </w:p>
        </w:tc>
        <w:tc>
          <w:tcPr>
            <w:tcW w:w="3400" w:type="dxa"/>
            <w:tcMar>
              <w:top w:w="60" w:type="dxa"/>
              <w:left w:w="100" w:type="dxa"/>
              <w:bottom w:w="60" w:type="dxa"/>
              <w:right w:w="100" w:type="dxa"/>
            </w:tcMar>
          </w:tcPr>
          <w:p w14:paraId="7AF318C7" w14:textId="77777777" w:rsidR="002A4A1B" w:rsidRDefault="00000000">
            <w:pPr>
              <w:spacing w:after="0" w:line="300" w:lineRule="auto"/>
            </w:pPr>
            <w:r>
              <w:rPr>
                <w:sz w:val="20"/>
              </w:rPr>
              <w:t>On principal buoys at corridor entries and exits</w:t>
            </w:r>
          </w:p>
        </w:tc>
        <w:tc>
          <w:tcPr>
            <w:tcW w:w="3600" w:type="dxa"/>
            <w:tcMar>
              <w:top w:w="60" w:type="dxa"/>
              <w:left w:w="100" w:type="dxa"/>
              <w:bottom w:w="60" w:type="dxa"/>
              <w:right w:w="100" w:type="dxa"/>
            </w:tcMar>
          </w:tcPr>
          <w:p w14:paraId="5B0A91C3" w14:textId="77777777" w:rsidR="002A4A1B" w:rsidRDefault="00000000">
            <w:pPr>
              <w:spacing w:after="0" w:line="300" w:lineRule="auto"/>
            </w:pPr>
            <w:r>
              <w:rPr>
                <w:sz w:val="20"/>
              </w:rPr>
              <w:t>Ninety days</w:t>
            </w:r>
          </w:p>
        </w:tc>
      </w:tr>
      <w:tr w:rsidR="002A4A1B" w14:paraId="33E4CA81" w14:textId="77777777">
        <w:tblPrEx>
          <w:tblCellMar>
            <w:top w:w="0" w:type="dxa"/>
            <w:bottom w:w="0" w:type="dxa"/>
          </w:tblCellMar>
        </w:tblPrEx>
        <w:tc>
          <w:tcPr>
            <w:tcW w:w="2600" w:type="dxa"/>
            <w:tcMar>
              <w:top w:w="60" w:type="dxa"/>
              <w:left w:w="100" w:type="dxa"/>
              <w:bottom w:w="60" w:type="dxa"/>
              <w:right w:w="100" w:type="dxa"/>
            </w:tcMar>
          </w:tcPr>
          <w:p w14:paraId="31CA2CFC" w14:textId="77777777" w:rsidR="002A4A1B" w:rsidRDefault="00000000">
            <w:pPr>
              <w:spacing w:after="0" w:line="300" w:lineRule="auto"/>
            </w:pPr>
            <w:r>
              <w:rPr>
                <w:sz w:val="20"/>
              </w:rPr>
              <w:t>Radar beacons</w:t>
            </w:r>
          </w:p>
        </w:tc>
        <w:tc>
          <w:tcPr>
            <w:tcW w:w="3400" w:type="dxa"/>
            <w:tcMar>
              <w:top w:w="60" w:type="dxa"/>
              <w:left w:w="100" w:type="dxa"/>
              <w:bottom w:w="60" w:type="dxa"/>
              <w:right w:w="100" w:type="dxa"/>
            </w:tcMar>
          </w:tcPr>
          <w:p w14:paraId="342C8BC0" w14:textId="77777777" w:rsidR="002A4A1B" w:rsidRDefault="00000000">
            <w:pPr>
              <w:spacing w:after="0" w:line="300" w:lineRule="auto"/>
            </w:pPr>
            <w:r>
              <w:rPr>
                <w:sz w:val="20"/>
              </w:rPr>
              <w:t>Terrestrial chain along both coasts for interference-resilient fixing</w:t>
            </w:r>
          </w:p>
        </w:tc>
        <w:tc>
          <w:tcPr>
            <w:tcW w:w="3600" w:type="dxa"/>
            <w:tcMar>
              <w:top w:w="60" w:type="dxa"/>
              <w:left w:w="100" w:type="dxa"/>
              <w:bottom w:w="60" w:type="dxa"/>
              <w:right w:w="100" w:type="dxa"/>
            </w:tcMar>
          </w:tcPr>
          <w:p w14:paraId="2BFA142D" w14:textId="77777777" w:rsidR="002A4A1B" w:rsidRDefault="00000000">
            <w:pPr>
              <w:spacing w:after="0" w:line="300" w:lineRule="auto"/>
            </w:pPr>
            <w:r>
              <w:rPr>
                <w:sz w:val="20"/>
              </w:rPr>
              <w:t>Monthly</w:t>
            </w:r>
          </w:p>
        </w:tc>
      </w:tr>
      <w:tr w:rsidR="002A4A1B" w14:paraId="147FB6AD" w14:textId="77777777">
        <w:tblPrEx>
          <w:tblCellMar>
            <w:top w:w="0" w:type="dxa"/>
            <w:bottom w:w="0" w:type="dxa"/>
          </w:tblCellMar>
        </w:tblPrEx>
        <w:tc>
          <w:tcPr>
            <w:tcW w:w="2600" w:type="dxa"/>
            <w:tcMar>
              <w:top w:w="60" w:type="dxa"/>
              <w:left w:w="100" w:type="dxa"/>
              <w:bottom w:w="60" w:type="dxa"/>
              <w:right w:w="100" w:type="dxa"/>
            </w:tcMar>
          </w:tcPr>
          <w:p w14:paraId="6B398DA1" w14:textId="77777777" w:rsidR="002A4A1B" w:rsidRDefault="00000000">
            <w:pPr>
              <w:spacing w:after="0" w:line="300" w:lineRule="auto"/>
            </w:pPr>
            <w:r>
              <w:rPr>
                <w:sz w:val="20"/>
              </w:rPr>
              <w:t>Enhanced Loran stations</w:t>
            </w:r>
          </w:p>
        </w:tc>
        <w:tc>
          <w:tcPr>
            <w:tcW w:w="3400" w:type="dxa"/>
            <w:tcMar>
              <w:top w:w="60" w:type="dxa"/>
              <w:left w:w="100" w:type="dxa"/>
              <w:bottom w:w="60" w:type="dxa"/>
              <w:right w:w="100" w:type="dxa"/>
            </w:tcMar>
          </w:tcPr>
          <w:p w14:paraId="19FB405E" w14:textId="77777777" w:rsidR="002A4A1B" w:rsidRDefault="00000000">
            <w:pPr>
              <w:spacing w:after="0" w:line="300" w:lineRule="auto"/>
            </w:pPr>
            <w:r>
              <w:rPr>
                <w:sz w:val="20"/>
              </w:rPr>
              <w:t>Backup positioning chain covering the whole Framework Area</w:t>
            </w:r>
          </w:p>
        </w:tc>
        <w:tc>
          <w:tcPr>
            <w:tcW w:w="3600" w:type="dxa"/>
            <w:tcMar>
              <w:top w:w="60" w:type="dxa"/>
              <w:left w:w="100" w:type="dxa"/>
              <w:bottom w:w="60" w:type="dxa"/>
              <w:right w:w="100" w:type="dxa"/>
            </w:tcMar>
          </w:tcPr>
          <w:p w14:paraId="56E118C2" w14:textId="77777777" w:rsidR="002A4A1B" w:rsidRDefault="00000000">
            <w:pPr>
              <w:spacing w:after="0" w:line="300" w:lineRule="auto"/>
            </w:pPr>
            <w:r>
              <w:rPr>
                <w:sz w:val="20"/>
              </w:rPr>
              <w:t>Continuous monitoring</w:t>
            </w:r>
          </w:p>
        </w:tc>
      </w:tr>
      <w:tr w:rsidR="002A4A1B" w14:paraId="5A34403B" w14:textId="77777777">
        <w:tblPrEx>
          <w:tblCellMar>
            <w:top w:w="0" w:type="dxa"/>
            <w:bottom w:w="0" w:type="dxa"/>
          </w:tblCellMar>
        </w:tblPrEx>
        <w:tc>
          <w:tcPr>
            <w:tcW w:w="2600" w:type="dxa"/>
            <w:tcMar>
              <w:top w:w="60" w:type="dxa"/>
              <w:left w:w="100" w:type="dxa"/>
              <w:bottom w:w="60" w:type="dxa"/>
              <w:right w:w="100" w:type="dxa"/>
            </w:tcMar>
          </w:tcPr>
          <w:p w14:paraId="028FC96B" w14:textId="77777777" w:rsidR="002A4A1B" w:rsidRDefault="00000000">
            <w:pPr>
              <w:spacing w:after="0" w:line="300" w:lineRule="auto"/>
            </w:pPr>
            <w:r>
              <w:rPr>
                <w:sz w:val="20"/>
              </w:rPr>
              <w:t>Leading lights</w:t>
            </w:r>
          </w:p>
        </w:tc>
        <w:tc>
          <w:tcPr>
            <w:tcW w:w="3400" w:type="dxa"/>
            <w:tcMar>
              <w:top w:w="60" w:type="dxa"/>
              <w:left w:w="100" w:type="dxa"/>
              <w:bottom w:w="60" w:type="dxa"/>
              <w:right w:w="100" w:type="dxa"/>
            </w:tcMar>
          </w:tcPr>
          <w:p w14:paraId="612EB4AF" w14:textId="77777777" w:rsidR="002A4A1B" w:rsidRDefault="00000000">
            <w:pPr>
              <w:spacing w:after="0" w:line="300" w:lineRule="auto"/>
            </w:pPr>
            <w:r>
              <w:rPr>
                <w:sz w:val="20"/>
              </w:rPr>
              <w:t>At each corridor entry gate</w:t>
            </w:r>
          </w:p>
        </w:tc>
        <w:tc>
          <w:tcPr>
            <w:tcW w:w="3600" w:type="dxa"/>
            <w:tcMar>
              <w:top w:w="60" w:type="dxa"/>
              <w:left w:w="100" w:type="dxa"/>
              <w:bottom w:w="60" w:type="dxa"/>
              <w:right w:w="100" w:type="dxa"/>
            </w:tcMar>
          </w:tcPr>
          <w:p w14:paraId="57D67ADC" w14:textId="77777777" w:rsidR="002A4A1B" w:rsidRDefault="00000000">
            <w:pPr>
              <w:spacing w:after="0" w:line="300" w:lineRule="auto"/>
            </w:pPr>
            <w:r>
              <w:rPr>
                <w:sz w:val="20"/>
              </w:rPr>
              <w:t>Ninety days</w:t>
            </w:r>
          </w:p>
        </w:tc>
      </w:tr>
    </w:tbl>
    <w:p w14:paraId="2191105F" w14:textId="77777777" w:rsidR="002A4A1B" w:rsidRDefault="002A4A1B">
      <w:pPr>
        <w:spacing w:after="160"/>
      </w:pPr>
    </w:p>
    <w:p w14:paraId="552DC66E" w14:textId="77777777" w:rsidR="002A4A1B" w:rsidRDefault="00000000">
      <w:pPr>
        <w:pStyle w:val="Heading2"/>
      </w:pPr>
      <w:bookmarkStart w:id="142" w:name="_Toc236929681"/>
      <w:r>
        <w:lastRenderedPageBreak/>
        <w:t>A.5 Charting and Notice to Mariners</w:t>
      </w:r>
      <w:bookmarkEnd w:id="142"/>
    </w:p>
    <w:p w14:paraId="58225375" w14:textId="77777777" w:rsidR="002A4A1B" w:rsidRDefault="00000000">
      <w:pPr>
        <w:spacing w:after="140"/>
        <w:jc w:val="both"/>
      </w:pPr>
      <w:r>
        <w:rPr>
          <w:b/>
          <w:color w:val="1F3A44"/>
        </w:rPr>
        <w:t xml:space="preserve">A.5.1   </w:t>
      </w:r>
      <w:r>
        <w:t>The Authority issues chart corrections through the International Hydrographic Organization channel within seventy-two hours of any geometry change, navigational warnings through the NAVAREA IX coordinator within twenty-four hours of any operational change, and the consolidated annual chart package each January.</w:t>
      </w:r>
    </w:p>
    <w:p w14:paraId="37E8A61E" w14:textId="77777777" w:rsidR="002A4A1B" w:rsidRDefault="00000000">
      <w:pPr>
        <w:spacing w:after="140"/>
        <w:jc w:val="both"/>
      </w:pPr>
      <w:r>
        <w:rPr>
          <w:b/>
          <w:color w:val="1F3A44"/>
        </w:rPr>
        <w:t xml:space="preserve">A.5.2   </w:t>
      </w:r>
      <w:r>
        <w:t>The publication protocol sequence: Council decision under Article 5.4, technical verification by the IMO technical seat, thirty-day notice to mariners, then activation. Emergency deviations under Article 5.4.2 publish within one hour and follow the seventy-two-hour conversion rule.</w:t>
      </w:r>
    </w:p>
    <w:p w14:paraId="733994FA" w14:textId="77777777" w:rsidR="002A4A1B" w:rsidRDefault="00000000">
      <w:pPr>
        <w:pStyle w:val="Heading1"/>
      </w:pPr>
      <w:bookmarkStart w:id="143" w:name="_Toc236929682"/>
      <w:r>
        <w:lastRenderedPageBreak/>
        <w:t>Annex B: Environmental Monitoring and Mine-Risk Response Protocol</w:t>
      </w:r>
      <w:bookmarkEnd w:id="143"/>
    </w:p>
    <w:p w14:paraId="031530FC" w14:textId="77777777" w:rsidR="002A4A1B" w:rsidRDefault="00000000">
      <w:pPr>
        <w:spacing w:after="140"/>
        <w:jc w:val="both"/>
      </w:pPr>
      <w:r>
        <w:t>This Annex governs the two slow dangers of the Strait: ecological degradation and the mine legacy. Both outlast every news cycle, and both answer to engineering rather than politics.</w:t>
      </w:r>
    </w:p>
    <w:p w14:paraId="5F04F841" w14:textId="77777777" w:rsidR="002A4A1B" w:rsidRDefault="00000000">
      <w:pPr>
        <w:pStyle w:val="Heading2"/>
      </w:pPr>
      <w:bookmarkStart w:id="144" w:name="_Toc236929683"/>
      <w:r>
        <w:t>B.1 The Environmental Baseline</w:t>
      </w:r>
      <w:bookmarkEnd w:id="144"/>
    </w:p>
    <w:p w14:paraId="5CB4C51C" w14:textId="77777777" w:rsidR="002A4A1B" w:rsidRDefault="00000000">
      <w:pPr>
        <w:spacing w:after="140"/>
        <w:jc w:val="both"/>
      </w:pPr>
      <w:r>
        <w:rPr>
          <w:b/>
          <w:color w:val="1F3A44"/>
        </w:rPr>
        <w:t xml:space="preserve">B.1.1   </w:t>
      </w:r>
      <w:r>
        <w:t>The baseline stations: twelve water-quality stations, six air-emission stations, and four ecological survey zones, distributed as the technical schedule maps them, half on each coast's side of the Buffer. The baseline campaign completes within ninety days of signature and publishes in full, raw data included.</w:t>
      </w:r>
    </w:p>
    <w:p w14:paraId="1DFA9871" w14:textId="77777777" w:rsidR="002A4A1B" w:rsidRDefault="00000000">
      <w:pPr>
        <w:spacing w:after="140"/>
        <w:jc w:val="both"/>
      </w:pPr>
      <w:r>
        <w:rPr>
          <w:b/>
          <w:color w:val="1F3A44"/>
        </w:rPr>
        <w:t xml:space="preserve">B.1.2   </w:t>
      </w:r>
      <w:r>
        <w:t>The monitored parameters: petroleum hydrocarbons, dissolved oxygen, turbidity, heavy metals, sea-surface temperature, sulfur and nitrogen oxides at the air stations, and the indicator species counts in the ecological zones. The parameter list expands only by Council consensus on the Safety and Environment Unit's technical advice.</w:t>
      </w:r>
    </w:p>
    <w:p w14:paraId="31B6F5A7" w14:textId="77777777" w:rsidR="002A4A1B" w:rsidRDefault="00000000">
      <w:pPr>
        <w:spacing w:after="140"/>
        <w:jc w:val="both"/>
      </w:pPr>
      <w:r>
        <w:rPr>
          <w:b/>
          <w:color w:val="1F3A44"/>
        </w:rPr>
        <w:t xml:space="preserve">B.1.3   </w:t>
      </w:r>
      <w:r>
        <w:t>Deviation handling: a parameter reading beyond two standard deviations from baseline publishes within twenty-four hours with its probable cause assessment; a reading beyond three standard deviations activates the joint investigation of the Safety and Environment Unit within seventy-two hours, with the report public within thirty days.</w:t>
      </w:r>
    </w:p>
    <w:p w14:paraId="52FACFE6" w14:textId="77777777" w:rsidR="002A4A1B" w:rsidRDefault="00000000">
      <w:pPr>
        <w:pStyle w:val="Heading2"/>
      </w:pPr>
      <w:bookmarkStart w:id="145" w:name="_Toc236929684"/>
      <w:r>
        <w:t>B.2 Vessel Standards in the Corridors</w:t>
      </w:r>
      <w:bookmarkEnd w:id="145"/>
    </w:p>
    <w:p w14:paraId="7B068849" w14:textId="77777777" w:rsidR="002A4A1B" w:rsidRDefault="00000000">
      <w:pPr>
        <w:numPr>
          <w:ilvl w:val="0"/>
          <w:numId w:val="1"/>
        </w:numPr>
        <w:spacing w:after="80" w:line="320" w:lineRule="auto"/>
      </w:pPr>
      <w:r>
        <w:t>Tankers transiting the corridors hold valid double-hull certification and carry a functioning oily-water separator with the monitoring record intact.</w:t>
      </w:r>
    </w:p>
    <w:p w14:paraId="44A761A3" w14:textId="77777777" w:rsidR="002A4A1B" w:rsidRDefault="00000000">
      <w:pPr>
        <w:numPr>
          <w:ilvl w:val="0"/>
          <w:numId w:val="1"/>
        </w:numPr>
        <w:spacing w:after="80" w:line="320" w:lineRule="auto"/>
      </w:pPr>
      <w:r>
        <w:t>All vessels observe the discharge prohibition: no oil, noxious liquid, sewage, or garbage discharge anywhere in the corridor waters.</w:t>
      </w:r>
    </w:p>
    <w:p w14:paraId="645993A3" w14:textId="77777777" w:rsidR="002A4A1B" w:rsidRDefault="00000000">
      <w:pPr>
        <w:numPr>
          <w:ilvl w:val="0"/>
          <w:numId w:val="1"/>
        </w:numPr>
        <w:spacing w:after="80" w:line="320" w:lineRule="auto"/>
      </w:pPr>
      <w:r>
        <w:t>Ballast exchange completes outside the Framework Area under the Ballast Water Management Convention standard, with the record available to the corridor desks on request.</w:t>
      </w:r>
    </w:p>
    <w:p w14:paraId="5B81C3DB" w14:textId="77777777" w:rsidR="002A4A1B" w:rsidRDefault="00000000">
      <w:pPr>
        <w:numPr>
          <w:ilvl w:val="0"/>
          <w:numId w:val="1"/>
        </w:numPr>
        <w:spacing w:after="80" w:line="320" w:lineRule="auto"/>
      </w:pPr>
      <w:r>
        <w:t>Vessels report any spill, leak, or loss overboard immediately on the corridor frequency; the report triggers the response clock of B.3 and never triggers a penalty when made promptly and truthfully.</w:t>
      </w:r>
    </w:p>
    <w:p w14:paraId="1C439B20" w14:textId="77777777" w:rsidR="002A4A1B" w:rsidRDefault="00000000">
      <w:pPr>
        <w:pStyle w:val="Heading2"/>
      </w:pPr>
      <w:bookmarkStart w:id="146" w:name="_Toc236929685"/>
      <w:r>
        <w:lastRenderedPageBreak/>
        <w:t>B.3 The Joint Spill Response Capability</w:t>
      </w:r>
      <w:bookmarkEnd w:id="146"/>
    </w:p>
    <w:p w14:paraId="68A2EA0C" w14:textId="77777777" w:rsidR="002A4A1B" w:rsidRDefault="00000000">
      <w:pPr>
        <w:spacing w:after="140"/>
        <w:jc w:val="both"/>
      </w:pPr>
      <w:r>
        <w:rPr>
          <w:b/>
          <w:color w:val="1F3A44"/>
        </w:rPr>
        <w:t xml:space="preserve">B.3.1   </w:t>
      </w:r>
      <w:r>
        <w:t>The capability stations two dedicated response vessels at Muscat and two at Bandar Abbas, with boom, skimmer, and dispersant stockpiles sized to a fifty-thousand-barrel tier-two event, and with standing contracts for tier-three mutual aid. The capability reaches any point in the Framework Area within six hours of the alarm, day or night, in any operable weather.</w:t>
      </w:r>
    </w:p>
    <w:p w14:paraId="4CF9BCE1" w14:textId="77777777" w:rsidR="002A4A1B" w:rsidRDefault="00000000">
      <w:pPr>
        <w:spacing w:after="140"/>
        <w:jc w:val="both"/>
      </w:pPr>
      <w:r>
        <w:rPr>
          <w:b/>
          <w:color w:val="1F3A44"/>
        </w:rPr>
        <w:t xml:space="preserve">B.3.2   </w:t>
      </w:r>
      <w:r>
        <w:t>Command runs dual-key: the coast in whose water the event occurs leads, the other coast co-commands, and the Safety and Environment Unit logs every decision. The capability drills quarterly, alternately on each coast, and the drill reports publish.</w:t>
      </w:r>
    </w:p>
    <w:p w14:paraId="23CFDA82" w14:textId="77777777" w:rsidR="002A4A1B" w:rsidRDefault="00000000">
      <w:pPr>
        <w:pStyle w:val="Heading2"/>
      </w:pPr>
      <w:bookmarkStart w:id="147" w:name="_Toc236929686"/>
      <w:r>
        <w:t>B.4 The Mine-Risk Response Protocol</w:t>
      </w:r>
      <w:bookmarkEnd w:id="147"/>
    </w:p>
    <w:p w14:paraId="77FE6DBD" w14:textId="77777777" w:rsidR="002A4A1B" w:rsidRDefault="00000000">
      <w:pPr>
        <w:spacing w:after="140"/>
        <w:jc w:val="both"/>
      </w:pPr>
      <w:r>
        <w:rPr>
          <w:b/>
          <w:color w:val="1F3A44"/>
        </w:rPr>
        <w:t xml:space="preserve">B.4.1   </w:t>
      </w:r>
      <w:r>
        <w:t>Survey program: the MCM Group surveys the legacy traffic separation scheme and every declared area on the clearance priority list, which the Verification Chamber draws from the signature declarations of Article 9.1.2 and from contact reports. The list publishes; progress against it publishes monthly.</w:t>
      </w:r>
    </w:p>
    <w:p w14:paraId="76C4D48F" w14:textId="77777777" w:rsidR="002A4A1B" w:rsidRDefault="00000000">
      <w:pPr>
        <w:spacing w:after="140"/>
        <w:jc w:val="both"/>
      </w:pPr>
      <w:r>
        <w:rPr>
          <w:b/>
          <w:color w:val="1F3A44"/>
        </w:rPr>
        <w:t xml:space="preserve">B.4.2   </w:t>
      </w:r>
      <w:r>
        <w:t>Contact protocol: any vessel's report of a suspected mine logs as a contact, activates a survey asset to the position within twenty-four hours, and publishes on the public layer as an unverified contact until the survey resolves it. A certified mine sighting activates the Buffer diversion, suspends the affected Beacon Certificate, and issues the NAVAREA warning within one hour, all three simultaneously and automatically.</w:t>
      </w:r>
    </w:p>
    <w:p w14:paraId="781B572D" w14:textId="77777777" w:rsidR="002A4A1B" w:rsidRDefault="00000000">
      <w:pPr>
        <w:spacing w:after="140"/>
        <w:jc w:val="both"/>
      </w:pPr>
      <w:r>
        <w:rPr>
          <w:b/>
          <w:color w:val="1F3A44"/>
        </w:rPr>
        <w:t xml:space="preserve">B.4.3   </w:t>
      </w:r>
      <w:r>
        <w:t>Clearance standard: the dual-survey rule of Article 9.2.3 applies to every cleared area, with the addition that the MCM Group sweeps every corridor lane edge to a published margin beyond the lane boundary, because lanes are only as safe as their margins.</w:t>
      </w:r>
    </w:p>
    <w:p w14:paraId="4BEC4279" w14:textId="77777777" w:rsidR="002A4A1B" w:rsidRDefault="00000000">
      <w:pPr>
        <w:spacing w:after="140"/>
        <w:jc w:val="both"/>
      </w:pPr>
      <w:r>
        <w:rPr>
          <w:b/>
          <w:color w:val="1F3A44"/>
        </w:rPr>
        <w:t xml:space="preserve">B.4.4   </w:t>
      </w:r>
      <w:r>
        <w:t>Historical fields: the Founding Parties' mine-warfare records deposit with the Verification Chamber in sealed form at signature, open to the MCM Group's planners, and declassify progressively as clearance completes. The deposit converts the most dangerous archive in the region into a clearance roadmap without converting it into a public relations weapon.</w:t>
      </w:r>
    </w:p>
    <w:p w14:paraId="41BEEFCD" w14:textId="77777777" w:rsidR="002A4A1B" w:rsidRDefault="00000000">
      <w:pPr>
        <w:pStyle w:val="Heading2"/>
      </w:pPr>
      <w:bookmarkStart w:id="148" w:name="_Toc236929687"/>
      <w:r>
        <w:t>B.5 Environmental Liability</w:t>
      </w:r>
      <w:bookmarkEnd w:id="148"/>
    </w:p>
    <w:p w14:paraId="55026F20" w14:textId="77777777" w:rsidR="002A4A1B" w:rsidRDefault="00000000">
      <w:pPr>
        <w:spacing w:after="140"/>
        <w:jc w:val="both"/>
      </w:pPr>
      <w:r>
        <w:rPr>
          <w:b/>
          <w:color w:val="1F3A44"/>
        </w:rPr>
        <w:t xml:space="preserve">B.5.1   </w:t>
      </w:r>
      <w:r>
        <w:t>Pollution liability follows the polluter under the international liability conventions, with the Fund's safety commons advancing response costs where the liable party cannot pay immediately and recovering afterward. Response never waits on liability; the sea does not read court papers.</w:t>
      </w:r>
    </w:p>
    <w:p w14:paraId="596E0ECB" w14:textId="77777777" w:rsidR="002A4A1B" w:rsidRDefault="00000000">
      <w:pPr>
        <w:pStyle w:val="Heading1"/>
      </w:pPr>
      <w:bookmarkStart w:id="149" w:name="_Toc236929688"/>
      <w:r>
        <w:lastRenderedPageBreak/>
        <w:t>Annex C: Monitoring, Transparency, and Incident Reporting</w:t>
      </w:r>
      <w:bookmarkEnd w:id="149"/>
    </w:p>
    <w:p w14:paraId="6E3A585C" w14:textId="77777777" w:rsidR="002A4A1B" w:rsidRDefault="00000000">
      <w:pPr>
        <w:spacing w:after="140"/>
        <w:jc w:val="both"/>
      </w:pPr>
      <w:r>
        <w:t>This Annex specifies the nervous system of the Framework: the sensor chain, the fusion engine, the observer feeds, the incident log, and the publication schedule. Its design premise: a fact one participant sees, every participant sees in the same second, and a fact the system records, the system cannot unrecord.</w:t>
      </w:r>
    </w:p>
    <w:p w14:paraId="4F5CC0B9" w14:textId="77777777" w:rsidR="002A4A1B" w:rsidRDefault="00000000">
      <w:pPr>
        <w:pStyle w:val="Heading2"/>
      </w:pPr>
      <w:bookmarkStart w:id="150" w:name="_Toc236929689"/>
      <w:r>
        <w:t>C.1 The Sensor Chain</w:t>
      </w:r>
      <w:bookmarkEnd w:id="150"/>
    </w:p>
    <w:p w14:paraId="345A6A6D" w14:textId="77777777" w:rsidR="002A4A1B" w:rsidRDefault="00000000">
      <w:pPr>
        <w:spacing w:after="140"/>
        <w:jc w:val="both"/>
      </w:pPr>
      <w:r>
        <w:rPr>
          <w:b/>
          <w:color w:val="1F3A44"/>
        </w:rPr>
        <w:t xml:space="preserve">C.1.1   </w:t>
      </w:r>
      <w:r>
        <w:t>The chain comprises: the coastal radar networks of Iran and Oman, extended to overlapping coverage of every corridor meter; the AIS shore network; the corridor camera and electro-optical chain at the gates and turning points; the environmental instruments of Annex B; the interference monitoring network of C.4; and the vessel traffic microphones on the corridor frequencies. Every sensor feeds the fusion engine in real time and lands in the shared registry simultaneously.</w:t>
      </w:r>
    </w:p>
    <w:p w14:paraId="0BB19CAF" w14:textId="77777777" w:rsidR="002A4A1B" w:rsidRDefault="00000000">
      <w:pPr>
        <w:spacing w:after="140"/>
        <w:jc w:val="both"/>
      </w:pPr>
      <w:r>
        <w:rPr>
          <w:b/>
          <w:color w:val="1F3A44"/>
        </w:rPr>
        <w:t xml:space="preserve">C.1.2   </w:t>
      </w:r>
      <w:r>
        <w:t>The chain carries dual-path integrity: every feed writes to the Muscat registry and the Bandar Abbas registry in the same transaction, cryptographically anchored, so that a record altered on one coast fails to match the other coast's copy within one reconciliation cycle of ten minutes. The Verification Chamber reads both copies and treats divergence as an integrity event under Article 13.3.2.</w:t>
      </w:r>
    </w:p>
    <w:p w14:paraId="37D4AB2F" w14:textId="77777777" w:rsidR="002A4A1B" w:rsidRDefault="00000000">
      <w:pPr>
        <w:pStyle w:val="Heading2"/>
      </w:pPr>
      <w:bookmarkStart w:id="151" w:name="_Toc236929690"/>
      <w:r>
        <w:t>C.2 The Fusion Engine and the Observer Feed</w:t>
      </w:r>
      <w:bookmarkEnd w:id="151"/>
    </w:p>
    <w:p w14:paraId="74B7FA18" w14:textId="77777777" w:rsidR="002A4A1B" w:rsidRDefault="00000000">
      <w:pPr>
        <w:spacing w:after="140"/>
        <w:jc w:val="both"/>
      </w:pPr>
      <w:r>
        <w:rPr>
          <w:b/>
          <w:color w:val="1F3A44"/>
        </w:rPr>
        <w:t xml:space="preserve">C.2.1   </w:t>
      </w:r>
      <w:r>
        <w:t>The fusion engine correlates radar tracks, AIS reports, and visual tracks into one track file per vessel, scores its own confidence, and flags every track that lacks corroboration for watchkeeper attention. The engine's confidence scoring publishes, so every observer knows what the system knows and how well it knows it.</w:t>
      </w:r>
    </w:p>
    <w:p w14:paraId="51026A9F" w14:textId="77777777" w:rsidR="002A4A1B" w:rsidRDefault="00000000">
      <w:pPr>
        <w:spacing w:after="140"/>
        <w:jc w:val="both"/>
      </w:pPr>
      <w:r>
        <w:rPr>
          <w:b/>
          <w:color w:val="1F3A44"/>
        </w:rPr>
        <w:t xml:space="preserve">C.2.2   </w:t>
      </w:r>
      <w:r>
        <w:t>The observer feed delivers the full fused picture to every accredited observer at not less than 99.5 percent monthly availability, with the single exception that tracks of military vessels of the Parties display on a fifteen-minute delay during Amber or Orange zone status only, and display in real time at all other times. The delay rule exists to protect routine naval movements, never to conceal action against commerce, and any military interaction with a commercial vessel publishes in the incident log in real time regardless of zone status.</w:t>
      </w:r>
    </w:p>
    <w:p w14:paraId="64C131FF" w14:textId="77777777" w:rsidR="002A4A1B" w:rsidRDefault="00000000">
      <w:pPr>
        <w:pStyle w:val="Heading2"/>
      </w:pPr>
      <w:bookmarkStart w:id="152" w:name="_Toc236929691"/>
      <w:r>
        <w:lastRenderedPageBreak/>
        <w:t>C.3 The Incident Log</w:t>
      </w:r>
      <w:bookmarkEnd w:id="152"/>
    </w:p>
    <w:p w14:paraId="62A7F47A" w14:textId="77777777" w:rsidR="002A4A1B" w:rsidRDefault="00000000">
      <w:pPr>
        <w:spacing w:after="140"/>
        <w:jc w:val="both"/>
      </w:pPr>
      <w:r>
        <w:rPr>
          <w:b/>
          <w:color w:val="1F3A44"/>
        </w:rPr>
        <w:t xml:space="preserve">C.3.1   </w:t>
      </w:r>
      <w:r>
        <w:t>Every reportable event lands in the public incident log within twenty-four hours of occurrence, time-stamped, located, and classified by the severity index: Class One, navigation events; Class Two, security events; Class Three, environmental events; Class Four, system events. The log carries every field the insurers' actuarial models consume, because the log exists for the market as much as for the ministries.</w:t>
      </w:r>
    </w:p>
    <w:p w14:paraId="605ADB4A" w14:textId="77777777" w:rsidR="002A4A1B" w:rsidRDefault="00000000">
      <w:pPr>
        <w:spacing w:after="140"/>
        <w:jc w:val="both"/>
      </w:pPr>
      <w:r>
        <w:rPr>
          <w:b/>
          <w:color w:val="1F3A44"/>
        </w:rPr>
        <w:t xml:space="preserve">C.3.2   </w:t>
      </w:r>
      <w:r>
        <w:t>Interim entries publish within one hour for any event involving death, injury, a commercial vessel under any form of attack or interference, or a certificate suspension. The interim entry carries verified facts only and updates as verification proceeds; the log never deletes, it amends with the audit trail showing.</w:t>
      </w:r>
    </w:p>
    <w:p w14:paraId="189B8019" w14:textId="77777777" w:rsidR="002A4A1B" w:rsidRDefault="00000000">
      <w:pPr>
        <w:pStyle w:val="Heading2"/>
      </w:pPr>
      <w:bookmarkStart w:id="153" w:name="_Toc236929692"/>
      <w:r>
        <w:t>C.4 The Interference Monitoring Network</w:t>
      </w:r>
      <w:bookmarkEnd w:id="153"/>
    </w:p>
    <w:p w14:paraId="208E0D3C" w14:textId="77777777" w:rsidR="002A4A1B" w:rsidRDefault="00000000">
      <w:pPr>
        <w:spacing w:after="140"/>
        <w:jc w:val="both"/>
      </w:pPr>
      <w:r>
        <w:rPr>
          <w:b/>
          <w:color w:val="1F3A44"/>
        </w:rPr>
        <w:t xml:space="preserve">C.4.1   </w:t>
      </w:r>
      <w:r>
        <w:t>The network measures satellite-navigation interference continuously at the published stations, classifies each event by extent, duration, and probable source direction, and publishes the daily interference picture. Vessels receive interference alerts on the guidance layer, and the terrestrial backup chain of Annex A carries navigation through every event.</w:t>
      </w:r>
    </w:p>
    <w:p w14:paraId="049E7B96" w14:textId="77777777" w:rsidR="002A4A1B" w:rsidRDefault="00000000">
      <w:pPr>
        <w:spacing w:after="140"/>
        <w:jc w:val="both"/>
      </w:pPr>
      <w:r>
        <w:rPr>
          <w:b/>
          <w:color w:val="1F3A44"/>
        </w:rPr>
        <w:t xml:space="preserve">C.4.2   </w:t>
      </w:r>
      <w:r>
        <w:t>Attribution: the network's triangulation record supports the Verification Chamber's attribution findings, and deliberate interference registers under the Demerit Matrix as Article 9.4.2 provides. Where attribution fails, the resilience architecture still carries the traffic, which is the deeper answer.</w:t>
      </w:r>
    </w:p>
    <w:p w14:paraId="4EF7D33A" w14:textId="77777777" w:rsidR="002A4A1B" w:rsidRDefault="00000000">
      <w:pPr>
        <w:pStyle w:val="Heading2"/>
      </w:pPr>
      <w:bookmarkStart w:id="154" w:name="_Toc236929693"/>
      <w:r>
        <w:t>C.5 Publication Schedule</w:t>
      </w:r>
      <w:bookmarkEnd w:id="154"/>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3279"/>
        <w:gridCol w:w="2888"/>
        <w:gridCol w:w="3059"/>
      </w:tblGrid>
      <w:tr w:rsidR="002A4A1B" w14:paraId="4FEA1F32" w14:textId="77777777">
        <w:tblPrEx>
          <w:tblCellMar>
            <w:top w:w="0" w:type="dxa"/>
            <w:bottom w:w="0" w:type="dxa"/>
          </w:tblCellMar>
        </w:tblPrEx>
        <w:trPr>
          <w:tblHeader/>
        </w:trPr>
        <w:tc>
          <w:tcPr>
            <w:tcW w:w="3400" w:type="dxa"/>
            <w:tcBorders>
              <w:bottom w:val="single" w:sz="6" w:space="0" w:color="2F5560"/>
            </w:tcBorders>
            <w:shd w:val="clear" w:color="auto" w:fill="E7EEF0"/>
            <w:tcMar>
              <w:top w:w="60" w:type="dxa"/>
              <w:left w:w="100" w:type="dxa"/>
              <w:bottom w:w="60" w:type="dxa"/>
              <w:right w:w="100" w:type="dxa"/>
            </w:tcMar>
          </w:tcPr>
          <w:p w14:paraId="146F3895" w14:textId="77777777" w:rsidR="002A4A1B" w:rsidRDefault="00000000">
            <w:pPr>
              <w:spacing w:after="0" w:line="300" w:lineRule="auto"/>
            </w:pPr>
            <w:r>
              <w:rPr>
                <w:b/>
                <w:color w:val="1F3A44"/>
                <w:sz w:val="20"/>
              </w:rPr>
              <w:t>Publication</w:t>
            </w:r>
          </w:p>
        </w:tc>
        <w:tc>
          <w:tcPr>
            <w:tcW w:w="3000" w:type="dxa"/>
            <w:tcBorders>
              <w:bottom w:val="single" w:sz="6" w:space="0" w:color="2F5560"/>
            </w:tcBorders>
            <w:shd w:val="clear" w:color="auto" w:fill="E7EEF0"/>
            <w:tcMar>
              <w:top w:w="60" w:type="dxa"/>
              <w:left w:w="100" w:type="dxa"/>
              <w:bottom w:w="60" w:type="dxa"/>
              <w:right w:w="100" w:type="dxa"/>
            </w:tcMar>
          </w:tcPr>
          <w:p w14:paraId="09DA5DCF" w14:textId="77777777" w:rsidR="002A4A1B" w:rsidRDefault="00000000">
            <w:pPr>
              <w:spacing w:after="0" w:line="300" w:lineRule="auto"/>
            </w:pPr>
            <w:r>
              <w:rPr>
                <w:b/>
                <w:color w:val="1F3A44"/>
                <w:sz w:val="20"/>
              </w:rPr>
              <w:t>Frequency</w:t>
            </w:r>
          </w:p>
        </w:tc>
        <w:tc>
          <w:tcPr>
            <w:tcW w:w="3200" w:type="dxa"/>
            <w:tcBorders>
              <w:bottom w:val="single" w:sz="6" w:space="0" w:color="2F5560"/>
            </w:tcBorders>
            <w:shd w:val="clear" w:color="auto" w:fill="E7EEF0"/>
            <w:tcMar>
              <w:top w:w="60" w:type="dxa"/>
              <w:left w:w="100" w:type="dxa"/>
              <w:bottom w:w="60" w:type="dxa"/>
              <w:right w:w="100" w:type="dxa"/>
            </w:tcMar>
          </w:tcPr>
          <w:p w14:paraId="194D9216" w14:textId="77777777" w:rsidR="002A4A1B" w:rsidRDefault="00000000">
            <w:pPr>
              <w:spacing w:after="0" w:line="300" w:lineRule="auto"/>
            </w:pPr>
            <w:r>
              <w:rPr>
                <w:b/>
                <w:color w:val="1F3A44"/>
                <w:sz w:val="20"/>
              </w:rPr>
              <w:t>Latency</w:t>
            </w:r>
          </w:p>
        </w:tc>
      </w:tr>
      <w:tr w:rsidR="002A4A1B" w14:paraId="35694AAD" w14:textId="77777777">
        <w:tblPrEx>
          <w:tblCellMar>
            <w:top w:w="0" w:type="dxa"/>
            <w:bottom w:w="0" w:type="dxa"/>
          </w:tblCellMar>
        </w:tblPrEx>
        <w:tc>
          <w:tcPr>
            <w:tcW w:w="3400" w:type="dxa"/>
            <w:tcMar>
              <w:top w:w="60" w:type="dxa"/>
              <w:left w:w="100" w:type="dxa"/>
              <w:bottom w:w="60" w:type="dxa"/>
              <w:right w:w="100" w:type="dxa"/>
            </w:tcMar>
          </w:tcPr>
          <w:p w14:paraId="63BBACC2" w14:textId="77777777" w:rsidR="002A4A1B" w:rsidRDefault="00000000">
            <w:pPr>
              <w:spacing w:after="0" w:line="300" w:lineRule="auto"/>
            </w:pPr>
            <w:r>
              <w:rPr>
                <w:sz w:val="20"/>
              </w:rPr>
              <w:t>Corridor status and guidance layer</w:t>
            </w:r>
          </w:p>
        </w:tc>
        <w:tc>
          <w:tcPr>
            <w:tcW w:w="3000" w:type="dxa"/>
            <w:tcMar>
              <w:top w:w="60" w:type="dxa"/>
              <w:left w:w="100" w:type="dxa"/>
              <w:bottom w:w="60" w:type="dxa"/>
              <w:right w:w="100" w:type="dxa"/>
            </w:tcMar>
          </w:tcPr>
          <w:p w14:paraId="31DF8863" w14:textId="77777777" w:rsidR="002A4A1B" w:rsidRDefault="00000000">
            <w:pPr>
              <w:spacing w:after="0" w:line="300" w:lineRule="auto"/>
            </w:pPr>
            <w:r>
              <w:rPr>
                <w:sz w:val="20"/>
              </w:rPr>
              <w:t>Continuous</w:t>
            </w:r>
          </w:p>
        </w:tc>
        <w:tc>
          <w:tcPr>
            <w:tcW w:w="3200" w:type="dxa"/>
            <w:tcMar>
              <w:top w:w="60" w:type="dxa"/>
              <w:left w:w="100" w:type="dxa"/>
              <w:bottom w:w="60" w:type="dxa"/>
              <w:right w:w="100" w:type="dxa"/>
            </w:tcMar>
          </w:tcPr>
          <w:p w14:paraId="678005BE" w14:textId="77777777" w:rsidR="002A4A1B" w:rsidRDefault="00000000">
            <w:pPr>
              <w:spacing w:after="0" w:line="300" w:lineRule="auto"/>
            </w:pPr>
            <w:r>
              <w:rPr>
                <w:sz w:val="20"/>
              </w:rPr>
              <w:t>Real time</w:t>
            </w:r>
          </w:p>
        </w:tc>
      </w:tr>
      <w:tr w:rsidR="002A4A1B" w14:paraId="142C4A44" w14:textId="77777777">
        <w:tblPrEx>
          <w:tblCellMar>
            <w:top w:w="0" w:type="dxa"/>
            <w:bottom w:w="0" w:type="dxa"/>
          </w:tblCellMar>
        </w:tblPrEx>
        <w:tc>
          <w:tcPr>
            <w:tcW w:w="3400" w:type="dxa"/>
            <w:tcMar>
              <w:top w:w="60" w:type="dxa"/>
              <w:left w:w="100" w:type="dxa"/>
              <w:bottom w:w="60" w:type="dxa"/>
              <w:right w:w="100" w:type="dxa"/>
            </w:tcMar>
          </w:tcPr>
          <w:p w14:paraId="2362A3F8" w14:textId="77777777" w:rsidR="002A4A1B" w:rsidRDefault="00000000">
            <w:pPr>
              <w:spacing w:after="0" w:line="300" w:lineRule="auto"/>
            </w:pPr>
            <w:r>
              <w:rPr>
                <w:sz w:val="20"/>
              </w:rPr>
              <w:t>Incident log</w:t>
            </w:r>
          </w:p>
        </w:tc>
        <w:tc>
          <w:tcPr>
            <w:tcW w:w="3000" w:type="dxa"/>
            <w:tcMar>
              <w:top w:w="60" w:type="dxa"/>
              <w:left w:w="100" w:type="dxa"/>
              <w:bottom w:w="60" w:type="dxa"/>
              <w:right w:w="100" w:type="dxa"/>
            </w:tcMar>
          </w:tcPr>
          <w:p w14:paraId="1A3921C2" w14:textId="77777777" w:rsidR="002A4A1B" w:rsidRDefault="00000000">
            <w:pPr>
              <w:spacing w:after="0" w:line="300" w:lineRule="auto"/>
            </w:pPr>
            <w:r>
              <w:rPr>
                <w:sz w:val="20"/>
              </w:rPr>
              <w:t>Continuous</w:t>
            </w:r>
          </w:p>
        </w:tc>
        <w:tc>
          <w:tcPr>
            <w:tcW w:w="3200" w:type="dxa"/>
            <w:tcMar>
              <w:top w:w="60" w:type="dxa"/>
              <w:left w:w="100" w:type="dxa"/>
              <w:bottom w:w="60" w:type="dxa"/>
              <w:right w:w="100" w:type="dxa"/>
            </w:tcMar>
          </w:tcPr>
          <w:p w14:paraId="1CD0DFF4" w14:textId="77777777" w:rsidR="002A4A1B" w:rsidRDefault="00000000">
            <w:pPr>
              <w:spacing w:after="0" w:line="300" w:lineRule="auto"/>
            </w:pPr>
            <w:r>
              <w:rPr>
                <w:sz w:val="20"/>
              </w:rPr>
              <w:t>One hour interim, 24 hours full</w:t>
            </w:r>
          </w:p>
        </w:tc>
      </w:tr>
      <w:tr w:rsidR="002A4A1B" w14:paraId="423ADCB1" w14:textId="77777777">
        <w:tblPrEx>
          <w:tblCellMar>
            <w:top w:w="0" w:type="dxa"/>
            <w:bottom w:w="0" w:type="dxa"/>
          </w:tblCellMar>
        </w:tblPrEx>
        <w:tc>
          <w:tcPr>
            <w:tcW w:w="3400" w:type="dxa"/>
            <w:tcMar>
              <w:top w:w="60" w:type="dxa"/>
              <w:left w:w="100" w:type="dxa"/>
              <w:bottom w:w="60" w:type="dxa"/>
              <w:right w:w="100" w:type="dxa"/>
            </w:tcMar>
          </w:tcPr>
          <w:p w14:paraId="0229D625" w14:textId="77777777" w:rsidR="002A4A1B" w:rsidRDefault="00000000">
            <w:pPr>
              <w:spacing w:after="0" w:line="300" w:lineRule="auto"/>
            </w:pPr>
            <w:r>
              <w:rPr>
                <w:sz w:val="20"/>
              </w:rPr>
              <w:t>Interference picture</w:t>
            </w:r>
          </w:p>
        </w:tc>
        <w:tc>
          <w:tcPr>
            <w:tcW w:w="3000" w:type="dxa"/>
            <w:tcMar>
              <w:top w:w="60" w:type="dxa"/>
              <w:left w:w="100" w:type="dxa"/>
              <w:bottom w:w="60" w:type="dxa"/>
              <w:right w:w="100" w:type="dxa"/>
            </w:tcMar>
          </w:tcPr>
          <w:p w14:paraId="1A08E8D7" w14:textId="77777777" w:rsidR="002A4A1B" w:rsidRDefault="00000000">
            <w:pPr>
              <w:spacing w:after="0" w:line="300" w:lineRule="auto"/>
            </w:pPr>
            <w:r>
              <w:rPr>
                <w:sz w:val="20"/>
              </w:rPr>
              <w:t>Daily</w:t>
            </w:r>
          </w:p>
        </w:tc>
        <w:tc>
          <w:tcPr>
            <w:tcW w:w="3200" w:type="dxa"/>
            <w:tcMar>
              <w:top w:w="60" w:type="dxa"/>
              <w:left w:w="100" w:type="dxa"/>
              <w:bottom w:w="60" w:type="dxa"/>
              <w:right w:w="100" w:type="dxa"/>
            </w:tcMar>
          </w:tcPr>
          <w:p w14:paraId="62D937B4" w14:textId="77777777" w:rsidR="002A4A1B" w:rsidRDefault="00000000">
            <w:pPr>
              <w:spacing w:after="0" w:line="300" w:lineRule="auto"/>
            </w:pPr>
            <w:r>
              <w:rPr>
                <w:sz w:val="20"/>
              </w:rPr>
              <w:t>By 0600 UTC</w:t>
            </w:r>
          </w:p>
        </w:tc>
      </w:tr>
      <w:tr w:rsidR="002A4A1B" w14:paraId="4772C815" w14:textId="77777777">
        <w:tblPrEx>
          <w:tblCellMar>
            <w:top w:w="0" w:type="dxa"/>
            <w:bottom w:w="0" w:type="dxa"/>
          </w:tblCellMar>
        </w:tblPrEx>
        <w:tc>
          <w:tcPr>
            <w:tcW w:w="3400" w:type="dxa"/>
            <w:tcMar>
              <w:top w:w="60" w:type="dxa"/>
              <w:left w:w="100" w:type="dxa"/>
              <w:bottom w:w="60" w:type="dxa"/>
              <w:right w:w="100" w:type="dxa"/>
            </w:tcMar>
          </w:tcPr>
          <w:p w14:paraId="67314625" w14:textId="77777777" w:rsidR="002A4A1B" w:rsidRDefault="00000000">
            <w:pPr>
              <w:spacing w:after="0" w:line="300" w:lineRule="auto"/>
            </w:pPr>
            <w:r>
              <w:rPr>
                <w:sz w:val="20"/>
              </w:rPr>
              <w:t>Traffic statistics</w:t>
            </w:r>
          </w:p>
        </w:tc>
        <w:tc>
          <w:tcPr>
            <w:tcW w:w="3000" w:type="dxa"/>
            <w:tcMar>
              <w:top w:w="60" w:type="dxa"/>
              <w:left w:w="100" w:type="dxa"/>
              <w:bottom w:w="60" w:type="dxa"/>
              <w:right w:w="100" w:type="dxa"/>
            </w:tcMar>
          </w:tcPr>
          <w:p w14:paraId="685CDD18" w14:textId="77777777" w:rsidR="002A4A1B" w:rsidRDefault="00000000">
            <w:pPr>
              <w:spacing w:after="0" w:line="300" w:lineRule="auto"/>
            </w:pPr>
            <w:r>
              <w:rPr>
                <w:sz w:val="20"/>
              </w:rPr>
              <w:t>Weekly</w:t>
            </w:r>
          </w:p>
        </w:tc>
        <w:tc>
          <w:tcPr>
            <w:tcW w:w="3200" w:type="dxa"/>
            <w:tcMar>
              <w:top w:w="60" w:type="dxa"/>
              <w:left w:w="100" w:type="dxa"/>
              <w:bottom w:w="60" w:type="dxa"/>
              <w:right w:w="100" w:type="dxa"/>
            </w:tcMar>
          </w:tcPr>
          <w:p w14:paraId="4D9AD1E3" w14:textId="77777777" w:rsidR="002A4A1B" w:rsidRDefault="00000000">
            <w:pPr>
              <w:spacing w:after="0" w:line="300" w:lineRule="auto"/>
            </w:pPr>
            <w:r>
              <w:rPr>
                <w:sz w:val="20"/>
              </w:rPr>
              <w:t>Three days</w:t>
            </w:r>
          </w:p>
        </w:tc>
      </w:tr>
      <w:tr w:rsidR="002A4A1B" w14:paraId="68947E82" w14:textId="77777777">
        <w:tblPrEx>
          <w:tblCellMar>
            <w:top w:w="0" w:type="dxa"/>
            <w:bottom w:w="0" w:type="dxa"/>
          </w:tblCellMar>
        </w:tblPrEx>
        <w:tc>
          <w:tcPr>
            <w:tcW w:w="3400" w:type="dxa"/>
            <w:tcMar>
              <w:top w:w="60" w:type="dxa"/>
              <w:left w:w="100" w:type="dxa"/>
              <w:bottom w:w="60" w:type="dxa"/>
              <w:right w:w="100" w:type="dxa"/>
            </w:tcMar>
          </w:tcPr>
          <w:p w14:paraId="1972A692" w14:textId="77777777" w:rsidR="002A4A1B" w:rsidRDefault="00000000">
            <w:pPr>
              <w:spacing w:after="0" w:line="300" w:lineRule="auto"/>
            </w:pPr>
            <w:r>
              <w:rPr>
                <w:sz w:val="20"/>
              </w:rPr>
              <w:t>Environmental picture</w:t>
            </w:r>
          </w:p>
        </w:tc>
        <w:tc>
          <w:tcPr>
            <w:tcW w:w="3000" w:type="dxa"/>
            <w:tcMar>
              <w:top w:w="60" w:type="dxa"/>
              <w:left w:w="100" w:type="dxa"/>
              <w:bottom w:w="60" w:type="dxa"/>
              <w:right w:w="100" w:type="dxa"/>
            </w:tcMar>
          </w:tcPr>
          <w:p w14:paraId="5E6CF9D1" w14:textId="77777777" w:rsidR="002A4A1B" w:rsidRDefault="00000000">
            <w:pPr>
              <w:spacing w:after="0" w:line="300" w:lineRule="auto"/>
            </w:pPr>
            <w:r>
              <w:rPr>
                <w:sz w:val="20"/>
              </w:rPr>
              <w:t>Monthly</w:t>
            </w:r>
          </w:p>
        </w:tc>
        <w:tc>
          <w:tcPr>
            <w:tcW w:w="3200" w:type="dxa"/>
            <w:tcMar>
              <w:top w:w="60" w:type="dxa"/>
              <w:left w:w="100" w:type="dxa"/>
              <w:bottom w:w="60" w:type="dxa"/>
              <w:right w:w="100" w:type="dxa"/>
            </w:tcMar>
          </w:tcPr>
          <w:p w14:paraId="15B8AB68" w14:textId="77777777" w:rsidR="002A4A1B" w:rsidRDefault="00000000">
            <w:pPr>
              <w:spacing w:after="0" w:line="300" w:lineRule="auto"/>
            </w:pPr>
            <w:r>
              <w:rPr>
                <w:sz w:val="20"/>
              </w:rPr>
              <w:t>Seven days</w:t>
            </w:r>
          </w:p>
        </w:tc>
      </w:tr>
      <w:tr w:rsidR="002A4A1B" w14:paraId="4149D72C" w14:textId="77777777">
        <w:tblPrEx>
          <w:tblCellMar>
            <w:top w:w="0" w:type="dxa"/>
            <w:bottom w:w="0" w:type="dxa"/>
          </w:tblCellMar>
        </w:tblPrEx>
        <w:tc>
          <w:tcPr>
            <w:tcW w:w="3400" w:type="dxa"/>
            <w:tcMar>
              <w:top w:w="60" w:type="dxa"/>
              <w:left w:w="100" w:type="dxa"/>
              <w:bottom w:w="60" w:type="dxa"/>
              <w:right w:w="100" w:type="dxa"/>
            </w:tcMar>
          </w:tcPr>
          <w:p w14:paraId="23C6373E" w14:textId="77777777" w:rsidR="002A4A1B" w:rsidRDefault="00000000">
            <w:pPr>
              <w:spacing w:after="0" w:line="300" w:lineRule="auto"/>
            </w:pPr>
            <w:r>
              <w:rPr>
                <w:sz w:val="20"/>
              </w:rPr>
              <w:t>Fund ledger</w:t>
            </w:r>
          </w:p>
        </w:tc>
        <w:tc>
          <w:tcPr>
            <w:tcW w:w="3000" w:type="dxa"/>
            <w:tcMar>
              <w:top w:w="60" w:type="dxa"/>
              <w:left w:w="100" w:type="dxa"/>
              <w:bottom w:w="60" w:type="dxa"/>
              <w:right w:w="100" w:type="dxa"/>
            </w:tcMar>
          </w:tcPr>
          <w:p w14:paraId="0641FC3A" w14:textId="77777777" w:rsidR="002A4A1B" w:rsidRDefault="00000000">
            <w:pPr>
              <w:spacing w:after="0" w:line="300" w:lineRule="auto"/>
            </w:pPr>
            <w:r>
              <w:rPr>
                <w:sz w:val="20"/>
              </w:rPr>
              <w:t>Monthly summary, quarterly full</w:t>
            </w:r>
          </w:p>
        </w:tc>
        <w:tc>
          <w:tcPr>
            <w:tcW w:w="3200" w:type="dxa"/>
            <w:tcMar>
              <w:top w:w="60" w:type="dxa"/>
              <w:left w:w="100" w:type="dxa"/>
              <w:bottom w:w="60" w:type="dxa"/>
              <w:right w:w="100" w:type="dxa"/>
            </w:tcMar>
          </w:tcPr>
          <w:p w14:paraId="2C75E11D" w14:textId="77777777" w:rsidR="002A4A1B" w:rsidRDefault="00000000">
            <w:pPr>
              <w:spacing w:after="0" w:line="300" w:lineRule="auto"/>
            </w:pPr>
            <w:r>
              <w:rPr>
                <w:sz w:val="20"/>
              </w:rPr>
              <w:t>Thirty days</w:t>
            </w:r>
          </w:p>
        </w:tc>
      </w:tr>
      <w:tr w:rsidR="002A4A1B" w14:paraId="6C109FE3" w14:textId="77777777">
        <w:tblPrEx>
          <w:tblCellMar>
            <w:top w:w="0" w:type="dxa"/>
            <w:bottom w:w="0" w:type="dxa"/>
          </w:tblCellMar>
        </w:tblPrEx>
        <w:tc>
          <w:tcPr>
            <w:tcW w:w="3400" w:type="dxa"/>
            <w:tcMar>
              <w:top w:w="60" w:type="dxa"/>
              <w:left w:w="100" w:type="dxa"/>
              <w:bottom w:w="60" w:type="dxa"/>
              <w:right w:w="100" w:type="dxa"/>
            </w:tcMar>
          </w:tcPr>
          <w:p w14:paraId="48D09152" w14:textId="77777777" w:rsidR="002A4A1B" w:rsidRDefault="00000000">
            <w:pPr>
              <w:spacing w:after="0" w:line="300" w:lineRule="auto"/>
            </w:pPr>
            <w:r>
              <w:rPr>
                <w:sz w:val="20"/>
              </w:rPr>
              <w:t>Verification findings</w:t>
            </w:r>
          </w:p>
        </w:tc>
        <w:tc>
          <w:tcPr>
            <w:tcW w:w="3000" w:type="dxa"/>
            <w:tcMar>
              <w:top w:w="60" w:type="dxa"/>
              <w:left w:w="100" w:type="dxa"/>
              <w:bottom w:w="60" w:type="dxa"/>
              <w:right w:w="100" w:type="dxa"/>
            </w:tcMar>
          </w:tcPr>
          <w:p w14:paraId="0463C492" w14:textId="77777777" w:rsidR="002A4A1B" w:rsidRDefault="00000000">
            <w:pPr>
              <w:spacing w:after="0" w:line="300" w:lineRule="auto"/>
            </w:pPr>
            <w:r>
              <w:rPr>
                <w:sz w:val="20"/>
              </w:rPr>
              <w:t>Per finding</w:t>
            </w:r>
          </w:p>
        </w:tc>
        <w:tc>
          <w:tcPr>
            <w:tcW w:w="3200" w:type="dxa"/>
            <w:tcMar>
              <w:top w:w="60" w:type="dxa"/>
              <w:left w:w="100" w:type="dxa"/>
              <w:bottom w:w="60" w:type="dxa"/>
              <w:right w:w="100" w:type="dxa"/>
            </w:tcMar>
          </w:tcPr>
          <w:p w14:paraId="0278B6FC" w14:textId="77777777" w:rsidR="002A4A1B" w:rsidRDefault="00000000">
            <w:pPr>
              <w:spacing w:after="0" w:line="300" w:lineRule="auto"/>
            </w:pPr>
            <w:r>
              <w:rPr>
                <w:sz w:val="20"/>
              </w:rPr>
              <w:t>Twenty-four hours</w:t>
            </w:r>
          </w:p>
        </w:tc>
      </w:tr>
      <w:tr w:rsidR="002A4A1B" w14:paraId="391E5B89" w14:textId="77777777">
        <w:tblPrEx>
          <w:tblCellMar>
            <w:top w:w="0" w:type="dxa"/>
            <w:bottom w:w="0" w:type="dxa"/>
          </w:tblCellMar>
        </w:tblPrEx>
        <w:tc>
          <w:tcPr>
            <w:tcW w:w="3400" w:type="dxa"/>
            <w:tcMar>
              <w:top w:w="60" w:type="dxa"/>
              <w:left w:w="100" w:type="dxa"/>
              <w:bottom w:w="60" w:type="dxa"/>
              <w:right w:w="100" w:type="dxa"/>
            </w:tcMar>
          </w:tcPr>
          <w:p w14:paraId="54D2A61A" w14:textId="77777777" w:rsidR="002A4A1B" w:rsidRDefault="00000000">
            <w:pPr>
              <w:spacing w:after="0" w:line="300" w:lineRule="auto"/>
            </w:pPr>
            <w:r>
              <w:rPr>
                <w:sz w:val="20"/>
              </w:rPr>
              <w:t>Zone register</w:t>
            </w:r>
          </w:p>
        </w:tc>
        <w:tc>
          <w:tcPr>
            <w:tcW w:w="3000" w:type="dxa"/>
            <w:tcMar>
              <w:top w:w="60" w:type="dxa"/>
              <w:left w:w="100" w:type="dxa"/>
              <w:bottom w:w="60" w:type="dxa"/>
              <w:right w:w="100" w:type="dxa"/>
            </w:tcMar>
          </w:tcPr>
          <w:p w14:paraId="303B0DBC" w14:textId="77777777" w:rsidR="002A4A1B" w:rsidRDefault="00000000">
            <w:pPr>
              <w:spacing w:after="0" w:line="300" w:lineRule="auto"/>
            </w:pPr>
            <w:r>
              <w:rPr>
                <w:sz w:val="20"/>
              </w:rPr>
              <w:t>Per transition</w:t>
            </w:r>
          </w:p>
        </w:tc>
        <w:tc>
          <w:tcPr>
            <w:tcW w:w="3200" w:type="dxa"/>
            <w:tcMar>
              <w:top w:w="60" w:type="dxa"/>
              <w:left w:w="100" w:type="dxa"/>
              <w:bottom w:w="60" w:type="dxa"/>
              <w:right w:w="100" w:type="dxa"/>
            </w:tcMar>
          </w:tcPr>
          <w:p w14:paraId="648ABA6A" w14:textId="77777777" w:rsidR="002A4A1B" w:rsidRDefault="00000000">
            <w:pPr>
              <w:spacing w:after="0" w:line="300" w:lineRule="auto"/>
            </w:pPr>
            <w:r>
              <w:rPr>
                <w:sz w:val="20"/>
              </w:rPr>
              <w:t>One hour</w:t>
            </w:r>
          </w:p>
        </w:tc>
      </w:tr>
      <w:tr w:rsidR="002A4A1B" w14:paraId="51CC254D" w14:textId="77777777">
        <w:tblPrEx>
          <w:tblCellMar>
            <w:top w:w="0" w:type="dxa"/>
            <w:bottom w:w="0" w:type="dxa"/>
          </w:tblCellMar>
        </w:tblPrEx>
        <w:tc>
          <w:tcPr>
            <w:tcW w:w="3400" w:type="dxa"/>
            <w:tcMar>
              <w:top w:w="60" w:type="dxa"/>
              <w:left w:w="100" w:type="dxa"/>
              <w:bottom w:w="60" w:type="dxa"/>
              <w:right w:w="100" w:type="dxa"/>
            </w:tcMar>
          </w:tcPr>
          <w:p w14:paraId="5CAA673E" w14:textId="77777777" w:rsidR="002A4A1B" w:rsidRDefault="00000000">
            <w:pPr>
              <w:spacing w:after="0" w:line="300" w:lineRule="auto"/>
            </w:pPr>
            <w:r>
              <w:rPr>
                <w:sz w:val="20"/>
              </w:rPr>
              <w:t>Annual report</w:t>
            </w:r>
          </w:p>
        </w:tc>
        <w:tc>
          <w:tcPr>
            <w:tcW w:w="3000" w:type="dxa"/>
            <w:tcMar>
              <w:top w:w="60" w:type="dxa"/>
              <w:left w:w="100" w:type="dxa"/>
              <w:bottom w:w="60" w:type="dxa"/>
              <w:right w:w="100" w:type="dxa"/>
            </w:tcMar>
          </w:tcPr>
          <w:p w14:paraId="10479283" w14:textId="77777777" w:rsidR="002A4A1B" w:rsidRDefault="00000000">
            <w:pPr>
              <w:spacing w:after="0" w:line="300" w:lineRule="auto"/>
            </w:pPr>
            <w:r>
              <w:rPr>
                <w:sz w:val="20"/>
              </w:rPr>
              <w:t>Yearly</w:t>
            </w:r>
          </w:p>
        </w:tc>
        <w:tc>
          <w:tcPr>
            <w:tcW w:w="3200" w:type="dxa"/>
            <w:tcMar>
              <w:top w:w="60" w:type="dxa"/>
              <w:left w:w="100" w:type="dxa"/>
              <w:bottom w:w="60" w:type="dxa"/>
              <w:right w:w="100" w:type="dxa"/>
            </w:tcMar>
          </w:tcPr>
          <w:p w14:paraId="24CC6F07" w14:textId="77777777" w:rsidR="002A4A1B" w:rsidRDefault="00000000">
            <w:pPr>
              <w:spacing w:after="0" w:line="300" w:lineRule="auto"/>
            </w:pPr>
            <w:r>
              <w:rPr>
                <w:sz w:val="20"/>
              </w:rPr>
              <w:t>Ninety days</w:t>
            </w:r>
          </w:p>
        </w:tc>
      </w:tr>
    </w:tbl>
    <w:p w14:paraId="1FBFD8EF" w14:textId="77777777" w:rsidR="002A4A1B" w:rsidRDefault="002A4A1B">
      <w:pPr>
        <w:spacing w:after="160"/>
      </w:pPr>
    </w:p>
    <w:p w14:paraId="1DF21A20" w14:textId="77777777" w:rsidR="002A4A1B" w:rsidRDefault="00000000">
      <w:pPr>
        <w:pStyle w:val="Heading2"/>
      </w:pPr>
      <w:bookmarkStart w:id="155" w:name="_Toc236929694"/>
      <w:r>
        <w:lastRenderedPageBreak/>
        <w:t>C.6 The Confidential Categories</w:t>
      </w:r>
      <w:bookmarkEnd w:id="155"/>
    </w:p>
    <w:p w14:paraId="6BE0F42C" w14:textId="77777777" w:rsidR="002A4A1B" w:rsidRDefault="00000000">
      <w:pPr>
        <w:spacing w:after="140"/>
        <w:jc w:val="both"/>
      </w:pPr>
      <w:r>
        <w:rPr>
          <w:b/>
          <w:color w:val="1F3A44"/>
        </w:rPr>
        <w:t xml:space="preserve">C.6.1   </w:t>
      </w:r>
      <w:r>
        <w:t>Confidentiality attaches to exactly three categories: the sealed mine-warfare archives of Annex B.4.4 until declassification; the personal data of seafarers and crews; and the draft texts of pending negotiations while the sequenced disclosure rule of Article 23.3 runs. Every other datum in the system is public. Every confidential item carries an expiry date at the moment of its classification, and expiry publishes automatically.</w:t>
      </w:r>
    </w:p>
    <w:p w14:paraId="30041ED1" w14:textId="77777777" w:rsidR="002A4A1B" w:rsidRDefault="00000000">
      <w:pPr>
        <w:pStyle w:val="Heading1"/>
      </w:pPr>
      <w:bookmarkStart w:id="156" w:name="_Toc236929695"/>
      <w:r>
        <w:lastRenderedPageBreak/>
        <w:t>Annex D: Security Functions and Deconfliction</w:t>
      </w:r>
      <w:bookmarkEnd w:id="156"/>
    </w:p>
    <w:p w14:paraId="291F01E2" w14:textId="77777777" w:rsidR="002A4A1B" w:rsidRDefault="00000000">
      <w:pPr>
        <w:spacing w:after="140"/>
        <w:jc w:val="both"/>
      </w:pPr>
      <w:r>
        <w:t>This Annex carries the operative answer to the hardest of the four unfinished components: who holds security authority. The answer this Framework gives is functional, shared, and mechanical: each function has a performer, an observer, a verifier, and a key rule, and consequential action requires two or three keys turning together. No clause grants control; every clause allocates work.</w:t>
      </w:r>
    </w:p>
    <w:p w14:paraId="2597F94B" w14:textId="77777777" w:rsidR="002A4A1B" w:rsidRDefault="00000000">
      <w:pPr>
        <w:pStyle w:val="Heading2"/>
      </w:pPr>
      <w:bookmarkStart w:id="157" w:name="_Toc236929696"/>
      <w:r>
        <w:t>D.1 The Functional Map, Extended</w:t>
      </w:r>
      <w:bookmarkEnd w:id="157"/>
    </w:p>
    <w:p w14:paraId="524382F1" w14:textId="77777777" w:rsidR="002A4A1B" w:rsidRDefault="00000000">
      <w:pPr>
        <w:spacing w:after="140"/>
        <w:jc w:val="both"/>
      </w:pPr>
      <w:r>
        <w:rPr>
          <w:b/>
          <w:color w:val="1F3A44"/>
        </w:rPr>
        <w:t xml:space="preserve">D.1.1   </w:t>
      </w:r>
      <w:r>
        <w:t>Beyond the summary map of Article 7.1.1, the extended map of this Annex allocates every security-adjacent function in the Framework Area across forty-one enumerated functions in the technical schedule, each with its performer, co-key, observer, and verification instrument. The Council amends the map only under the protected-matters rule, and the map publishes in full.</w:t>
      </w:r>
    </w:p>
    <w:p w14:paraId="03034972" w14:textId="77777777" w:rsidR="002A4A1B" w:rsidRDefault="00000000">
      <w:pPr>
        <w:spacing w:after="140"/>
        <w:jc w:val="both"/>
      </w:pPr>
      <w:r>
        <w:rPr>
          <w:b/>
          <w:color w:val="1F3A44"/>
        </w:rPr>
        <w:t xml:space="preserve">D.1.2   </w:t>
      </w:r>
      <w:r>
        <w:t>Where the map is silent, the default rule governs: the coast in whose water the function arises performs it, the other coast observes it in real time, and consequential action takes the dual key. Silence never creates unilateral space; the default fills it with symmetry.</w:t>
      </w:r>
    </w:p>
    <w:p w14:paraId="3025517D" w14:textId="77777777" w:rsidR="002A4A1B" w:rsidRDefault="00000000">
      <w:pPr>
        <w:pStyle w:val="Heading2"/>
      </w:pPr>
      <w:bookmarkStart w:id="158" w:name="_Toc236929697"/>
      <w:r>
        <w:t>D.2 Key Custody and Activation</w:t>
      </w:r>
      <w:bookmarkEnd w:id="158"/>
    </w:p>
    <w:p w14:paraId="22B3EF4C" w14:textId="77777777" w:rsidR="002A4A1B" w:rsidRDefault="00000000">
      <w:pPr>
        <w:spacing w:after="140"/>
        <w:jc w:val="both"/>
      </w:pPr>
      <w:r>
        <w:rPr>
          <w:b/>
          <w:color w:val="1F3A44"/>
        </w:rPr>
        <w:t xml:space="preserve">D.2.1   </w:t>
      </w:r>
      <w:r>
        <w:t>Each key is a paired credential: a cryptographic token held by the designated desk plus the human authorization of the designated officer of the watch. The Iran Corridor Desk and the Oman Joint Desk hold the inbound keys; the Oman Corridor Desk and the rotating GCC observer desk hold the outbound keys; both Founding Party desks plus the neutral observer of the day hold the triple keys.</w:t>
      </w:r>
    </w:p>
    <w:p w14:paraId="6BEFFAA4" w14:textId="77777777" w:rsidR="002A4A1B" w:rsidRDefault="00000000">
      <w:pPr>
        <w:spacing w:after="140"/>
        <w:jc w:val="both"/>
      </w:pPr>
      <w:r>
        <w:rPr>
          <w:b/>
          <w:color w:val="1F3A44"/>
        </w:rPr>
        <w:t xml:space="preserve">D.2.2   </w:t>
      </w:r>
      <w:r>
        <w:t>Activation sequence: the initiating desk enters the proposed action with its justification and evidence into the action log; the co-key desk receives the complete entry simultaneously; the co-key turns or refuses within fifteen minutes for standard actions and within five minutes for emergency actions; refusal logs with reasons; the Verification Chamber reviews every refusal within twenty-four hours. A co-key refusal never leaves a vessel in danger: the standing life-saving exception of Article 7.2.3 always operates.</w:t>
      </w:r>
    </w:p>
    <w:p w14:paraId="706F6315" w14:textId="77777777" w:rsidR="002A4A1B" w:rsidRDefault="00000000">
      <w:pPr>
        <w:spacing w:after="140"/>
        <w:jc w:val="both"/>
      </w:pPr>
      <w:r>
        <w:rPr>
          <w:b/>
          <w:color w:val="1F3A44"/>
        </w:rPr>
        <w:t xml:space="preserve">D.2.3   </w:t>
      </w:r>
      <w:r>
        <w:t>The rotating GCC observer key rotates monthly among the GCC observer missions by the published roster, with the UAE holding the first rotation. The rotation publishes a year in advance, so every operator knows whose hand holds which key on any given day.</w:t>
      </w:r>
    </w:p>
    <w:p w14:paraId="7C39000E" w14:textId="77777777" w:rsidR="002A4A1B" w:rsidRDefault="00000000">
      <w:pPr>
        <w:pStyle w:val="Heading2"/>
      </w:pPr>
      <w:bookmarkStart w:id="159" w:name="_Toc236929698"/>
      <w:r>
        <w:lastRenderedPageBreak/>
        <w:t>D.3 The Residual Law-Enforcement Procedure</w:t>
      </w:r>
      <w:bookmarkEnd w:id="159"/>
    </w:p>
    <w:p w14:paraId="31C41ACA" w14:textId="77777777" w:rsidR="002A4A1B" w:rsidRDefault="00000000">
      <w:pPr>
        <w:spacing w:after="140"/>
        <w:jc w:val="both"/>
      </w:pPr>
      <w:r>
        <w:rPr>
          <w:b/>
          <w:color w:val="1F3A44"/>
        </w:rPr>
        <w:t xml:space="preserve">D.3.1   </w:t>
      </w:r>
      <w:r>
        <w:t>The narrow residue of Article 7.3.2 executes only thus: a vessel reasonably believed stateless, engaged in piracy, or engaged in the slave trade; triple-key authorization; a neutral observer on the circuit or embarked; boarding by the designated coast's law-enforcement detachment with the other coast's liaison officer present; the full record to the Verification Chamber within twenty-four hours; publication within seventy-two hours; and the vessel's release or lawful disposition within ninety-six hours unless the Tribunal orders otherwise on the record.</w:t>
      </w:r>
    </w:p>
    <w:p w14:paraId="4B447B0B" w14:textId="77777777" w:rsidR="002A4A1B" w:rsidRDefault="00000000">
      <w:pPr>
        <w:spacing w:after="140"/>
        <w:jc w:val="both"/>
      </w:pPr>
      <w:r>
        <w:rPr>
          <w:b/>
          <w:color w:val="1F3A44"/>
        </w:rPr>
        <w:t xml:space="preserve">D.3.2   </w:t>
      </w:r>
      <w:r>
        <w:t>The residue never expands. Any boarding outside this procedure registers as a Tier Three event at the moment it begins, and the compliance engine answers it under Article 16 without deliberation.</w:t>
      </w:r>
    </w:p>
    <w:p w14:paraId="1D312FA9" w14:textId="77777777" w:rsidR="002A4A1B" w:rsidRDefault="00000000">
      <w:pPr>
        <w:pStyle w:val="Heading2"/>
      </w:pPr>
      <w:bookmarkStart w:id="160" w:name="_Toc236929699"/>
      <w:r>
        <w:t>D.4 The Shipping Liaison Protocol</w:t>
      </w:r>
      <w:bookmarkEnd w:id="160"/>
    </w:p>
    <w:p w14:paraId="02FE37FF" w14:textId="77777777" w:rsidR="002A4A1B" w:rsidRDefault="00000000">
      <w:pPr>
        <w:spacing w:after="140"/>
        <w:jc w:val="both"/>
      </w:pPr>
      <w:r>
        <w:rPr>
          <w:b/>
          <w:color w:val="1F3A44"/>
        </w:rPr>
        <w:t xml:space="preserve">D.4.1   </w:t>
      </w:r>
      <w:r>
        <w:t>Every commercial vessel files its passage plan with the Fusion Center not less than twenty-four hours before corridor entry: identity, flag, dimensions, cargo class, route, speed, and gate of entry. The Center returns the corridor confirmation within two hours: the assigned lane, the guidance layer access, the interference picture, and any active advisories. The confirmation is a service delivery, never a permission; a vessel that receives no confirmation within two hours transits on its filed plan, and the delay logs against the system, not the vessel.</w:t>
      </w:r>
    </w:p>
    <w:p w14:paraId="6DB6DDB1" w14:textId="77777777" w:rsidR="002A4A1B" w:rsidRDefault="00000000">
      <w:pPr>
        <w:spacing w:after="140"/>
        <w:jc w:val="both"/>
      </w:pPr>
      <w:r>
        <w:rPr>
          <w:b/>
          <w:color w:val="1F3A44"/>
        </w:rPr>
        <w:t xml:space="preserve">D.4.2   </w:t>
      </w:r>
      <w:r>
        <w:t>In-transit discipline: continuous AIS, listening watch on the corridor frequency, position reports at each gate, and immediate reporting of any unusual contact. The corridor desks hail vessels on one designated frequency per corridor, and no other channel carries corridor instructions, so a master always knows which voice is the system's voice.</w:t>
      </w:r>
    </w:p>
    <w:p w14:paraId="1B63C804" w14:textId="77777777" w:rsidR="002A4A1B" w:rsidRDefault="00000000">
      <w:pPr>
        <w:spacing w:after="140"/>
        <w:jc w:val="both"/>
      </w:pPr>
      <w:r>
        <w:rPr>
          <w:b/>
          <w:color w:val="1F3A44"/>
        </w:rPr>
        <w:t xml:space="preserve">D.4.3   </w:t>
      </w:r>
      <w:r>
        <w:t>The protocol supersedes the wartime permission practices in full. From Full Activation, no coastal authority issues transit permissions of any kind, and any demand for permission, payment, or deviation outside this protocol logs as an incident and answers under the Demerit Matrix with the attribution procedure of Annex F.</w:t>
      </w:r>
    </w:p>
    <w:p w14:paraId="5DFCFD78" w14:textId="77777777" w:rsidR="002A4A1B" w:rsidRDefault="00000000">
      <w:pPr>
        <w:pStyle w:val="Heading2"/>
      </w:pPr>
      <w:bookmarkStart w:id="161" w:name="_Toc236929700"/>
      <w:r>
        <w:t>D.5 The Deconfliction Cell and the Hotline</w:t>
      </w:r>
      <w:bookmarkEnd w:id="161"/>
    </w:p>
    <w:p w14:paraId="4D94D164" w14:textId="77777777" w:rsidR="002A4A1B" w:rsidRDefault="00000000">
      <w:pPr>
        <w:spacing w:after="140"/>
        <w:jc w:val="both"/>
      </w:pPr>
      <w:r>
        <w:rPr>
          <w:b/>
          <w:color w:val="1F3A44"/>
        </w:rPr>
        <w:t xml:space="preserve">D.5.1   </w:t>
      </w:r>
      <w:r>
        <w:t>The Deconfliction Cell sits inside the Fusion Center with a mirror desk at Bandar Abbas. It maintains the naval movement picture from the twenty-four-hour advance filings of Article 7.4.1, publishes the deconflicted picture to every Naval Liaison Officer, and flags every projected violation of the five-nautical-mile separation rule to both movements' officers immediately.</w:t>
      </w:r>
    </w:p>
    <w:p w14:paraId="6131B946" w14:textId="77777777" w:rsidR="002A4A1B" w:rsidRDefault="00000000">
      <w:pPr>
        <w:spacing w:after="140"/>
        <w:jc w:val="both"/>
      </w:pPr>
      <w:r>
        <w:rPr>
          <w:b/>
          <w:color w:val="1F3A44"/>
        </w:rPr>
        <w:lastRenderedPageBreak/>
        <w:t xml:space="preserve">D.5.2   </w:t>
      </w:r>
      <w:r>
        <w:t>The hotline network connects the Cell to the national operations centers of Iran, Oman, the United States, and every participating naval actor, plus the UKMTO and NCAGS channels that industry already uses. Every line carries the sixty-second answer obligation; the Cell tests every line daily at randomized hours; and the answer-performance record publishes monthly. A hotline that answers in sixty seconds defuses incidents; the Framework buys that cheap insurance on purpose.</w:t>
      </w:r>
    </w:p>
    <w:p w14:paraId="4B9DAB5D" w14:textId="77777777" w:rsidR="002A4A1B" w:rsidRDefault="00000000">
      <w:pPr>
        <w:spacing w:after="140"/>
        <w:jc w:val="both"/>
      </w:pPr>
      <w:r>
        <w:rPr>
          <w:b/>
          <w:color w:val="1F3A44"/>
        </w:rPr>
        <w:t xml:space="preserve">D.5.3   </w:t>
      </w:r>
      <w:r>
        <w:t>Incident ladder at sea: an unusual approach, a challenging hail, or a weapons-release indication anywhere in the Framework Area activates the Cell's incident ladder: immediate voice contact on the hotline, mutual position confirmation, stand-down instruction logged by both sides, and the record to the Verification Chamber. The ladder has four rungs and ninety seconds of designed time, because incidents at sea are won or lost in the first two minutes.</w:t>
      </w:r>
    </w:p>
    <w:p w14:paraId="7AC3EF11" w14:textId="77777777" w:rsidR="002A4A1B" w:rsidRDefault="00000000">
      <w:pPr>
        <w:pStyle w:val="Heading2"/>
      </w:pPr>
      <w:bookmarkStart w:id="162" w:name="_Toc236929701"/>
      <w:r>
        <w:t>D.6 Emergency Diversion Procedures</w:t>
      </w:r>
      <w:bookmarkEnd w:id="162"/>
    </w:p>
    <w:p w14:paraId="49B748AD" w14:textId="77777777" w:rsidR="002A4A1B" w:rsidRDefault="00000000">
      <w:pPr>
        <w:spacing w:after="140"/>
        <w:jc w:val="both"/>
      </w:pPr>
      <w:r>
        <w:rPr>
          <w:b/>
          <w:color w:val="1F3A44"/>
        </w:rPr>
        <w:t xml:space="preserve">D.6.1   </w:t>
      </w:r>
      <w:r>
        <w:t>The Amn Buffer opens to any vessel on the master's declaration of emergency, instantly and without any authorization. The corridor desks mark the diversion on the fused picture, broadcast it to all traffic, and hold the Buffer clear until the emergency resolves. Mine-risk diversions follow the pre-plotted escape routes of the technical schedule, which route around every known hazard area.</w:t>
      </w:r>
    </w:p>
    <w:p w14:paraId="176BE519" w14:textId="77777777" w:rsidR="002A4A1B" w:rsidRDefault="00000000">
      <w:pPr>
        <w:spacing w:after="140"/>
        <w:jc w:val="both"/>
      </w:pPr>
      <w:r>
        <w:rPr>
          <w:b/>
          <w:color w:val="1F3A44"/>
        </w:rPr>
        <w:t xml:space="preserve">D.6.2   </w:t>
      </w:r>
      <w:r>
        <w:t>Mass-diversion events: where a certificate suspension or security event diverts multiple vessels, the Cell runs the convoy re-sequencing procedure, holding vessels at the gates or the designated anchorages and releasing them in the published order. The procedure exists for the bad days, and it drills twice a year so the bad day finds it practiced.</w:t>
      </w:r>
    </w:p>
    <w:p w14:paraId="2140B82A" w14:textId="77777777" w:rsidR="002A4A1B" w:rsidRDefault="00000000">
      <w:pPr>
        <w:pStyle w:val="Heading1"/>
      </w:pPr>
      <w:bookmarkStart w:id="163" w:name="_Toc236929702"/>
      <w:r>
        <w:lastRenderedPageBreak/>
        <w:t>Annex E: Service Charge Schedule, Auditing, and Payment Routing</w:t>
      </w:r>
      <w:bookmarkEnd w:id="163"/>
    </w:p>
    <w:p w14:paraId="4AE5F30E" w14:textId="77777777" w:rsidR="002A4A1B" w:rsidRDefault="00000000">
      <w:pPr>
        <w:spacing w:after="140"/>
        <w:jc w:val="both"/>
      </w:pPr>
      <w:r>
        <w:t>This Annex carries the complete financial engineering of the Framework. It converts the fees question from a sovereignty dispute into a costed service catalog, routes every payment through neutral channels that sever the links sanctions law targets, and prices calm into the system through the Stability Dividend. Every number in this Annex is indicative for the first operating year and re-costs annually under Article 17.1.2, with the published arithmetic open to every auditor on earth.</w:t>
      </w:r>
    </w:p>
    <w:p w14:paraId="72AA4B15" w14:textId="77777777" w:rsidR="002A4A1B" w:rsidRDefault="00000000">
      <w:pPr>
        <w:pStyle w:val="Heading2"/>
      </w:pPr>
      <w:bookmarkStart w:id="164" w:name="_Toc236929703"/>
      <w:r>
        <w:t>E.1 The Legal Architecture of the Service Boundary</w:t>
      </w:r>
      <w:bookmarkEnd w:id="164"/>
    </w:p>
    <w:p w14:paraId="0A0F4D28" w14:textId="77777777" w:rsidR="002A4A1B" w:rsidRDefault="00000000">
      <w:pPr>
        <w:spacing w:after="140"/>
        <w:jc w:val="both"/>
      </w:pPr>
      <w:r>
        <w:rPr>
          <w:b/>
          <w:color w:val="1F3A44"/>
        </w:rPr>
        <w:t xml:space="preserve">E.1.1   </w:t>
      </w:r>
      <w:r>
        <w:t>Each charge line cites its enabling service, its cost pool, and its allocation formula in the charge register, a public document the Authority maintains. A payment demand that cites no register entry is not a charge under this Framework, and any person making such a demand inside the Framework Area answers to the Demerit Matrix through the attribution procedure of Annex F.</w:t>
      </w:r>
    </w:p>
    <w:p w14:paraId="080FB9FF" w14:textId="77777777" w:rsidR="002A4A1B" w:rsidRDefault="00000000">
      <w:pPr>
        <w:spacing w:after="140"/>
        <w:jc w:val="both"/>
      </w:pPr>
      <w:r>
        <w:rPr>
          <w:b/>
          <w:color w:val="1F3A44"/>
        </w:rPr>
        <w:t xml:space="preserve">E.1.2   </w:t>
      </w:r>
      <w:r>
        <w:t>The register's cost pools reconcile to the Authority's audited budget exactly. The annual reconciliation publishes with the budget, and the Neutral Administrator certifies the match. A mismatch suspends new charge assessments under the affected line until it cures, automatically.</w:t>
      </w:r>
    </w:p>
    <w:p w14:paraId="5E5F2388" w14:textId="77777777" w:rsidR="002A4A1B" w:rsidRDefault="00000000">
      <w:pPr>
        <w:pStyle w:val="Heading2"/>
      </w:pPr>
      <w:bookmarkStart w:id="165" w:name="_Toc236929704"/>
      <w:r>
        <w:t>E.2 The Five Charge Lines: First-Year Schedule</w:t>
      </w:r>
      <w:bookmarkEnd w:id="165"/>
    </w:p>
    <w:p w14:paraId="02E30595" w14:textId="77777777" w:rsidR="002A4A1B" w:rsidRDefault="00000000">
      <w:pPr>
        <w:spacing w:after="140"/>
        <w:jc w:val="both"/>
      </w:pPr>
      <w:r>
        <w:t>Line One, Core Traffic Service: funds corridor traffic management, the Fusion Center and Mirror, the watch system, and the guidance layer. Pilot-phase rate: zero for the first ninety days, then the provisional rates below at half. Permanent rates per transit, by vessel class:</w:t>
      </w:r>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879"/>
        <w:gridCol w:w="2108"/>
        <w:gridCol w:w="2108"/>
        <w:gridCol w:w="2131"/>
      </w:tblGrid>
      <w:tr w:rsidR="002A4A1B" w14:paraId="0EAEE7A1" w14:textId="77777777">
        <w:tblPrEx>
          <w:tblCellMar>
            <w:top w:w="0" w:type="dxa"/>
            <w:bottom w:w="0" w:type="dxa"/>
          </w:tblCellMar>
        </w:tblPrEx>
        <w:trPr>
          <w:tblHeader/>
        </w:trPr>
        <w:tc>
          <w:tcPr>
            <w:tcW w:w="3000" w:type="dxa"/>
            <w:tcBorders>
              <w:bottom w:val="single" w:sz="6" w:space="0" w:color="2F5560"/>
            </w:tcBorders>
            <w:shd w:val="clear" w:color="auto" w:fill="E7EEF0"/>
            <w:tcMar>
              <w:top w:w="60" w:type="dxa"/>
              <w:left w:w="100" w:type="dxa"/>
              <w:bottom w:w="60" w:type="dxa"/>
              <w:right w:w="100" w:type="dxa"/>
            </w:tcMar>
          </w:tcPr>
          <w:p w14:paraId="5A59CB31" w14:textId="77777777" w:rsidR="002A4A1B" w:rsidRDefault="00000000">
            <w:pPr>
              <w:spacing w:after="0" w:line="300" w:lineRule="auto"/>
            </w:pPr>
            <w:r>
              <w:rPr>
                <w:b/>
                <w:color w:val="1F3A44"/>
                <w:sz w:val="20"/>
              </w:rPr>
              <w:t>Vessel class</w:t>
            </w:r>
          </w:p>
        </w:tc>
        <w:tc>
          <w:tcPr>
            <w:tcW w:w="2200" w:type="dxa"/>
            <w:tcBorders>
              <w:bottom w:val="single" w:sz="6" w:space="0" w:color="2F5560"/>
            </w:tcBorders>
            <w:shd w:val="clear" w:color="auto" w:fill="E7EEF0"/>
            <w:tcMar>
              <w:top w:w="60" w:type="dxa"/>
              <w:left w:w="100" w:type="dxa"/>
              <w:bottom w:w="60" w:type="dxa"/>
              <w:right w:w="100" w:type="dxa"/>
            </w:tcMar>
          </w:tcPr>
          <w:p w14:paraId="41D4FB22" w14:textId="77777777" w:rsidR="002A4A1B" w:rsidRDefault="00000000">
            <w:pPr>
              <w:spacing w:after="0" w:line="300" w:lineRule="auto"/>
            </w:pPr>
            <w:r>
              <w:rPr>
                <w:b/>
                <w:color w:val="1F3A44"/>
                <w:sz w:val="20"/>
              </w:rPr>
              <w:t>Line One (USD)</w:t>
            </w:r>
          </w:p>
        </w:tc>
        <w:tc>
          <w:tcPr>
            <w:tcW w:w="2200" w:type="dxa"/>
            <w:tcBorders>
              <w:bottom w:val="single" w:sz="6" w:space="0" w:color="2F5560"/>
            </w:tcBorders>
            <w:shd w:val="clear" w:color="auto" w:fill="E7EEF0"/>
            <w:tcMar>
              <w:top w:w="60" w:type="dxa"/>
              <w:left w:w="100" w:type="dxa"/>
              <w:bottom w:w="60" w:type="dxa"/>
              <w:right w:w="100" w:type="dxa"/>
            </w:tcMar>
          </w:tcPr>
          <w:p w14:paraId="22B31A26" w14:textId="77777777" w:rsidR="002A4A1B" w:rsidRDefault="00000000">
            <w:pPr>
              <w:spacing w:after="0" w:line="300" w:lineRule="auto"/>
            </w:pPr>
            <w:r>
              <w:rPr>
                <w:b/>
                <w:color w:val="1F3A44"/>
                <w:sz w:val="20"/>
              </w:rPr>
              <w:t>Line Three (USD)</w:t>
            </w:r>
          </w:p>
        </w:tc>
        <w:tc>
          <w:tcPr>
            <w:tcW w:w="2200" w:type="dxa"/>
            <w:tcBorders>
              <w:bottom w:val="single" w:sz="6" w:space="0" w:color="2F5560"/>
            </w:tcBorders>
            <w:shd w:val="clear" w:color="auto" w:fill="E7EEF0"/>
            <w:tcMar>
              <w:top w:w="60" w:type="dxa"/>
              <w:left w:w="100" w:type="dxa"/>
              <w:bottom w:w="60" w:type="dxa"/>
              <w:right w:w="100" w:type="dxa"/>
            </w:tcMar>
          </w:tcPr>
          <w:p w14:paraId="4BFEF2A1" w14:textId="77777777" w:rsidR="002A4A1B" w:rsidRDefault="00000000">
            <w:pPr>
              <w:spacing w:after="0" w:line="300" w:lineRule="auto"/>
            </w:pPr>
            <w:r>
              <w:rPr>
                <w:b/>
                <w:color w:val="1F3A44"/>
                <w:sz w:val="20"/>
              </w:rPr>
              <w:t>Combined guide</w:t>
            </w:r>
          </w:p>
        </w:tc>
      </w:tr>
      <w:tr w:rsidR="002A4A1B" w14:paraId="5B9E86BA" w14:textId="77777777">
        <w:tblPrEx>
          <w:tblCellMar>
            <w:top w:w="0" w:type="dxa"/>
            <w:bottom w:w="0" w:type="dxa"/>
          </w:tblCellMar>
        </w:tblPrEx>
        <w:tc>
          <w:tcPr>
            <w:tcW w:w="3000" w:type="dxa"/>
            <w:tcMar>
              <w:top w:w="60" w:type="dxa"/>
              <w:left w:w="100" w:type="dxa"/>
              <w:bottom w:w="60" w:type="dxa"/>
              <w:right w:w="100" w:type="dxa"/>
            </w:tcMar>
          </w:tcPr>
          <w:p w14:paraId="66F8B67F" w14:textId="77777777" w:rsidR="002A4A1B" w:rsidRDefault="00000000">
            <w:pPr>
              <w:spacing w:after="0" w:line="300" w:lineRule="auto"/>
            </w:pPr>
            <w:r>
              <w:rPr>
                <w:sz w:val="20"/>
              </w:rPr>
              <w:t>VLCC and ULCC</w:t>
            </w:r>
          </w:p>
        </w:tc>
        <w:tc>
          <w:tcPr>
            <w:tcW w:w="2200" w:type="dxa"/>
            <w:tcMar>
              <w:top w:w="60" w:type="dxa"/>
              <w:left w:w="100" w:type="dxa"/>
              <w:bottom w:w="60" w:type="dxa"/>
              <w:right w:w="100" w:type="dxa"/>
            </w:tcMar>
          </w:tcPr>
          <w:p w14:paraId="6E7E0A03" w14:textId="77777777" w:rsidR="002A4A1B" w:rsidRDefault="00000000">
            <w:pPr>
              <w:spacing w:after="0" w:line="300" w:lineRule="auto"/>
            </w:pPr>
            <w:r>
              <w:rPr>
                <w:sz w:val="20"/>
              </w:rPr>
              <w:t>7,200</w:t>
            </w:r>
          </w:p>
        </w:tc>
        <w:tc>
          <w:tcPr>
            <w:tcW w:w="2200" w:type="dxa"/>
            <w:tcMar>
              <w:top w:w="60" w:type="dxa"/>
              <w:left w:w="100" w:type="dxa"/>
              <w:bottom w:w="60" w:type="dxa"/>
              <w:right w:w="100" w:type="dxa"/>
            </w:tcMar>
          </w:tcPr>
          <w:p w14:paraId="74531A29" w14:textId="77777777" w:rsidR="002A4A1B" w:rsidRDefault="00000000">
            <w:pPr>
              <w:spacing w:after="0" w:line="300" w:lineRule="auto"/>
            </w:pPr>
            <w:r>
              <w:rPr>
                <w:sz w:val="20"/>
              </w:rPr>
              <w:t>2,400</w:t>
            </w:r>
          </w:p>
        </w:tc>
        <w:tc>
          <w:tcPr>
            <w:tcW w:w="2200" w:type="dxa"/>
            <w:tcMar>
              <w:top w:w="60" w:type="dxa"/>
              <w:left w:w="100" w:type="dxa"/>
              <w:bottom w:w="60" w:type="dxa"/>
              <w:right w:w="100" w:type="dxa"/>
            </w:tcMar>
          </w:tcPr>
          <w:p w14:paraId="331F8783" w14:textId="77777777" w:rsidR="002A4A1B" w:rsidRDefault="00000000">
            <w:pPr>
              <w:spacing w:after="0" w:line="300" w:lineRule="auto"/>
            </w:pPr>
            <w:r>
              <w:rPr>
                <w:sz w:val="20"/>
              </w:rPr>
              <w:t>9,600</w:t>
            </w:r>
          </w:p>
        </w:tc>
      </w:tr>
      <w:tr w:rsidR="002A4A1B" w14:paraId="767D864D" w14:textId="77777777">
        <w:tblPrEx>
          <w:tblCellMar>
            <w:top w:w="0" w:type="dxa"/>
            <w:bottom w:w="0" w:type="dxa"/>
          </w:tblCellMar>
        </w:tblPrEx>
        <w:tc>
          <w:tcPr>
            <w:tcW w:w="3000" w:type="dxa"/>
            <w:tcMar>
              <w:top w:w="60" w:type="dxa"/>
              <w:left w:w="100" w:type="dxa"/>
              <w:bottom w:w="60" w:type="dxa"/>
              <w:right w:w="100" w:type="dxa"/>
            </w:tcMar>
          </w:tcPr>
          <w:p w14:paraId="6BA37B1D" w14:textId="77777777" w:rsidR="002A4A1B" w:rsidRDefault="00000000">
            <w:pPr>
              <w:spacing w:after="0" w:line="300" w:lineRule="auto"/>
            </w:pPr>
            <w:r>
              <w:rPr>
                <w:sz w:val="20"/>
              </w:rPr>
              <w:t>Suezmax</w:t>
            </w:r>
          </w:p>
        </w:tc>
        <w:tc>
          <w:tcPr>
            <w:tcW w:w="2200" w:type="dxa"/>
            <w:tcMar>
              <w:top w:w="60" w:type="dxa"/>
              <w:left w:w="100" w:type="dxa"/>
              <w:bottom w:w="60" w:type="dxa"/>
              <w:right w:w="100" w:type="dxa"/>
            </w:tcMar>
          </w:tcPr>
          <w:p w14:paraId="79B6F6CD" w14:textId="77777777" w:rsidR="002A4A1B" w:rsidRDefault="00000000">
            <w:pPr>
              <w:spacing w:after="0" w:line="300" w:lineRule="auto"/>
            </w:pPr>
            <w:r>
              <w:rPr>
                <w:sz w:val="20"/>
              </w:rPr>
              <w:t>5,400</w:t>
            </w:r>
          </w:p>
        </w:tc>
        <w:tc>
          <w:tcPr>
            <w:tcW w:w="2200" w:type="dxa"/>
            <w:tcMar>
              <w:top w:w="60" w:type="dxa"/>
              <w:left w:w="100" w:type="dxa"/>
              <w:bottom w:w="60" w:type="dxa"/>
              <w:right w:w="100" w:type="dxa"/>
            </w:tcMar>
          </w:tcPr>
          <w:p w14:paraId="7B270CA2" w14:textId="77777777" w:rsidR="002A4A1B" w:rsidRDefault="00000000">
            <w:pPr>
              <w:spacing w:after="0" w:line="300" w:lineRule="auto"/>
            </w:pPr>
            <w:r>
              <w:rPr>
                <w:sz w:val="20"/>
              </w:rPr>
              <w:t>1,800</w:t>
            </w:r>
          </w:p>
        </w:tc>
        <w:tc>
          <w:tcPr>
            <w:tcW w:w="2200" w:type="dxa"/>
            <w:tcMar>
              <w:top w:w="60" w:type="dxa"/>
              <w:left w:w="100" w:type="dxa"/>
              <w:bottom w:w="60" w:type="dxa"/>
              <w:right w:w="100" w:type="dxa"/>
            </w:tcMar>
          </w:tcPr>
          <w:p w14:paraId="241C8DED" w14:textId="77777777" w:rsidR="002A4A1B" w:rsidRDefault="00000000">
            <w:pPr>
              <w:spacing w:after="0" w:line="300" w:lineRule="auto"/>
            </w:pPr>
            <w:r>
              <w:rPr>
                <w:sz w:val="20"/>
              </w:rPr>
              <w:t>7,200</w:t>
            </w:r>
          </w:p>
        </w:tc>
      </w:tr>
      <w:tr w:rsidR="002A4A1B" w14:paraId="08EAEBF7" w14:textId="77777777">
        <w:tblPrEx>
          <w:tblCellMar>
            <w:top w:w="0" w:type="dxa"/>
            <w:bottom w:w="0" w:type="dxa"/>
          </w:tblCellMar>
        </w:tblPrEx>
        <w:tc>
          <w:tcPr>
            <w:tcW w:w="3000" w:type="dxa"/>
            <w:tcMar>
              <w:top w:w="60" w:type="dxa"/>
              <w:left w:w="100" w:type="dxa"/>
              <w:bottom w:w="60" w:type="dxa"/>
              <w:right w:w="100" w:type="dxa"/>
            </w:tcMar>
          </w:tcPr>
          <w:p w14:paraId="48962392" w14:textId="77777777" w:rsidR="002A4A1B" w:rsidRDefault="00000000">
            <w:pPr>
              <w:spacing w:after="0" w:line="300" w:lineRule="auto"/>
            </w:pPr>
            <w:r>
              <w:rPr>
                <w:sz w:val="20"/>
              </w:rPr>
              <w:t>Aframax and LR2</w:t>
            </w:r>
          </w:p>
        </w:tc>
        <w:tc>
          <w:tcPr>
            <w:tcW w:w="2200" w:type="dxa"/>
            <w:tcMar>
              <w:top w:w="60" w:type="dxa"/>
              <w:left w:w="100" w:type="dxa"/>
              <w:bottom w:w="60" w:type="dxa"/>
              <w:right w:w="100" w:type="dxa"/>
            </w:tcMar>
          </w:tcPr>
          <w:p w14:paraId="42DF6B96" w14:textId="77777777" w:rsidR="002A4A1B" w:rsidRDefault="00000000">
            <w:pPr>
              <w:spacing w:after="0" w:line="300" w:lineRule="auto"/>
            </w:pPr>
            <w:r>
              <w:rPr>
                <w:sz w:val="20"/>
              </w:rPr>
              <w:t>4,000</w:t>
            </w:r>
          </w:p>
        </w:tc>
        <w:tc>
          <w:tcPr>
            <w:tcW w:w="2200" w:type="dxa"/>
            <w:tcMar>
              <w:top w:w="60" w:type="dxa"/>
              <w:left w:w="100" w:type="dxa"/>
              <w:bottom w:w="60" w:type="dxa"/>
              <w:right w:w="100" w:type="dxa"/>
            </w:tcMar>
          </w:tcPr>
          <w:p w14:paraId="102F2147" w14:textId="77777777" w:rsidR="002A4A1B" w:rsidRDefault="00000000">
            <w:pPr>
              <w:spacing w:after="0" w:line="300" w:lineRule="auto"/>
            </w:pPr>
            <w:r>
              <w:rPr>
                <w:sz w:val="20"/>
              </w:rPr>
              <w:t>1,300</w:t>
            </w:r>
          </w:p>
        </w:tc>
        <w:tc>
          <w:tcPr>
            <w:tcW w:w="2200" w:type="dxa"/>
            <w:tcMar>
              <w:top w:w="60" w:type="dxa"/>
              <w:left w:w="100" w:type="dxa"/>
              <w:bottom w:w="60" w:type="dxa"/>
              <w:right w:w="100" w:type="dxa"/>
            </w:tcMar>
          </w:tcPr>
          <w:p w14:paraId="7B1C54B7" w14:textId="77777777" w:rsidR="002A4A1B" w:rsidRDefault="00000000">
            <w:pPr>
              <w:spacing w:after="0" w:line="300" w:lineRule="auto"/>
            </w:pPr>
            <w:r>
              <w:rPr>
                <w:sz w:val="20"/>
              </w:rPr>
              <w:t>5,300</w:t>
            </w:r>
          </w:p>
        </w:tc>
      </w:tr>
      <w:tr w:rsidR="002A4A1B" w14:paraId="5C64D3E9" w14:textId="77777777">
        <w:tblPrEx>
          <w:tblCellMar>
            <w:top w:w="0" w:type="dxa"/>
            <w:bottom w:w="0" w:type="dxa"/>
          </w:tblCellMar>
        </w:tblPrEx>
        <w:tc>
          <w:tcPr>
            <w:tcW w:w="3000" w:type="dxa"/>
            <w:tcMar>
              <w:top w:w="60" w:type="dxa"/>
              <w:left w:w="100" w:type="dxa"/>
              <w:bottom w:w="60" w:type="dxa"/>
              <w:right w:w="100" w:type="dxa"/>
            </w:tcMar>
          </w:tcPr>
          <w:p w14:paraId="376B2365" w14:textId="77777777" w:rsidR="002A4A1B" w:rsidRDefault="00000000">
            <w:pPr>
              <w:spacing w:after="0" w:line="300" w:lineRule="auto"/>
            </w:pPr>
            <w:r>
              <w:rPr>
                <w:sz w:val="20"/>
              </w:rPr>
              <w:t>LNG carrier</w:t>
            </w:r>
          </w:p>
        </w:tc>
        <w:tc>
          <w:tcPr>
            <w:tcW w:w="2200" w:type="dxa"/>
            <w:tcMar>
              <w:top w:w="60" w:type="dxa"/>
              <w:left w:w="100" w:type="dxa"/>
              <w:bottom w:w="60" w:type="dxa"/>
              <w:right w:w="100" w:type="dxa"/>
            </w:tcMar>
          </w:tcPr>
          <w:p w14:paraId="2439AA2B" w14:textId="77777777" w:rsidR="002A4A1B" w:rsidRDefault="00000000">
            <w:pPr>
              <w:spacing w:after="0" w:line="300" w:lineRule="auto"/>
            </w:pPr>
            <w:r>
              <w:rPr>
                <w:sz w:val="20"/>
              </w:rPr>
              <w:t>6,000</w:t>
            </w:r>
          </w:p>
        </w:tc>
        <w:tc>
          <w:tcPr>
            <w:tcW w:w="2200" w:type="dxa"/>
            <w:tcMar>
              <w:top w:w="60" w:type="dxa"/>
              <w:left w:w="100" w:type="dxa"/>
              <w:bottom w:w="60" w:type="dxa"/>
              <w:right w:w="100" w:type="dxa"/>
            </w:tcMar>
          </w:tcPr>
          <w:p w14:paraId="5341EA3E" w14:textId="77777777" w:rsidR="002A4A1B" w:rsidRDefault="00000000">
            <w:pPr>
              <w:spacing w:after="0" w:line="300" w:lineRule="auto"/>
            </w:pPr>
            <w:r>
              <w:rPr>
                <w:sz w:val="20"/>
              </w:rPr>
              <w:t>2,000</w:t>
            </w:r>
          </w:p>
        </w:tc>
        <w:tc>
          <w:tcPr>
            <w:tcW w:w="2200" w:type="dxa"/>
            <w:tcMar>
              <w:top w:w="60" w:type="dxa"/>
              <w:left w:w="100" w:type="dxa"/>
              <w:bottom w:w="60" w:type="dxa"/>
              <w:right w:w="100" w:type="dxa"/>
            </w:tcMar>
          </w:tcPr>
          <w:p w14:paraId="22C43653" w14:textId="77777777" w:rsidR="002A4A1B" w:rsidRDefault="00000000">
            <w:pPr>
              <w:spacing w:after="0" w:line="300" w:lineRule="auto"/>
            </w:pPr>
            <w:r>
              <w:rPr>
                <w:sz w:val="20"/>
              </w:rPr>
              <w:t>8,000</w:t>
            </w:r>
          </w:p>
        </w:tc>
      </w:tr>
      <w:tr w:rsidR="002A4A1B" w14:paraId="62BB383A" w14:textId="77777777">
        <w:tblPrEx>
          <w:tblCellMar>
            <w:top w:w="0" w:type="dxa"/>
            <w:bottom w:w="0" w:type="dxa"/>
          </w:tblCellMar>
        </w:tblPrEx>
        <w:tc>
          <w:tcPr>
            <w:tcW w:w="3000" w:type="dxa"/>
            <w:tcMar>
              <w:top w:w="60" w:type="dxa"/>
              <w:left w:w="100" w:type="dxa"/>
              <w:bottom w:w="60" w:type="dxa"/>
              <w:right w:w="100" w:type="dxa"/>
            </w:tcMar>
          </w:tcPr>
          <w:p w14:paraId="23226F9B" w14:textId="77777777" w:rsidR="002A4A1B" w:rsidRDefault="00000000">
            <w:pPr>
              <w:spacing w:after="0" w:line="300" w:lineRule="auto"/>
            </w:pPr>
            <w:r>
              <w:rPr>
                <w:sz w:val="20"/>
              </w:rPr>
              <w:t>LPG carrier</w:t>
            </w:r>
          </w:p>
        </w:tc>
        <w:tc>
          <w:tcPr>
            <w:tcW w:w="2200" w:type="dxa"/>
            <w:tcMar>
              <w:top w:w="60" w:type="dxa"/>
              <w:left w:w="100" w:type="dxa"/>
              <w:bottom w:w="60" w:type="dxa"/>
              <w:right w:w="100" w:type="dxa"/>
            </w:tcMar>
          </w:tcPr>
          <w:p w14:paraId="7B205E9A" w14:textId="77777777" w:rsidR="002A4A1B" w:rsidRDefault="00000000">
            <w:pPr>
              <w:spacing w:after="0" w:line="300" w:lineRule="auto"/>
            </w:pPr>
            <w:r>
              <w:rPr>
                <w:sz w:val="20"/>
              </w:rPr>
              <w:t>3,600</w:t>
            </w:r>
          </w:p>
        </w:tc>
        <w:tc>
          <w:tcPr>
            <w:tcW w:w="2200" w:type="dxa"/>
            <w:tcMar>
              <w:top w:w="60" w:type="dxa"/>
              <w:left w:w="100" w:type="dxa"/>
              <w:bottom w:w="60" w:type="dxa"/>
              <w:right w:w="100" w:type="dxa"/>
            </w:tcMar>
          </w:tcPr>
          <w:p w14:paraId="23DA3D39" w14:textId="77777777" w:rsidR="002A4A1B" w:rsidRDefault="00000000">
            <w:pPr>
              <w:spacing w:after="0" w:line="300" w:lineRule="auto"/>
            </w:pPr>
            <w:r>
              <w:rPr>
                <w:sz w:val="20"/>
              </w:rPr>
              <w:t>1,200</w:t>
            </w:r>
          </w:p>
        </w:tc>
        <w:tc>
          <w:tcPr>
            <w:tcW w:w="2200" w:type="dxa"/>
            <w:tcMar>
              <w:top w:w="60" w:type="dxa"/>
              <w:left w:w="100" w:type="dxa"/>
              <w:bottom w:w="60" w:type="dxa"/>
              <w:right w:w="100" w:type="dxa"/>
            </w:tcMar>
          </w:tcPr>
          <w:p w14:paraId="066B702E" w14:textId="77777777" w:rsidR="002A4A1B" w:rsidRDefault="00000000">
            <w:pPr>
              <w:spacing w:after="0" w:line="300" w:lineRule="auto"/>
            </w:pPr>
            <w:r>
              <w:rPr>
                <w:sz w:val="20"/>
              </w:rPr>
              <w:t>4,800</w:t>
            </w:r>
          </w:p>
        </w:tc>
      </w:tr>
      <w:tr w:rsidR="002A4A1B" w14:paraId="514B5E5F" w14:textId="77777777">
        <w:tblPrEx>
          <w:tblCellMar>
            <w:top w:w="0" w:type="dxa"/>
            <w:bottom w:w="0" w:type="dxa"/>
          </w:tblCellMar>
        </w:tblPrEx>
        <w:tc>
          <w:tcPr>
            <w:tcW w:w="3000" w:type="dxa"/>
            <w:tcMar>
              <w:top w:w="60" w:type="dxa"/>
              <w:left w:w="100" w:type="dxa"/>
              <w:bottom w:w="60" w:type="dxa"/>
              <w:right w:w="100" w:type="dxa"/>
            </w:tcMar>
          </w:tcPr>
          <w:p w14:paraId="4368E6A8" w14:textId="77777777" w:rsidR="002A4A1B" w:rsidRDefault="00000000">
            <w:pPr>
              <w:spacing w:after="0" w:line="300" w:lineRule="auto"/>
            </w:pPr>
            <w:r>
              <w:rPr>
                <w:sz w:val="20"/>
              </w:rPr>
              <w:t>Container vessel</w:t>
            </w:r>
          </w:p>
        </w:tc>
        <w:tc>
          <w:tcPr>
            <w:tcW w:w="2200" w:type="dxa"/>
            <w:tcMar>
              <w:top w:w="60" w:type="dxa"/>
              <w:left w:w="100" w:type="dxa"/>
              <w:bottom w:w="60" w:type="dxa"/>
              <w:right w:w="100" w:type="dxa"/>
            </w:tcMar>
          </w:tcPr>
          <w:p w14:paraId="2A658FDA" w14:textId="77777777" w:rsidR="002A4A1B" w:rsidRDefault="00000000">
            <w:pPr>
              <w:spacing w:after="0" w:line="300" w:lineRule="auto"/>
            </w:pPr>
            <w:r>
              <w:rPr>
                <w:sz w:val="20"/>
              </w:rPr>
              <w:t>3,200</w:t>
            </w:r>
          </w:p>
        </w:tc>
        <w:tc>
          <w:tcPr>
            <w:tcW w:w="2200" w:type="dxa"/>
            <w:tcMar>
              <w:top w:w="60" w:type="dxa"/>
              <w:left w:w="100" w:type="dxa"/>
              <w:bottom w:w="60" w:type="dxa"/>
              <w:right w:w="100" w:type="dxa"/>
            </w:tcMar>
          </w:tcPr>
          <w:p w14:paraId="154C695A" w14:textId="77777777" w:rsidR="002A4A1B" w:rsidRDefault="00000000">
            <w:pPr>
              <w:spacing w:after="0" w:line="300" w:lineRule="auto"/>
            </w:pPr>
            <w:r>
              <w:rPr>
                <w:sz w:val="20"/>
              </w:rPr>
              <w:t>1,000</w:t>
            </w:r>
          </w:p>
        </w:tc>
        <w:tc>
          <w:tcPr>
            <w:tcW w:w="2200" w:type="dxa"/>
            <w:tcMar>
              <w:top w:w="60" w:type="dxa"/>
              <w:left w:w="100" w:type="dxa"/>
              <w:bottom w:w="60" w:type="dxa"/>
              <w:right w:w="100" w:type="dxa"/>
            </w:tcMar>
          </w:tcPr>
          <w:p w14:paraId="2F725C4A" w14:textId="77777777" w:rsidR="002A4A1B" w:rsidRDefault="00000000">
            <w:pPr>
              <w:spacing w:after="0" w:line="300" w:lineRule="auto"/>
            </w:pPr>
            <w:r>
              <w:rPr>
                <w:sz w:val="20"/>
              </w:rPr>
              <w:t>4,200</w:t>
            </w:r>
          </w:p>
        </w:tc>
      </w:tr>
      <w:tr w:rsidR="002A4A1B" w14:paraId="2FC06838" w14:textId="77777777">
        <w:tblPrEx>
          <w:tblCellMar>
            <w:top w:w="0" w:type="dxa"/>
            <w:bottom w:w="0" w:type="dxa"/>
          </w:tblCellMar>
        </w:tblPrEx>
        <w:tc>
          <w:tcPr>
            <w:tcW w:w="3000" w:type="dxa"/>
            <w:tcMar>
              <w:top w:w="60" w:type="dxa"/>
              <w:left w:w="100" w:type="dxa"/>
              <w:bottom w:w="60" w:type="dxa"/>
              <w:right w:w="100" w:type="dxa"/>
            </w:tcMar>
          </w:tcPr>
          <w:p w14:paraId="53703408" w14:textId="77777777" w:rsidR="002A4A1B" w:rsidRDefault="00000000">
            <w:pPr>
              <w:spacing w:after="0" w:line="300" w:lineRule="auto"/>
            </w:pPr>
            <w:r>
              <w:rPr>
                <w:sz w:val="20"/>
              </w:rPr>
              <w:t>Bulk carrier</w:t>
            </w:r>
          </w:p>
        </w:tc>
        <w:tc>
          <w:tcPr>
            <w:tcW w:w="2200" w:type="dxa"/>
            <w:tcMar>
              <w:top w:w="60" w:type="dxa"/>
              <w:left w:w="100" w:type="dxa"/>
              <w:bottom w:w="60" w:type="dxa"/>
              <w:right w:w="100" w:type="dxa"/>
            </w:tcMar>
          </w:tcPr>
          <w:p w14:paraId="128908BA" w14:textId="77777777" w:rsidR="002A4A1B" w:rsidRDefault="00000000">
            <w:pPr>
              <w:spacing w:after="0" w:line="300" w:lineRule="auto"/>
            </w:pPr>
            <w:r>
              <w:rPr>
                <w:sz w:val="20"/>
              </w:rPr>
              <w:t>2,600</w:t>
            </w:r>
          </w:p>
        </w:tc>
        <w:tc>
          <w:tcPr>
            <w:tcW w:w="2200" w:type="dxa"/>
            <w:tcMar>
              <w:top w:w="60" w:type="dxa"/>
              <w:left w:w="100" w:type="dxa"/>
              <w:bottom w:w="60" w:type="dxa"/>
              <w:right w:w="100" w:type="dxa"/>
            </w:tcMar>
          </w:tcPr>
          <w:p w14:paraId="2E2077AD" w14:textId="77777777" w:rsidR="002A4A1B" w:rsidRDefault="00000000">
            <w:pPr>
              <w:spacing w:after="0" w:line="300" w:lineRule="auto"/>
            </w:pPr>
            <w:r>
              <w:rPr>
                <w:sz w:val="20"/>
              </w:rPr>
              <w:t>850</w:t>
            </w:r>
          </w:p>
        </w:tc>
        <w:tc>
          <w:tcPr>
            <w:tcW w:w="2200" w:type="dxa"/>
            <w:tcMar>
              <w:top w:w="60" w:type="dxa"/>
              <w:left w:w="100" w:type="dxa"/>
              <w:bottom w:w="60" w:type="dxa"/>
              <w:right w:w="100" w:type="dxa"/>
            </w:tcMar>
          </w:tcPr>
          <w:p w14:paraId="2E9BF2DA" w14:textId="77777777" w:rsidR="002A4A1B" w:rsidRDefault="00000000">
            <w:pPr>
              <w:spacing w:after="0" w:line="300" w:lineRule="auto"/>
            </w:pPr>
            <w:r>
              <w:rPr>
                <w:sz w:val="20"/>
              </w:rPr>
              <w:t>3,450</w:t>
            </w:r>
          </w:p>
        </w:tc>
      </w:tr>
      <w:tr w:rsidR="002A4A1B" w14:paraId="68D193D9" w14:textId="77777777">
        <w:tblPrEx>
          <w:tblCellMar>
            <w:top w:w="0" w:type="dxa"/>
            <w:bottom w:w="0" w:type="dxa"/>
          </w:tblCellMar>
        </w:tblPrEx>
        <w:tc>
          <w:tcPr>
            <w:tcW w:w="3000" w:type="dxa"/>
            <w:tcMar>
              <w:top w:w="60" w:type="dxa"/>
              <w:left w:w="100" w:type="dxa"/>
              <w:bottom w:w="60" w:type="dxa"/>
              <w:right w:w="100" w:type="dxa"/>
            </w:tcMar>
          </w:tcPr>
          <w:p w14:paraId="036AE9B7" w14:textId="77777777" w:rsidR="002A4A1B" w:rsidRDefault="00000000">
            <w:pPr>
              <w:spacing w:after="0" w:line="300" w:lineRule="auto"/>
            </w:pPr>
            <w:r>
              <w:rPr>
                <w:sz w:val="20"/>
              </w:rPr>
              <w:t>All other classes</w:t>
            </w:r>
          </w:p>
        </w:tc>
        <w:tc>
          <w:tcPr>
            <w:tcW w:w="2200" w:type="dxa"/>
            <w:tcMar>
              <w:top w:w="60" w:type="dxa"/>
              <w:left w:w="100" w:type="dxa"/>
              <w:bottom w:w="60" w:type="dxa"/>
              <w:right w:w="100" w:type="dxa"/>
            </w:tcMar>
          </w:tcPr>
          <w:p w14:paraId="3794BBE4" w14:textId="77777777" w:rsidR="002A4A1B" w:rsidRDefault="00000000">
            <w:pPr>
              <w:spacing w:after="0" w:line="300" w:lineRule="auto"/>
            </w:pPr>
            <w:r>
              <w:rPr>
                <w:sz w:val="20"/>
              </w:rPr>
              <w:t>1,500</w:t>
            </w:r>
          </w:p>
        </w:tc>
        <w:tc>
          <w:tcPr>
            <w:tcW w:w="2200" w:type="dxa"/>
            <w:tcMar>
              <w:top w:w="60" w:type="dxa"/>
              <w:left w:w="100" w:type="dxa"/>
              <w:bottom w:w="60" w:type="dxa"/>
              <w:right w:w="100" w:type="dxa"/>
            </w:tcMar>
          </w:tcPr>
          <w:p w14:paraId="5FF8EC53" w14:textId="77777777" w:rsidR="002A4A1B" w:rsidRDefault="00000000">
            <w:pPr>
              <w:spacing w:after="0" w:line="300" w:lineRule="auto"/>
            </w:pPr>
            <w:r>
              <w:rPr>
                <w:sz w:val="20"/>
              </w:rPr>
              <w:t>500</w:t>
            </w:r>
          </w:p>
        </w:tc>
        <w:tc>
          <w:tcPr>
            <w:tcW w:w="2200" w:type="dxa"/>
            <w:tcMar>
              <w:top w:w="60" w:type="dxa"/>
              <w:left w:w="100" w:type="dxa"/>
              <w:bottom w:w="60" w:type="dxa"/>
              <w:right w:w="100" w:type="dxa"/>
            </w:tcMar>
          </w:tcPr>
          <w:p w14:paraId="6B8F0577" w14:textId="77777777" w:rsidR="002A4A1B" w:rsidRDefault="00000000">
            <w:pPr>
              <w:spacing w:after="0" w:line="300" w:lineRule="auto"/>
            </w:pPr>
            <w:r>
              <w:rPr>
                <w:sz w:val="20"/>
              </w:rPr>
              <w:t>2,000</w:t>
            </w:r>
          </w:p>
        </w:tc>
      </w:tr>
    </w:tbl>
    <w:p w14:paraId="4B21E225" w14:textId="77777777" w:rsidR="002A4A1B" w:rsidRDefault="002A4A1B">
      <w:pPr>
        <w:spacing w:after="160"/>
      </w:pPr>
    </w:p>
    <w:p w14:paraId="6DED7803" w14:textId="77777777" w:rsidR="002A4A1B" w:rsidRDefault="00000000">
      <w:pPr>
        <w:spacing w:after="140"/>
        <w:jc w:val="both"/>
      </w:pPr>
      <w:r>
        <w:rPr>
          <w:b/>
          <w:color w:val="1F3A44"/>
        </w:rPr>
        <w:lastRenderedPageBreak/>
        <w:t xml:space="preserve">E.2.1   </w:t>
      </w:r>
      <w:r>
        <w:t>Line Two, Route Assurance Data Subscription: the enhanced data product, priced at 25,000 dollars per vessel per year or 60,000 dollars per fleet management organization per year, covering unlimited vessels under one technical manager. Subscribers receive the fused-picture extract, priority interference alerts, certified routing files, and the actuarial data pack their underwriters consume.</w:t>
      </w:r>
    </w:p>
    <w:p w14:paraId="4A21EB5F" w14:textId="77777777" w:rsidR="002A4A1B" w:rsidRDefault="00000000">
      <w:pPr>
        <w:spacing w:after="140"/>
        <w:jc w:val="both"/>
      </w:pPr>
      <w:r>
        <w:rPr>
          <w:b/>
          <w:color w:val="1F3A44"/>
        </w:rPr>
        <w:t xml:space="preserve">E.2.2   </w:t>
      </w:r>
      <w:r>
        <w:t>Line Three, Environmental and Mine-Risk Assurance: per-transit rates as the table shows, funding the survey program, the spill-response capability, and the environmental watch. The green discount halves Line Three for vessels on the published qualifying register: dual-fuel or low-emission propulsion, verified ballast compliance, and a clean five-year environmental record.</w:t>
      </w:r>
    </w:p>
    <w:p w14:paraId="124F8517" w14:textId="77777777" w:rsidR="002A4A1B" w:rsidRDefault="00000000">
      <w:pPr>
        <w:spacing w:after="140"/>
        <w:jc w:val="both"/>
      </w:pPr>
      <w:r>
        <w:rPr>
          <w:b/>
          <w:color w:val="1F3A44"/>
        </w:rPr>
        <w:t xml:space="preserve">E.2.3   </w:t>
      </w:r>
      <w:r>
        <w:t>Line Four, Scheduled Convoy Windows: 15,000 dollars per vessel per window, buying a guaranteed transit slot in a coordinated convoy with priority gates and enhanced monitoring. Windows run on the published daily schedule; the first window each week remains reserved to humanitarian traffic free of charge under Annex L.</w:t>
      </w:r>
    </w:p>
    <w:p w14:paraId="0FB17436" w14:textId="77777777" w:rsidR="002A4A1B" w:rsidRDefault="00000000">
      <w:pPr>
        <w:spacing w:after="140"/>
        <w:jc w:val="both"/>
      </w:pPr>
      <w:r>
        <w:rPr>
          <w:b/>
          <w:color w:val="1F3A44"/>
        </w:rPr>
        <w:t xml:space="preserve">E.2.4   </w:t>
      </w:r>
      <w:r>
        <w:t>Line Five, Requested Services: pilotage, tugs, and escorts at published cost, itemized per port and per service in the technical schedule, with the zero-margin rule: Line Five recovers cost and nothing more.</w:t>
      </w:r>
    </w:p>
    <w:p w14:paraId="25C3FF94" w14:textId="77777777" w:rsidR="002A4A1B" w:rsidRDefault="00000000">
      <w:pPr>
        <w:pStyle w:val="Heading2"/>
      </w:pPr>
      <w:bookmarkStart w:id="166" w:name="_Toc236929705"/>
      <w:r>
        <w:t>E.3 The Protective Devices</w:t>
      </w:r>
      <w:bookmarkEnd w:id="166"/>
    </w:p>
    <w:p w14:paraId="6B30A0F0" w14:textId="77777777" w:rsidR="002A4A1B" w:rsidRDefault="00000000">
      <w:pPr>
        <w:spacing w:after="140"/>
        <w:jc w:val="both"/>
      </w:pPr>
      <w:r>
        <w:rPr>
          <w:b/>
          <w:color w:val="1F3A44"/>
        </w:rPr>
        <w:t xml:space="preserve">E.3.1   </w:t>
      </w:r>
      <w:r>
        <w:t>The heavy-user cap: no operator's annual Line One charges exceed 1,200,000 dollars, regardless of transit count. The cap gives the largest energy fleets absolute budget certainty and removes the fee level as a factor in route economics for the trade that matters most.</w:t>
      </w:r>
    </w:p>
    <w:p w14:paraId="439AFEAA" w14:textId="77777777" w:rsidR="002A4A1B" w:rsidRDefault="00000000">
      <w:pPr>
        <w:spacing w:after="140"/>
        <w:jc w:val="both"/>
      </w:pPr>
      <w:r>
        <w:rPr>
          <w:b/>
          <w:color w:val="1F3A44"/>
        </w:rPr>
        <w:t xml:space="preserve">E.3.2   </w:t>
      </w:r>
      <w:r>
        <w:t>The risk-class model: vessels with verified poor safety records, substandard detention histories, or flag performance on the published watch lists pay a Line One surcharge of fifty percent, and vessels with exemplary five-year records receive a ten percent discount. The model differentiates on safety data alone, publishes every input, and answers every appeal through the Claims Chamber.</w:t>
      </w:r>
    </w:p>
    <w:p w14:paraId="2C2893C1" w14:textId="77777777" w:rsidR="002A4A1B" w:rsidRDefault="00000000">
      <w:pPr>
        <w:spacing w:after="140"/>
        <w:jc w:val="both"/>
      </w:pPr>
      <w:r>
        <w:rPr>
          <w:b/>
          <w:color w:val="1F3A44"/>
        </w:rPr>
        <w:t xml:space="preserve">E.3.3   </w:t>
      </w:r>
      <w:r>
        <w:t>The first-mover bonus: vessels subscribing to Line Two during Phases One through Four receive two years at half price, and the first one hundred transits of each corridor carry commemorative zero-charge status. Momentum is worth more than revenue in year one.</w:t>
      </w:r>
    </w:p>
    <w:p w14:paraId="2BB91E58" w14:textId="77777777" w:rsidR="002A4A1B" w:rsidRDefault="00000000">
      <w:pPr>
        <w:spacing w:after="140"/>
        <w:jc w:val="both"/>
      </w:pPr>
      <w:r>
        <w:rPr>
          <w:b/>
          <w:color w:val="1F3A44"/>
        </w:rPr>
        <w:t xml:space="preserve">E.3.4   </w:t>
      </w:r>
      <w:r>
        <w:t>The grandfather recognition: operators with continuous pre-2026 Strait usage receive the loyalty rate, ten percent below standard Line One, for the first three operating years, honoring the trade that built the waterway's importance.</w:t>
      </w:r>
    </w:p>
    <w:p w14:paraId="77CDD787" w14:textId="77777777" w:rsidR="002A4A1B" w:rsidRDefault="00000000">
      <w:pPr>
        <w:spacing w:after="140"/>
        <w:jc w:val="both"/>
      </w:pPr>
      <w:r>
        <w:rPr>
          <w:b/>
          <w:color w:val="1F3A44"/>
        </w:rPr>
        <w:lastRenderedPageBreak/>
        <w:t xml:space="preserve">E.3.5   </w:t>
      </w:r>
      <w:r>
        <w:t>The performance bond alternative: an operator substitutes an annual bond for per-transit settlement where it prefers certainty, in the amount the register publishes, drawn on only for unpaid assessments and returned in full on clean exit. The bond is surety, never a charge on passage.</w:t>
      </w:r>
    </w:p>
    <w:p w14:paraId="2ED253C6" w14:textId="77777777" w:rsidR="002A4A1B" w:rsidRDefault="00000000">
      <w:pPr>
        <w:pStyle w:val="Heading2"/>
      </w:pPr>
      <w:bookmarkStart w:id="167" w:name="_Toc236929706"/>
      <w:r>
        <w:t>E.4 Collection Architecture</w:t>
      </w:r>
      <w:bookmarkEnd w:id="167"/>
    </w:p>
    <w:p w14:paraId="55E4A4FA" w14:textId="77777777" w:rsidR="002A4A1B" w:rsidRDefault="00000000">
      <w:pPr>
        <w:spacing w:after="140"/>
        <w:jc w:val="both"/>
      </w:pPr>
      <w:r>
        <w:rPr>
          <w:b/>
          <w:color w:val="1F3A44"/>
        </w:rPr>
        <w:t xml:space="preserve">E.4.1   </w:t>
      </w:r>
      <w:r>
        <w:t>Line One and Line Three collect through port documentation at the load or discharge port outside the Strait, on the standing instruction the vessel files once with the Fund. The vessel's agent settles with its port documentation; the port authority or its designated agent remits to the Fund monthly; the vessel never transacts anything at the point of transit.</w:t>
      </w:r>
    </w:p>
    <w:p w14:paraId="3F99E0B0" w14:textId="77777777" w:rsidR="002A4A1B" w:rsidRDefault="00000000">
      <w:pPr>
        <w:spacing w:after="140"/>
        <w:jc w:val="both"/>
      </w:pPr>
      <w:r>
        <w:rPr>
          <w:b/>
          <w:color w:val="1F3A44"/>
        </w:rPr>
        <w:t xml:space="preserve">E.4.2   </w:t>
      </w:r>
      <w:r>
        <w:t>Line Two collects annually at subscription. Line Four collects at booking. Line Five collects through the providing port's ordinary invoicing. The underwriter convenience channel of Article 18.3.2 remits elected charges alongside premiums where the vessel instructs.</w:t>
      </w:r>
    </w:p>
    <w:p w14:paraId="0D4D9FED" w14:textId="77777777" w:rsidR="002A4A1B" w:rsidRDefault="00000000">
      <w:pPr>
        <w:spacing w:after="140"/>
        <w:jc w:val="both"/>
      </w:pPr>
      <w:r>
        <w:rPr>
          <w:b/>
          <w:color w:val="1F3A44"/>
        </w:rPr>
        <w:t xml:space="preserve">E.4.3   </w:t>
      </w:r>
      <w:r>
        <w:t>Settlement currencies: the Fund accepts the published basket of major reserve currencies, converted at the published daily reference rate, through ordinary correspondent banking into the neutral accounts. The register publishes the basket and the rate source; no payer handles any instrument its own compliance office cannot explain in one sentence.</w:t>
      </w:r>
    </w:p>
    <w:p w14:paraId="75FCEE5B" w14:textId="77777777" w:rsidR="002A4A1B" w:rsidRDefault="00000000">
      <w:pPr>
        <w:pStyle w:val="Heading2"/>
      </w:pPr>
      <w:bookmarkStart w:id="168" w:name="_Toc236929707"/>
      <w:r>
        <w:t>E.5 The Neutral Channel, Mechanically</w:t>
      </w:r>
      <w:bookmarkEnd w:id="168"/>
    </w:p>
    <w:p w14:paraId="03512029" w14:textId="77777777" w:rsidR="002A4A1B" w:rsidRDefault="00000000">
      <w:pPr>
        <w:spacing w:after="140"/>
        <w:jc w:val="both"/>
      </w:pPr>
      <w:r>
        <w:rPr>
          <w:b/>
          <w:color w:val="1F3A44"/>
        </w:rPr>
        <w:t xml:space="preserve">E.5.1   </w:t>
      </w:r>
      <w:r>
        <w:t>The Neutral Administrator operates three account families at its designated institutions: the Receipts accounts, which receive every payment; the Operations accounts, which fund the budget; and the Distribution accounts, from which the Parties' administrations draw their equal shares. Money moves between families only on the published waterfall of Article 18.4.1, and every movement lands in the public ledger.</w:t>
      </w:r>
    </w:p>
    <w:p w14:paraId="5A4B6530" w14:textId="77777777" w:rsidR="002A4A1B" w:rsidRDefault="00000000">
      <w:pPr>
        <w:spacing w:after="140"/>
        <w:jc w:val="both"/>
      </w:pPr>
      <w:r>
        <w:rPr>
          <w:b/>
          <w:color w:val="1F3A44"/>
        </w:rPr>
        <w:t xml:space="preserve">E.5.2   </w:t>
      </w:r>
      <w:r>
        <w:t>The sanctions-compatibility file for each account family contains the structural legal opinion, the license record where applicable, and the standing correspondence with the relevant authorities, and updates quarterly. The file's existence answers the compliance question every paying bank asks, before it asks it.</w:t>
      </w:r>
    </w:p>
    <w:p w14:paraId="1975C74C" w14:textId="77777777" w:rsidR="002A4A1B" w:rsidRDefault="00000000">
      <w:pPr>
        <w:spacing w:after="140"/>
        <w:jc w:val="both"/>
      </w:pPr>
      <w:r>
        <w:rPr>
          <w:b/>
          <w:color w:val="1F3A44"/>
        </w:rPr>
        <w:t xml:space="preserve">E.5.3   </w:t>
      </w:r>
      <w:r>
        <w:t>The channel runs in political weather: because the payer pays the Fund and the Fund pays the administrations, a deterioration between any two governments never creates a direct payment between them to sanction, block, or politicize. The architecture converts the payment question from diplomacy into plumbing, and plumbing works in the rain.</w:t>
      </w:r>
    </w:p>
    <w:p w14:paraId="566B6575" w14:textId="77777777" w:rsidR="002A4A1B" w:rsidRDefault="00000000">
      <w:pPr>
        <w:pStyle w:val="Heading2"/>
      </w:pPr>
      <w:bookmarkStart w:id="169" w:name="_Toc236929708"/>
      <w:r>
        <w:lastRenderedPageBreak/>
        <w:t>E.6 Audit</w:t>
      </w:r>
      <w:bookmarkEnd w:id="169"/>
    </w:p>
    <w:p w14:paraId="712011D7" w14:textId="77777777" w:rsidR="002A4A1B" w:rsidRDefault="00000000">
      <w:pPr>
        <w:spacing w:after="140"/>
        <w:jc w:val="both"/>
      </w:pPr>
      <w:r>
        <w:rPr>
          <w:b/>
          <w:color w:val="1F3A44"/>
        </w:rPr>
        <w:t xml:space="preserve">E.6.1   </w:t>
      </w:r>
      <w:r>
        <w:t>The Verification Chamber audits the charge register against the budget quarterly; the Neutral Administrator audits the accounts quarterly; an international audit firm drawn by lot from the published shortlist audits the Fund annually; and every audit publishes in full. Three independent audits a year, every year, forever: the fee issue dies of transparency, which is the cheapest way any hard issue ever dies.</w:t>
      </w:r>
    </w:p>
    <w:p w14:paraId="76596B39" w14:textId="77777777" w:rsidR="002A4A1B" w:rsidRDefault="00000000">
      <w:pPr>
        <w:spacing w:after="140"/>
        <w:jc w:val="both"/>
      </w:pPr>
      <w:r>
        <w:rPr>
          <w:b/>
          <w:color w:val="1F3A44"/>
        </w:rPr>
        <w:t xml:space="preserve">E.6.2   </w:t>
      </w:r>
      <w:r>
        <w:t>Over-assessment refunds automatically with interest at the published rate; under-assessment bills with a thirty-day cure and no penalty for good-faith error. Disputes go to the Claims Chamber under the sixty-day procedure, and the docket publishes.</w:t>
      </w:r>
    </w:p>
    <w:p w14:paraId="5F736F4D" w14:textId="77777777" w:rsidR="002A4A1B" w:rsidRDefault="00000000">
      <w:pPr>
        <w:pStyle w:val="Heading2"/>
      </w:pPr>
      <w:bookmarkStart w:id="170" w:name="_Toc236929709"/>
      <w:r>
        <w:t>E.7 The Stability Dividend, Priced</w:t>
      </w:r>
      <w:bookmarkEnd w:id="170"/>
    </w:p>
    <w:p w14:paraId="6A81D814" w14:textId="77777777" w:rsidR="002A4A1B" w:rsidRDefault="00000000">
      <w:pPr>
        <w:spacing w:after="140"/>
        <w:jc w:val="both"/>
      </w:pPr>
      <w:r>
        <w:rPr>
          <w:b/>
          <w:color w:val="1F3A44"/>
        </w:rPr>
        <w:t xml:space="preserve">E.7.1   </w:t>
      </w:r>
      <w:r>
        <w:t>Each incident-free week in the Framework Area adds 400,000 dollars to the dividend pool. A Class Two security incident reduces the pool by 800,000 dollars; a Class Three environmental incident by 400,000 dollars; a certificate suspension by 1,600,000 dollars. The pool never falls below zero in any quarter; it carries forward positive balances. The pool distributes equally to the Founding Parties' administrations at quarter end, publishing the arithmetic with the distribution.</w:t>
      </w:r>
    </w:p>
    <w:p w14:paraId="124B61D1" w14:textId="77777777" w:rsidR="002A4A1B" w:rsidRDefault="00000000">
      <w:pPr>
        <w:spacing w:after="140"/>
        <w:jc w:val="both"/>
      </w:pPr>
      <w:r>
        <w:rPr>
          <w:b/>
          <w:color w:val="1F3A44"/>
        </w:rPr>
        <w:t xml:space="preserve">E.7.2   </w:t>
      </w:r>
      <w:r>
        <w:t>The dividend exists so that every week of quiet has a visible price and every incident a visible cost, shared identically by both coasts. It aligns the two administrations' material interest with the mariner's interest to the decimal point.</w:t>
      </w:r>
    </w:p>
    <w:p w14:paraId="70F44DA3" w14:textId="77777777" w:rsidR="002A4A1B" w:rsidRDefault="00000000">
      <w:pPr>
        <w:pStyle w:val="Heading1"/>
      </w:pPr>
      <w:bookmarkStart w:id="171" w:name="_Toc236929710"/>
      <w:r>
        <w:lastRenderedPageBreak/>
        <w:t>Annex F: The Cothrom-Payedar Verification Method</w:t>
      </w:r>
      <w:bookmarkEnd w:id="171"/>
    </w:p>
    <w:p w14:paraId="675367B0" w14:textId="77777777" w:rsidR="002A4A1B" w:rsidRDefault="00000000">
      <w:pPr>
        <w:spacing w:after="140"/>
        <w:jc w:val="both"/>
      </w:pPr>
      <w:r>
        <w:t>This Annex carries the complete verification protocol of the Framework. Cothrom, the Irish word for balance, names the parent method; Payedar binds it to this water. The method's premise: verification that one side owns is surveillance, and surveillance breeds the resistance it investigates. Verification that both sides own is infrastructure, and infrastructure gets used. Under this method both coasts invest, both coasts verify, and both coasts recover, by the same instruments, on the same clocks, under the same arithmetic.</w:t>
      </w:r>
    </w:p>
    <w:p w14:paraId="05BDC659" w14:textId="77777777" w:rsidR="002A4A1B" w:rsidRDefault="00000000">
      <w:pPr>
        <w:pStyle w:val="Heading2"/>
      </w:pPr>
      <w:bookmarkStart w:id="172" w:name="_Toc236929711"/>
      <w:r>
        <w:t>F.1 Instruments and Data Sources</w:t>
      </w:r>
      <w:bookmarkEnd w:id="172"/>
    </w:p>
    <w:p w14:paraId="5C6EFE07" w14:textId="77777777" w:rsidR="002A4A1B" w:rsidRDefault="00000000">
      <w:pPr>
        <w:spacing w:after="140"/>
        <w:jc w:val="both"/>
      </w:pPr>
      <w:r>
        <w:rPr>
          <w:b/>
          <w:color w:val="1F3A44"/>
        </w:rPr>
        <w:t xml:space="preserve">F.1.1   </w:t>
      </w:r>
      <w:r>
        <w:t>The method verifies from seven instrument families: the fused radar and AIS picture; the sensor chain of Annex C; the charge ledger and Fund accounts; the inspection records of the ninety-day cycles; the declared data of the Parties; the hotline and action logs; and the environmental instruments of Annex B. Every finding cites its instruments, and every instrument's calibration record publishes.</w:t>
      </w:r>
    </w:p>
    <w:p w14:paraId="29142724" w14:textId="77777777" w:rsidR="002A4A1B" w:rsidRDefault="00000000">
      <w:pPr>
        <w:spacing w:after="140"/>
        <w:jc w:val="both"/>
      </w:pPr>
      <w:r>
        <w:rPr>
          <w:b/>
          <w:color w:val="1F3A44"/>
        </w:rPr>
        <w:t xml:space="preserve">F.1.2   </w:t>
      </w:r>
      <w:r>
        <w:t>Declared data: each Party's declarations, beginning with the mine declaration of Article 9.1.2 and continuing through the annual declarations this Annex schedules, stand under continuous verification against the instrument record. A declaration that matches the instruments builds credit; a declaration that fails them answers under the Demerit Matrix. The method rewards truthful declaration precisely because it checks.</w:t>
      </w:r>
    </w:p>
    <w:p w14:paraId="052E4655" w14:textId="77777777" w:rsidR="002A4A1B" w:rsidRDefault="00000000">
      <w:pPr>
        <w:pStyle w:val="Heading2"/>
      </w:pPr>
      <w:bookmarkStart w:id="173" w:name="_Toc236929712"/>
      <w:r>
        <w:t>F.2 The Verification Credit System</w:t>
      </w:r>
      <w:bookmarkEnd w:id="173"/>
    </w:p>
    <w:p w14:paraId="5B4CCB79" w14:textId="77777777" w:rsidR="002A4A1B" w:rsidRDefault="00000000">
      <w:pPr>
        <w:spacing w:after="140"/>
        <w:jc w:val="both"/>
      </w:pPr>
      <w:r>
        <w:rPr>
          <w:b/>
          <w:color w:val="1F3A44"/>
        </w:rPr>
        <w:t xml:space="preserve">F.2.1   </w:t>
      </w:r>
      <w:r>
        <w:t>Each Party accumulates verification credits for verified cooperation: on-time declarations, clean inspections, prompt data delivery, successful challenge resolutions, and audit passes. Each Party accumulates verification debits for verified failures. The Balance Ratio of a Party is its rolling one-hundred-eighty-day credits divided by its debits, computed nightly from the registry and published weekly.</w:t>
      </w:r>
    </w:p>
    <w:p w14:paraId="2C26BB52" w14:textId="77777777" w:rsidR="002A4A1B" w:rsidRDefault="00000000">
      <w:pPr>
        <w:spacing w:after="140"/>
        <w:jc w:val="both"/>
      </w:pPr>
      <w:r>
        <w:rPr>
          <w:b/>
          <w:color w:val="1F3A44"/>
        </w:rPr>
        <w:t xml:space="preserve">F.2.2   </w:t>
      </w:r>
      <w:r>
        <w:t>The Balance Ratio serves one purpose: symmetry made visible. The architecture targets a ratio of 1.0 or better for every Party, treats a ratio below 0.5 as an Amber indicator that feeds the zone register, and never uses the ratio for any purpose outside this Annex. The ratio measures conduct against the Party's own record, never against the other coast, because comparison breeds grievance and self-comparison breeds improvement.</w:t>
      </w:r>
    </w:p>
    <w:p w14:paraId="64ED14E0" w14:textId="77777777" w:rsidR="002A4A1B" w:rsidRDefault="00000000">
      <w:pPr>
        <w:spacing w:after="140"/>
        <w:jc w:val="both"/>
      </w:pPr>
      <w:r>
        <w:rPr>
          <w:b/>
          <w:color w:val="1F3A44"/>
        </w:rPr>
        <w:lastRenderedPageBreak/>
        <w:t xml:space="preserve">F.2.3   </w:t>
      </w:r>
      <w:r>
        <w:t>Equivalent response: where a verified failure by one Party imposes a verified cost on the system, the remediation restores equivalence: the responsible Party funds or performs the restoration the cost schedule of Annex G assigns, and the ledger shows the cost, the restoration, and the returned balance. The method calls this principle equivalent exchange, and it replaces punishment with bookkeeping that anyone audits.</w:t>
      </w:r>
    </w:p>
    <w:p w14:paraId="7646B847" w14:textId="77777777" w:rsidR="002A4A1B" w:rsidRDefault="00000000">
      <w:pPr>
        <w:pStyle w:val="Heading2"/>
      </w:pPr>
      <w:bookmarkStart w:id="174" w:name="_Toc236929713"/>
      <w:r>
        <w:t>F.3 Chamber Procedure</w:t>
      </w:r>
      <w:bookmarkEnd w:id="174"/>
    </w:p>
    <w:p w14:paraId="12187302" w14:textId="77777777" w:rsidR="002A4A1B" w:rsidRDefault="00000000">
      <w:pPr>
        <w:spacing w:after="140"/>
        <w:jc w:val="both"/>
      </w:pPr>
      <w:r>
        <w:rPr>
          <w:b/>
          <w:color w:val="1F3A44"/>
        </w:rPr>
        <w:t xml:space="preserve">F.3.1   </w:t>
      </w:r>
      <w:r>
        <w:t>The Verification Chamber sits in continuous session, physically alternating between Muscat and Bandar Abbas quarterly, and voting by simple majority with the quorum rule that every zone-moving finding requires concurrence of two of the three nationality groups. The Chamber's officers hold four-year terms, serve once, and swear to the instruments, not to any capital.</w:t>
      </w:r>
    </w:p>
    <w:p w14:paraId="4F00C6E7" w14:textId="77777777" w:rsidR="002A4A1B" w:rsidRDefault="00000000">
      <w:pPr>
        <w:spacing w:after="140"/>
        <w:jc w:val="both"/>
      </w:pPr>
      <w:r>
        <w:rPr>
          <w:b/>
          <w:color w:val="1F3A44"/>
        </w:rPr>
        <w:t xml:space="preserve">F.3.2   </w:t>
      </w:r>
      <w:r>
        <w:t>Findings follow the evidence ladder: instrument indication, corroboration by a second instrument family, opportunity for the affected Party's comment within seventy-two hours, then certification. No finding rests on one instrument, one source, or one coast's word. The ladder climbs in days, never weeks, because stale verification verifies nothing anyone still needs.</w:t>
      </w:r>
    </w:p>
    <w:p w14:paraId="6BDB6814" w14:textId="77777777" w:rsidR="002A4A1B" w:rsidRDefault="00000000">
      <w:pPr>
        <w:spacing w:after="140"/>
        <w:jc w:val="both"/>
      </w:pPr>
      <w:r>
        <w:rPr>
          <w:b/>
          <w:color w:val="1F3A44"/>
        </w:rPr>
        <w:t xml:space="preserve">F.3.3   </w:t>
      </w:r>
      <w:r>
        <w:t>The reconciliation procedure: where instruments disagree, the Chamber convenes the instrument engineers from both coasts, reproduces the reading against calibration standards, and publishes the technical resolution. Where reproduction fails, the fact records as unproven and the system continues, in favor of continuity, as Article 13.2.2 provides. The method prefers an honest gap to a convenient certainty.</w:t>
      </w:r>
    </w:p>
    <w:p w14:paraId="5B34B123" w14:textId="77777777" w:rsidR="002A4A1B" w:rsidRDefault="00000000">
      <w:pPr>
        <w:pStyle w:val="Heading2"/>
      </w:pPr>
      <w:bookmarkStart w:id="175" w:name="_Toc236929714"/>
      <w:r>
        <w:t>F.4 The Challenge Procedure</w:t>
      </w:r>
      <w:bookmarkEnd w:id="175"/>
    </w:p>
    <w:p w14:paraId="0F7C7EE2" w14:textId="77777777" w:rsidR="002A4A1B" w:rsidRDefault="00000000">
      <w:pPr>
        <w:spacing w:after="140"/>
        <w:jc w:val="both"/>
      </w:pPr>
      <w:r>
        <w:rPr>
          <w:b/>
          <w:color w:val="1F3A44"/>
        </w:rPr>
        <w:t xml:space="preserve">F.4.1   </w:t>
      </w:r>
      <w:r>
        <w:t>Any Party challenges any datum, finding, or instrument by filing in the registry with its technical basis. The Chamber answers within seventy-two hours with the full technical record. An unresolved challenge escalates to the Technical Panel within seven days, and the Panel's finding of fact binds. Challenges cost nothing, require no permission, and never count against the challenger in any way, because the right to doubt is the method's immune system.</w:t>
      </w:r>
    </w:p>
    <w:p w14:paraId="361C5E8C" w14:textId="77777777" w:rsidR="002A4A1B" w:rsidRDefault="00000000">
      <w:pPr>
        <w:pStyle w:val="Heading2"/>
      </w:pPr>
      <w:bookmarkStart w:id="176" w:name="_Toc236929715"/>
      <w:r>
        <w:t>F.5 The Symmetry Audit</w:t>
      </w:r>
      <w:bookmarkEnd w:id="176"/>
    </w:p>
    <w:p w14:paraId="7963EE68" w14:textId="77777777" w:rsidR="002A4A1B" w:rsidRDefault="00000000">
      <w:pPr>
        <w:spacing w:after="140"/>
        <w:jc w:val="both"/>
      </w:pPr>
      <w:r>
        <w:rPr>
          <w:b/>
          <w:color w:val="1F3A44"/>
        </w:rPr>
        <w:t xml:space="preserve">F.5.1   </w:t>
      </w:r>
      <w:r>
        <w:t xml:space="preserve">The Chamber audits its own symmetry annually: the count and depth of verification acts directed at each coast, the inspection burden distribution, the data-request distribution, and the findings distribution. The audit publishes with the numbers, and a material asymmetry triggers </w:t>
      </w:r>
      <w:r>
        <w:lastRenderedPageBreak/>
        <w:t>corrective rebalancing of the verification plan for the following year. The method audits the auditors, in public, on a schedule.</w:t>
      </w:r>
    </w:p>
    <w:p w14:paraId="09BE0BEA" w14:textId="77777777" w:rsidR="002A4A1B" w:rsidRDefault="00000000">
      <w:pPr>
        <w:pStyle w:val="Heading2"/>
      </w:pPr>
      <w:bookmarkStart w:id="177" w:name="_Toc236929716"/>
      <w:r>
        <w:t>F.6 Attribution</w:t>
      </w:r>
      <w:bookmarkEnd w:id="177"/>
    </w:p>
    <w:p w14:paraId="5ADBB47F" w14:textId="77777777" w:rsidR="002A4A1B" w:rsidRDefault="00000000">
      <w:pPr>
        <w:spacing w:after="140"/>
        <w:jc w:val="both"/>
      </w:pPr>
      <w:r>
        <w:rPr>
          <w:b/>
          <w:color w:val="1F3A44"/>
        </w:rPr>
        <w:t xml:space="preserve">F.6.1   </w:t>
      </w:r>
      <w:r>
        <w:t>Attribution of interference, incidents, and unauthorized demands follows the technical ladder: sensor forensics, signal triangulation, track reconstruction, and corroborating national technical means where Parties contribute them. The Chamber attributes only on two corroborating instrument families and publishes its confidence level with every attribution. An unattributed event still triggers every protective response; the method protects first and attributes second, always.</w:t>
      </w:r>
    </w:p>
    <w:p w14:paraId="39A85796" w14:textId="77777777" w:rsidR="002A4A1B" w:rsidRDefault="00000000">
      <w:pPr>
        <w:spacing w:after="140"/>
        <w:jc w:val="both"/>
      </w:pPr>
      <w:r>
        <w:rPr>
          <w:b/>
          <w:color w:val="1F3A44"/>
        </w:rPr>
        <w:t xml:space="preserve">F.6.2   </w:t>
      </w:r>
      <w:r>
        <w:t>Contributed national technical means: any Party or observer contributes its own intelligence to an attribution on the understanding that the Chamber weighs it as one instrument family among several and never as decisive alone. This rule lets the major powers' capabilities serve the system without letting any of them own its conclusions.</w:t>
      </w:r>
    </w:p>
    <w:p w14:paraId="0A34DB1B" w14:textId="77777777" w:rsidR="002A4A1B" w:rsidRDefault="00000000">
      <w:pPr>
        <w:pStyle w:val="Heading1"/>
      </w:pPr>
      <w:bookmarkStart w:id="178" w:name="_Toc236929717"/>
      <w:r>
        <w:lastRenderedPageBreak/>
        <w:t>Annex G: The Demerit Point Matrix and the Step-Back and Earn-Back Schedules</w:t>
      </w:r>
      <w:bookmarkEnd w:id="178"/>
    </w:p>
    <w:p w14:paraId="28C64478" w14:textId="77777777" w:rsidR="002A4A1B" w:rsidRDefault="00000000">
      <w:pPr>
        <w:spacing w:after="140"/>
        <w:jc w:val="both"/>
      </w:pPr>
      <w:r>
        <w:t>This Annex is the arithmetic of consequences. Every violation, its tier, its points, and its consequence appear here in advance, in numbers, so that exposure is never a surprise and discretion never enters the engine. The Matrix names conduct, never Parties, and it applies identically to everyone the Framework binds.</w:t>
      </w:r>
    </w:p>
    <w:p w14:paraId="593D8922" w14:textId="77777777" w:rsidR="002A4A1B" w:rsidRDefault="00000000">
      <w:pPr>
        <w:pStyle w:val="Heading2"/>
      </w:pPr>
      <w:bookmarkStart w:id="179" w:name="_Toc236929718"/>
      <w:r>
        <w:t>G.1 The Violation Schedule</w:t>
      </w:r>
      <w:bookmarkEnd w:id="179"/>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4194"/>
        <w:gridCol w:w="1538"/>
        <w:gridCol w:w="1541"/>
        <w:gridCol w:w="1953"/>
      </w:tblGrid>
      <w:tr w:rsidR="002A4A1B" w14:paraId="231AA925" w14:textId="77777777">
        <w:tblPrEx>
          <w:tblCellMar>
            <w:top w:w="0" w:type="dxa"/>
            <w:bottom w:w="0" w:type="dxa"/>
          </w:tblCellMar>
        </w:tblPrEx>
        <w:trPr>
          <w:tblHeader/>
        </w:trPr>
        <w:tc>
          <w:tcPr>
            <w:tcW w:w="4400" w:type="dxa"/>
            <w:tcBorders>
              <w:bottom w:val="single" w:sz="6" w:space="0" w:color="2F5560"/>
            </w:tcBorders>
            <w:shd w:val="clear" w:color="auto" w:fill="E7EEF0"/>
            <w:tcMar>
              <w:top w:w="60" w:type="dxa"/>
              <w:left w:w="100" w:type="dxa"/>
              <w:bottom w:w="60" w:type="dxa"/>
              <w:right w:w="100" w:type="dxa"/>
            </w:tcMar>
          </w:tcPr>
          <w:p w14:paraId="28C2B984" w14:textId="77777777" w:rsidR="002A4A1B" w:rsidRDefault="00000000">
            <w:pPr>
              <w:spacing w:after="0" w:line="300" w:lineRule="auto"/>
            </w:pPr>
            <w:r>
              <w:rPr>
                <w:b/>
                <w:color w:val="1F3A44"/>
                <w:sz w:val="20"/>
              </w:rPr>
              <w:t>Conduct</w:t>
            </w:r>
          </w:p>
        </w:tc>
        <w:tc>
          <w:tcPr>
            <w:tcW w:w="1600" w:type="dxa"/>
            <w:tcBorders>
              <w:bottom w:val="single" w:sz="6" w:space="0" w:color="2F5560"/>
            </w:tcBorders>
            <w:shd w:val="clear" w:color="auto" w:fill="E7EEF0"/>
            <w:tcMar>
              <w:top w:w="60" w:type="dxa"/>
              <w:left w:w="100" w:type="dxa"/>
              <w:bottom w:w="60" w:type="dxa"/>
              <w:right w:w="100" w:type="dxa"/>
            </w:tcMar>
          </w:tcPr>
          <w:p w14:paraId="5153C076" w14:textId="77777777" w:rsidR="002A4A1B" w:rsidRDefault="00000000">
            <w:pPr>
              <w:spacing w:after="0" w:line="300" w:lineRule="auto"/>
            </w:pPr>
            <w:r>
              <w:rPr>
                <w:b/>
                <w:color w:val="1F3A44"/>
                <w:sz w:val="20"/>
              </w:rPr>
              <w:t>Tier</w:t>
            </w:r>
          </w:p>
        </w:tc>
        <w:tc>
          <w:tcPr>
            <w:tcW w:w="1600" w:type="dxa"/>
            <w:tcBorders>
              <w:bottom w:val="single" w:sz="6" w:space="0" w:color="2F5560"/>
            </w:tcBorders>
            <w:shd w:val="clear" w:color="auto" w:fill="E7EEF0"/>
            <w:tcMar>
              <w:top w:w="60" w:type="dxa"/>
              <w:left w:w="100" w:type="dxa"/>
              <w:bottom w:w="60" w:type="dxa"/>
              <w:right w:w="100" w:type="dxa"/>
            </w:tcMar>
          </w:tcPr>
          <w:p w14:paraId="150B61F6" w14:textId="77777777" w:rsidR="002A4A1B" w:rsidRDefault="00000000">
            <w:pPr>
              <w:spacing w:after="0" w:line="300" w:lineRule="auto"/>
            </w:pPr>
            <w:r>
              <w:rPr>
                <w:b/>
                <w:color w:val="1F3A44"/>
                <w:sz w:val="20"/>
              </w:rPr>
              <w:t>Points</w:t>
            </w:r>
          </w:p>
        </w:tc>
        <w:tc>
          <w:tcPr>
            <w:tcW w:w="2000" w:type="dxa"/>
            <w:tcBorders>
              <w:bottom w:val="single" w:sz="6" w:space="0" w:color="2F5560"/>
            </w:tcBorders>
            <w:shd w:val="clear" w:color="auto" w:fill="E7EEF0"/>
            <w:tcMar>
              <w:top w:w="60" w:type="dxa"/>
              <w:left w:w="100" w:type="dxa"/>
              <w:bottom w:w="60" w:type="dxa"/>
              <w:right w:w="100" w:type="dxa"/>
            </w:tcMar>
          </w:tcPr>
          <w:p w14:paraId="70B9CDD7" w14:textId="77777777" w:rsidR="002A4A1B" w:rsidRDefault="00000000">
            <w:pPr>
              <w:spacing w:after="0" w:line="300" w:lineRule="auto"/>
            </w:pPr>
            <w:r>
              <w:rPr>
                <w:b/>
                <w:color w:val="1F3A44"/>
                <w:sz w:val="20"/>
              </w:rPr>
              <w:t>Base consequence</w:t>
            </w:r>
          </w:p>
        </w:tc>
      </w:tr>
      <w:tr w:rsidR="002A4A1B" w14:paraId="43B430F3" w14:textId="77777777">
        <w:tblPrEx>
          <w:tblCellMar>
            <w:top w:w="0" w:type="dxa"/>
            <w:bottom w:w="0" w:type="dxa"/>
          </w:tblCellMar>
        </w:tblPrEx>
        <w:tc>
          <w:tcPr>
            <w:tcW w:w="4400" w:type="dxa"/>
            <w:tcMar>
              <w:top w:w="60" w:type="dxa"/>
              <w:left w:w="100" w:type="dxa"/>
              <w:bottom w:w="60" w:type="dxa"/>
              <w:right w:w="100" w:type="dxa"/>
            </w:tcMar>
          </w:tcPr>
          <w:p w14:paraId="50D7A39E" w14:textId="77777777" w:rsidR="002A4A1B" w:rsidRDefault="00000000">
            <w:pPr>
              <w:spacing w:after="0" w:line="300" w:lineRule="auto"/>
            </w:pPr>
            <w:r>
              <w:rPr>
                <w:sz w:val="20"/>
              </w:rPr>
              <w:t>Reporting delay under 48 hours, documented cause</w:t>
            </w:r>
          </w:p>
        </w:tc>
        <w:tc>
          <w:tcPr>
            <w:tcW w:w="1600" w:type="dxa"/>
            <w:tcMar>
              <w:top w:w="60" w:type="dxa"/>
              <w:left w:w="100" w:type="dxa"/>
              <w:bottom w:w="60" w:type="dxa"/>
              <w:right w:w="100" w:type="dxa"/>
            </w:tcMar>
          </w:tcPr>
          <w:p w14:paraId="7BACC08F" w14:textId="77777777" w:rsidR="002A4A1B" w:rsidRDefault="00000000">
            <w:pPr>
              <w:spacing w:after="0" w:line="300" w:lineRule="auto"/>
            </w:pPr>
            <w:r>
              <w:rPr>
                <w:sz w:val="20"/>
              </w:rPr>
              <w:t>One</w:t>
            </w:r>
          </w:p>
        </w:tc>
        <w:tc>
          <w:tcPr>
            <w:tcW w:w="1600" w:type="dxa"/>
            <w:tcMar>
              <w:top w:w="60" w:type="dxa"/>
              <w:left w:w="100" w:type="dxa"/>
              <w:bottom w:w="60" w:type="dxa"/>
              <w:right w:w="100" w:type="dxa"/>
            </w:tcMar>
          </w:tcPr>
          <w:p w14:paraId="2D6417D3" w14:textId="77777777" w:rsidR="002A4A1B" w:rsidRDefault="00000000">
            <w:pPr>
              <w:spacing w:after="0" w:line="300" w:lineRule="auto"/>
            </w:pPr>
            <w:r>
              <w:rPr>
                <w:sz w:val="20"/>
              </w:rPr>
              <w:t>0</w:t>
            </w:r>
          </w:p>
        </w:tc>
        <w:tc>
          <w:tcPr>
            <w:tcW w:w="2000" w:type="dxa"/>
            <w:tcMar>
              <w:top w:w="60" w:type="dxa"/>
              <w:left w:w="100" w:type="dxa"/>
              <w:bottom w:w="60" w:type="dxa"/>
              <w:right w:w="100" w:type="dxa"/>
            </w:tcMar>
          </w:tcPr>
          <w:p w14:paraId="73F2C673" w14:textId="77777777" w:rsidR="002A4A1B" w:rsidRDefault="00000000">
            <w:pPr>
              <w:spacing w:after="0" w:line="300" w:lineRule="auto"/>
            </w:pPr>
            <w:r>
              <w:rPr>
                <w:sz w:val="20"/>
              </w:rPr>
              <w:t>Technical assistance; confidential handling</w:t>
            </w:r>
          </w:p>
        </w:tc>
      </w:tr>
      <w:tr w:rsidR="002A4A1B" w14:paraId="4748489B" w14:textId="77777777">
        <w:tblPrEx>
          <w:tblCellMar>
            <w:top w:w="0" w:type="dxa"/>
            <w:bottom w:w="0" w:type="dxa"/>
          </w:tblCellMar>
        </w:tblPrEx>
        <w:tc>
          <w:tcPr>
            <w:tcW w:w="4400" w:type="dxa"/>
            <w:tcMar>
              <w:top w:w="60" w:type="dxa"/>
              <w:left w:w="100" w:type="dxa"/>
              <w:bottom w:w="60" w:type="dxa"/>
              <w:right w:w="100" w:type="dxa"/>
            </w:tcMar>
          </w:tcPr>
          <w:p w14:paraId="72C6A7D3" w14:textId="77777777" w:rsidR="002A4A1B" w:rsidRDefault="00000000">
            <w:pPr>
              <w:spacing w:after="0" w:line="300" w:lineRule="auto"/>
            </w:pPr>
            <w:r>
              <w:rPr>
                <w:sz w:val="20"/>
              </w:rPr>
              <w:t>Single-day data transmission interruption, documented</w:t>
            </w:r>
          </w:p>
        </w:tc>
        <w:tc>
          <w:tcPr>
            <w:tcW w:w="1600" w:type="dxa"/>
            <w:tcMar>
              <w:top w:w="60" w:type="dxa"/>
              <w:left w:w="100" w:type="dxa"/>
              <w:bottom w:w="60" w:type="dxa"/>
              <w:right w:w="100" w:type="dxa"/>
            </w:tcMar>
          </w:tcPr>
          <w:p w14:paraId="4A2149C8" w14:textId="77777777" w:rsidR="002A4A1B" w:rsidRDefault="00000000">
            <w:pPr>
              <w:spacing w:after="0" w:line="300" w:lineRule="auto"/>
            </w:pPr>
            <w:r>
              <w:rPr>
                <w:sz w:val="20"/>
              </w:rPr>
              <w:t>One</w:t>
            </w:r>
          </w:p>
        </w:tc>
        <w:tc>
          <w:tcPr>
            <w:tcW w:w="1600" w:type="dxa"/>
            <w:tcMar>
              <w:top w:w="60" w:type="dxa"/>
              <w:left w:w="100" w:type="dxa"/>
              <w:bottom w:w="60" w:type="dxa"/>
              <w:right w:w="100" w:type="dxa"/>
            </w:tcMar>
          </w:tcPr>
          <w:p w14:paraId="7A184882" w14:textId="77777777" w:rsidR="002A4A1B" w:rsidRDefault="00000000">
            <w:pPr>
              <w:spacing w:after="0" w:line="300" w:lineRule="auto"/>
            </w:pPr>
            <w:r>
              <w:rPr>
                <w:sz w:val="20"/>
              </w:rPr>
              <w:t>0</w:t>
            </w:r>
          </w:p>
        </w:tc>
        <w:tc>
          <w:tcPr>
            <w:tcW w:w="2000" w:type="dxa"/>
            <w:tcMar>
              <w:top w:w="60" w:type="dxa"/>
              <w:left w:w="100" w:type="dxa"/>
              <w:bottom w:w="60" w:type="dxa"/>
              <w:right w:w="100" w:type="dxa"/>
            </w:tcMar>
          </w:tcPr>
          <w:p w14:paraId="10A28EAD" w14:textId="77777777" w:rsidR="002A4A1B" w:rsidRDefault="00000000">
            <w:pPr>
              <w:spacing w:after="0" w:line="300" w:lineRule="auto"/>
            </w:pPr>
            <w:r>
              <w:rPr>
                <w:sz w:val="20"/>
              </w:rPr>
              <w:t>Engineering resolution window, 14 days</w:t>
            </w:r>
          </w:p>
        </w:tc>
      </w:tr>
      <w:tr w:rsidR="002A4A1B" w14:paraId="63FCF917" w14:textId="77777777">
        <w:tblPrEx>
          <w:tblCellMar>
            <w:top w:w="0" w:type="dxa"/>
            <w:bottom w:w="0" w:type="dxa"/>
          </w:tblCellMar>
        </w:tblPrEx>
        <w:tc>
          <w:tcPr>
            <w:tcW w:w="4400" w:type="dxa"/>
            <w:tcMar>
              <w:top w:w="60" w:type="dxa"/>
              <w:left w:w="100" w:type="dxa"/>
              <w:bottom w:w="60" w:type="dxa"/>
              <w:right w:w="100" w:type="dxa"/>
            </w:tcMar>
          </w:tcPr>
          <w:p w14:paraId="3B164045" w14:textId="77777777" w:rsidR="002A4A1B" w:rsidRDefault="00000000">
            <w:pPr>
              <w:spacing w:after="0" w:line="300" w:lineRule="auto"/>
            </w:pPr>
            <w:r>
              <w:rPr>
                <w:sz w:val="20"/>
              </w:rPr>
              <w:t>Deviation within published tolerance band</w:t>
            </w:r>
          </w:p>
        </w:tc>
        <w:tc>
          <w:tcPr>
            <w:tcW w:w="1600" w:type="dxa"/>
            <w:tcMar>
              <w:top w:w="60" w:type="dxa"/>
              <w:left w:w="100" w:type="dxa"/>
              <w:bottom w:w="60" w:type="dxa"/>
              <w:right w:w="100" w:type="dxa"/>
            </w:tcMar>
          </w:tcPr>
          <w:p w14:paraId="5FAC685D" w14:textId="77777777" w:rsidR="002A4A1B" w:rsidRDefault="00000000">
            <w:pPr>
              <w:spacing w:after="0" w:line="300" w:lineRule="auto"/>
            </w:pPr>
            <w:r>
              <w:rPr>
                <w:sz w:val="20"/>
              </w:rPr>
              <w:t>One</w:t>
            </w:r>
          </w:p>
        </w:tc>
        <w:tc>
          <w:tcPr>
            <w:tcW w:w="1600" w:type="dxa"/>
            <w:tcMar>
              <w:top w:w="60" w:type="dxa"/>
              <w:left w:w="100" w:type="dxa"/>
              <w:bottom w:w="60" w:type="dxa"/>
              <w:right w:w="100" w:type="dxa"/>
            </w:tcMar>
          </w:tcPr>
          <w:p w14:paraId="742C94B2" w14:textId="77777777" w:rsidR="002A4A1B" w:rsidRDefault="00000000">
            <w:pPr>
              <w:spacing w:after="0" w:line="300" w:lineRule="auto"/>
            </w:pPr>
            <w:r>
              <w:rPr>
                <w:sz w:val="20"/>
              </w:rPr>
              <w:t>0</w:t>
            </w:r>
          </w:p>
        </w:tc>
        <w:tc>
          <w:tcPr>
            <w:tcW w:w="2000" w:type="dxa"/>
            <w:tcMar>
              <w:top w:w="60" w:type="dxa"/>
              <w:left w:w="100" w:type="dxa"/>
              <w:bottom w:w="60" w:type="dxa"/>
              <w:right w:w="100" w:type="dxa"/>
            </w:tcMar>
          </w:tcPr>
          <w:p w14:paraId="6D51537E" w14:textId="77777777" w:rsidR="002A4A1B" w:rsidRDefault="00000000">
            <w:pPr>
              <w:spacing w:after="0" w:line="300" w:lineRule="auto"/>
            </w:pPr>
            <w:r>
              <w:rPr>
                <w:sz w:val="20"/>
              </w:rPr>
              <w:t>Watchkeeper note; no further action</w:t>
            </w:r>
          </w:p>
        </w:tc>
      </w:tr>
      <w:tr w:rsidR="002A4A1B" w14:paraId="439F1F6F" w14:textId="77777777">
        <w:tblPrEx>
          <w:tblCellMar>
            <w:top w:w="0" w:type="dxa"/>
            <w:bottom w:w="0" w:type="dxa"/>
          </w:tblCellMar>
        </w:tblPrEx>
        <w:tc>
          <w:tcPr>
            <w:tcW w:w="4400" w:type="dxa"/>
            <w:tcMar>
              <w:top w:w="60" w:type="dxa"/>
              <w:left w:w="100" w:type="dxa"/>
              <w:bottom w:w="60" w:type="dxa"/>
              <w:right w:w="100" w:type="dxa"/>
            </w:tcMar>
          </w:tcPr>
          <w:p w14:paraId="7AECCBFB" w14:textId="77777777" w:rsidR="002A4A1B" w:rsidRDefault="00000000">
            <w:pPr>
              <w:spacing w:after="0" w:line="300" w:lineRule="auto"/>
            </w:pPr>
            <w:r>
              <w:rPr>
                <w:sz w:val="20"/>
              </w:rPr>
              <w:t>Corridor operation outside published parameters</w:t>
            </w:r>
          </w:p>
        </w:tc>
        <w:tc>
          <w:tcPr>
            <w:tcW w:w="1600" w:type="dxa"/>
            <w:tcMar>
              <w:top w:w="60" w:type="dxa"/>
              <w:left w:w="100" w:type="dxa"/>
              <w:bottom w:w="60" w:type="dxa"/>
              <w:right w:w="100" w:type="dxa"/>
            </w:tcMar>
          </w:tcPr>
          <w:p w14:paraId="695A5A36"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4A43B789" w14:textId="77777777" w:rsidR="002A4A1B" w:rsidRDefault="00000000">
            <w:pPr>
              <w:spacing w:after="0" w:line="300" w:lineRule="auto"/>
            </w:pPr>
            <w:r>
              <w:rPr>
                <w:sz w:val="20"/>
              </w:rPr>
              <w:t>2</w:t>
            </w:r>
          </w:p>
        </w:tc>
        <w:tc>
          <w:tcPr>
            <w:tcW w:w="2000" w:type="dxa"/>
            <w:tcMar>
              <w:top w:w="60" w:type="dxa"/>
              <w:left w:w="100" w:type="dxa"/>
              <w:bottom w:w="60" w:type="dxa"/>
              <w:right w:w="100" w:type="dxa"/>
            </w:tcMar>
          </w:tcPr>
          <w:p w14:paraId="22E4EE85" w14:textId="77777777" w:rsidR="002A4A1B" w:rsidRDefault="00000000">
            <w:pPr>
              <w:spacing w:after="0" w:line="300" w:lineRule="auto"/>
            </w:pPr>
            <w:r>
              <w:rPr>
                <w:sz w:val="20"/>
              </w:rPr>
              <w:t>Amber notice; remediation plan in 14 days</w:t>
            </w:r>
          </w:p>
        </w:tc>
      </w:tr>
      <w:tr w:rsidR="002A4A1B" w14:paraId="5CD6B865" w14:textId="77777777">
        <w:tblPrEx>
          <w:tblCellMar>
            <w:top w:w="0" w:type="dxa"/>
            <w:bottom w:w="0" w:type="dxa"/>
          </w:tblCellMar>
        </w:tblPrEx>
        <w:tc>
          <w:tcPr>
            <w:tcW w:w="4400" w:type="dxa"/>
            <w:tcMar>
              <w:top w:w="60" w:type="dxa"/>
              <w:left w:w="100" w:type="dxa"/>
              <w:bottom w:w="60" w:type="dxa"/>
              <w:right w:w="100" w:type="dxa"/>
            </w:tcMar>
          </w:tcPr>
          <w:p w14:paraId="4A85CB3A" w14:textId="77777777" w:rsidR="002A4A1B" w:rsidRDefault="00000000">
            <w:pPr>
              <w:spacing w:after="0" w:line="300" w:lineRule="auto"/>
            </w:pPr>
            <w:r>
              <w:rPr>
                <w:sz w:val="20"/>
              </w:rPr>
              <w:t>Charge assessment outside the published schedule</w:t>
            </w:r>
          </w:p>
        </w:tc>
        <w:tc>
          <w:tcPr>
            <w:tcW w:w="1600" w:type="dxa"/>
            <w:tcMar>
              <w:top w:w="60" w:type="dxa"/>
              <w:left w:w="100" w:type="dxa"/>
              <w:bottom w:w="60" w:type="dxa"/>
              <w:right w:w="100" w:type="dxa"/>
            </w:tcMar>
          </w:tcPr>
          <w:p w14:paraId="09D24B1D"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63983F3F" w14:textId="77777777" w:rsidR="002A4A1B" w:rsidRDefault="00000000">
            <w:pPr>
              <w:spacing w:after="0" w:line="300" w:lineRule="auto"/>
            </w:pPr>
            <w:r>
              <w:rPr>
                <w:sz w:val="20"/>
              </w:rPr>
              <w:t>3</w:t>
            </w:r>
          </w:p>
        </w:tc>
        <w:tc>
          <w:tcPr>
            <w:tcW w:w="2000" w:type="dxa"/>
            <w:tcMar>
              <w:top w:w="60" w:type="dxa"/>
              <w:left w:w="100" w:type="dxa"/>
              <w:bottom w:w="60" w:type="dxa"/>
              <w:right w:w="100" w:type="dxa"/>
            </w:tcMar>
          </w:tcPr>
          <w:p w14:paraId="62BF3810" w14:textId="77777777" w:rsidR="002A4A1B" w:rsidRDefault="00000000">
            <w:pPr>
              <w:spacing w:after="0" w:line="300" w:lineRule="auto"/>
            </w:pPr>
            <w:r>
              <w:rPr>
                <w:sz w:val="20"/>
              </w:rPr>
              <w:t>Automatic refund with interest; Amber notice</w:t>
            </w:r>
          </w:p>
        </w:tc>
      </w:tr>
      <w:tr w:rsidR="002A4A1B" w14:paraId="787734B9" w14:textId="77777777">
        <w:tblPrEx>
          <w:tblCellMar>
            <w:top w:w="0" w:type="dxa"/>
            <w:bottom w:w="0" w:type="dxa"/>
          </w:tblCellMar>
        </w:tblPrEx>
        <w:tc>
          <w:tcPr>
            <w:tcW w:w="4400" w:type="dxa"/>
            <w:tcMar>
              <w:top w:w="60" w:type="dxa"/>
              <w:left w:w="100" w:type="dxa"/>
              <w:bottom w:w="60" w:type="dxa"/>
              <w:right w:w="100" w:type="dxa"/>
            </w:tcMar>
          </w:tcPr>
          <w:p w14:paraId="346CDAD3" w14:textId="77777777" w:rsidR="002A4A1B" w:rsidRDefault="00000000">
            <w:pPr>
              <w:spacing w:after="0" w:line="300" w:lineRule="auto"/>
            </w:pPr>
            <w:r>
              <w:rPr>
                <w:sz w:val="20"/>
              </w:rPr>
              <w:t>Verification obstruction beyond 72 hours</w:t>
            </w:r>
          </w:p>
        </w:tc>
        <w:tc>
          <w:tcPr>
            <w:tcW w:w="1600" w:type="dxa"/>
            <w:tcMar>
              <w:top w:w="60" w:type="dxa"/>
              <w:left w:w="100" w:type="dxa"/>
              <w:bottom w:w="60" w:type="dxa"/>
              <w:right w:w="100" w:type="dxa"/>
            </w:tcMar>
          </w:tcPr>
          <w:p w14:paraId="4F13AC37"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40C29279" w14:textId="77777777" w:rsidR="002A4A1B" w:rsidRDefault="00000000">
            <w:pPr>
              <w:spacing w:after="0" w:line="300" w:lineRule="auto"/>
            </w:pPr>
            <w:r>
              <w:rPr>
                <w:sz w:val="20"/>
              </w:rPr>
              <w:t>3</w:t>
            </w:r>
          </w:p>
        </w:tc>
        <w:tc>
          <w:tcPr>
            <w:tcW w:w="2000" w:type="dxa"/>
            <w:tcMar>
              <w:top w:w="60" w:type="dxa"/>
              <w:left w:w="100" w:type="dxa"/>
              <w:bottom w:w="60" w:type="dxa"/>
              <w:right w:w="100" w:type="dxa"/>
            </w:tcMar>
          </w:tcPr>
          <w:p w14:paraId="0379F34B" w14:textId="77777777" w:rsidR="002A4A1B" w:rsidRDefault="00000000">
            <w:pPr>
              <w:spacing w:after="0" w:line="300" w:lineRule="auto"/>
            </w:pPr>
            <w:r>
              <w:rPr>
                <w:sz w:val="20"/>
              </w:rPr>
              <w:t>Verification tempo doubles; Amber notice</w:t>
            </w:r>
          </w:p>
        </w:tc>
      </w:tr>
      <w:tr w:rsidR="002A4A1B" w14:paraId="0002936D" w14:textId="77777777">
        <w:tblPrEx>
          <w:tblCellMar>
            <w:top w:w="0" w:type="dxa"/>
            <w:bottom w:w="0" w:type="dxa"/>
          </w:tblCellMar>
        </w:tblPrEx>
        <w:tc>
          <w:tcPr>
            <w:tcW w:w="4400" w:type="dxa"/>
            <w:tcMar>
              <w:top w:w="60" w:type="dxa"/>
              <w:left w:w="100" w:type="dxa"/>
              <w:bottom w:w="60" w:type="dxa"/>
              <w:right w:w="100" w:type="dxa"/>
            </w:tcMar>
          </w:tcPr>
          <w:p w14:paraId="102E8B0E" w14:textId="77777777" w:rsidR="002A4A1B" w:rsidRDefault="00000000">
            <w:pPr>
              <w:spacing w:after="0" w:line="300" w:lineRule="auto"/>
            </w:pPr>
            <w:r>
              <w:rPr>
                <w:sz w:val="20"/>
              </w:rPr>
              <w:t>Unauthorized temporary geometry deviation</w:t>
            </w:r>
          </w:p>
        </w:tc>
        <w:tc>
          <w:tcPr>
            <w:tcW w:w="1600" w:type="dxa"/>
            <w:tcMar>
              <w:top w:w="60" w:type="dxa"/>
              <w:left w:w="100" w:type="dxa"/>
              <w:bottom w:w="60" w:type="dxa"/>
              <w:right w:w="100" w:type="dxa"/>
            </w:tcMar>
          </w:tcPr>
          <w:p w14:paraId="649956A6"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699E11D8" w14:textId="77777777" w:rsidR="002A4A1B" w:rsidRDefault="00000000">
            <w:pPr>
              <w:spacing w:after="0" w:line="300" w:lineRule="auto"/>
            </w:pPr>
            <w:r>
              <w:rPr>
                <w:sz w:val="20"/>
              </w:rPr>
              <w:t>4</w:t>
            </w:r>
          </w:p>
        </w:tc>
        <w:tc>
          <w:tcPr>
            <w:tcW w:w="2000" w:type="dxa"/>
            <w:tcMar>
              <w:top w:w="60" w:type="dxa"/>
              <w:left w:w="100" w:type="dxa"/>
              <w:bottom w:w="60" w:type="dxa"/>
              <w:right w:w="100" w:type="dxa"/>
            </w:tcMar>
          </w:tcPr>
          <w:p w14:paraId="701F68C0" w14:textId="77777777" w:rsidR="002A4A1B" w:rsidRDefault="00000000">
            <w:pPr>
              <w:spacing w:after="0" w:line="300" w:lineRule="auto"/>
            </w:pPr>
            <w:r>
              <w:rPr>
                <w:sz w:val="20"/>
              </w:rPr>
              <w:t>Immediate restoration; Amber notice</w:t>
            </w:r>
          </w:p>
        </w:tc>
      </w:tr>
      <w:tr w:rsidR="002A4A1B" w14:paraId="742293BA" w14:textId="77777777">
        <w:tblPrEx>
          <w:tblCellMar>
            <w:top w:w="0" w:type="dxa"/>
            <w:bottom w:w="0" w:type="dxa"/>
          </w:tblCellMar>
        </w:tblPrEx>
        <w:tc>
          <w:tcPr>
            <w:tcW w:w="4400" w:type="dxa"/>
            <w:tcMar>
              <w:top w:w="60" w:type="dxa"/>
              <w:left w:w="100" w:type="dxa"/>
              <w:bottom w:w="60" w:type="dxa"/>
              <w:right w:w="100" w:type="dxa"/>
            </w:tcMar>
          </w:tcPr>
          <w:p w14:paraId="7DDE71DE" w14:textId="77777777" w:rsidR="002A4A1B" w:rsidRDefault="00000000">
            <w:pPr>
              <w:spacing w:after="0" w:line="300" w:lineRule="auto"/>
            </w:pPr>
            <w:r>
              <w:rPr>
                <w:sz w:val="20"/>
              </w:rPr>
              <w:t>Deliberate navigation-signal interference</w:t>
            </w:r>
          </w:p>
        </w:tc>
        <w:tc>
          <w:tcPr>
            <w:tcW w:w="1600" w:type="dxa"/>
            <w:tcMar>
              <w:top w:w="60" w:type="dxa"/>
              <w:left w:w="100" w:type="dxa"/>
              <w:bottom w:w="60" w:type="dxa"/>
              <w:right w:w="100" w:type="dxa"/>
            </w:tcMar>
          </w:tcPr>
          <w:p w14:paraId="59C35778"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35FF8E1B" w14:textId="77777777" w:rsidR="002A4A1B" w:rsidRDefault="00000000">
            <w:pPr>
              <w:spacing w:after="0" w:line="300" w:lineRule="auto"/>
            </w:pPr>
            <w:r>
              <w:rPr>
                <w:sz w:val="20"/>
              </w:rPr>
              <w:t>5</w:t>
            </w:r>
          </w:p>
        </w:tc>
        <w:tc>
          <w:tcPr>
            <w:tcW w:w="2000" w:type="dxa"/>
            <w:tcMar>
              <w:top w:w="60" w:type="dxa"/>
              <w:left w:w="100" w:type="dxa"/>
              <w:bottom w:w="60" w:type="dxa"/>
              <w:right w:w="100" w:type="dxa"/>
            </w:tcMar>
          </w:tcPr>
          <w:p w14:paraId="27FB70C9" w14:textId="77777777" w:rsidR="002A4A1B" w:rsidRDefault="00000000">
            <w:pPr>
              <w:spacing w:after="0" w:line="300" w:lineRule="auto"/>
            </w:pPr>
            <w:r>
              <w:rPr>
                <w:sz w:val="20"/>
              </w:rPr>
              <w:t>Orange notice; continuous monitoring</w:t>
            </w:r>
          </w:p>
        </w:tc>
      </w:tr>
      <w:tr w:rsidR="002A4A1B" w14:paraId="249C8EF4" w14:textId="77777777">
        <w:tblPrEx>
          <w:tblCellMar>
            <w:top w:w="0" w:type="dxa"/>
            <w:bottom w:w="0" w:type="dxa"/>
          </w:tblCellMar>
        </w:tblPrEx>
        <w:tc>
          <w:tcPr>
            <w:tcW w:w="4400" w:type="dxa"/>
            <w:tcMar>
              <w:top w:w="60" w:type="dxa"/>
              <w:left w:w="100" w:type="dxa"/>
              <w:bottom w:w="60" w:type="dxa"/>
              <w:right w:w="100" w:type="dxa"/>
            </w:tcMar>
          </w:tcPr>
          <w:p w14:paraId="6D8A3610" w14:textId="77777777" w:rsidR="002A4A1B" w:rsidRDefault="00000000">
            <w:pPr>
              <w:spacing w:after="0" w:line="300" w:lineRule="auto"/>
            </w:pPr>
            <w:r>
              <w:rPr>
                <w:sz w:val="20"/>
              </w:rPr>
              <w:t>Pattern of anomalous data suggesting manipulation</w:t>
            </w:r>
          </w:p>
        </w:tc>
        <w:tc>
          <w:tcPr>
            <w:tcW w:w="1600" w:type="dxa"/>
            <w:tcMar>
              <w:top w:w="60" w:type="dxa"/>
              <w:left w:w="100" w:type="dxa"/>
              <w:bottom w:w="60" w:type="dxa"/>
              <w:right w:w="100" w:type="dxa"/>
            </w:tcMar>
          </w:tcPr>
          <w:p w14:paraId="6A48E870"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0A0A0ECC" w14:textId="77777777" w:rsidR="002A4A1B" w:rsidRDefault="00000000">
            <w:pPr>
              <w:spacing w:after="0" w:line="300" w:lineRule="auto"/>
            </w:pPr>
            <w:r>
              <w:rPr>
                <w:sz w:val="20"/>
              </w:rPr>
              <w:t>5</w:t>
            </w:r>
          </w:p>
        </w:tc>
        <w:tc>
          <w:tcPr>
            <w:tcW w:w="2000" w:type="dxa"/>
            <w:tcMar>
              <w:top w:w="60" w:type="dxa"/>
              <w:left w:w="100" w:type="dxa"/>
              <w:bottom w:w="60" w:type="dxa"/>
              <w:right w:w="100" w:type="dxa"/>
            </w:tcMar>
          </w:tcPr>
          <w:p w14:paraId="3EE6501F" w14:textId="77777777" w:rsidR="002A4A1B" w:rsidRDefault="00000000">
            <w:pPr>
              <w:spacing w:after="0" w:line="300" w:lineRule="auto"/>
            </w:pPr>
            <w:r>
              <w:rPr>
                <w:sz w:val="20"/>
              </w:rPr>
              <w:t>Orange notice; forensic audit</w:t>
            </w:r>
          </w:p>
        </w:tc>
      </w:tr>
      <w:tr w:rsidR="002A4A1B" w14:paraId="08430244" w14:textId="77777777">
        <w:tblPrEx>
          <w:tblCellMar>
            <w:top w:w="0" w:type="dxa"/>
            <w:bottom w:w="0" w:type="dxa"/>
          </w:tblCellMar>
        </w:tblPrEx>
        <w:tc>
          <w:tcPr>
            <w:tcW w:w="4400" w:type="dxa"/>
            <w:tcMar>
              <w:top w:w="60" w:type="dxa"/>
              <w:left w:w="100" w:type="dxa"/>
              <w:bottom w:w="60" w:type="dxa"/>
              <w:right w:w="100" w:type="dxa"/>
            </w:tcMar>
          </w:tcPr>
          <w:p w14:paraId="2524EA61" w14:textId="77777777" w:rsidR="002A4A1B" w:rsidRDefault="00000000">
            <w:pPr>
              <w:spacing w:after="0" w:line="300" w:lineRule="auto"/>
            </w:pPr>
            <w:r>
              <w:rPr>
                <w:sz w:val="20"/>
              </w:rPr>
              <w:t>Unauthorized demand for payment or permission at transit</w:t>
            </w:r>
          </w:p>
        </w:tc>
        <w:tc>
          <w:tcPr>
            <w:tcW w:w="1600" w:type="dxa"/>
            <w:tcMar>
              <w:top w:w="60" w:type="dxa"/>
              <w:left w:w="100" w:type="dxa"/>
              <w:bottom w:w="60" w:type="dxa"/>
              <w:right w:w="100" w:type="dxa"/>
            </w:tcMar>
          </w:tcPr>
          <w:p w14:paraId="14404682" w14:textId="77777777" w:rsidR="002A4A1B" w:rsidRDefault="00000000">
            <w:pPr>
              <w:spacing w:after="0" w:line="300" w:lineRule="auto"/>
            </w:pPr>
            <w:r>
              <w:rPr>
                <w:sz w:val="20"/>
              </w:rPr>
              <w:t>Two</w:t>
            </w:r>
          </w:p>
        </w:tc>
        <w:tc>
          <w:tcPr>
            <w:tcW w:w="1600" w:type="dxa"/>
            <w:tcMar>
              <w:top w:w="60" w:type="dxa"/>
              <w:left w:w="100" w:type="dxa"/>
              <w:bottom w:w="60" w:type="dxa"/>
              <w:right w:w="100" w:type="dxa"/>
            </w:tcMar>
          </w:tcPr>
          <w:p w14:paraId="00DDB6B5" w14:textId="77777777" w:rsidR="002A4A1B" w:rsidRDefault="00000000">
            <w:pPr>
              <w:spacing w:after="0" w:line="300" w:lineRule="auto"/>
            </w:pPr>
            <w:r>
              <w:rPr>
                <w:sz w:val="20"/>
              </w:rPr>
              <w:t>5</w:t>
            </w:r>
          </w:p>
        </w:tc>
        <w:tc>
          <w:tcPr>
            <w:tcW w:w="2000" w:type="dxa"/>
            <w:tcMar>
              <w:top w:w="60" w:type="dxa"/>
              <w:left w:w="100" w:type="dxa"/>
              <w:bottom w:w="60" w:type="dxa"/>
              <w:right w:w="100" w:type="dxa"/>
            </w:tcMar>
          </w:tcPr>
          <w:p w14:paraId="54B6EA2F" w14:textId="77777777" w:rsidR="002A4A1B" w:rsidRDefault="00000000">
            <w:pPr>
              <w:spacing w:after="0" w:line="300" w:lineRule="auto"/>
            </w:pPr>
            <w:r>
              <w:rPr>
                <w:sz w:val="20"/>
              </w:rPr>
              <w:t>Orange notice; full publication</w:t>
            </w:r>
          </w:p>
        </w:tc>
      </w:tr>
      <w:tr w:rsidR="002A4A1B" w14:paraId="31D9AFF2" w14:textId="77777777">
        <w:tblPrEx>
          <w:tblCellMar>
            <w:top w:w="0" w:type="dxa"/>
            <w:bottom w:w="0" w:type="dxa"/>
          </w:tblCellMar>
        </w:tblPrEx>
        <w:tc>
          <w:tcPr>
            <w:tcW w:w="4400" w:type="dxa"/>
            <w:tcMar>
              <w:top w:w="60" w:type="dxa"/>
              <w:left w:w="100" w:type="dxa"/>
              <w:bottom w:w="60" w:type="dxa"/>
              <w:right w:w="100" w:type="dxa"/>
            </w:tcMar>
          </w:tcPr>
          <w:p w14:paraId="0DBAACF1" w14:textId="77777777" w:rsidR="002A4A1B" w:rsidRDefault="00000000">
            <w:pPr>
              <w:spacing w:after="0" w:line="300" w:lineRule="auto"/>
            </w:pPr>
            <w:r>
              <w:rPr>
                <w:sz w:val="20"/>
              </w:rPr>
              <w:lastRenderedPageBreak/>
              <w:t>Boarding or diversion outside Article 7.3.2</w:t>
            </w:r>
          </w:p>
        </w:tc>
        <w:tc>
          <w:tcPr>
            <w:tcW w:w="1600" w:type="dxa"/>
            <w:tcMar>
              <w:top w:w="60" w:type="dxa"/>
              <w:left w:w="100" w:type="dxa"/>
              <w:bottom w:w="60" w:type="dxa"/>
              <w:right w:w="100" w:type="dxa"/>
            </w:tcMar>
          </w:tcPr>
          <w:p w14:paraId="4D8962E8" w14:textId="77777777" w:rsidR="002A4A1B" w:rsidRDefault="00000000">
            <w:pPr>
              <w:spacing w:after="0" w:line="300" w:lineRule="auto"/>
            </w:pPr>
            <w:r>
              <w:rPr>
                <w:sz w:val="20"/>
              </w:rPr>
              <w:t>Three</w:t>
            </w:r>
          </w:p>
        </w:tc>
        <w:tc>
          <w:tcPr>
            <w:tcW w:w="1600" w:type="dxa"/>
            <w:tcMar>
              <w:top w:w="60" w:type="dxa"/>
              <w:left w:w="100" w:type="dxa"/>
              <w:bottom w:w="60" w:type="dxa"/>
              <w:right w:w="100" w:type="dxa"/>
            </w:tcMar>
          </w:tcPr>
          <w:p w14:paraId="2AA43174" w14:textId="77777777" w:rsidR="002A4A1B" w:rsidRDefault="00000000">
            <w:pPr>
              <w:spacing w:after="0" w:line="300" w:lineRule="auto"/>
            </w:pPr>
            <w:r>
              <w:rPr>
                <w:sz w:val="20"/>
              </w:rPr>
              <w:t>12</w:t>
            </w:r>
          </w:p>
        </w:tc>
        <w:tc>
          <w:tcPr>
            <w:tcW w:w="2000" w:type="dxa"/>
            <w:tcMar>
              <w:top w:w="60" w:type="dxa"/>
              <w:left w:w="100" w:type="dxa"/>
              <w:bottom w:w="60" w:type="dxa"/>
              <w:right w:w="100" w:type="dxa"/>
            </w:tcMar>
          </w:tcPr>
          <w:p w14:paraId="7809FA71" w14:textId="77777777" w:rsidR="002A4A1B" w:rsidRDefault="00000000">
            <w:pPr>
              <w:spacing w:after="0" w:line="300" w:lineRule="auto"/>
            </w:pPr>
            <w:r>
              <w:rPr>
                <w:sz w:val="20"/>
              </w:rPr>
              <w:t>Red Zone activation; Zona Aequalis measures</w:t>
            </w:r>
          </w:p>
        </w:tc>
      </w:tr>
      <w:tr w:rsidR="002A4A1B" w14:paraId="74C73ACA" w14:textId="77777777">
        <w:tblPrEx>
          <w:tblCellMar>
            <w:top w:w="0" w:type="dxa"/>
            <w:bottom w:w="0" w:type="dxa"/>
          </w:tblCellMar>
        </w:tblPrEx>
        <w:tc>
          <w:tcPr>
            <w:tcW w:w="4400" w:type="dxa"/>
            <w:tcMar>
              <w:top w:w="60" w:type="dxa"/>
              <w:left w:w="100" w:type="dxa"/>
              <w:bottom w:w="60" w:type="dxa"/>
              <w:right w:w="100" w:type="dxa"/>
            </w:tcMar>
          </w:tcPr>
          <w:p w14:paraId="073FAA2A" w14:textId="77777777" w:rsidR="002A4A1B" w:rsidRDefault="00000000">
            <w:pPr>
              <w:spacing w:after="0" w:line="300" w:lineRule="auto"/>
            </w:pPr>
            <w:r>
              <w:rPr>
                <w:sz w:val="20"/>
              </w:rPr>
              <w:t>Attack on or seizure of a commercial vessel</w:t>
            </w:r>
          </w:p>
        </w:tc>
        <w:tc>
          <w:tcPr>
            <w:tcW w:w="1600" w:type="dxa"/>
            <w:tcMar>
              <w:top w:w="60" w:type="dxa"/>
              <w:left w:w="100" w:type="dxa"/>
              <w:bottom w:w="60" w:type="dxa"/>
              <w:right w:w="100" w:type="dxa"/>
            </w:tcMar>
          </w:tcPr>
          <w:p w14:paraId="306FB92B" w14:textId="77777777" w:rsidR="002A4A1B" w:rsidRDefault="00000000">
            <w:pPr>
              <w:spacing w:after="0" w:line="300" w:lineRule="auto"/>
            </w:pPr>
            <w:r>
              <w:rPr>
                <w:sz w:val="20"/>
              </w:rPr>
              <w:t>Three</w:t>
            </w:r>
          </w:p>
        </w:tc>
        <w:tc>
          <w:tcPr>
            <w:tcW w:w="1600" w:type="dxa"/>
            <w:tcMar>
              <w:top w:w="60" w:type="dxa"/>
              <w:left w:w="100" w:type="dxa"/>
              <w:bottom w:w="60" w:type="dxa"/>
              <w:right w:w="100" w:type="dxa"/>
            </w:tcMar>
          </w:tcPr>
          <w:p w14:paraId="491F6B08" w14:textId="77777777" w:rsidR="002A4A1B" w:rsidRDefault="00000000">
            <w:pPr>
              <w:spacing w:after="0" w:line="300" w:lineRule="auto"/>
            </w:pPr>
            <w:r>
              <w:rPr>
                <w:sz w:val="20"/>
              </w:rPr>
              <w:t>12</w:t>
            </w:r>
          </w:p>
        </w:tc>
        <w:tc>
          <w:tcPr>
            <w:tcW w:w="2000" w:type="dxa"/>
            <w:tcMar>
              <w:top w:w="60" w:type="dxa"/>
              <w:left w:w="100" w:type="dxa"/>
              <w:bottom w:w="60" w:type="dxa"/>
              <w:right w:w="100" w:type="dxa"/>
            </w:tcMar>
          </w:tcPr>
          <w:p w14:paraId="5559E586" w14:textId="77777777" w:rsidR="002A4A1B" w:rsidRDefault="00000000">
            <w:pPr>
              <w:spacing w:after="0" w:line="300" w:lineRule="auto"/>
            </w:pPr>
            <w:r>
              <w:rPr>
                <w:sz w:val="20"/>
              </w:rPr>
              <w:t>Red Zone activation; full emergency measures</w:t>
            </w:r>
          </w:p>
        </w:tc>
      </w:tr>
      <w:tr w:rsidR="002A4A1B" w14:paraId="5E455139" w14:textId="77777777">
        <w:tblPrEx>
          <w:tblCellMar>
            <w:top w:w="0" w:type="dxa"/>
            <w:bottom w:w="0" w:type="dxa"/>
          </w:tblCellMar>
        </w:tblPrEx>
        <w:tc>
          <w:tcPr>
            <w:tcW w:w="4400" w:type="dxa"/>
            <w:tcMar>
              <w:top w:w="60" w:type="dxa"/>
              <w:left w:w="100" w:type="dxa"/>
              <w:bottom w:w="60" w:type="dxa"/>
              <w:right w:w="100" w:type="dxa"/>
            </w:tcMar>
          </w:tcPr>
          <w:p w14:paraId="1A2753EB" w14:textId="77777777" w:rsidR="002A4A1B" w:rsidRDefault="00000000">
            <w:pPr>
              <w:spacing w:after="0" w:line="300" w:lineRule="auto"/>
            </w:pPr>
            <w:r>
              <w:rPr>
                <w:sz w:val="20"/>
              </w:rPr>
              <w:t>Mining of any water in the Framework Area</w:t>
            </w:r>
          </w:p>
        </w:tc>
        <w:tc>
          <w:tcPr>
            <w:tcW w:w="1600" w:type="dxa"/>
            <w:tcMar>
              <w:top w:w="60" w:type="dxa"/>
              <w:left w:w="100" w:type="dxa"/>
              <w:bottom w:w="60" w:type="dxa"/>
              <w:right w:w="100" w:type="dxa"/>
            </w:tcMar>
          </w:tcPr>
          <w:p w14:paraId="71CB0DA6" w14:textId="77777777" w:rsidR="002A4A1B" w:rsidRDefault="00000000">
            <w:pPr>
              <w:spacing w:after="0" w:line="300" w:lineRule="auto"/>
            </w:pPr>
            <w:r>
              <w:rPr>
                <w:sz w:val="20"/>
              </w:rPr>
              <w:t>Three</w:t>
            </w:r>
          </w:p>
        </w:tc>
        <w:tc>
          <w:tcPr>
            <w:tcW w:w="1600" w:type="dxa"/>
            <w:tcMar>
              <w:top w:w="60" w:type="dxa"/>
              <w:left w:w="100" w:type="dxa"/>
              <w:bottom w:w="60" w:type="dxa"/>
              <w:right w:w="100" w:type="dxa"/>
            </w:tcMar>
          </w:tcPr>
          <w:p w14:paraId="15D78AC0" w14:textId="77777777" w:rsidR="002A4A1B" w:rsidRDefault="00000000">
            <w:pPr>
              <w:spacing w:after="0" w:line="300" w:lineRule="auto"/>
            </w:pPr>
            <w:r>
              <w:rPr>
                <w:sz w:val="20"/>
              </w:rPr>
              <w:t>12</w:t>
            </w:r>
          </w:p>
        </w:tc>
        <w:tc>
          <w:tcPr>
            <w:tcW w:w="2000" w:type="dxa"/>
            <w:tcMar>
              <w:top w:w="60" w:type="dxa"/>
              <w:left w:w="100" w:type="dxa"/>
              <w:bottom w:w="60" w:type="dxa"/>
              <w:right w:w="100" w:type="dxa"/>
            </w:tcMar>
          </w:tcPr>
          <w:p w14:paraId="08F29B87" w14:textId="77777777" w:rsidR="002A4A1B" w:rsidRDefault="00000000">
            <w:pPr>
              <w:spacing w:after="0" w:line="300" w:lineRule="auto"/>
            </w:pPr>
            <w:r>
              <w:rPr>
                <w:sz w:val="20"/>
              </w:rPr>
              <w:t>Red Zone activation; full emergency measures</w:t>
            </w:r>
          </w:p>
        </w:tc>
      </w:tr>
      <w:tr w:rsidR="002A4A1B" w14:paraId="73185186" w14:textId="77777777">
        <w:tblPrEx>
          <w:tblCellMar>
            <w:top w:w="0" w:type="dxa"/>
            <w:bottom w:w="0" w:type="dxa"/>
          </w:tblCellMar>
        </w:tblPrEx>
        <w:tc>
          <w:tcPr>
            <w:tcW w:w="4400" w:type="dxa"/>
            <w:tcMar>
              <w:top w:w="60" w:type="dxa"/>
              <w:left w:w="100" w:type="dxa"/>
              <w:bottom w:w="60" w:type="dxa"/>
              <w:right w:w="100" w:type="dxa"/>
            </w:tcMar>
          </w:tcPr>
          <w:p w14:paraId="2449E6FA" w14:textId="77777777" w:rsidR="002A4A1B" w:rsidRDefault="00000000">
            <w:pPr>
              <w:spacing w:after="0" w:line="300" w:lineRule="auto"/>
            </w:pPr>
            <w:r>
              <w:rPr>
                <w:sz w:val="20"/>
              </w:rPr>
              <w:t>Falsification of telemetry or ledger data</w:t>
            </w:r>
          </w:p>
        </w:tc>
        <w:tc>
          <w:tcPr>
            <w:tcW w:w="1600" w:type="dxa"/>
            <w:tcMar>
              <w:top w:w="60" w:type="dxa"/>
              <w:left w:w="100" w:type="dxa"/>
              <w:bottom w:w="60" w:type="dxa"/>
              <w:right w:w="100" w:type="dxa"/>
            </w:tcMar>
          </w:tcPr>
          <w:p w14:paraId="422ED48B" w14:textId="77777777" w:rsidR="002A4A1B" w:rsidRDefault="00000000">
            <w:pPr>
              <w:spacing w:after="0" w:line="300" w:lineRule="auto"/>
            </w:pPr>
            <w:r>
              <w:rPr>
                <w:sz w:val="20"/>
              </w:rPr>
              <w:t>Three</w:t>
            </w:r>
          </w:p>
        </w:tc>
        <w:tc>
          <w:tcPr>
            <w:tcW w:w="1600" w:type="dxa"/>
            <w:tcMar>
              <w:top w:w="60" w:type="dxa"/>
              <w:left w:w="100" w:type="dxa"/>
              <w:bottom w:w="60" w:type="dxa"/>
              <w:right w:w="100" w:type="dxa"/>
            </w:tcMar>
          </w:tcPr>
          <w:p w14:paraId="199CBC87" w14:textId="77777777" w:rsidR="002A4A1B" w:rsidRDefault="00000000">
            <w:pPr>
              <w:spacing w:after="0" w:line="300" w:lineRule="auto"/>
            </w:pPr>
            <w:r>
              <w:rPr>
                <w:sz w:val="20"/>
              </w:rPr>
              <w:t>12</w:t>
            </w:r>
          </w:p>
        </w:tc>
        <w:tc>
          <w:tcPr>
            <w:tcW w:w="2000" w:type="dxa"/>
            <w:tcMar>
              <w:top w:w="60" w:type="dxa"/>
              <w:left w:w="100" w:type="dxa"/>
              <w:bottom w:w="60" w:type="dxa"/>
              <w:right w:w="100" w:type="dxa"/>
            </w:tcMar>
          </w:tcPr>
          <w:p w14:paraId="2CF94D54" w14:textId="77777777" w:rsidR="002A4A1B" w:rsidRDefault="00000000">
            <w:pPr>
              <w:spacing w:after="0" w:line="300" w:lineRule="auto"/>
            </w:pPr>
            <w:r>
              <w:rPr>
                <w:sz w:val="20"/>
              </w:rPr>
              <w:t>Red Zone activation; forensic audit</w:t>
            </w:r>
          </w:p>
        </w:tc>
      </w:tr>
      <w:tr w:rsidR="002A4A1B" w14:paraId="20273601" w14:textId="77777777">
        <w:tblPrEx>
          <w:tblCellMar>
            <w:top w:w="0" w:type="dxa"/>
            <w:bottom w:w="0" w:type="dxa"/>
          </w:tblCellMar>
        </w:tblPrEx>
        <w:tc>
          <w:tcPr>
            <w:tcW w:w="4400" w:type="dxa"/>
            <w:tcMar>
              <w:top w:w="60" w:type="dxa"/>
              <w:left w:w="100" w:type="dxa"/>
              <w:bottom w:w="60" w:type="dxa"/>
              <w:right w:w="100" w:type="dxa"/>
            </w:tcMar>
          </w:tcPr>
          <w:p w14:paraId="06FC82DC" w14:textId="77777777" w:rsidR="002A4A1B" w:rsidRDefault="00000000">
            <w:pPr>
              <w:spacing w:after="0" w:line="300" w:lineRule="auto"/>
            </w:pPr>
            <w:r>
              <w:rPr>
                <w:sz w:val="20"/>
              </w:rPr>
              <w:t>Tampering with any verification instrument</w:t>
            </w:r>
          </w:p>
        </w:tc>
        <w:tc>
          <w:tcPr>
            <w:tcW w:w="1600" w:type="dxa"/>
            <w:tcMar>
              <w:top w:w="60" w:type="dxa"/>
              <w:left w:w="100" w:type="dxa"/>
              <w:bottom w:w="60" w:type="dxa"/>
              <w:right w:w="100" w:type="dxa"/>
            </w:tcMar>
          </w:tcPr>
          <w:p w14:paraId="2034EB18" w14:textId="77777777" w:rsidR="002A4A1B" w:rsidRDefault="00000000">
            <w:pPr>
              <w:spacing w:after="0" w:line="300" w:lineRule="auto"/>
            </w:pPr>
            <w:r>
              <w:rPr>
                <w:sz w:val="20"/>
              </w:rPr>
              <w:t>Three</w:t>
            </w:r>
          </w:p>
        </w:tc>
        <w:tc>
          <w:tcPr>
            <w:tcW w:w="1600" w:type="dxa"/>
            <w:tcMar>
              <w:top w:w="60" w:type="dxa"/>
              <w:left w:w="100" w:type="dxa"/>
              <w:bottom w:w="60" w:type="dxa"/>
              <w:right w:w="100" w:type="dxa"/>
            </w:tcMar>
          </w:tcPr>
          <w:p w14:paraId="292BC1E6" w14:textId="77777777" w:rsidR="002A4A1B" w:rsidRDefault="00000000">
            <w:pPr>
              <w:spacing w:after="0" w:line="300" w:lineRule="auto"/>
            </w:pPr>
            <w:r>
              <w:rPr>
                <w:sz w:val="20"/>
              </w:rPr>
              <w:t>12</w:t>
            </w:r>
          </w:p>
        </w:tc>
        <w:tc>
          <w:tcPr>
            <w:tcW w:w="2000" w:type="dxa"/>
            <w:tcMar>
              <w:top w:w="60" w:type="dxa"/>
              <w:left w:w="100" w:type="dxa"/>
              <w:bottom w:w="60" w:type="dxa"/>
              <w:right w:w="100" w:type="dxa"/>
            </w:tcMar>
          </w:tcPr>
          <w:p w14:paraId="0EBA67A7" w14:textId="77777777" w:rsidR="002A4A1B" w:rsidRDefault="00000000">
            <w:pPr>
              <w:spacing w:after="0" w:line="300" w:lineRule="auto"/>
            </w:pPr>
            <w:r>
              <w:rPr>
                <w:sz w:val="20"/>
              </w:rPr>
              <w:t>Red Zone activation; forensic audit</w:t>
            </w:r>
          </w:p>
        </w:tc>
      </w:tr>
    </w:tbl>
    <w:p w14:paraId="1B4F9104" w14:textId="77777777" w:rsidR="002A4A1B" w:rsidRDefault="002A4A1B">
      <w:pPr>
        <w:spacing w:after="160"/>
      </w:pPr>
    </w:p>
    <w:p w14:paraId="567B1953" w14:textId="77777777" w:rsidR="002A4A1B" w:rsidRDefault="00000000">
      <w:pPr>
        <w:pStyle w:val="Heading2"/>
      </w:pPr>
      <w:bookmarkStart w:id="180" w:name="_Toc236929719"/>
      <w:r>
        <w:t>G.2 Accumulation, Expiry, and Thresholds</w:t>
      </w:r>
      <w:bookmarkEnd w:id="180"/>
    </w:p>
    <w:p w14:paraId="4B875AF2" w14:textId="77777777" w:rsidR="002A4A1B" w:rsidRDefault="00000000">
      <w:pPr>
        <w:spacing w:after="140"/>
        <w:jc w:val="both"/>
      </w:pPr>
      <w:r>
        <w:rPr>
          <w:b/>
          <w:color w:val="1F3A44"/>
        </w:rPr>
        <w:t xml:space="preserve">G.2.1   </w:t>
      </w:r>
      <w:r>
        <w:t>Points expire one hundred eighty days after assessment on verified clean compliance. A single event carries points under one row only, the most severe applicable. Continuing conduct assesses on its first day only, though its duration lengthens the step-back schedule of G.3. Tier One events never accumulate into anything, ever.</w:t>
      </w:r>
    </w:p>
    <w:p w14:paraId="22B8CEEE" w14:textId="77777777" w:rsidR="002A4A1B" w:rsidRDefault="00000000">
      <w:pPr>
        <w:spacing w:after="140"/>
        <w:jc w:val="both"/>
      </w:pPr>
      <w:r>
        <w:rPr>
          <w:b/>
          <w:color w:val="1F3A44"/>
        </w:rPr>
        <w:t xml:space="preserve">G.2.2   </w:t>
      </w:r>
      <w:r>
        <w:t>The thresholds of Article 15.2 execute on active points: five active points activate Amber notice, eight activate Orange notice, twelve activate Red Zone. The registry computes active points nightly and publishes the count; no official announces a threshold crossing, the arithmetic announces it.</w:t>
      </w:r>
    </w:p>
    <w:p w14:paraId="26E75236" w14:textId="77777777" w:rsidR="002A4A1B" w:rsidRDefault="00000000">
      <w:pPr>
        <w:pStyle w:val="Heading2"/>
      </w:pPr>
      <w:bookmarkStart w:id="181" w:name="_Toc236929720"/>
      <w:r>
        <w:t>G.3 The Step-Back Schedule</w:t>
      </w:r>
      <w:bookmarkEnd w:id="181"/>
    </w:p>
    <w:p w14:paraId="13499B9D" w14:textId="77777777" w:rsidR="002A4A1B" w:rsidRDefault="00000000">
      <w:pPr>
        <w:spacing w:after="140"/>
        <w:jc w:val="both"/>
      </w:pPr>
      <w:r>
        <w:rPr>
          <w:b/>
          <w:color w:val="1F3A44"/>
        </w:rPr>
        <w:t xml:space="preserve">G.3.1   </w:t>
      </w:r>
      <w:r>
        <w:t>On Amber notice: the responsible Party's discretionary convening privileges pause until the remediation plan certifies; nothing else changes. On Orange notice: the Party's economic accelerators under Annex H freeze, its Fund distribution tranche holds in escrow, and the verification tempo doubles, until the earn-back clock restores them. On Red Zone: the measures of Article 16.3 execute in full, including the sixty-day asset measure and continuous verification presence.</w:t>
      </w:r>
    </w:p>
    <w:p w14:paraId="09E3A025" w14:textId="77777777" w:rsidR="002A4A1B" w:rsidRDefault="00000000">
      <w:pPr>
        <w:spacing w:after="140"/>
        <w:jc w:val="both"/>
      </w:pPr>
      <w:r>
        <w:rPr>
          <w:b/>
          <w:color w:val="1F3A44"/>
        </w:rPr>
        <w:t xml:space="preserve">G.3.2   </w:t>
      </w:r>
      <w:r>
        <w:t xml:space="preserve">Duration multipliers: a Tier Two event that persists beyond seven days adds one point per week, computed automatically; a Tier Three event's zone measures persist until the earn-back ladder </w:t>
      </w:r>
      <w:r>
        <w:lastRenderedPageBreak/>
        <w:t>completes, without any fixed outer date, because the exit is performance, not time. The schedule's every multiplier appears here in advance; the engine contains no improvised arithmetic.</w:t>
      </w:r>
    </w:p>
    <w:p w14:paraId="7C835134" w14:textId="77777777" w:rsidR="002A4A1B" w:rsidRDefault="00000000">
      <w:pPr>
        <w:pStyle w:val="Heading2"/>
      </w:pPr>
      <w:bookmarkStart w:id="182" w:name="_Toc236929721"/>
      <w:r>
        <w:t>G.4 The Earn-Back Clocks</w:t>
      </w:r>
      <w:bookmarkEnd w:id="182"/>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884"/>
        <w:gridCol w:w="3266"/>
        <w:gridCol w:w="3076"/>
      </w:tblGrid>
      <w:tr w:rsidR="002A4A1B" w14:paraId="2EF1CEEB" w14:textId="77777777">
        <w:tblPrEx>
          <w:tblCellMar>
            <w:top w:w="0" w:type="dxa"/>
            <w:bottom w:w="0" w:type="dxa"/>
          </w:tblCellMar>
        </w:tblPrEx>
        <w:trPr>
          <w:tblHeader/>
        </w:trPr>
        <w:tc>
          <w:tcPr>
            <w:tcW w:w="3000" w:type="dxa"/>
            <w:tcBorders>
              <w:bottom w:val="single" w:sz="6" w:space="0" w:color="2F5560"/>
            </w:tcBorders>
            <w:shd w:val="clear" w:color="auto" w:fill="E7EEF0"/>
            <w:tcMar>
              <w:top w:w="60" w:type="dxa"/>
              <w:left w:w="100" w:type="dxa"/>
              <w:bottom w:w="60" w:type="dxa"/>
              <w:right w:w="100" w:type="dxa"/>
            </w:tcMar>
          </w:tcPr>
          <w:p w14:paraId="54CF26B5" w14:textId="77777777" w:rsidR="002A4A1B" w:rsidRDefault="00000000">
            <w:pPr>
              <w:spacing w:after="0" w:line="300" w:lineRule="auto"/>
            </w:pPr>
            <w:r>
              <w:rPr>
                <w:b/>
                <w:color w:val="1F3A44"/>
                <w:sz w:val="20"/>
              </w:rPr>
              <w:t>Restoration tranche</w:t>
            </w:r>
          </w:p>
        </w:tc>
        <w:tc>
          <w:tcPr>
            <w:tcW w:w="3400" w:type="dxa"/>
            <w:tcBorders>
              <w:bottom w:val="single" w:sz="6" w:space="0" w:color="2F5560"/>
            </w:tcBorders>
            <w:shd w:val="clear" w:color="auto" w:fill="E7EEF0"/>
            <w:tcMar>
              <w:top w:w="60" w:type="dxa"/>
              <w:left w:w="100" w:type="dxa"/>
              <w:bottom w:w="60" w:type="dxa"/>
              <w:right w:w="100" w:type="dxa"/>
            </w:tcMar>
          </w:tcPr>
          <w:p w14:paraId="2A0CE079" w14:textId="77777777" w:rsidR="002A4A1B" w:rsidRDefault="00000000">
            <w:pPr>
              <w:spacing w:after="0" w:line="300" w:lineRule="auto"/>
            </w:pPr>
            <w:r>
              <w:rPr>
                <w:b/>
                <w:color w:val="1F3A44"/>
                <w:sz w:val="20"/>
              </w:rPr>
              <w:t>Verified performance</w:t>
            </w:r>
          </w:p>
        </w:tc>
        <w:tc>
          <w:tcPr>
            <w:tcW w:w="3200" w:type="dxa"/>
            <w:tcBorders>
              <w:bottom w:val="single" w:sz="6" w:space="0" w:color="2F5560"/>
            </w:tcBorders>
            <w:shd w:val="clear" w:color="auto" w:fill="E7EEF0"/>
            <w:tcMar>
              <w:top w:w="60" w:type="dxa"/>
              <w:left w:w="100" w:type="dxa"/>
              <w:bottom w:w="60" w:type="dxa"/>
              <w:right w:w="100" w:type="dxa"/>
            </w:tcMar>
          </w:tcPr>
          <w:p w14:paraId="4B0C38F4" w14:textId="77777777" w:rsidR="002A4A1B" w:rsidRDefault="00000000">
            <w:pPr>
              <w:spacing w:after="0" w:line="300" w:lineRule="auto"/>
            </w:pPr>
            <w:r>
              <w:rPr>
                <w:b/>
                <w:color w:val="1F3A44"/>
                <w:sz w:val="20"/>
              </w:rPr>
              <w:t>Restores</w:t>
            </w:r>
          </w:p>
        </w:tc>
      </w:tr>
      <w:tr w:rsidR="002A4A1B" w14:paraId="1A1F395F" w14:textId="77777777">
        <w:tblPrEx>
          <w:tblCellMar>
            <w:top w:w="0" w:type="dxa"/>
            <w:bottom w:w="0" w:type="dxa"/>
          </w:tblCellMar>
        </w:tblPrEx>
        <w:tc>
          <w:tcPr>
            <w:tcW w:w="3000" w:type="dxa"/>
            <w:tcMar>
              <w:top w:w="60" w:type="dxa"/>
              <w:left w:w="100" w:type="dxa"/>
              <w:bottom w:w="60" w:type="dxa"/>
              <w:right w:w="100" w:type="dxa"/>
            </w:tcMar>
          </w:tcPr>
          <w:p w14:paraId="0D9BE4E4" w14:textId="77777777" w:rsidR="002A4A1B" w:rsidRDefault="00000000">
            <w:pPr>
              <w:spacing w:after="0" w:line="300" w:lineRule="auto"/>
            </w:pPr>
            <w:r>
              <w:rPr>
                <w:sz w:val="20"/>
              </w:rPr>
              <w:t>First tranche</w:t>
            </w:r>
          </w:p>
        </w:tc>
        <w:tc>
          <w:tcPr>
            <w:tcW w:w="3400" w:type="dxa"/>
            <w:tcMar>
              <w:top w:w="60" w:type="dxa"/>
              <w:left w:w="100" w:type="dxa"/>
              <w:bottom w:w="60" w:type="dxa"/>
              <w:right w:w="100" w:type="dxa"/>
            </w:tcMar>
          </w:tcPr>
          <w:p w14:paraId="30A8B84D" w14:textId="77777777" w:rsidR="002A4A1B" w:rsidRDefault="00000000">
            <w:pPr>
              <w:spacing w:after="0" w:line="300" w:lineRule="auto"/>
            </w:pPr>
            <w:r>
              <w:rPr>
                <w:sz w:val="20"/>
              </w:rPr>
              <w:t>Seven verified days of full compliance</w:t>
            </w:r>
          </w:p>
        </w:tc>
        <w:tc>
          <w:tcPr>
            <w:tcW w:w="3200" w:type="dxa"/>
            <w:tcMar>
              <w:top w:w="60" w:type="dxa"/>
              <w:left w:w="100" w:type="dxa"/>
              <w:bottom w:w="60" w:type="dxa"/>
              <w:right w:w="100" w:type="dxa"/>
            </w:tcMar>
          </w:tcPr>
          <w:p w14:paraId="53B321A9" w14:textId="77777777" w:rsidR="002A4A1B" w:rsidRDefault="00000000">
            <w:pPr>
              <w:spacing w:after="0" w:line="300" w:lineRule="auto"/>
            </w:pPr>
            <w:r>
              <w:rPr>
                <w:sz w:val="20"/>
              </w:rPr>
              <w:t>Convening privileges and routine flexibilities</w:t>
            </w:r>
          </w:p>
        </w:tc>
      </w:tr>
      <w:tr w:rsidR="002A4A1B" w14:paraId="3E2DDE38" w14:textId="77777777">
        <w:tblPrEx>
          <w:tblCellMar>
            <w:top w:w="0" w:type="dxa"/>
            <w:bottom w:w="0" w:type="dxa"/>
          </w:tblCellMar>
        </w:tblPrEx>
        <w:tc>
          <w:tcPr>
            <w:tcW w:w="3000" w:type="dxa"/>
            <w:tcMar>
              <w:top w:w="60" w:type="dxa"/>
              <w:left w:w="100" w:type="dxa"/>
              <w:bottom w:w="60" w:type="dxa"/>
              <w:right w:w="100" w:type="dxa"/>
            </w:tcMar>
          </w:tcPr>
          <w:p w14:paraId="3AE8B758" w14:textId="77777777" w:rsidR="002A4A1B" w:rsidRDefault="00000000">
            <w:pPr>
              <w:spacing w:after="0" w:line="300" w:lineRule="auto"/>
            </w:pPr>
            <w:r>
              <w:rPr>
                <w:sz w:val="20"/>
              </w:rPr>
              <w:t>Second tranche</w:t>
            </w:r>
          </w:p>
        </w:tc>
        <w:tc>
          <w:tcPr>
            <w:tcW w:w="3400" w:type="dxa"/>
            <w:tcMar>
              <w:top w:w="60" w:type="dxa"/>
              <w:left w:w="100" w:type="dxa"/>
              <w:bottom w:w="60" w:type="dxa"/>
              <w:right w:w="100" w:type="dxa"/>
            </w:tcMar>
          </w:tcPr>
          <w:p w14:paraId="0CCE8FE7" w14:textId="77777777" w:rsidR="002A4A1B" w:rsidRDefault="00000000">
            <w:pPr>
              <w:spacing w:after="0" w:line="300" w:lineRule="auto"/>
            </w:pPr>
            <w:r>
              <w:rPr>
                <w:sz w:val="20"/>
              </w:rPr>
              <w:t>Thirty verified days of full compliance</w:t>
            </w:r>
          </w:p>
        </w:tc>
        <w:tc>
          <w:tcPr>
            <w:tcW w:w="3200" w:type="dxa"/>
            <w:tcMar>
              <w:top w:w="60" w:type="dxa"/>
              <w:left w:w="100" w:type="dxa"/>
              <w:bottom w:w="60" w:type="dxa"/>
              <w:right w:w="100" w:type="dxa"/>
            </w:tcMar>
          </w:tcPr>
          <w:p w14:paraId="6B7337BA" w14:textId="77777777" w:rsidR="002A4A1B" w:rsidRDefault="00000000">
            <w:pPr>
              <w:spacing w:after="0" w:line="300" w:lineRule="auto"/>
            </w:pPr>
            <w:r>
              <w:rPr>
                <w:sz w:val="20"/>
              </w:rPr>
              <w:t>Half of frozen distributions and accelerators</w:t>
            </w:r>
          </w:p>
        </w:tc>
      </w:tr>
      <w:tr w:rsidR="002A4A1B" w14:paraId="56BCA2FC" w14:textId="77777777">
        <w:tblPrEx>
          <w:tblCellMar>
            <w:top w:w="0" w:type="dxa"/>
            <w:bottom w:w="0" w:type="dxa"/>
          </w:tblCellMar>
        </w:tblPrEx>
        <w:tc>
          <w:tcPr>
            <w:tcW w:w="3000" w:type="dxa"/>
            <w:tcMar>
              <w:top w:w="60" w:type="dxa"/>
              <w:left w:w="100" w:type="dxa"/>
              <w:bottom w:w="60" w:type="dxa"/>
              <w:right w:w="100" w:type="dxa"/>
            </w:tcMar>
          </w:tcPr>
          <w:p w14:paraId="00B2E9BB" w14:textId="77777777" w:rsidR="002A4A1B" w:rsidRDefault="00000000">
            <w:pPr>
              <w:spacing w:after="0" w:line="300" w:lineRule="auto"/>
            </w:pPr>
            <w:r>
              <w:rPr>
                <w:sz w:val="20"/>
              </w:rPr>
              <w:t>Full restoration</w:t>
            </w:r>
          </w:p>
        </w:tc>
        <w:tc>
          <w:tcPr>
            <w:tcW w:w="3400" w:type="dxa"/>
            <w:tcMar>
              <w:top w:w="60" w:type="dxa"/>
              <w:left w:w="100" w:type="dxa"/>
              <w:bottom w:w="60" w:type="dxa"/>
              <w:right w:w="100" w:type="dxa"/>
            </w:tcMar>
          </w:tcPr>
          <w:p w14:paraId="6ABD672C" w14:textId="77777777" w:rsidR="002A4A1B" w:rsidRDefault="00000000">
            <w:pPr>
              <w:spacing w:after="0" w:line="300" w:lineRule="auto"/>
            </w:pPr>
            <w:r>
              <w:rPr>
                <w:sz w:val="20"/>
              </w:rPr>
              <w:t>Ninety verified days of full compliance</w:t>
            </w:r>
          </w:p>
        </w:tc>
        <w:tc>
          <w:tcPr>
            <w:tcW w:w="3200" w:type="dxa"/>
            <w:tcMar>
              <w:top w:w="60" w:type="dxa"/>
              <w:left w:w="100" w:type="dxa"/>
              <w:bottom w:w="60" w:type="dxa"/>
              <w:right w:w="100" w:type="dxa"/>
            </w:tcMar>
          </w:tcPr>
          <w:p w14:paraId="7F2C04AF" w14:textId="77777777" w:rsidR="002A4A1B" w:rsidRDefault="00000000">
            <w:pPr>
              <w:spacing w:after="0" w:line="300" w:lineRule="auto"/>
            </w:pPr>
            <w:r>
              <w:rPr>
                <w:sz w:val="20"/>
              </w:rPr>
              <w:t>All benefits, all standing, Green zone</w:t>
            </w:r>
          </w:p>
        </w:tc>
      </w:tr>
    </w:tbl>
    <w:p w14:paraId="1DC58FAA" w14:textId="77777777" w:rsidR="002A4A1B" w:rsidRDefault="002A4A1B">
      <w:pPr>
        <w:spacing w:after="160"/>
      </w:pPr>
    </w:p>
    <w:p w14:paraId="3F2538BC" w14:textId="77777777" w:rsidR="002A4A1B" w:rsidRDefault="00000000">
      <w:pPr>
        <w:spacing w:after="140"/>
        <w:jc w:val="both"/>
      </w:pPr>
      <w:r>
        <w:rPr>
          <w:b/>
          <w:color w:val="1F3A44"/>
        </w:rPr>
        <w:t xml:space="preserve">G.4.1   </w:t>
      </w:r>
      <w:r>
        <w:t>The clock runs on instruments: the registry's nightly computation certifies each verified day, and tranche restoration executes automatically at midnight of certification. No vote, no favor, no negotiation stands between performance and restoration; the earn-back is as automatic as the step-back, which is the entire architecture in one sentence.</w:t>
      </w:r>
    </w:p>
    <w:p w14:paraId="11FE652F" w14:textId="77777777" w:rsidR="002A4A1B" w:rsidRDefault="00000000">
      <w:pPr>
        <w:pStyle w:val="Heading2"/>
      </w:pPr>
      <w:bookmarkStart w:id="183" w:name="_Toc236929722"/>
      <w:r>
        <w:t>G.5 The Sixty-Day Asset Measure and the Charity Pool</w:t>
      </w:r>
      <w:bookmarkEnd w:id="183"/>
    </w:p>
    <w:p w14:paraId="677C6A3A" w14:textId="77777777" w:rsidR="002A4A1B" w:rsidRDefault="00000000">
      <w:pPr>
        <w:spacing w:after="140"/>
        <w:jc w:val="both"/>
      </w:pPr>
      <w:r>
        <w:rPr>
          <w:b/>
          <w:color w:val="1F3A44"/>
        </w:rPr>
        <w:t xml:space="preserve">G.5.1   </w:t>
      </w:r>
      <w:r>
        <w:t>On Red Zone activation, the responsible Party's quarterly Fund distribution tranche freezes in the Distribution account for sixty days. The freeze covers distributions only; it never touches operating funds, humanitarian funds, or the safety commons. On certified restoration within the sixty days, the tranche releases in full with interest at the published rate.</w:t>
      </w:r>
    </w:p>
    <w:p w14:paraId="2B042F14" w14:textId="77777777" w:rsidR="002A4A1B" w:rsidRDefault="00000000">
      <w:pPr>
        <w:spacing w:after="140"/>
        <w:jc w:val="both"/>
      </w:pPr>
      <w:r>
        <w:rPr>
          <w:b/>
          <w:color w:val="1F3A44"/>
        </w:rPr>
        <w:t xml:space="preserve">G.5.2   </w:t>
      </w:r>
      <w:r>
        <w:t>On the sixty-first day of an unbroken Red Zone, the frozen tranche transfers to the Charity Pool, which the Neutral Administrator administers for maritime safety and environmental remediation in the Framework Area: buoyage, spill-response capacity, seafarer welfare, and mine clearance. The Pool's disbursements publish, and the contributing Party receives full public credit for each, converting the consequence into a visible contribution to the commons the breach harmed.</w:t>
      </w:r>
    </w:p>
    <w:p w14:paraId="5A8EDD58" w14:textId="77777777" w:rsidR="002A4A1B" w:rsidRDefault="00000000">
      <w:pPr>
        <w:pStyle w:val="Heading2"/>
      </w:pPr>
      <w:bookmarkStart w:id="184" w:name="_Toc236929723"/>
      <w:r>
        <w:t>G.6 The Three-Strike Earn-Back Ladder</w:t>
      </w:r>
      <w:bookmarkEnd w:id="184"/>
    </w:p>
    <w:p w14:paraId="35CE52F5" w14:textId="77777777" w:rsidR="002A4A1B" w:rsidRDefault="00000000">
      <w:pPr>
        <w:spacing w:after="140"/>
        <w:jc w:val="both"/>
      </w:pPr>
      <w:r>
        <w:rPr>
          <w:b/>
          <w:color w:val="1F3A44"/>
        </w:rPr>
        <w:t xml:space="preserve">G.6.1   </w:t>
      </w:r>
      <w:r>
        <w:t xml:space="preserve">Strike One, Plan: the Party presents its remediation and compliance plan; the Chamber certifies adequacy within fourteen days against the published plan standard: named causes, named corrections, named dates, named verification instruments. Strike Two, Implementation: the Party implements under continuous verification; the Chamber certifies milestones as the instruments </w:t>
      </w:r>
      <w:r>
        <w:lastRenderedPageBreak/>
        <w:t>record them; half the paused benefits restore on certification. Strike Three, Completion: full remediation plus the ladder period of verified compliance completes; the Chamber certifies restoration; Green standing returns with no residue, no asterisk, and no memory in the arithmetic beyond the public archive.</w:t>
      </w:r>
    </w:p>
    <w:p w14:paraId="4751609D" w14:textId="77777777" w:rsidR="002A4A1B" w:rsidRDefault="00000000">
      <w:pPr>
        <w:pStyle w:val="Heading1"/>
      </w:pPr>
      <w:bookmarkStart w:id="185" w:name="_Toc236929724"/>
      <w:r>
        <w:lastRenderedPageBreak/>
        <w:t>Annex H: The Sobat Development Facility and the Economic Calendar</w:t>
      </w:r>
      <w:bookmarkEnd w:id="185"/>
    </w:p>
    <w:p w14:paraId="17F4382F" w14:textId="77777777" w:rsidR="002A4A1B" w:rsidRDefault="00000000">
      <w:pPr>
        <w:spacing w:after="140"/>
        <w:jc w:val="both"/>
      </w:pPr>
      <w:r>
        <w:t>This Annex carries the economic heart of the settlement: a development facility of scale, sequenced so that maritime performance and economic normalization advance together, and structured so that no single treasury, including the United States Treasury, carries the load. The design premise: the region and its partners buy their own peace dividend, and the market-access track multiplies it.</w:t>
      </w:r>
    </w:p>
    <w:p w14:paraId="0F1C320D" w14:textId="77777777" w:rsidR="002A4A1B" w:rsidRDefault="00000000">
      <w:pPr>
        <w:pStyle w:val="Heading2"/>
      </w:pPr>
      <w:bookmarkStart w:id="186" w:name="_Toc236929725"/>
      <w:r>
        <w:t>H.1 Structure and Governance</w:t>
      </w:r>
      <w:bookmarkEnd w:id="186"/>
    </w:p>
    <w:p w14:paraId="47B8E16F" w14:textId="77777777" w:rsidR="002A4A1B" w:rsidRDefault="00000000">
      <w:pPr>
        <w:spacing w:after="140"/>
        <w:jc w:val="both"/>
      </w:pPr>
      <w:r>
        <w:rPr>
          <w:b/>
          <w:color w:val="1F3A44"/>
        </w:rPr>
        <w:t xml:space="preserve">H.1.1   </w:t>
      </w:r>
      <w:r>
        <w:t>The Facility constitutes as a multilateral financing vehicle with its own board: the Founding Parties, the contributing partners in proportion to contribution, and independent directors drawn from the published roster. Iran holds a permanent seat as the first-geography beneficiary and never holds a majority; the contributors hold the funding votes; the independents hold the technical judgment. The Facility's charter omits every file outside its project mandate, inheriting the firewall of Article 4 by design.</w:t>
      </w:r>
    </w:p>
    <w:p w14:paraId="1AAD2875" w14:textId="77777777" w:rsidR="002A4A1B" w:rsidRDefault="00000000">
      <w:pPr>
        <w:spacing w:after="140"/>
        <w:jc w:val="both"/>
      </w:pPr>
      <w:r>
        <w:rPr>
          <w:b/>
          <w:color w:val="1F3A44"/>
        </w:rPr>
        <w:t xml:space="preserve">H.1.2   </w:t>
      </w:r>
      <w:r>
        <w:t>The target capitalization: three hundred billion dollars over ten years, in the published tranches: an initial commitment tranche of forty billion at Full Activation, annual tranches thereafter on the performance-linked schedule of H.3. Contributions arrive as grants, concessional finance, guarantees, and private capital mobilized against the guarantee tranches, in the proportions the contribution schedule publishes.</w:t>
      </w:r>
    </w:p>
    <w:p w14:paraId="7FF5CEC4" w14:textId="77777777" w:rsidR="002A4A1B" w:rsidRDefault="00000000">
      <w:pPr>
        <w:spacing w:after="140"/>
        <w:jc w:val="both"/>
      </w:pPr>
      <w:r>
        <w:rPr>
          <w:b/>
          <w:color w:val="1F3A44"/>
        </w:rPr>
        <w:t xml:space="preserve">H.1.3   </w:t>
      </w:r>
      <w:r>
        <w:t>Disbursement follows project milestones verified by the Facility's engineering directorate under the verification standards of Annex F: instruments, inspections, published completion certificates. No disbursement pauses on any political event outside the Red Zone measures of Article 16, and even those freeze accelerators only, never civilian-serving projects in execution.</w:t>
      </w:r>
    </w:p>
    <w:p w14:paraId="140A333C" w14:textId="77777777" w:rsidR="002A4A1B" w:rsidRDefault="00000000">
      <w:pPr>
        <w:pStyle w:val="Heading2"/>
      </w:pPr>
      <w:bookmarkStart w:id="187" w:name="_Toc236929726"/>
      <w:r>
        <w:t>H.2 The Project Geography and Criteria</w:t>
      </w:r>
      <w:bookmarkEnd w:id="187"/>
    </w:p>
    <w:p w14:paraId="665C4C5A" w14:textId="77777777" w:rsidR="002A4A1B" w:rsidRDefault="00000000">
      <w:pPr>
        <w:spacing w:after="140"/>
        <w:jc w:val="both"/>
      </w:pPr>
      <w:r>
        <w:rPr>
          <w:b/>
          <w:color w:val="1F3A44"/>
        </w:rPr>
        <w:t xml:space="preserve">H.2.1   </w:t>
      </w:r>
      <w:r>
        <w:t>First geography: the Iranian coastal provinces facing the Strait, and the Omani ports and coast of the Musandam and the Gulf of Oman, in parallel, always in parallel, because development that enriches one shore and not the other rebuilds the grievance the Framework dissolves. Second geography: the wider Gulf littoral as accession proceeds and contributors direct.</w:t>
      </w:r>
    </w:p>
    <w:p w14:paraId="7DEA0470" w14:textId="77777777" w:rsidR="002A4A1B" w:rsidRDefault="00000000">
      <w:pPr>
        <w:spacing w:after="140"/>
        <w:jc w:val="both"/>
      </w:pPr>
      <w:r>
        <w:rPr>
          <w:b/>
          <w:color w:val="1F3A44"/>
        </w:rPr>
        <w:t xml:space="preserve">H.2.2   </w:t>
      </w:r>
      <w:r>
        <w:t xml:space="preserve">The project criteria: ports and maritime infrastructure; desalination and water; electricity including renewables; transport corridors; industrial zones with employment coefficients; and the civilian-serving projects the board approves against the published scoring matrix. Every project </w:t>
      </w:r>
      <w:r>
        <w:lastRenderedPageBreak/>
        <w:t>publishes its scoring, its milestones, its contractors, and its completion audit. The matrix scores employment, civilian benefit, environmental performance, and regional connectivity, and it scores nothing else.</w:t>
      </w:r>
    </w:p>
    <w:p w14:paraId="15B94489" w14:textId="77777777" w:rsidR="002A4A1B" w:rsidRDefault="00000000">
      <w:pPr>
        <w:spacing w:after="140"/>
        <w:jc w:val="both"/>
      </w:pPr>
      <w:r>
        <w:rPr>
          <w:b/>
          <w:color w:val="1F3A44"/>
        </w:rPr>
        <w:t xml:space="preserve">H.2.3   </w:t>
      </w:r>
      <w:r>
        <w:t>The ports program: deep-water berth development, terminal modernization, and logistics zones at the Iranian and Omani ports the technical schedule names, designed to raise the whole region's maritime capacity so that the Strait's governance rests on infrastructure the region owns and profits from.</w:t>
      </w:r>
    </w:p>
    <w:p w14:paraId="7F86FB61" w14:textId="77777777" w:rsidR="002A4A1B" w:rsidRDefault="00000000">
      <w:pPr>
        <w:pStyle w:val="Heading2"/>
      </w:pPr>
      <w:bookmarkStart w:id="188" w:name="_Toc236929727"/>
      <w:r>
        <w:t>H.3 The Synchronized Economic Calendar</w:t>
      </w:r>
      <w:bookmarkEnd w:id="188"/>
    </w:p>
    <w:p w14:paraId="7866C09B" w14:textId="77777777" w:rsidR="002A4A1B" w:rsidRDefault="00000000">
      <w:pPr>
        <w:spacing w:after="140"/>
        <w:jc w:val="both"/>
      </w:pPr>
      <w:r>
        <w:rPr>
          <w:b/>
          <w:color w:val="1F3A44"/>
        </w:rPr>
        <w:t xml:space="preserve">H.3.1   </w:t>
      </w:r>
      <w:r>
        <w:t>The calendar pairs economic steps with maritime milestones under the synchronization principle of Article 3.7 and the announcement discipline of Annex K. The published pairings: Full Activation pairs with the initial commitment tranche and the first waiver and licensing steps of the market-access track; the first clean stability audit pairs with the insurance-market normalization steps; the first full Green year pairs with the banking-channel restoration steps; and each subsequent clean year advances the trade-facilitation and investment steps the schedule lists.</w:t>
      </w:r>
    </w:p>
    <w:p w14:paraId="18F7EAA1" w14:textId="77777777" w:rsidR="002A4A1B" w:rsidRDefault="00000000">
      <w:pPr>
        <w:spacing w:after="140"/>
        <w:jc w:val="both"/>
      </w:pPr>
      <w:r>
        <w:rPr>
          <w:b/>
          <w:color w:val="1F3A44"/>
        </w:rPr>
        <w:t xml:space="preserve">H.3.2   </w:t>
      </w:r>
      <w:r>
        <w:t>The market-access track executes through the instruments other capitals control: waiver and licensing architecture for oil, petrochemical, and derivative exports; reinsurance and P&amp;I market reopening; correspondent-banking restoration through the ordinary network; and trade facilitation through the joint chambers of commerce the region establishes. The United States' role concentrates in this track and stays there: regulatory steps and market normalization, not appropriations, so the architecture's largest economic effects arrive without requesting public funds from a capital that prefers to give them sparingly.</w:t>
      </w:r>
    </w:p>
    <w:p w14:paraId="79F0E0C0" w14:textId="77777777" w:rsidR="002A4A1B" w:rsidRDefault="00000000">
      <w:pPr>
        <w:spacing w:after="140"/>
        <w:jc w:val="both"/>
      </w:pPr>
      <w:r>
        <w:rPr>
          <w:b/>
          <w:color w:val="1F3A44"/>
        </w:rPr>
        <w:t xml:space="preserve">H.3.3   </w:t>
      </w:r>
      <w:r>
        <w:t>Frozen-asset handling: assets held abroad under various national measures flow back through the Neutral Administrator's channels on the synchronized schedule, directed into the Facility's accounts or the published civilian channels, with every flow in the public ledger. The architecture never touches any asset for compensation outside lawful process, and no participant's passage or standing ever conditions on asset questions, which the firewall keeps outside this Framework.</w:t>
      </w:r>
    </w:p>
    <w:p w14:paraId="28EB23C8" w14:textId="77777777" w:rsidR="002A4A1B" w:rsidRDefault="00000000">
      <w:pPr>
        <w:pStyle w:val="Heading2"/>
      </w:pPr>
      <w:bookmarkStart w:id="189" w:name="_Toc236929728"/>
      <w:r>
        <w:t>H.4 The Civilian Indicators</w:t>
      </w:r>
      <w:bookmarkEnd w:id="189"/>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3281"/>
        <w:gridCol w:w="3067"/>
        <w:gridCol w:w="2878"/>
      </w:tblGrid>
      <w:tr w:rsidR="002A4A1B" w14:paraId="0373B19C" w14:textId="77777777">
        <w:tblPrEx>
          <w:tblCellMar>
            <w:top w:w="0" w:type="dxa"/>
            <w:bottom w:w="0" w:type="dxa"/>
          </w:tblCellMar>
        </w:tblPrEx>
        <w:trPr>
          <w:tblHeader/>
        </w:trPr>
        <w:tc>
          <w:tcPr>
            <w:tcW w:w="3400" w:type="dxa"/>
            <w:tcBorders>
              <w:bottom w:val="single" w:sz="6" w:space="0" w:color="2F5560"/>
            </w:tcBorders>
            <w:shd w:val="clear" w:color="auto" w:fill="E7EEF0"/>
            <w:tcMar>
              <w:top w:w="60" w:type="dxa"/>
              <w:left w:w="100" w:type="dxa"/>
              <w:bottom w:w="60" w:type="dxa"/>
              <w:right w:w="100" w:type="dxa"/>
            </w:tcMar>
          </w:tcPr>
          <w:p w14:paraId="5FC87736" w14:textId="77777777" w:rsidR="002A4A1B" w:rsidRDefault="00000000">
            <w:pPr>
              <w:spacing w:after="0" w:line="300" w:lineRule="auto"/>
            </w:pPr>
            <w:r>
              <w:rPr>
                <w:b/>
                <w:color w:val="1F3A44"/>
                <w:sz w:val="20"/>
              </w:rPr>
              <w:t>Indicator</w:t>
            </w:r>
          </w:p>
        </w:tc>
        <w:tc>
          <w:tcPr>
            <w:tcW w:w="3200" w:type="dxa"/>
            <w:tcBorders>
              <w:bottom w:val="single" w:sz="6" w:space="0" w:color="2F5560"/>
            </w:tcBorders>
            <w:shd w:val="clear" w:color="auto" w:fill="E7EEF0"/>
            <w:tcMar>
              <w:top w:w="60" w:type="dxa"/>
              <w:left w:w="100" w:type="dxa"/>
              <w:bottom w:w="60" w:type="dxa"/>
              <w:right w:w="100" w:type="dxa"/>
            </w:tcMar>
          </w:tcPr>
          <w:p w14:paraId="28923E5E" w14:textId="77777777" w:rsidR="002A4A1B" w:rsidRDefault="00000000">
            <w:pPr>
              <w:spacing w:after="0" w:line="300" w:lineRule="auto"/>
            </w:pPr>
            <w:r>
              <w:rPr>
                <w:b/>
                <w:color w:val="1F3A44"/>
                <w:sz w:val="20"/>
              </w:rPr>
              <w:t>Baseline (2026)</w:t>
            </w:r>
          </w:p>
        </w:tc>
        <w:tc>
          <w:tcPr>
            <w:tcW w:w="3000" w:type="dxa"/>
            <w:tcBorders>
              <w:bottom w:val="single" w:sz="6" w:space="0" w:color="2F5560"/>
            </w:tcBorders>
            <w:shd w:val="clear" w:color="auto" w:fill="E7EEF0"/>
            <w:tcMar>
              <w:top w:w="60" w:type="dxa"/>
              <w:left w:w="100" w:type="dxa"/>
              <w:bottom w:w="60" w:type="dxa"/>
              <w:right w:w="100" w:type="dxa"/>
            </w:tcMar>
          </w:tcPr>
          <w:p w14:paraId="0D6F5745" w14:textId="77777777" w:rsidR="002A4A1B" w:rsidRDefault="00000000">
            <w:pPr>
              <w:spacing w:after="0" w:line="300" w:lineRule="auto"/>
            </w:pPr>
            <w:r>
              <w:rPr>
                <w:b/>
                <w:color w:val="1F3A44"/>
                <w:sz w:val="20"/>
              </w:rPr>
              <w:t>Target (Year 3)</w:t>
            </w:r>
          </w:p>
        </w:tc>
      </w:tr>
      <w:tr w:rsidR="002A4A1B" w14:paraId="2360D497" w14:textId="77777777">
        <w:tblPrEx>
          <w:tblCellMar>
            <w:top w:w="0" w:type="dxa"/>
            <w:bottom w:w="0" w:type="dxa"/>
          </w:tblCellMar>
        </w:tblPrEx>
        <w:tc>
          <w:tcPr>
            <w:tcW w:w="3400" w:type="dxa"/>
            <w:tcMar>
              <w:top w:w="60" w:type="dxa"/>
              <w:left w:w="100" w:type="dxa"/>
              <w:bottom w:w="60" w:type="dxa"/>
              <w:right w:w="100" w:type="dxa"/>
            </w:tcMar>
          </w:tcPr>
          <w:p w14:paraId="0871625A" w14:textId="77777777" w:rsidR="002A4A1B" w:rsidRDefault="00000000">
            <w:pPr>
              <w:spacing w:after="0" w:line="300" w:lineRule="auto"/>
            </w:pPr>
            <w:r>
              <w:rPr>
                <w:sz w:val="20"/>
              </w:rPr>
              <w:t>Medicine and food cargo transit time through the Framework Area</w:t>
            </w:r>
          </w:p>
        </w:tc>
        <w:tc>
          <w:tcPr>
            <w:tcW w:w="3200" w:type="dxa"/>
            <w:tcMar>
              <w:top w:w="60" w:type="dxa"/>
              <w:left w:w="100" w:type="dxa"/>
              <w:bottom w:w="60" w:type="dxa"/>
              <w:right w:w="100" w:type="dxa"/>
            </w:tcMar>
          </w:tcPr>
          <w:p w14:paraId="00D6BE69" w14:textId="77777777" w:rsidR="002A4A1B" w:rsidRDefault="00000000">
            <w:pPr>
              <w:spacing w:after="0" w:line="300" w:lineRule="auto"/>
            </w:pPr>
            <w:r>
              <w:rPr>
                <w:sz w:val="20"/>
              </w:rPr>
              <w:t>Wartime delay profile</w:t>
            </w:r>
          </w:p>
        </w:tc>
        <w:tc>
          <w:tcPr>
            <w:tcW w:w="3000" w:type="dxa"/>
            <w:tcMar>
              <w:top w:w="60" w:type="dxa"/>
              <w:left w:w="100" w:type="dxa"/>
              <w:bottom w:w="60" w:type="dxa"/>
              <w:right w:w="100" w:type="dxa"/>
            </w:tcMar>
          </w:tcPr>
          <w:p w14:paraId="49537FF6" w14:textId="77777777" w:rsidR="002A4A1B" w:rsidRDefault="00000000">
            <w:pPr>
              <w:spacing w:after="0" w:line="300" w:lineRule="auto"/>
            </w:pPr>
            <w:r>
              <w:rPr>
                <w:sz w:val="20"/>
              </w:rPr>
              <w:t>Under 24 hours gate to gate</w:t>
            </w:r>
          </w:p>
        </w:tc>
      </w:tr>
      <w:tr w:rsidR="002A4A1B" w14:paraId="5ACE9D51" w14:textId="77777777">
        <w:tblPrEx>
          <w:tblCellMar>
            <w:top w:w="0" w:type="dxa"/>
            <w:bottom w:w="0" w:type="dxa"/>
          </w:tblCellMar>
        </w:tblPrEx>
        <w:tc>
          <w:tcPr>
            <w:tcW w:w="3400" w:type="dxa"/>
            <w:tcMar>
              <w:top w:w="60" w:type="dxa"/>
              <w:left w:w="100" w:type="dxa"/>
              <w:bottom w:w="60" w:type="dxa"/>
              <w:right w:w="100" w:type="dxa"/>
            </w:tcMar>
          </w:tcPr>
          <w:p w14:paraId="54C86A17" w14:textId="77777777" w:rsidR="002A4A1B" w:rsidRDefault="00000000">
            <w:pPr>
              <w:spacing w:after="0" w:line="300" w:lineRule="auto"/>
            </w:pPr>
            <w:r>
              <w:rPr>
                <w:sz w:val="20"/>
              </w:rPr>
              <w:t>Coastal-province port employment</w:t>
            </w:r>
          </w:p>
        </w:tc>
        <w:tc>
          <w:tcPr>
            <w:tcW w:w="3200" w:type="dxa"/>
            <w:tcMar>
              <w:top w:w="60" w:type="dxa"/>
              <w:left w:w="100" w:type="dxa"/>
              <w:bottom w:w="60" w:type="dxa"/>
              <w:right w:w="100" w:type="dxa"/>
            </w:tcMar>
          </w:tcPr>
          <w:p w14:paraId="279AC7E7" w14:textId="77777777" w:rsidR="002A4A1B" w:rsidRDefault="00000000">
            <w:pPr>
              <w:spacing w:after="0" w:line="300" w:lineRule="auto"/>
            </w:pPr>
            <w:r>
              <w:rPr>
                <w:sz w:val="20"/>
              </w:rPr>
              <w:t>Pre-conflict level</w:t>
            </w:r>
          </w:p>
        </w:tc>
        <w:tc>
          <w:tcPr>
            <w:tcW w:w="3000" w:type="dxa"/>
            <w:tcMar>
              <w:top w:w="60" w:type="dxa"/>
              <w:left w:w="100" w:type="dxa"/>
              <w:bottom w:w="60" w:type="dxa"/>
              <w:right w:w="100" w:type="dxa"/>
            </w:tcMar>
          </w:tcPr>
          <w:p w14:paraId="77F3B0B2" w14:textId="77777777" w:rsidR="002A4A1B" w:rsidRDefault="00000000">
            <w:pPr>
              <w:spacing w:after="0" w:line="300" w:lineRule="auto"/>
            </w:pPr>
            <w:r>
              <w:rPr>
                <w:sz w:val="20"/>
              </w:rPr>
              <w:t>Plus 40 percent</w:t>
            </w:r>
          </w:p>
        </w:tc>
      </w:tr>
      <w:tr w:rsidR="002A4A1B" w14:paraId="69F10E5B" w14:textId="77777777">
        <w:tblPrEx>
          <w:tblCellMar>
            <w:top w:w="0" w:type="dxa"/>
            <w:bottom w:w="0" w:type="dxa"/>
          </w:tblCellMar>
        </w:tblPrEx>
        <w:tc>
          <w:tcPr>
            <w:tcW w:w="3400" w:type="dxa"/>
            <w:tcMar>
              <w:top w:w="60" w:type="dxa"/>
              <w:left w:w="100" w:type="dxa"/>
              <w:bottom w:w="60" w:type="dxa"/>
              <w:right w:w="100" w:type="dxa"/>
            </w:tcMar>
          </w:tcPr>
          <w:p w14:paraId="4376019F" w14:textId="77777777" w:rsidR="002A4A1B" w:rsidRDefault="00000000">
            <w:pPr>
              <w:spacing w:after="0" w:line="300" w:lineRule="auto"/>
            </w:pPr>
            <w:r>
              <w:rPr>
                <w:sz w:val="20"/>
              </w:rPr>
              <w:lastRenderedPageBreak/>
              <w:t>Correspondent banking channels open to Iranian trade</w:t>
            </w:r>
          </w:p>
        </w:tc>
        <w:tc>
          <w:tcPr>
            <w:tcW w:w="3200" w:type="dxa"/>
            <w:tcMar>
              <w:top w:w="60" w:type="dxa"/>
              <w:left w:w="100" w:type="dxa"/>
              <w:bottom w:w="60" w:type="dxa"/>
              <w:right w:w="100" w:type="dxa"/>
            </w:tcMar>
          </w:tcPr>
          <w:p w14:paraId="2128F865" w14:textId="77777777" w:rsidR="002A4A1B" w:rsidRDefault="00000000">
            <w:pPr>
              <w:spacing w:after="0" w:line="300" w:lineRule="auto"/>
            </w:pPr>
            <w:r>
              <w:rPr>
                <w:sz w:val="20"/>
              </w:rPr>
              <w:t>Severely restricted</w:t>
            </w:r>
          </w:p>
        </w:tc>
        <w:tc>
          <w:tcPr>
            <w:tcW w:w="3000" w:type="dxa"/>
            <w:tcMar>
              <w:top w:w="60" w:type="dxa"/>
              <w:left w:w="100" w:type="dxa"/>
              <w:bottom w:w="60" w:type="dxa"/>
              <w:right w:w="100" w:type="dxa"/>
            </w:tcMar>
          </w:tcPr>
          <w:p w14:paraId="3BCE070B" w14:textId="77777777" w:rsidR="002A4A1B" w:rsidRDefault="00000000">
            <w:pPr>
              <w:spacing w:after="0" w:line="300" w:lineRule="auto"/>
            </w:pPr>
            <w:r>
              <w:rPr>
                <w:sz w:val="20"/>
              </w:rPr>
              <w:t>Normal regional access</w:t>
            </w:r>
          </w:p>
        </w:tc>
      </w:tr>
      <w:tr w:rsidR="002A4A1B" w14:paraId="26C1CBD4" w14:textId="77777777">
        <w:tblPrEx>
          <w:tblCellMar>
            <w:top w:w="0" w:type="dxa"/>
            <w:bottom w:w="0" w:type="dxa"/>
          </w:tblCellMar>
        </w:tblPrEx>
        <w:tc>
          <w:tcPr>
            <w:tcW w:w="3400" w:type="dxa"/>
            <w:tcMar>
              <w:top w:w="60" w:type="dxa"/>
              <w:left w:w="100" w:type="dxa"/>
              <w:bottom w:w="60" w:type="dxa"/>
              <w:right w:w="100" w:type="dxa"/>
            </w:tcMar>
          </w:tcPr>
          <w:p w14:paraId="5FC09F56" w14:textId="77777777" w:rsidR="002A4A1B" w:rsidRDefault="00000000">
            <w:pPr>
              <w:spacing w:after="0" w:line="300" w:lineRule="auto"/>
            </w:pPr>
            <w:r>
              <w:rPr>
                <w:sz w:val="20"/>
              </w:rPr>
              <w:t>War-risk premium level for Strait transits</w:t>
            </w:r>
          </w:p>
        </w:tc>
        <w:tc>
          <w:tcPr>
            <w:tcW w:w="3200" w:type="dxa"/>
            <w:tcMar>
              <w:top w:w="60" w:type="dxa"/>
              <w:left w:w="100" w:type="dxa"/>
              <w:bottom w:w="60" w:type="dxa"/>
              <w:right w:w="100" w:type="dxa"/>
            </w:tcMar>
          </w:tcPr>
          <w:p w14:paraId="7BAD7DC1" w14:textId="77777777" w:rsidR="002A4A1B" w:rsidRDefault="00000000">
            <w:pPr>
              <w:spacing w:after="0" w:line="300" w:lineRule="auto"/>
            </w:pPr>
            <w:r>
              <w:rPr>
                <w:sz w:val="20"/>
              </w:rPr>
              <w:t>Crisis pricing</w:t>
            </w:r>
          </w:p>
        </w:tc>
        <w:tc>
          <w:tcPr>
            <w:tcW w:w="3000" w:type="dxa"/>
            <w:tcMar>
              <w:top w:w="60" w:type="dxa"/>
              <w:left w:w="100" w:type="dxa"/>
              <w:bottom w:w="60" w:type="dxa"/>
              <w:right w:w="100" w:type="dxa"/>
            </w:tcMar>
          </w:tcPr>
          <w:p w14:paraId="49BE5B4F" w14:textId="77777777" w:rsidR="002A4A1B" w:rsidRDefault="00000000">
            <w:pPr>
              <w:spacing w:after="0" w:line="300" w:lineRule="auto"/>
            </w:pPr>
            <w:r>
              <w:rPr>
                <w:sz w:val="20"/>
              </w:rPr>
              <w:t>Pre-conflict reference band</w:t>
            </w:r>
          </w:p>
        </w:tc>
      </w:tr>
      <w:tr w:rsidR="002A4A1B" w14:paraId="1DDF0CC0" w14:textId="77777777">
        <w:tblPrEx>
          <w:tblCellMar>
            <w:top w:w="0" w:type="dxa"/>
            <w:bottom w:w="0" w:type="dxa"/>
          </w:tblCellMar>
        </w:tblPrEx>
        <w:tc>
          <w:tcPr>
            <w:tcW w:w="3400" w:type="dxa"/>
            <w:tcMar>
              <w:top w:w="60" w:type="dxa"/>
              <w:left w:w="100" w:type="dxa"/>
              <w:bottom w:w="60" w:type="dxa"/>
              <w:right w:w="100" w:type="dxa"/>
            </w:tcMar>
          </w:tcPr>
          <w:p w14:paraId="73B54D98" w14:textId="77777777" w:rsidR="002A4A1B" w:rsidRDefault="00000000">
            <w:pPr>
              <w:spacing w:after="0" w:line="300" w:lineRule="auto"/>
            </w:pPr>
            <w:r>
              <w:rPr>
                <w:sz w:val="20"/>
              </w:rPr>
              <w:t>Daily commercial transits</w:t>
            </w:r>
          </w:p>
        </w:tc>
        <w:tc>
          <w:tcPr>
            <w:tcW w:w="3200" w:type="dxa"/>
            <w:tcMar>
              <w:top w:w="60" w:type="dxa"/>
              <w:left w:w="100" w:type="dxa"/>
              <w:bottom w:w="60" w:type="dxa"/>
              <w:right w:w="100" w:type="dxa"/>
            </w:tcMar>
          </w:tcPr>
          <w:p w14:paraId="0D6EA84C" w14:textId="77777777" w:rsidR="002A4A1B" w:rsidRDefault="00000000">
            <w:pPr>
              <w:spacing w:after="0" w:line="300" w:lineRule="auto"/>
            </w:pPr>
            <w:r>
              <w:rPr>
                <w:sz w:val="20"/>
              </w:rPr>
              <w:t>Single digits to partial recovery</w:t>
            </w:r>
          </w:p>
        </w:tc>
        <w:tc>
          <w:tcPr>
            <w:tcW w:w="3000" w:type="dxa"/>
            <w:tcMar>
              <w:top w:w="60" w:type="dxa"/>
              <w:left w:w="100" w:type="dxa"/>
              <w:bottom w:w="60" w:type="dxa"/>
              <w:right w:w="100" w:type="dxa"/>
            </w:tcMar>
          </w:tcPr>
          <w:p w14:paraId="693B2A9F" w14:textId="77777777" w:rsidR="002A4A1B" w:rsidRDefault="00000000">
            <w:pPr>
              <w:spacing w:after="0" w:line="300" w:lineRule="auto"/>
            </w:pPr>
            <w:r>
              <w:rPr>
                <w:sz w:val="20"/>
              </w:rPr>
              <w:t>Pre-conflict average, about 138</w:t>
            </w:r>
          </w:p>
        </w:tc>
      </w:tr>
    </w:tbl>
    <w:p w14:paraId="10F8E650" w14:textId="77777777" w:rsidR="002A4A1B" w:rsidRDefault="002A4A1B">
      <w:pPr>
        <w:spacing w:after="160"/>
      </w:pPr>
    </w:p>
    <w:p w14:paraId="37A84642" w14:textId="77777777" w:rsidR="002A4A1B" w:rsidRDefault="00000000">
      <w:pPr>
        <w:spacing w:after="140"/>
        <w:jc w:val="both"/>
      </w:pPr>
      <w:r>
        <w:rPr>
          <w:b/>
          <w:color w:val="1F3A44"/>
        </w:rPr>
        <w:t xml:space="preserve">H.4.1   </w:t>
      </w:r>
      <w:r>
        <w:t>The Authority reports the indicators quarterly with its traffic statistics, in one public table, so that every citizen of every Party reads what the peace is worth in the same units: hours, jobs, channels, premiums, and ships.</w:t>
      </w:r>
    </w:p>
    <w:p w14:paraId="4D9C187C" w14:textId="77777777" w:rsidR="002A4A1B" w:rsidRDefault="00000000">
      <w:pPr>
        <w:pStyle w:val="Heading1"/>
      </w:pPr>
      <w:bookmarkStart w:id="190" w:name="_Toc236929729"/>
      <w:r>
        <w:lastRenderedPageBreak/>
        <w:t>Annex I: Governance Rules of Procedure and the Muscat Tribunal</w:t>
      </w:r>
      <w:bookmarkEnd w:id="190"/>
    </w:p>
    <w:p w14:paraId="786423F6" w14:textId="77777777" w:rsidR="002A4A1B" w:rsidRDefault="00000000">
      <w:pPr>
        <w:pStyle w:val="Heading2"/>
      </w:pPr>
      <w:bookmarkStart w:id="191" w:name="_Toc236929730"/>
      <w:r>
        <w:t>I.1 Council Procedure</w:t>
      </w:r>
      <w:bookmarkEnd w:id="191"/>
    </w:p>
    <w:p w14:paraId="34C4892E" w14:textId="77777777" w:rsidR="002A4A1B" w:rsidRDefault="00000000">
      <w:pPr>
        <w:spacing w:after="140"/>
        <w:jc w:val="both"/>
      </w:pPr>
      <w:r>
        <w:rPr>
          <w:b/>
          <w:color w:val="1F3A44"/>
        </w:rPr>
        <w:t xml:space="preserve">I.1.1   </w:t>
      </w:r>
      <w:r>
        <w:t>The Council's ordinary sessions follow the standing agenda: traffic and safety report, verification report, financial report, incident review, then business. Any voting member adds items with seven days' notice. Decisions record with the votes and any explanations, and publish within twenty-four hours. The presidency alternates between the Founding Parties session by session; the presiding officer holds a casting voice only on procedure, never on substance.</w:t>
      </w:r>
    </w:p>
    <w:p w14:paraId="72CF8A71" w14:textId="77777777" w:rsidR="002A4A1B" w:rsidRDefault="00000000">
      <w:pPr>
        <w:spacing w:after="140"/>
        <w:jc w:val="both"/>
      </w:pPr>
      <w:r>
        <w:rPr>
          <w:b/>
          <w:color w:val="1F3A44"/>
        </w:rPr>
        <w:t xml:space="preserve">I.1.2   </w:t>
      </w:r>
      <w:r>
        <w:t>The protected matters list: corridor geometry; the charge schedule and cost formula; verification thresholds and the Demerit Matrix; zone architecture; amendment of this Framework; the budget; and senior appointments. Protected matters pass only by consensus of the Founding Parties, with Coastal Parties voting, and the observers' views recorded in the decision text. Every other matter follows the three-quarters rule of Article 10.2.2.</w:t>
      </w:r>
    </w:p>
    <w:p w14:paraId="1EFEFE00" w14:textId="77777777" w:rsidR="002A4A1B" w:rsidRDefault="00000000">
      <w:pPr>
        <w:pStyle w:val="Heading2"/>
      </w:pPr>
      <w:bookmarkStart w:id="192" w:name="_Toc236929731"/>
      <w:r>
        <w:t>I.2 The Rosters</w:t>
      </w:r>
      <w:bookmarkEnd w:id="192"/>
    </w:p>
    <w:p w14:paraId="3762FDAC" w14:textId="77777777" w:rsidR="002A4A1B" w:rsidRDefault="00000000">
      <w:pPr>
        <w:spacing w:after="140"/>
        <w:jc w:val="both"/>
      </w:pPr>
      <w:r>
        <w:rPr>
          <w:b/>
          <w:color w:val="1F3A44"/>
        </w:rPr>
        <w:t xml:space="preserve">I.2.1   </w:t>
      </w:r>
      <w:r>
        <w:t>The Neutral Administrator maintains four rosters: the Technical Panel roster of engineers and mariners; the Tribunal roster of jurists; the verification officer roster; and the audit firm shortlist. Rosters draw from open international nomination, publish in full, and refresh every two years. No roster member serves two consecutive terms on the same roster, and every draw from every roster is by lot, witnessed, and logged.</w:t>
      </w:r>
    </w:p>
    <w:p w14:paraId="6BAA87BF" w14:textId="77777777" w:rsidR="002A4A1B" w:rsidRDefault="00000000">
      <w:pPr>
        <w:pStyle w:val="Heading2"/>
      </w:pPr>
      <w:bookmarkStart w:id="193" w:name="_Toc236929732"/>
      <w:r>
        <w:t>I.3 The Tribunal's Rules</w:t>
      </w:r>
      <w:bookmarkEnd w:id="193"/>
    </w:p>
    <w:p w14:paraId="0826A98B" w14:textId="77777777" w:rsidR="002A4A1B" w:rsidRDefault="00000000">
      <w:pPr>
        <w:spacing w:after="140"/>
        <w:jc w:val="both"/>
      </w:pPr>
      <w:r>
        <w:rPr>
          <w:b/>
          <w:color w:val="1F3A44"/>
        </w:rPr>
        <w:t xml:space="preserve">I.3.1   </w:t>
      </w:r>
      <w:r>
        <w:t>The Tribunal's seat is Muscat; its working languages are the three authentic languages with interpretation; its proceedings are public except for the Annex C categories; its filings are electronic and open. The Tribunal renders awards within ninety days of seisin, with dissenting opinions published alongside. Its small-claims track handles claims under 50,000 dollars on documents alone within thirty days, because the dhow master's claim deserves the same justice as the supertanker's, at a price within the dhow master's reach.</w:t>
      </w:r>
    </w:p>
    <w:p w14:paraId="4E42F66A" w14:textId="77777777" w:rsidR="002A4A1B" w:rsidRDefault="00000000">
      <w:pPr>
        <w:spacing w:after="140"/>
        <w:jc w:val="both"/>
      </w:pPr>
      <w:r>
        <w:rPr>
          <w:b/>
          <w:color w:val="1F3A44"/>
        </w:rPr>
        <w:t xml:space="preserve">I.3.2   </w:t>
      </w:r>
      <w:r>
        <w:t>Compliance with awards: the Verification Chamber records performance of every award; non-performance enters the Demerit Matrix at Tier Two after thirty days and Tier Three after ninety. The Tribunal's authority therefore rests on the same engine as everything else, and no party faces the arithmetic twice for one act.</w:t>
      </w:r>
    </w:p>
    <w:p w14:paraId="79F40DD5" w14:textId="77777777" w:rsidR="002A4A1B" w:rsidRDefault="00000000">
      <w:pPr>
        <w:pStyle w:val="Heading2"/>
      </w:pPr>
      <w:bookmarkStart w:id="194" w:name="_Toc236929733"/>
      <w:r>
        <w:lastRenderedPageBreak/>
        <w:t>I.4 The Succession Table</w:t>
      </w:r>
      <w:bookmarkEnd w:id="194"/>
    </w:p>
    <w:p w14:paraId="22C38F9A" w14:textId="77777777" w:rsidR="002A4A1B" w:rsidRDefault="00000000">
      <w:pPr>
        <w:spacing w:after="140"/>
        <w:jc w:val="both"/>
      </w:pPr>
      <w:r>
        <w:rPr>
          <w:b/>
          <w:color w:val="1F3A44"/>
        </w:rPr>
        <w:t xml:space="preserve">I.4.1   </w:t>
      </w:r>
      <w:r>
        <w:t>On a Party's withdrawal under Article 26.4, its functions pass by the pre-committed table: the withdrawing coast's corridor functions pass to the Joint Desk under dual-key administration; its keys pass to the Neutral Administrator's escrow custody pending a successor; its Fund share freezes in the Distribution account until the succession completes. The table exists so that the corridors never notice a departure, and the notice period exists so the table executes calmly.</w:t>
      </w:r>
    </w:p>
    <w:p w14:paraId="4368DE16" w14:textId="77777777" w:rsidR="002A4A1B" w:rsidRDefault="00000000">
      <w:pPr>
        <w:pStyle w:val="Heading2"/>
      </w:pPr>
      <w:bookmarkStart w:id="195" w:name="_Toc236929734"/>
      <w:r>
        <w:t>I.5 The Headquarters Agreements</w:t>
      </w:r>
      <w:bookmarkEnd w:id="195"/>
    </w:p>
    <w:p w14:paraId="291CD559" w14:textId="77777777" w:rsidR="002A4A1B" w:rsidRDefault="00000000">
      <w:pPr>
        <w:spacing w:after="140"/>
        <w:jc w:val="both"/>
      </w:pPr>
      <w:r>
        <w:rPr>
          <w:b/>
          <w:color w:val="1F3A44"/>
        </w:rPr>
        <w:t xml:space="preserve">I.5.1   </w:t>
      </w:r>
      <w:r>
        <w:t>The Headquarters Agreements with Oman and Iran, executed at signature, grant the Authority's premises inviolability, its archives immunity, and its officers the functional immunities their work requires, identically in Muscat and Bandar Abbas. The two agreements publish as one document with two execution pages, because symmetry lives in the paperwork too.</w:t>
      </w:r>
    </w:p>
    <w:p w14:paraId="52318BA0" w14:textId="77777777" w:rsidR="002A4A1B" w:rsidRDefault="00000000">
      <w:pPr>
        <w:pStyle w:val="Heading2"/>
      </w:pPr>
      <w:bookmarkStart w:id="196" w:name="_Toc236929735"/>
      <w:r>
        <w:t>I.6 The Youth and Future Generations Council</w:t>
      </w:r>
      <w:bookmarkEnd w:id="196"/>
    </w:p>
    <w:p w14:paraId="51C6603A" w14:textId="77777777" w:rsidR="002A4A1B" w:rsidRDefault="00000000">
      <w:pPr>
        <w:spacing w:after="140"/>
        <w:jc w:val="both"/>
      </w:pPr>
      <w:r>
        <w:rPr>
          <w:b/>
          <w:color w:val="1F3A44"/>
        </w:rPr>
        <w:t xml:space="preserve">I.6.1   </w:t>
      </w:r>
      <w:r>
        <w:t>The Council of young professionals from the region's coasts, appointed from open nominations for staggered two-year terms, addresses every annual Council session and every Review Summit, receives every publication, and submits the annual Generational Report, which publishes unedited alongside the annual report. The water outlives every signature on this text; its heirs hold a standing seat at its table.</w:t>
      </w:r>
    </w:p>
    <w:p w14:paraId="42666883" w14:textId="77777777" w:rsidR="002A4A1B" w:rsidRDefault="00000000">
      <w:pPr>
        <w:pStyle w:val="Heading1"/>
      </w:pPr>
      <w:bookmarkStart w:id="197" w:name="_Toc236929736"/>
      <w:r>
        <w:lastRenderedPageBreak/>
        <w:t>Annex J: The Pilot Phase and the Stability Audit</w:t>
      </w:r>
      <w:bookmarkEnd w:id="197"/>
    </w:p>
    <w:p w14:paraId="6DC44274" w14:textId="77777777" w:rsidR="002A4A1B" w:rsidRDefault="00000000">
      <w:pPr>
        <w:spacing w:after="140"/>
        <w:jc w:val="both"/>
      </w:pPr>
      <w:r>
        <w:t>This Annex is the operational plan for reopening: the day-by-day pilot, the rules that govern it, and the audit that decides when the system graduates from pilot to permanence. The audit, not any capital, holds the gate; its metrics and thresholds publish here in full, so every participant knows the graduation standard before the first vessel sails.</w:t>
      </w:r>
    </w:p>
    <w:p w14:paraId="1D364651" w14:textId="77777777" w:rsidR="002A4A1B" w:rsidRDefault="00000000">
      <w:pPr>
        <w:pStyle w:val="Heading2"/>
      </w:pPr>
      <w:bookmarkStart w:id="198" w:name="_Toc236929737"/>
      <w:r>
        <w:t>J.1 The Pilot Rules</w:t>
      </w:r>
      <w:bookmarkEnd w:id="198"/>
    </w:p>
    <w:p w14:paraId="463453BD" w14:textId="77777777" w:rsidR="002A4A1B" w:rsidRDefault="00000000">
      <w:pPr>
        <w:numPr>
          <w:ilvl w:val="0"/>
          <w:numId w:val="1"/>
        </w:numPr>
        <w:spacing w:after="80" w:line="320" w:lineRule="auto"/>
      </w:pPr>
      <w:r>
        <w:t>Charges run at pilot rates under Annex E: zero for ninety days, then half the provisional rates until Full Activation.</w:t>
      </w:r>
    </w:p>
    <w:p w14:paraId="607D49FB" w14:textId="77777777" w:rsidR="002A4A1B" w:rsidRDefault="00000000">
      <w:pPr>
        <w:numPr>
          <w:ilvl w:val="0"/>
          <w:numId w:val="1"/>
        </w:numPr>
        <w:spacing w:after="80" w:line="320" w:lineRule="auto"/>
      </w:pPr>
      <w:r>
        <w:t>Every corridor activation follows its forty-eight-hour shadow period in parallel with legacy routing before the legacy lane sunsets.</w:t>
      </w:r>
    </w:p>
    <w:p w14:paraId="418C1799" w14:textId="77777777" w:rsidR="002A4A1B" w:rsidRDefault="00000000">
      <w:pPr>
        <w:numPr>
          <w:ilvl w:val="0"/>
          <w:numId w:val="1"/>
        </w:numPr>
        <w:spacing w:after="80" w:line="320" w:lineRule="auto"/>
      </w:pPr>
      <w:r>
        <w:t>The Fusion Center and Mirror run at full tempo from day one; the observer feed opens to every accredited observer from day one, with no pilot-phase restrictions.</w:t>
      </w:r>
    </w:p>
    <w:p w14:paraId="36721443" w14:textId="77777777" w:rsidR="002A4A1B" w:rsidRDefault="00000000">
      <w:pPr>
        <w:numPr>
          <w:ilvl w:val="0"/>
          <w:numId w:val="1"/>
        </w:numPr>
        <w:spacing w:after="80" w:line="320" w:lineRule="auto"/>
      </w:pPr>
      <w:r>
        <w:t>Weekly public reports cover transits, incidents, charge collections, system availability, and interference, in one published table.</w:t>
      </w:r>
    </w:p>
    <w:p w14:paraId="51801359" w14:textId="77777777" w:rsidR="002A4A1B" w:rsidRDefault="00000000">
      <w:pPr>
        <w:numPr>
          <w:ilvl w:val="0"/>
          <w:numId w:val="1"/>
        </w:numPr>
        <w:spacing w:after="80" w:line="320" w:lineRule="auto"/>
      </w:pPr>
      <w:r>
        <w:t>Each administrator adjusts its own procedures within the annexes during the adjustment windows, logging every adjustment and its reason; adjustments outside the annexes go to the Council.</w:t>
      </w:r>
    </w:p>
    <w:p w14:paraId="39732256" w14:textId="77777777" w:rsidR="002A4A1B" w:rsidRDefault="00000000">
      <w:pPr>
        <w:numPr>
          <w:ilvl w:val="0"/>
          <w:numId w:val="1"/>
        </w:numPr>
        <w:spacing w:after="80" w:line="320" w:lineRule="auto"/>
      </w:pPr>
      <w:r>
        <w:t>The humanitarian corridor opens first and runs throughout, before and above all other traffic.</w:t>
      </w:r>
    </w:p>
    <w:p w14:paraId="10F91164" w14:textId="77777777" w:rsidR="002A4A1B" w:rsidRDefault="00000000">
      <w:pPr>
        <w:numPr>
          <w:ilvl w:val="0"/>
          <w:numId w:val="1"/>
        </w:numPr>
        <w:spacing w:after="80" w:line="320" w:lineRule="auto"/>
      </w:pPr>
      <w:r>
        <w:t>Simulated interdiction drills, emergency diversion drills, deconfliction drills, and incident-reporting drills run on the published schedule, with observers invited to every one.</w:t>
      </w:r>
    </w:p>
    <w:p w14:paraId="3E1CDC21" w14:textId="77777777" w:rsidR="002A4A1B" w:rsidRDefault="00000000">
      <w:pPr>
        <w:pStyle w:val="Heading2"/>
      </w:pPr>
      <w:bookmarkStart w:id="199" w:name="_Toc236929738"/>
      <w:r>
        <w:t>J.2 The Sequential Activation Detail</w:t>
      </w:r>
      <w:bookmarkEnd w:id="199"/>
    </w:p>
    <w:p w14:paraId="7435BDAB" w14:textId="77777777" w:rsidR="002A4A1B" w:rsidRDefault="00000000">
      <w:pPr>
        <w:spacing w:after="140"/>
        <w:jc w:val="both"/>
      </w:pPr>
      <w:r>
        <w:rPr>
          <w:b/>
          <w:color w:val="1F3A44"/>
        </w:rPr>
        <w:t xml:space="preserve">J.2.1   </w:t>
      </w:r>
      <w:r>
        <w:t>Days twenty to twenty-five, Amn Buffer: the Buffer activates as emergency routing and separation water; the joint desk assumes its watch; the insurers classify the water as low-risk transitional on the published technical file. Days twenty-five to thirty-five, Sobat Corridor: outbound traffic moves from the legacy southern lane to the corridor in the published groups; GCC observers hold their first rotation of the co-key; the charge system runs in shadow mode, recording but not collecting. Days thirty-five to forty, Payedar Corridor: inbound traffic follows in the same groups; every observer watches the fused picture at full resolution; the shadow charge record completes its reconciliation.</w:t>
      </w:r>
    </w:p>
    <w:p w14:paraId="4CBA4799" w14:textId="77777777" w:rsidR="002A4A1B" w:rsidRDefault="00000000">
      <w:pPr>
        <w:spacing w:after="140"/>
        <w:jc w:val="both"/>
      </w:pPr>
      <w:r>
        <w:rPr>
          <w:b/>
          <w:color w:val="1F3A44"/>
        </w:rPr>
        <w:t xml:space="preserve">J.2.2   </w:t>
      </w:r>
      <w:r>
        <w:t xml:space="preserve">The order is deliberate and symmetrical in effect: the Buffer first because safety first; the outbound second because it carries the lowest political friction and clears the Gulf's congestion; the </w:t>
      </w:r>
      <w:r>
        <w:lastRenderedPageBreak/>
        <w:t>inbound third because it carries the highest sensitivity and deserves the calmest water to land in. By the time inbound activates, the system carries two weeks of clean operational record behind it.</w:t>
      </w:r>
    </w:p>
    <w:p w14:paraId="2159A9CD" w14:textId="77777777" w:rsidR="002A4A1B" w:rsidRDefault="00000000">
      <w:pPr>
        <w:pStyle w:val="Heading2"/>
      </w:pPr>
      <w:bookmarkStart w:id="200" w:name="_Toc236929739"/>
      <w:r>
        <w:t>J.3 The Stability Audit: Domains and Metrics</w:t>
      </w:r>
      <w:bookmarkEnd w:id="200"/>
    </w:p>
    <w:p w14:paraId="07D3E28F" w14:textId="77777777" w:rsidR="002A4A1B" w:rsidRDefault="00000000">
      <w:pPr>
        <w:spacing w:after="140"/>
        <w:jc w:val="both"/>
      </w:pPr>
      <w:r>
        <w:t>The Verification Chamber runs the audit from day fifty-five to day ninety across five domains, on the instrument record alone. Each metric carries its threshold for pass, conditional pass, and fail, and the thresholds are arithmetic, not judgment.</w:t>
      </w:r>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891"/>
        <w:gridCol w:w="3447"/>
        <w:gridCol w:w="2888"/>
      </w:tblGrid>
      <w:tr w:rsidR="002A4A1B" w14:paraId="32D95DCD" w14:textId="77777777">
        <w:tblPrEx>
          <w:tblCellMar>
            <w:top w:w="0" w:type="dxa"/>
            <w:bottom w:w="0" w:type="dxa"/>
          </w:tblCellMar>
        </w:tblPrEx>
        <w:trPr>
          <w:tblHeader/>
        </w:trPr>
        <w:tc>
          <w:tcPr>
            <w:tcW w:w="3000" w:type="dxa"/>
            <w:tcBorders>
              <w:bottom w:val="single" w:sz="6" w:space="0" w:color="2F5560"/>
            </w:tcBorders>
            <w:shd w:val="clear" w:color="auto" w:fill="E7EEF0"/>
            <w:tcMar>
              <w:top w:w="60" w:type="dxa"/>
              <w:left w:w="100" w:type="dxa"/>
              <w:bottom w:w="60" w:type="dxa"/>
              <w:right w:w="100" w:type="dxa"/>
            </w:tcMar>
          </w:tcPr>
          <w:p w14:paraId="66A74D8E" w14:textId="77777777" w:rsidR="002A4A1B" w:rsidRDefault="00000000">
            <w:pPr>
              <w:spacing w:after="0" w:line="300" w:lineRule="auto"/>
            </w:pPr>
            <w:r>
              <w:rPr>
                <w:b/>
                <w:color w:val="1F3A44"/>
                <w:sz w:val="20"/>
              </w:rPr>
              <w:t>Metric</w:t>
            </w:r>
          </w:p>
        </w:tc>
        <w:tc>
          <w:tcPr>
            <w:tcW w:w="3600" w:type="dxa"/>
            <w:tcBorders>
              <w:bottom w:val="single" w:sz="6" w:space="0" w:color="2F5560"/>
            </w:tcBorders>
            <w:shd w:val="clear" w:color="auto" w:fill="E7EEF0"/>
            <w:tcMar>
              <w:top w:w="60" w:type="dxa"/>
              <w:left w:w="100" w:type="dxa"/>
              <w:bottom w:w="60" w:type="dxa"/>
              <w:right w:w="100" w:type="dxa"/>
            </w:tcMar>
          </w:tcPr>
          <w:p w14:paraId="3B5736F9" w14:textId="77777777" w:rsidR="002A4A1B" w:rsidRDefault="00000000">
            <w:pPr>
              <w:spacing w:after="0" w:line="300" w:lineRule="auto"/>
            </w:pPr>
            <w:r>
              <w:rPr>
                <w:b/>
                <w:color w:val="1F3A44"/>
                <w:sz w:val="20"/>
              </w:rPr>
              <w:t>Pass threshold</w:t>
            </w:r>
          </w:p>
        </w:tc>
        <w:tc>
          <w:tcPr>
            <w:tcW w:w="3000" w:type="dxa"/>
            <w:tcBorders>
              <w:bottom w:val="single" w:sz="6" w:space="0" w:color="2F5560"/>
            </w:tcBorders>
            <w:shd w:val="clear" w:color="auto" w:fill="E7EEF0"/>
            <w:tcMar>
              <w:top w:w="60" w:type="dxa"/>
              <w:left w:w="100" w:type="dxa"/>
              <w:bottom w:w="60" w:type="dxa"/>
              <w:right w:w="100" w:type="dxa"/>
            </w:tcMar>
          </w:tcPr>
          <w:p w14:paraId="1BE4C800" w14:textId="77777777" w:rsidR="002A4A1B" w:rsidRDefault="00000000">
            <w:pPr>
              <w:spacing w:after="0" w:line="300" w:lineRule="auto"/>
            </w:pPr>
            <w:r>
              <w:rPr>
                <w:b/>
                <w:color w:val="1F3A44"/>
                <w:sz w:val="20"/>
              </w:rPr>
              <w:t>Fail threshold</w:t>
            </w:r>
          </w:p>
        </w:tc>
      </w:tr>
      <w:tr w:rsidR="002A4A1B" w14:paraId="015027BE" w14:textId="77777777">
        <w:tblPrEx>
          <w:tblCellMar>
            <w:top w:w="0" w:type="dxa"/>
            <w:bottom w:w="0" w:type="dxa"/>
          </w:tblCellMar>
        </w:tblPrEx>
        <w:tc>
          <w:tcPr>
            <w:tcW w:w="3000" w:type="dxa"/>
            <w:tcMar>
              <w:top w:w="60" w:type="dxa"/>
              <w:left w:w="100" w:type="dxa"/>
              <w:bottom w:w="60" w:type="dxa"/>
              <w:right w:w="100" w:type="dxa"/>
            </w:tcMar>
          </w:tcPr>
          <w:p w14:paraId="57F044FB" w14:textId="77777777" w:rsidR="002A4A1B" w:rsidRDefault="00000000">
            <w:pPr>
              <w:spacing w:after="0" w:line="300" w:lineRule="auto"/>
            </w:pPr>
            <w:r>
              <w:rPr>
                <w:sz w:val="20"/>
              </w:rPr>
              <w:t>AIS continuity rate</w:t>
            </w:r>
          </w:p>
        </w:tc>
        <w:tc>
          <w:tcPr>
            <w:tcW w:w="3600" w:type="dxa"/>
            <w:tcMar>
              <w:top w:w="60" w:type="dxa"/>
              <w:left w:w="100" w:type="dxa"/>
              <w:bottom w:w="60" w:type="dxa"/>
              <w:right w:w="100" w:type="dxa"/>
            </w:tcMar>
          </w:tcPr>
          <w:p w14:paraId="37934446" w14:textId="77777777" w:rsidR="002A4A1B" w:rsidRDefault="00000000">
            <w:pPr>
              <w:spacing w:after="0" w:line="300" w:lineRule="auto"/>
            </w:pPr>
            <w:r>
              <w:rPr>
                <w:sz w:val="20"/>
              </w:rPr>
              <w:t>98 percent or better</w:t>
            </w:r>
          </w:p>
        </w:tc>
        <w:tc>
          <w:tcPr>
            <w:tcW w:w="3000" w:type="dxa"/>
            <w:tcMar>
              <w:top w:w="60" w:type="dxa"/>
              <w:left w:w="100" w:type="dxa"/>
              <w:bottom w:w="60" w:type="dxa"/>
              <w:right w:w="100" w:type="dxa"/>
            </w:tcMar>
          </w:tcPr>
          <w:p w14:paraId="27AF0B45" w14:textId="77777777" w:rsidR="002A4A1B" w:rsidRDefault="00000000">
            <w:pPr>
              <w:spacing w:after="0" w:line="300" w:lineRule="auto"/>
            </w:pPr>
            <w:r>
              <w:rPr>
                <w:sz w:val="20"/>
              </w:rPr>
              <w:t>Below 92 percent</w:t>
            </w:r>
          </w:p>
        </w:tc>
      </w:tr>
      <w:tr w:rsidR="002A4A1B" w14:paraId="5650BBF7" w14:textId="77777777">
        <w:tblPrEx>
          <w:tblCellMar>
            <w:top w:w="0" w:type="dxa"/>
            <w:bottom w:w="0" w:type="dxa"/>
          </w:tblCellMar>
        </w:tblPrEx>
        <w:tc>
          <w:tcPr>
            <w:tcW w:w="3000" w:type="dxa"/>
            <w:tcMar>
              <w:top w:w="60" w:type="dxa"/>
              <w:left w:w="100" w:type="dxa"/>
              <w:bottom w:w="60" w:type="dxa"/>
              <w:right w:w="100" w:type="dxa"/>
            </w:tcMar>
          </w:tcPr>
          <w:p w14:paraId="7B11570C" w14:textId="77777777" w:rsidR="002A4A1B" w:rsidRDefault="00000000">
            <w:pPr>
              <w:spacing w:after="0" w:line="300" w:lineRule="auto"/>
            </w:pPr>
            <w:r>
              <w:rPr>
                <w:sz w:val="20"/>
              </w:rPr>
              <w:t>Corridor adherence rate</w:t>
            </w:r>
          </w:p>
        </w:tc>
        <w:tc>
          <w:tcPr>
            <w:tcW w:w="3600" w:type="dxa"/>
            <w:tcMar>
              <w:top w:w="60" w:type="dxa"/>
              <w:left w:w="100" w:type="dxa"/>
              <w:bottom w:w="60" w:type="dxa"/>
              <w:right w:w="100" w:type="dxa"/>
            </w:tcMar>
          </w:tcPr>
          <w:p w14:paraId="63455BF2" w14:textId="77777777" w:rsidR="002A4A1B" w:rsidRDefault="00000000">
            <w:pPr>
              <w:spacing w:after="0" w:line="300" w:lineRule="auto"/>
            </w:pPr>
            <w:r>
              <w:rPr>
                <w:sz w:val="20"/>
              </w:rPr>
              <w:t>97 percent or better</w:t>
            </w:r>
          </w:p>
        </w:tc>
        <w:tc>
          <w:tcPr>
            <w:tcW w:w="3000" w:type="dxa"/>
            <w:tcMar>
              <w:top w:w="60" w:type="dxa"/>
              <w:left w:w="100" w:type="dxa"/>
              <w:bottom w:w="60" w:type="dxa"/>
              <w:right w:w="100" w:type="dxa"/>
            </w:tcMar>
          </w:tcPr>
          <w:p w14:paraId="76E55091" w14:textId="77777777" w:rsidR="002A4A1B" w:rsidRDefault="00000000">
            <w:pPr>
              <w:spacing w:after="0" w:line="300" w:lineRule="auto"/>
            </w:pPr>
            <w:r>
              <w:rPr>
                <w:sz w:val="20"/>
              </w:rPr>
              <w:t>Below 90 percent</w:t>
            </w:r>
          </w:p>
        </w:tc>
      </w:tr>
      <w:tr w:rsidR="002A4A1B" w14:paraId="5788CCB3" w14:textId="77777777">
        <w:tblPrEx>
          <w:tblCellMar>
            <w:top w:w="0" w:type="dxa"/>
            <w:bottom w:w="0" w:type="dxa"/>
          </w:tblCellMar>
        </w:tblPrEx>
        <w:tc>
          <w:tcPr>
            <w:tcW w:w="3000" w:type="dxa"/>
            <w:tcMar>
              <w:top w:w="60" w:type="dxa"/>
              <w:left w:w="100" w:type="dxa"/>
              <w:bottom w:w="60" w:type="dxa"/>
              <w:right w:w="100" w:type="dxa"/>
            </w:tcMar>
          </w:tcPr>
          <w:p w14:paraId="7247E525" w14:textId="77777777" w:rsidR="002A4A1B" w:rsidRDefault="00000000">
            <w:pPr>
              <w:spacing w:after="0" w:line="300" w:lineRule="auto"/>
            </w:pPr>
            <w:r>
              <w:rPr>
                <w:sz w:val="20"/>
              </w:rPr>
              <w:t>Unreported routing deviations per week</w:t>
            </w:r>
          </w:p>
        </w:tc>
        <w:tc>
          <w:tcPr>
            <w:tcW w:w="3600" w:type="dxa"/>
            <w:tcMar>
              <w:top w:w="60" w:type="dxa"/>
              <w:left w:w="100" w:type="dxa"/>
              <w:bottom w:w="60" w:type="dxa"/>
              <w:right w:w="100" w:type="dxa"/>
            </w:tcMar>
          </w:tcPr>
          <w:p w14:paraId="4B2EA44B" w14:textId="77777777" w:rsidR="002A4A1B" w:rsidRDefault="00000000">
            <w:pPr>
              <w:spacing w:after="0" w:line="300" w:lineRule="auto"/>
            </w:pPr>
            <w:r>
              <w:rPr>
                <w:sz w:val="20"/>
              </w:rPr>
              <w:t>2 or fewer</w:t>
            </w:r>
          </w:p>
        </w:tc>
        <w:tc>
          <w:tcPr>
            <w:tcW w:w="3000" w:type="dxa"/>
            <w:tcMar>
              <w:top w:w="60" w:type="dxa"/>
              <w:left w:w="100" w:type="dxa"/>
              <w:bottom w:w="60" w:type="dxa"/>
              <w:right w:w="100" w:type="dxa"/>
            </w:tcMar>
          </w:tcPr>
          <w:p w14:paraId="5761A1CB" w14:textId="77777777" w:rsidR="002A4A1B" w:rsidRDefault="00000000">
            <w:pPr>
              <w:spacing w:after="0" w:line="300" w:lineRule="auto"/>
            </w:pPr>
            <w:r>
              <w:rPr>
                <w:sz w:val="20"/>
              </w:rPr>
              <w:t>More than 6</w:t>
            </w:r>
          </w:p>
        </w:tc>
      </w:tr>
      <w:tr w:rsidR="002A4A1B" w14:paraId="49D717F9" w14:textId="77777777">
        <w:tblPrEx>
          <w:tblCellMar>
            <w:top w:w="0" w:type="dxa"/>
            <w:bottom w:w="0" w:type="dxa"/>
          </w:tblCellMar>
        </w:tblPrEx>
        <w:tc>
          <w:tcPr>
            <w:tcW w:w="3000" w:type="dxa"/>
            <w:tcMar>
              <w:top w:w="60" w:type="dxa"/>
              <w:left w:w="100" w:type="dxa"/>
              <w:bottom w:w="60" w:type="dxa"/>
              <w:right w:w="100" w:type="dxa"/>
            </w:tcMar>
          </w:tcPr>
          <w:p w14:paraId="3621D4B5" w14:textId="77777777" w:rsidR="002A4A1B" w:rsidRDefault="00000000">
            <w:pPr>
              <w:spacing w:after="0" w:line="300" w:lineRule="auto"/>
            </w:pPr>
            <w:r>
              <w:rPr>
                <w:sz w:val="20"/>
              </w:rPr>
              <w:t>Dual-key activation success rate</w:t>
            </w:r>
          </w:p>
        </w:tc>
        <w:tc>
          <w:tcPr>
            <w:tcW w:w="3600" w:type="dxa"/>
            <w:tcMar>
              <w:top w:w="60" w:type="dxa"/>
              <w:left w:w="100" w:type="dxa"/>
              <w:bottom w:w="60" w:type="dxa"/>
              <w:right w:w="100" w:type="dxa"/>
            </w:tcMar>
          </w:tcPr>
          <w:p w14:paraId="4AE9E9E3" w14:textId="77777777" w:rsidR="002A4A1B" w:rsidRDefault="00000000">
            <w:pPr>
              <w:spacing w:after="0" w:line="300" w:lineRule="auto"/>
            </w:pPr>
            <w:r>
              <w:rPr>
                <w:sz w:val="20"/>
              </w:rPr>
              <w:t>100 percent of consequential actions dual-keyed</w:t>
            </w:r>
          </w:p>
        </w:tc>
        <w:tc>
          <w:tcPr>
            <w:tcW w:w="3000" w:type="dxa"/>
            <w:tcMar>
              <w:top w:w="60" w:type="dxa"/>
              <w:left w:w="100" w:type="dxa"/>
              <w:bottom w:w="60" w:type="dxa"/>
              <w:right w:w="100" w:type="dxa"/>
            </w:tcMar>
          </w:tcPr>
          <w:p w14:paraId="0ABE83E8" w14:textId="77777777" w:rsidR="002A4A1B" w:rsidRDefault="00000000">
            <w:pPr>
              <w:spacing w:after="0" w:line="300" w:lineRule="auto"/>
            </w:pPr>
            <w:r>
              <w:rPr>
                <w:sz w:val="20"/>
              </w:rPr>
              <w:t>Any single-key consequential action</w:t>
            </w:r>
          </w:p>
        </w:tc>
      </w:tr>
      <w:tr w:rsidR="002A4A1B" w14:paraId="085EE379" w14:textId="77777777">
        <w:tblPrEx>
          <w:tblCellMar>
            <w:top w:w="0" w:type="dxa"/>
            <w:bottom w:w="0" w:type="dxa"/>
          </w:tblCellMar>
        </w:tblPrEx>
        <w:tc>
          <w:tcPr>
            <w:tcW w:w="3000" w:type="dxa"/>
            <w:tcMar>
              <w:top w:w="60" w:type="dxa"/>
              <w:left w:w="100" w:type="dxa"/>
              <w:bottom w:w="60" w:type="dxa"/>
              <w:right w:w="100" w:type="dxa"/>
            </w:tcMar>
          </w:tcPr>
          <w:p w14:paraId="5BBF8A3D" w14:textId="77777777" w:rsidR="002A4A1B" w:rsidRDefault="00000000">
            <w:pPr>
              <w:spacing w:after="0" w:line="300" w:lineRule="auto"/>
            </w:pPr>
            <w:r>
              <w:rPr>
                <w:sz w:val="20"/>
              </w:rPr>
              <w:t>Unilateral interdiction attempts</w:t>
            </w:r>
          </w:p>
        </w:tc>
        <w:tc>
          <w:tcPr>
            <w:tcW w:w="3600" w:type="dxa"/>
            <w:tcMar>
              <w:top w:w="60" w:type="dxa"/>
              <w:left w:w="100" w:type="dxa"/>
              <w:bottom w:w="60" w:type="dxa"/>
              <w:right w:w="100" w:type="dxa"/>
            </w:tcMar>
          </w:tcPr>
          <w:p w14:paraId="5E273DBF" w14:textId="77777777" w:rsidR="002A4A1B" w:rsidRDefault="00000000">
            <w:pPr>
              <w:spacing w:after="0" w:line="300" w:lineRule="auto"/>
            </w:pPr>
            <w:r>
              <w:rPr>
                <w:sz w:val="20"/>
              </w:rPr>
              <w:t>Zero</w:t>
            </w:r>
          </w:p>
        </w:tc>
        <w:tc>
          <w:tcPr>
            <w:tcW w:w="3000" w:type="dxa"/>
            <w:tcMar>
              <w:top w:w="60" w:type="dxa"/>
              <w:left w:w="100" w:type="dxa"/>
              <w:bottom w:w="60" w:type="dxa"/>
              <w:right w:w="100" w:type="dxa"/>
            </w:tcMar>
          </w:tcPr>
          <w:p w14:paraId="22789E55" w14:textId="77777777" w:rsidR="002A4A1B" w:rsidRDefault="00000000">
            <w:pPr>
              <w:spacing w:after="0" w:line="300" w:lineRule="auto"/>
            </w:pPr>
            <w:r>
              <w:rPr>
                <w:sz w:val="20"/>
              </w:rPr>
              <w:t>One or more</w:t>
            </w:r>
          </w:p>
        </w:tc>
      </w:tr>
      <w:tr w:rsidR="002A4A1B" w14:paraId="26D32591" w14:textId="77777777">
        <w:tblPrEx>
          <w:tblCellMar>
            <w:top w:w="0" w:type="dxa"/>
            <w:bottom w:w="0" w:type="dxa"/>
          </w:tblCellMar>
        </w:tblPrEx>
        <w:tc>
          <w:tcPr>
            <w:tcW w:w="3000" w:type="dxa"/>
            <w:tcMar>
              <w:top w:w="60" w:type="dxa"/>
              <w:left w:w="100" w:type="dxa"/>
              <w:bottom w:w="60" w:type="dxa"/>
              <w:right w:w="100" w:type="dxa"/>
            </w:tcMar>
          </w:tcPr>
          <w:p w14:paraId="3B493C19" w14:textId="77777777" w:rsidR="002A4A1B" w:rsidRDefault="00000000">
            <w:pPr>
              <w:spacing w:after="0" w:line="300" w:lineRule="auto"/>
            </w:pPr>
            <w:r>
              <w:rPr>
                <w:sz w:val="20"/>
              </w:rPr>
              <w:t>Deconfliction response time</w:t>
            </w:r>
          </w:p>
        </w:tc>
        <w:tc>
          <w:tcPr>
            <w:tcW w:w="3600" w:type="dxa"/>
            <w:tcMar>
              <w:top w:w="60" w:type="dxa"/>
              <w:left w:w="100" w:type="dxa"/>
              <w:bottom w:w="60" w:type="dxa"/>
              <w:right w:w="100" w:type="dxa"/>
            </w:tcMar>
          </w:tcPr>
          <w:p w14:paraId="03936C31" w14:textId="77777777" w:rsidR="002A4A1B" w:rsidRDefault="00000000">
            <w:pPr>
              <w:spacing w:after="0" w:line="300" w:lineRule="auto"/>
            </w:pPr>
            <w:r>
              <w:rPr>
                <w:sz w:val="20"/>
              </w:rPr>
              <w:t>60 seconds or less median hotline answer</w:t>
            </w:r>
          </w:p>
        </w:tc>
        <w:tc>
          <w:tcPr>
            <w:tcW w:w="3000" w:type="dxa"/>
            <w:tcMar>
              <w:top w:w="60" w:type="dxa"/>
              <w:left w:w="100" w:type="dxa"/>
              <w:bottom w:w="60" w:type="dxa"/>
              <w:right w:w="100" w:type="dxa"/>
            </w:tcMar>
          </w:tcPr>
          <w:p w14:paraId="49AA56DD" w14:textId="77777777" w:rsidR="002A4A1B" w:rsidRDefault="00000000">
            <w:pPr>
              <w:spacing w:after="0" w:line="300" w:lineRule="auto"/>
            </w:pPr>
            <w:r>
              <w:rPr>
                <w:sz w:val="20"/>
              </w:rPr>
              <w:t>Over 300 seconds median</w:t>
            </w:r>
          </w:p>
        </w:tc>
      </w:tr>
      <w:tr w:rsidR="002A4A1B" w14:paraId="68B07246" w14:textId="77777777">
        <w:tblPrEx>
          <w:tblCellMar>
            <w:top w:w="0" w:type="dxa"/>
            <w:bottom w:w="0" w:type="dxa"/>
          </w:tblCellMar>
        </w:tblPrEx>
        <w:tc>
          <w:tcPr>
            <w:tcW w:w="3000" w:type="dxa"/>
            <w:tcMar>
              <w:top w:w="60" w:type="dxa"/>
              <w:left w:w="100" w:type="dxa"/>
              <w:bottom w:w="60" w:type="dxa"/>
              <w:right w:w="100" w:type="dxa"/>
            </w:tcMar>
          </w:tcPr>
          <w:p w14:paraId="0D54F7E2" w14:textId="77777777" w:rsidR="002A4A1B" w:rsidRDefault="00000000">
            <w:pPr>
              <w:spacing w:after="0" w:line="300" w:lineRule="auto"/>
            </w:pPr>
            <w:r>
              <w:rPr>
                <w:sz w:val="20"/>
              </w:rPr>
              <w:t>Radar-AIS fusion alignment</w:t>
            </w:r>
          </w:p>
        </w:tc>
        <w:tc>
          <w:tcPr>
            <w:tcW w:w="3600" w:type="dxa"/>
            <w:tcMar>
              <w:top w:w="60" w:type="dxa"/>
              <w:left w:w="100" w:type="dxa"/>
              <w:bottom w:w="60" w:type="dxa"/>
              <w:right w:w="100" w:type="dxa"/>
            </w:tcMar>
          </w:tcPr>
          <w:p w14:paraId="0FB6422A" w14:textId="77777777" w:rsidR="002A4A1B" w:rsidRDefault="00000000">
            <w:pPr>
              <w:spacing w:after="0" w:line="300" w:lineRule="auto"/>
            </w:pPr>
            <w:r>
              <w:rPr>
                <w:sz w:val="20"/>
              </w:rPr>
              <w:t>97 percent or better</w:t>
            </w:r>
          </w:p>
        </w:tc>
        <w:tc>
          <w:tcPr>
            <w:tcW w:w="3000" w:type="dxa"/>
            <w:tcMar>
              <w:top w:w="60" w:type="dxa"/>
              <w:left w:w="100" w:type="dxa"/>
              <w:bottom w:w="60" w:type="dxa"/>
              <w:right w:w="100" w:type="dxa"/>
            </w:tcMar>
          </w:tcPr>
          <w:p w14:paraId="5E150D6A" w14:textId="77777777" w:rsidR="002A4A1B" w:rsidRDefault="00000000">
            <w:pPr>
              <w:spacing w:after="0" w:line="300" w:lineRule="auto"/>
            </w:pPr>
            <w:r>
              <w:rPr>
                <w:sz w:val="20"/>
              </w:rPr>
              <w:t>Below 90 percent</w:t>
            </w:r>
          </w:p>
        </w:tc>
      </w:tr>
      <w:tr w:rsidR="002A4A1B" w14:paraId="37786D4E" w14:textId="77777777">
        <w:tblPrEx>
          <w:tblCellMar>
            <w:top w:w="0" w:type="dxa"/>
            <w:bottom w:w="0" w:type="dxa"/>
          </w:tblCellMar>
        </w:tblPrEx>
        <w:tc>
          <w:tcPr>
            <w:tcW w:w="3000" w:type="dxa"/>
            <w:tcMar>
              <w:top w:w="60" w:type="dxa"/>
              <w:left w:w="100" w:type="dxa"/>
              <w:bottom w:w="60" w:type="dxa"/>
              <w:right w:w="100" w:type="dxa"/>
            </w:tcMar>
          </w:tcPr>
          <w:p w14:paraId="541CCE4E" w14:textId="77777777" w:rsidR="002A4A1B" w:rsidRDefault="00000000">
            <w:pPr>
              <w:spacing w:after="0" w:line="300" w:lineRule="auto"/>
            </w:pPr>
            <w:r>
              <w:rPr>
                <w:sz w:val="20"/>
              </w:rPr>
              <w:t>Incident reporting timeliness</w:t>
            </w:r>
          </w:p>
        </w:tc>
        <w:tc>
          <w:tcPr>
            <w:tcW w:w="3600" w:type="dxa"/>
            <w:tcMar>
              <w:top w:w="60" w:type="dxa"/>
              <w:left w:w="100" w:type="dxa"/>
              <w:bottom w:w="60" w:type="dxa"/>
              <w:right w:w="100" w:type="dxa"/>
            </w:tcMar>
          </w:tcPr>
          <w:p w14:paraId="70236F3C" w14:textId="77777777" w:rsidR="002A4A1B" w:rsidRDefault="00000000">
            <w:pPr>
              <w:spacing w:after="0" w:line="300" w:lineRule="auto"/>
            </w:pPr>
            <w:r>
              <w:rPr>
                <w:sz w:val="20"/>
              </w:rPr>
              <w:t>24 hours or less for 95 percent of events</w:t>
            </w:r>
          </w:p>
        </w:tc>
        <w:tc>
          <w:tcPr>
            <w:tcW w:w="3000" w:type="dxa"/>
            <w:tcMar>
              <w:top w:w="60" w:type="dxa"/>
              <w:left w:w="100" w:type="dxa"/>
              <w:bottom w:w="60" w:type="dxa"/>
              <w:right w:w="100" w:type="dxa"/>
            </w:tcMar>
          </w:tcPr>
          <w:p w14:paraId="1A6F3607" w14:textId="77777777" w:rsidR="002A4A1B" w:rsidRDefault="00000000">
            <w:pPr>
              <w:spacing w:after="0" w:line="300" w:lineRule="auto"/>
            </w:pPr>
            <w:r>
              <w:rPr>
                <w:sz w:val="20"/>
              </w:rPr>
              <w:t>Over 72 hours for more than 10 percent</w:t>
            </w:r>
          </w:p>
        </w:tc>
      </w:tr>
      <w:tr w:rsidR="002A4A1B" w14:paraId="5AB8B30E" w14:textId="77777777">
        <w:tblPrEx>
          <w:tblCellMar>
            <w:top w:w="0" w:type="dxa"/>
            <w:bottom w:w="0" w:type="dxa"/>
          </w:tblCellMar>
        </w:tblPrEx>
        <w:tc>
          <w:tcPr>
            <w:tcW w:w="3000" w:type="dxa"/>
            <w:tcMar>
              <w:top w:w="60" w:type="dxa"/>
              <w:left w:w="100" w:type="dxa"/>
              <w:bottom w:w="60" w:type="dxa"/>
              <w:right w:w="100" w:type="dxa"/>
            </w:tcMar>
          </w:tcPr>
          <w:p w14:paraId="22061D1C" w14:textId="77777777" w:rsidR="002A4A1B" w:rsidRDefault="00000000">
            <w:pPr>
              <w:spacing w:after="0" w:line="300" w:lineRule="auto"/>
            </w:pPr>
            <w:r>
              <w:rPr>
                <w:sz w:val="20"/>
              </w:rPr>
              <w:t>Observer feed uptime</w:t>
            </w:r>
          </w:p>
        </w:tc>
        <w:tc>
          <w:tcPr>
            <w:tcW w:w="3600" w:type="dxa"/>
            <w:tcMar>
              <w:top w:w="60" w:type="dxa"/>
              <w:left w:w="100" w:type="dxa"/>
              <w:bottom w:w="60" w:type="dxa"/>
              <w:right w:w="100" w:type="dxa"/>
            </w:tcMar>
          </w:tcPr>
          <w:p w14:paraId="5F97717E" w14:textId="77777777" w:rsidR="002A4A1B" w:rsidRDefault="00000000">
            <w:pPr>
              <w:spacing w:after="0" w:line="300" w:lineRule="auto"/>
            </w:pPr>
            <w:r>
              <w:rPr>
                <w:sz w:val="20"/>
              </w:rPr>
              <w:t>99.5 percent or better monthly</w:t>
            </w:r>
          </w:p>
        </w:tc>
        <w:tc>
          <w:tcPr>
            <w:tcW w:w="3000" w:type="dxa"/>
            <w:tcMar>
              <w:top w:w="60" w:type="dxa"/>
              <w:left w:w="100" w:type="dxa"/>
              <w:bottom w:w="60" w:type="dxa"/>
              <w:right w:w="100" w:type="dxa"/>
            </w:tcMar>
          </w:tcPr>
          <w:p w14:paraId="4FE9E310" w14:textId="77777777" w:rsidR="002A4A1B" w:rsidRDefault="00000000">
            <w:pPr>
              <w:spacing w:after="0" w:line="300" w:lineRule="auto"/>
            </w:pPr>
            <w:r>
              <w:rPr>
                <w:sz w:val="20"/>
              </w:rPr>
              <w:t>Below 97 percent</w:t>
            </w:r>
          </w:p>
        </w:tc>
      </w:tr>
      <w:tr w:rsidR="002A4A1B" w14:paraId="14D91C33" w14:textId="77777777">
        <w:tblPrEx>
          <w:tblCellMar>
            <w:top w:w="0" w:type="dxa"/>
            <w:bottom w:w="0" w:type="dxa"/>
          </w:tblCellMar>
        </w:tblPrEx>
        <w:tc>
          <w:tcPr>
            <w:tcW w:w="3000" w:type="dxa"/>
            <w:tcMar>
              <w:top w:w="60" w:type="dxa"/>
              <w:left w:w="100" w:type="dxa"/>
              <w:bottom w:w="60" w:type="dxa"/>
              <w:right w:w="100" w:type="dxa"/>
            </w:tcMar>
          </w:tcPr>
          <w:p w14:paraId="7AB9FC8B" w14:textId="77777777" w:rsidR="002A4A1B" w:rsidRDefault="00000000">
            <w:pPr>
              <w:spacing w:after="0" w:line="300" w:lineRule="auto"/>
            </w:pPr>
            <w:r>
              <w:rPr>
                <w:sz w:val="20"/>
              </w:rPr>
              <w:t>Emergency response activation</w:t>
            </w:r>
          </w:p>
        </w:tc>
        <w:tc>
          <w:tcPr>
            <w:tcW w:w="3600" w:type="dxa"/>
            <w:tcMar>
              <w:top w:w="60" w:type="dxa"/>
              <w:left w:w="100" w:type="dxa"/>
              <w:bottom w:w="60" w:type="dxa"/>
              <w:right w:w="100" w:type="dxa"/>
            </w:tcMar>
          </w:tcPr>
          <w:p w14:paraId="4C1A663E" w14:textId="77777777" w:rsidR="002A4A1B" w:rsidRDefault="00000000">
            <w:pPr>
              <w:spacing w:after="0" w:line="300" w:lineRule="auto"/>
            </w:pPr>
            <w:r>
              <w:rPr>
                <w:sz w:val="20"/>
              </w:rPr>
              <w:t>30 minutes or less to coordinated response</w:t>
            </w:r>
          </w:p>
        </w:tc>
        <w:tc>
          <w:tcPr>
            <w:tcW w:w="3000" w:type="dxa"/>
            <w:tcMar>
              <w:top w:w="60" w:type="dxa"/>
              <w:left w:w="100" w:type="dxa"/>
              <w:bottom w:w="60" w:type="dxa"/>
              <w:right w:w="100" w:type="dxa"/>
            </w:tcMar>
          </w:tcPr>
          <w:p w14:paraId="2BD13B35" w14:textId="77777777" w:rsidR="002A4A1B" w:rsidRDefault="00000000">
            <w:pPr>
              <w:spacing w:after="0" w:line="300" w:lineRule="auto"/>
            </w:pPr>
            <w:r>
              <w:rPr>
                <w:sz w:val="20"/>
              </w:rPr>
              <w:t>Over 90 minutes in any drill or event</w:t>
            </w:r>
          </w:p>
        </w:tc>
      </w:tr>
      <w:tr w:rsidR="002A4A1B" w14:paraId="465CB810" w14:textId="77777777">
        <w:tblPrEx>
          <w:tblCellMar>
            <w:top w:w="0" w:type="dxa"/>
            <w:bottom w:w="0" w:type="dxa"/>
          </w:tblCellMar>
        </w:tblPrEx>
        <w:tc>
          <w:tcPr>
            <w:tcW w:w="3000" w:type="dxa"/>
            <w:tcMar>
              <w:top w:w="60" w:type="dxa"/>
              <w:left w:w="100" w:type="dxa"/>
              <w:bottom w:w="60" w:type="dxa"/>
              <w:right w:w="100" w:type="dxa"/>
            </w:tcMar>
          </w:tcPr>
          <w:p w14:paraId="681B8FFD" w14:textId="77777777" w:rsidR="002A4A1B" w:rsidRDefault="00000000">
            <w:pPr>
              <w:spacing w:after="0" w:line="300" w:lineRule="auto"/>
            </w:pPr>
            <w:r>
              <w:rPr>
                <w:sz w:val="20"/>
              </w:rPr>
              <w:t>Environmental baseline deviations</w:t>
            </w:r>
          </w:p>
        </w:tc>
        <w:tc>
          <w:tcPr>
            <w:tcW w:w="3600" w:type="dxa"/>
            <w:tcMar>
              <w:top w:w="60" w:type="dxa"/>
              <w:left w:w="100" w:type="dxa"/>
              <w:bottom w:w="60" w:type="dxa"/>
              <w:right w:w="100" w:type="dxa"/>
            </w:tcMar>
          </w:tcPr>
          <w:p w14:paraId="046FD759" w14:textId="77777777" w:rsidR="002A4A1B" w:rsidRDefault="00000000">
            <w:pPr>
              <w:spacing w:after="0" w:line="300" w:lineRule="auto"/>
            </w:pPr>
            <w:r>
              <w:rPr>
                <w:sz w:val="20"/>
              </w:rPr>
              <w:t>No unresolved three-sigma events</w:t>
            </w:r>
          </w:p>
        </w:tc>
        <w:tc>
          <w:tcPr>
            <w:tcW w:w="3000" w:type="dxa"/>
            <w:tcMar>
              <w:top w:w="60" w:type="dxa"/>
              <w:left w:w="100" w:type="dxa"/>
              <w:bottom w:w="60" w:type="dxa"/>
              <w:right w:w="100" w:type="dxa"/>
            </w:tcMar>
          </w:tcPr>
          <w:p w14:paraId="51A51D2A" w14:textId="77777777" w:rsidR="002A4A1B" w:rsidRDefault="00000000">
            <w:pPr>
              <w:spacing w:after="0" w:line="300" w:lineRule="auto"/>
            </w:pPr>
            <w:r>
              <w:rPr>
                <w:sz w:val="20"/>
              </w:rPr>
              <w:t>Any unaddressed three-sigma event over 30 days</w:t>
            </w:r>
          </w:p>
        </w:tc>
      </w:tr>
      <w:tr w:rsidR="002A4A1B" w14:paraId="754023EC" w14:textId="77777777">
        <w:tblPrEx>
          <w:tblCellMar>
            <w:top w:w="0" w:type="dxa"/>
            <w:bottom w:w="0" w:type="dxa"/>
          </w:tblCellMar>
        </w:tblPrEx>
        <w:tc>
          <w:tcPr>
            <w:tcW w:w="3000" w:type="dxa"/>
            <w:tcMar>
              <w:top w:w="60" w:type="dxa"/>
              <w:left w:w="100" w:type="dxa"/>
              <w:bottom w:w="60" w:type="dxa"/>
              <w:right w:w="100" w:type="dxa"/>
            </w:tcMar>
          </w:tcPr>
          <w:p w14:paraId="6E0E158D" w14:textId="77777777" w:rsidR="002A4A1B" w:rsidRDefault="00000000">
            <w:pPr>
              <w:spacing w:after="0" w:line="300" w:lineRule="auto"/>
            </w:pPr>
            <w:r>
              <w:rPr>
                <w:sz w:val="20"/>
              </w:rPr>
              <w:t>Payment routing success rate</w:t>
            </w:r>
          </w:p>
        </w:tc>
        <w:tc>
          <w:tcPr>
            <w:tcW w:w="3600" w:type="dxa"/>
            <w:tcMar>
              <w:top w:w="60" w:type="dxa"/>
              <w:left w:w="100" w:type="dxa"/>
              <w:bottom w:w="60" w:type="dxa"/>
              <w:right w:w="100" w:type="dxa"/>
            </w:tcMar>
          </w:tcPr>
          <w:p w14:paraId="2D5DB6F6" w14:textId="77777777" w:rsidR="002A4A1B" w:rsidRDefault="00000000">
            <w:pPr>
              <w:spacing w:after="0" w:line="300" w:lineRule="auto"/>
            </w:pPr>
            <w:r>
              <w:rPr>
                <w:sz w:val="20"/>
              </w:rPr>
              <w:t>99 percent or better</w:t>
            </w:r>
          </w:p>
        </w:tc>
        <w:tc>
          <w:tcPr>
            <w:tcW w:w="3000" w:type="dxa"/>
            <w:tcMar>
              <w:top w:w="60" w:type="dxa"/>
              <w:left w:w="100" w:type="dxa"/>
              <w:bottom w:w="60" w:type="dxa"/>
              <w:right w:w="100" w:type="dxa"/>
            </w:tcMar>
          </w:tcPr>
          <w:p w14:paraId="7F40D534" w14:textId="77777777" w:rsidR="002A4A1B" w:rsidRDefault="00000000">
            <w:pPr>
              <w:spacing w:after="0" w:line="300" w:lineRule="auto"/>
            </w:pPr>
            <w:r>
              <w:rPr>
                <w:sz w:val="20"/>
              </w:rPr>
              <w:t>Below 95 percent</w:t>
            </w:r>
          </w:p>
        </w:tc>
      </w:tr>
      <w:tr w:rsidR="002A4A1B" w14:paraId="1CD94D5F" w14:textId="77777777">
        <w:tblPrEx>
          <w:tblCellMar>
            <w:top w:w="0" w:type="dxa"/>
            <w:bottom w:w="0" w:type="dxa"/>
          </w:tblCellMar>
        </w:tblPrEx>
        <w:tc>
          <w:tcPr>
            <w:tcW w:w="3000" w:type="dxa"/>
            <w:tcMar>
              <w:top w:w="60" w:type="dxa"/>
              <w:left w:w="100" w:type="dxa"/>
              <w:bottom w:w="60" w:type="dxa"/>
              <w:right w:w="100" w:type="dxa"/>
            </w:tcMar>
          </w:tcPr>
          <w:p w14:paraId="38AF14A3" w14:textId="77777777" w:rsidR="002A4A1B" w:rsidRDefault="00000000">
            <w:pPr>
              <w:spacing w:after="0" w:line="300" w:lineRule="auto"/>
            </w:pPr>
            <w:r>
              <w:rPr>
                <w:sz w:val="20"/>
              </w:rPr>
              <w:t>Charge audit compliance</w:t>
            </w:r>
          </w:p>
        </w:tc>
        <w:tc>
          <w:tcPr>
            <w:tcW w:w="3600" w:type="dxa"/>
            <w:tcMar>
              <w:top w:w="60" w:type="dxa"/>
              <w:left w:w="100" w:type="dxa"/>
              <w:bottom w:w="60" w:type="dxa"/>
              <w:right w:w="100" w:type="dxa"/>
            </w:tcMar>
          </w:tcPr>
          <w:p w14:paraId="2FB78D74" w14:textId="77777777" w:rsidR="002A4A1B" w:rsidRDefault="00000000">
            <w:pPr>
              <w:spacing w:after="0" w:line="300" w:lineRule="auto"/>
            </w:pPr>
            <w:r>
              <w:rPr>
                <w:sz w:val="20"/>
              </w:rPr>
              <w:t>100 percent reconciliation to budget</w:t>
            </w:r>
          </w:p>
        </w:tc>
        <w:tc>
          <w:tcPr>
            <w:tcW w:w="3000" w:type="dxa"/>
            <w:tcMar>
              <w:top w:w="60" w:type="dxa"/>
              <w:left w:w="100" w:type="dxa"/>
              <w:bottom w:w="60" w:type="dxa"/>
              <w:right w:w="100" w:type="dxa"/>
            </w:tcMar>
          </w:tcPr>
          <w:p w14:paraId="2FBA659F" w14:textId="77777777" w:rsidR="002A4A1B" w:rsidRDefault="00000000">
            <w:pPr>
              <w:spacing w:after="0" w:line="300" w:lineRule="auto"/>
            </w:pPr>
            <w:r>
              <w:rPr>
                <w:sz w:val="20"/>
              </w:rPr>
              <w:t>Any unreconciled material variance</w:t>
            </w:r>
          </w:p>
        </w:tc>
      </w:tr>
      <w:tr w:rsidR="002A4A1B" w14:paraId="3E9901B5" w14:textId="77777777">
        <w:tblPrEx>
          <w:tblCellMar>
            <w:top w:w="0" w:type="dxa"/>
            <w:bottom w:w="0" w:type="dxa"/>
          </w:tblCellMar>
        </w:tblPrEx>
        <w:tc>
          <w:tcPr>
            <w:tcW w:w="3000" w:type="dxa"/>
            <w:tcMar>
              <w:top w:w="60" w:type="dxa"/>
              <w:left w:w="100" w:type="dxa"/>
              <w:bottom w:w="60" w:type="dxa"/>
              <w:right w:w="100" w:type="dxa"/>
            </w:tcMar>
          </w:tcPr>
          <w:p w14:paraId="5779E95C" w14:textId="77777777" w:rsidR="002A4A1B" w:rsidRDefault="00000000">
            <w:pPr>
              <w:spacing w:after="0" w:line="300" w:lineRule="auto"/>
            </w:pPr>
            <w:r>
              <w:rPr>
                <w:sz w:val="20"/>
              </w:rPr>
              <w:t>Charge disputes per month</w:t>
            </w:r>
          </w:p>
        </w:tc>
        <w:tc>
          <w:tcPr>
            <w:tcW w:w="3600" w:type="dxa"/>
            <w:tcMar>
              <w:top w:w="60" w:type="dxa"/>
              <w:left w:w="100" w:type="dxa"/>
              <w:bottom w:w="60" w:type="dxa"/>
              <w:right w:w="100" w:type="dxa"/>
            </w:tcMar>
          </w:tcPr>
          <w:p w14:paraId="7AFA62EF" w14:textId="77777777" w:rsidR="002A4A1B" w:rsidRDefault="00000000">
            <w:pPr>
              <w:spacing w:after="0" w:line="300" w:lineRule="auto"/>
            </w:pPr>
            <w:r>
              <w:rPr>
                <w:sz w:val="20"/>
              </w:rPr>
              <w:t>5 or fewer</w:t>
            </w:r>
          </w:p>
        </w:tc>
        <w:tc>
          <w:tcPr>
            <w:tcW w:w="3000" w:type="dxa"/>
            <w:tcMar>
              <w:top w:w="60" w:type="dxa"/>
              <w:left w:w="100" w:type="dxa"/>
              <w:bottom w:w="60" w:type="dxa"/>
              <w:right w:w="100" w:type="dxa"/>
            </w:tcMar>
          </w:tcPr>
          <w:p w14:paraId="72B255F8" w14:textId="77777777" w:rsidR="002A4A1B" w:rsidRDefault="00000000">
            <w:pPr>
              <w:spacing w:after="0" w:line="300" w:lineRule="auto"/>
            </w:pPr>
            <w:r>
              <w:rPr>
                <w:sz w:val="20"/>
              </w:rPr>
              <w:t>More than 20</w:t>
            </w:r>
          </w:p>
        </w:tc>
      </w:tr>
      <w:tr w:rsidR="002A4A1B" w14:paraId="3132BCB8" w14:textId="77777777">
        <w:tblPrEx>
          <w:tblCellMar>
            <w:top w:w="0" w:type="dxa"/>
            <w:bottom w:w="0" w:type="dxa"/>
          </w:tblCellMar>
        </w:tblPrEx>
        <w:tc>
          <w:tcPr>
            <w:tcW w:w="3000" w:type="dxa"/>
            <w:tcMar>
              <w:top w:w="60" w:type="dxa"/>
              <w:left w:w="100" w:type="dxa"/>
              <w:bottom w:w="60" w:type="dxa"/>
              <w:right w:w="100" w:type="dxa"/>
            </w:tcMar>
          </w:tcPr>
          <w:p w14:paraId="0EE344EA" w14:textId="77777777" w:rsidR="002A4A1B" w:rsidRDefault="00000000">
            <w:pPr>
              <w:spacing w:after="0" w:line="300" w:lineRule="auto"/>
            </w:pPr>
            <w:r>
              <w:rPr>
                <w:sz w:val="20"/>
              </w:rPr>
              <w:t>War-risk tier movement</w:t>
            </w:r>
          </w:p>
        </w:tc>
        <w:tc>
          <w:tcPr>
            <w:tcW w:w="3600" w:type="dxa"/>
            <w:tcMar>
              <w:top w:w="60" w:type="dxa"/>
              <w:left w:w="100" w:type="dxa"/>
              <w:bottom w:w="60" w:type="dxa"/>
              <w:right w:w="100" w:type="dxa"/>
            </w:tcMar>
          </w:tcPr>
          <w:p w14:paraId="3FD77569" w14:textId="77777777" w:rsidR="002A4A1B" w:rsidRDefault="00000000">
            <w:pPr>
              <w:spacing w:after="0" w:line="300" w:lineRule="auto"/>
            </w:pPr>
            <w:r>
              <w:rPr>
                <w:sz w:val="20"/>
              </w:rPr>
              <w:t>Stable or improving on the published panel</w:t>
            </w:r>
          </w:p>
        </w:tc>
        <w:tc>
          <w:tcPr>
            <w:tcW w:w="3000" w:type="dxa"/>
            <w:tcMar>
              <w:top w:w="60" w:type="dxa"/>
              <w:left w:w="100" w:type="dxa"/>
              <w:bottom w:w="60" w:type="dxa"/>
              <w:right w:w="100" w:type="dxa"/>
            </w:tcMar>
          </w:tcPr>
          <w:p w14:paraId="47C02405" w14:textId="77777777" w:rsidR="002A4A1B" w:rsidRDefault="00000000">
            <w:pPr>
              <w:spacing w:after="0" w:line="300" w:lineRule="auto"/>
            </w:pPr>
            <w:r>
              <w:rPr>
                <w:sz w:val="20"/>
              </w:rPr>
              <w:t>Deteriorating across the audit window</w:t>
            </w:r>
          </w:p>
        </w:tc>
      </w:tr>
    </w:tbl>
    <w:p w14:paraId="027E9DB6" w14:textId="77777777" w:rsidR="002A4A1B" w:rsidRDefault="002A4A1B">
      <w:pPr>
        <w:spacing w:after="160"/>
      </w:pPr>
    </w:p>
    <w:p w14:paraId="4E7511CE" w14:textId="77777777" w:rsidR="002A4A1B" w:rsidRDefault="00000000">
      <w:pPr>
        <w:pStyle w:val="Heading2"/>
      </w:pPr>
      <w:bookmarkStart w:id="201" w:name="_Toc236929740"/>
      <w:r>
        <w:lastRenderedPageBreak/>
        <w:t>J.4 The Audit Outcomes</w:t>
      </w:r>
      <w:bookmarkEnd w:id="201"/>
    </w:p>
    <w:p w14:paraId="7C38D8A3" w14:textId="77777777" w:rsidR="002A4A1B" w:rsidRDefault="00000000">
      <w:pPr>
        <w:spacing w:after="140"/>
        <w:jc w:val="both"/>
      </w:pPr>
      <w:r>
        <w:rPr>
          <w:b/>
          <w:color w:val="1F3A44"/>
        </w:rPr>
        <w:t xml:space="preserve">J.4.1   </w:t>
      </w:r>
      <w:r>
        <w:t>Pass: every metric in the pass band, and no fail anywhere. Full Activation proceeds on schedule; the final coordinates publish; the permanent rates take effect on the published date. Conditional pass: no fail, with named metrics in the middle band. The Council adopts the annex adjustments the Chamber's report names, the pilot extends once by up to thirty days, and the named metrics re-audit on the same instruments. Fail: any metric in the fail band. The pilot continues, the fault procedure of Article 24.3 activates for the failed domain, and the re-audit follows the repair, on the published thirty-day clock.</w:t>
      </w:r>
    </w:p>
    <w:p w14:paraId="2BDBDD07" w14:textId="77777777" w:rsidR="002A4A1B" w:rsidRDefault="00000000">
      <w:pPr>
        <w:spacing w:after="140"/>
        <w:jc w:val="both"/>
      </w:pPr>
      <w:r>
        <w:rPr>
          <w:b/>
          <w:color w:val="1F3A44"/>
        </w:rPr>
        <w:t xml:space="preserve">J.4.2   </w:t>
      </w:r>
      <w:r>
        <w:t>The audit report publishes in full on the day of its adoption: every metric, every reading, every threshold, and the arithmetic between them. The market, the ministries, and the mariner read the same document, and each draws the same conclusion from it, because the numbers admit only one.</w:t>
      </w:r>
    </w:p>
    <w:p w14:paraId="2CBB1A1B" w14:textId="77777777" w:rsidR="002A4A1B" w:rsidRDefault="00000000">
      <w:pPr>
        <w:pStyle w:val="Heading1"/>
      </w:pPr>
      <w:bookmarkStart w:id="202" w:name="_Toc236929741"/>
      <w:r>
        <w:lastRenderedPageBreak/>
        <w:t>Annex K: The Simultaneous Announcement Protocol</w:t>
      </w:r>
      <w:bookmarkEnd w:id="202"/>
    </w:p>
    <w:p w14:paraId="20E53901" w14:textId="77777777" w:rsidR="002A4A1B" w:rsidRDefault="00000000">
      <w:pPr>
        <w:spacing w:after="140"/>
        <w:jc w:val="both"/>
      </w:pPr>
      <w:r>
        <w:t>This Annex carries the communications discipline of the Framework. Its premise, drawn from the joint secretariat practice of the 2026 instruments: divergent narratives kill agreements faster than divergent interests. The protocol therefore scripts every public milestone so that every capital announces the same fact at the same hour in its own words, truthfully, without contradiction. Truthful duality, engineered.</w:t>
      </w:r>
    </w:p>
    <w:p w14:paraId="14C8A1E0" w14:textId="77777777" w:rsidR="002A4A1B" w:rsidRDefault="00000000">
      <w:pPr>
        <w:pStyle w:val="Heading2"/>
      </w:pPr>
      <w:bookmarkStart w:id="203" w:name="_Toc236929742"/>
      <w:r>
        <w:t>K.1 The Joint Secretariat for Announcements</w:t>
      </w:r>
      <w:bookmarkEnd w:id="203"/>
    </w:p>
    <w:p w14:paraId="6FF6BEED" w14:textId="77777777" w:rsidR="002A4A1B" w:rsidRDefault="00000000">
      <w:pPr>
        <w:spacing w:after="140"/>
        <w:jc w:val="both"/>
      </w:pPr>
      <w:r>
        <w:rPr>
          <w:b/>
          <w:color w:val="1F3A44"/>
        </w:rPr>
        <w:t xml:space="preserve">K.1.1   </w:t>
      </w:r>
      <w:r>
        <w:t>The Joint Secretariat for Announcements comprises one communications officer from each Founding Party, one from the Neutral Administrator, and one from each Supporting Facilitator. It maintains the announcement calendar, drafts the joint statements, schedules the simultaneous releases, and holds the standing embargo list of accredited outlets on both coasts and internationally.</w:t>
      </w:r>
    </w:p>
    <w:p w14:paraId="68077EE9" w14:textId="77777777" w:rsidR="002A4A1B" w:rsidRDefault="00000000">
      <w:pPr>
        <w:spacing w:after="140"/>
        <w:jc w:val="both"/>
      </w:pPr>
      <w:r>
        <w:rPr>
          <w:b/>
          <w:color w:val="1F3A44"/>
        </w:rPr>
        <w:t xml:space="preserve">K.1.2   </w:t>
      </w:r>
      <w:r>
        <w:t>Every milestone announcement releases at an agreed hour, agreed in advance, across every participating capital, in the three authentic languages, from each government's own channels. No government previews, pre-briefs, or characterizes any milestone ahead of the agreed hour, and the embargo log records compliance.</w:t>
      </w:r>
    </w:p>
    <w:p w14:paraId="029C9162" w14:textId="77777777" w:rsidR="002A4A1B" w:rsidRDefault="00000000">
      <w:pPr>
        <w:pStyle w:val="Heading2"/>
      </w:pPr>
      <w:bookmarkStart w:id="204" w:name="_Toc236929743"/>
      <w:r>
        <w:t>K.2 The Joint Statement Method</w:t>
      </w:r>
      <w:bookmarkEnd w:id="204"/>
    </w:p>
    <w:p w14:paraId="4B81FCD2" w14:textId="77777777" w:rsidR="002A4A1B" w:rsidRDefault="00000000">
      <w:pPr>
        <w:spacing w:after="140"/>
        <w:jc w:val="both"/>
      </w:pPr>
      <w:r>
        <w:rPr>
          <w:b/>
          <w:color w:val="1F3A44"/>
        </w:rPr>
        <w:t xml:space="preserve">K.2.1   </w:t>
      </w:r>
      <w:r>
        <w:t>Each joint statement drafts in three layers: the operative facts, stated identically in every version, word for word; the national characterizations, stated separately under each government's own heading, each free to speak in its own voice within the truthful duality rule; and the technical annex, published identically everywhere. The facts bind everyone; the voices belong to each capital; the duality rule binds only this: no characterization contradicts any operative fact.</w:t>
      </w:r>
    </w:p>
    <w:p w14:paraId="54CCE22D" w14:textId="77777777" w:rsidR="002A4A1B" w:rsidRDefault="00000000">
      <w:pPr>
        <w:spacing w:after="140"/>
        <w:jc w:val="both"/>
      </w:pPr>
      <w:r>
        <w:rPr>
          <w:b/>
          <w:color w:val="1F3A44"/>
        </w:rPr>
        <w:t xml:space="preserve">K.2.2   </w:t>
      </w:r>
      <w:r>
        <w:t>The first joint statement, the Signature Statement, follows the settled pattern: it announces the Framework, the activation sequence, the humanitarian corridor's priority, and the economic calendar, in that order, with the corridor map attached. The Secretariat maintains the running text of every scheduled statement ninety days ahead, so no milestone ever improvises its public face.</w:t>
      </w:r>
    </w:p>
    <w:p w14:paraId="530DB9AE" w14:textId="77777777" w:rsidR="002A4A1B" w:rsidRDefault="00000000">
      <w:pPr>
        <w:pStyle w:val="Heading2"/>
      </w:pPr>
      <w:bookmarkStart w:id="205" w:name="_Toc236929744"/>
      <w:r>
        <w:t>K.3 The Synchronized Performance Calendar</w:t>
      </w:r>
      <w:bookmarkEnd w:id="205"/>
    </w:p>
    <w:p w14:paraId="5099202D" w14:textId="77777777" w:rsidR="002A4A1B" w:rsidRDefault="00000000">
      <w:pPr>
        <w:spacing w:after="140"/>
        <w:jc w:val="both"/>
      </w:pPr>
      <w:r>
        <w:rPr>
          <w:b/>
          <w:color w:val="1F3A44"/>
        </w:rPr>
        <w:t xml:space="preserve">K.3.1   </w:t>
      </w:r>
      <w:r>
        <w:t xml:space="preserve">Paired obligations execute on the same day at the same hour: deposit of ratifications and the launch of Phase One; corridor activations and their insurer notifications; the first distribution and the </w:t>
      </w:r>
      <w:r>
        <w:lastRenderedPageBreak/>
        <w:t>first published audit; each economic-calendar step and its paired maritime milestone. The calendar publishes a year ahead and updates quarterly, and each pairing exists to retire the question of who moves first: everyone moves together, on the clock, in public.</w:t>
      </w:r>
    </w:p>
    <w:p w14:paraId="1D7441A1" w14:textId="77777777" w:rsidR="002A4A1B" w:rsidRDefault="00000000">
      <w:pPr>
        <w:pStyle w:val="Heading2"/>
      </w:pPr>
      <w:bookmarkStart w:id="206" w:name="_Toc236929745"/>
      <w:r>
        <w:t>K.4 Crisis Communications</w:t>
      </w:r>
      <w:bookmarkEnd w:id="206"/>
    </w:p>
    <w:p w14:paraId="10068AD1" w14:textId="77777777" w:rsidR="002A4A1B" w:rsidRDefault="00000000">
      <w:pPr>
        <w:spacing w:after="140"/>
        <w:jc w:val="both"/>
      </w:pPr>
      <w:r>
        <w:rPr>
          <w:b/>
          <w:color w:val="1F3A44"/>
        </w:rPr>
        <w:t xml:space="preserve">K.4.1   </w:t>
      </w:r>
      <w:r>
        <w:t>On any crisis procedure activation under Article 24, the Secretariat issues the standing crisis statement within six hours: the facts, the corridor status, the humanitarian corridor's continuation, and the next scheduled update. The statement speaks for the system, not for any government, and its speed exists to outrun rumor, which is the fastest-moving hazard in any maritime crisis.</w:t>
      </w:r>
    </w:p>
    <w:p w14:paraId="660838C8" w14:textId="77777777" w:rsidR="002A4A1B" w:rsidRDefault="00000000">
      <w:pPr>
        <w:pStyle w:val="Heading1"/>
      </w:pPr>
      <w:bookmarkStart w:id="207" w:name="_Toc236929746"/>
      <w:r>
        <w:lastRenderedPageBreak/>
        <w:t>Annex L: The Humanitarian Corridor Protocol</w:t>
      </w:r>
      <w:bookmarkEnd w:id="207"/>
    </w:p>
    <w:p w14:paraId="64774E16" w14:textId="77777777" w:rsidR="002A4A1B" w:rsidRDefault="00000000">
      <w:pPr>
        <w:pStyle w:val="Heading2"/>
      </w:pPr>
      <w:bookmarkStart w:id="208" w:name="_Toc236929747"/>
      <w:r>
        <w:t>L.1 The Protected Cargo Schedule</w:t>
      </w:r>
      <w:bookmarkEnd w:id="208"/>
    </w:p>
    <w:p w14:paraId="4FFB7E61" w14:textId="77777777" w:rsidR="002A4A1B" w:rsidRDefault="00000000">
      <w:pPr>
        <w:spacing w:after="140"/>
        <w:jc w:val="both"/>
      </w:pPr>
      <w:r>
        <w:rPr>
          <w:b/>
          <w:color w:val="1F3A44"/>
        </w:rPr>
        <w:t xml:space="preserve">L.1.1   </w:t>
      </w:r>
      <w:r>
        <w:t>The protected schedule lists: food and food ingredients; medicines, vaccines, and medical devices; water and sanitation supplies; seeds, fertilizer, and agricultural inputs; civilian shelter materials; and any cargo the humanitarian agencies certify under the standing certification procedure. The schedule expands by Council consensus and never contracts by fewer than consensus of both Founding Parties.</w:t>
      </w:r>
    </w:p>
    <w:p w14:paraId="7E2C27A6" w14:textId="77777777" w:rsidR="002A4A1B" w:rsidRDefault="00000000">
      <w:pPr>
        <w:pStyle w:val="Heading2"/>
      </w:pPr>
      <w:bookmarkStart w:id="209" w:name="_Toc236929748"/>
      <w:r>
        <w:t>L.2 Pre-Clearance</w:t>
      </w:r>
      <w:bookmarkEnd w:id="209"/>
    </w:p>
    <w:p w14:paraId="7EFA1864" w14:textId="77777777" w:rsidR="002A4A1B" w:rsidRDefault="00000000">
      <w:pPr>
        <w:spacing w:after="140"/>
        <w:jc w:val="both"/>
      </w:pPr>
      <w:r>
        <w:rPr>
          <w:b/>
          <w:color w:val="1F3A44"/>
        </w:rPr>
        <w:t xml:space="preserve">L.2.1   </w:t>
      </w:r>
      <w:r>
        <w:t>Humanitarian cargoes clear on documentation review alone: the manifest, the certification where applicable, and the consignee declaration, filed seventy-two hours ahead where practicable and accepted at any hour where not. The review confirms the schedule classification and nothing more; it inspects cargo only on specific, documented, articulable cause logged with the Verification Chamber, and the log publishes monthly in aggregate.</w:t>
      </w:r>
    </w:p>
    <w:p w14:paraId="5B86B5BA" w14:textId="77777777" w:rsidR="002A4A1B" w:rsidRDefault="00000000">
      <w:pPr>
        <w:spacing w:after="140"/>
        <w:jc w:val="both"/>
      </w:pPr>
      <w:r>
        <w:rPr>
          <w:b/>
          <w:color w:val="1F3A44"/>
        </w:rPr>
        <w:t xml:space="preserve">L.2.2   </w:t>
      </w:r>
      <w:r>
        <w:t>Clearance decisions land within four hours of filing, around the clock. A filing that receives no decision in four hours clears by default, and the delay logs against the system. The architecture inherits the hard lesson of the wartime vetting regime: procedural access that stalls is not access, so this protocol builds the stall out of the machine.</w:t>
      </w:r>
    </w:p>
    <w:p w14:paraId="59F69515" w14:textId="77777777" w:rsidR="002A4A1B" w:rsidRDefault="00000000">
      <w:pPr>
        <w:pStyle w:val="Heading2"/>
      </w:pPr>
      <w:bookmarkStart w:id="210" w:name="_Toc236929749"/>
      <w:r>
        <w:t>L.3 The Standing Window and Priority</w:t>
      </w:r>
      <w:bookmarkEnd w:id="210"/>
    </w:p>
    <w:p w14:paraId="63C231C6" w14:textId="77777777" w:rsidR="002A4A1B" w:rsidRDefault="00000000">
      <w:pPr>
        <w:spacing w:after="140"/>
        <w:jc w:val="both"/>
      </w:pPr>
      <w:r>
        <w:rPr>
          <w:b/>
          <w:color w:val="1F3A44"/>
        </w:rPr>
        <w:t xml:space="preserve">L.3.1   </w:t>
      </w:r>
      <w:r>
        <w:t>The standing humanitarian window sails weekly under Line Four's reserved first window, free of every charge, with priority gates, priority berthing, and escort on request at zero margin. Between windows, humanitarian vessels transit on the next available slot in any corridor, ahead of every commercial queue, under the same zero-charge rule.</w:t>
      </w:r>
    </w:p>
    <w:p w14:paraId="2BFC6F65" w14:textId="77777777" w:rsidR="002A4A1B" w:rsidRDefault="00000000">
      <w:pPr>
        <w:pStyle w:val="Heading2"/>
      </w:pPr>
      <w:bookmarkStart w:id="211" w:name="_Toc236929750"/>
      <w:r>
        <w:t>L.4 The Evacuation Playbook</w:t>
      </w:r>
      <w:bookmarkEnd w:id="211"/>
    </w:p>
    <w:p w14:paraId="0E4A2FD7" w14:textId="77777777" w:rsidR="002A4A1B" w:rsidRDefault="00000000">
      <w:pPr>
        <w:spacing w:after="140"/>
        <w:jc w:val="both"/>
      </w:pPr>
      <w:r>
        <w:rPr>
          <w:b/>
          <w:color w:val="1F3A44"/>
        </w:rPr>
        <w:t xml:space="preserve">L.4.1   </w:t>
      </w:r>
      <w:r>
        <w:t>The playbook codifies the lessons of the 2026 evacuation operation into standing procedure: the phased group system for mass movements, the crew welfare chain of family and flag-state notification, medical reception at both coasts, and the repatriation logistics funded from the safety commons. On any crisis activation, the playbook opens at its first page and runs, because seafarers are the Framework's first constituency and its least protected one in every war.</w:t>
      </w:r>
    </w:p>
    <w:p w14:paraId="4F19FCC8" w14:textId="77777777" w:rsidR="002A4A1B" w:rsidRDefault="00000000">
      <w:pPr>
        <w:pStyle w:val="Heading1"/>
      </w:pPr>
      <w:bookmarkStart w:id="212" w:name="_Toc236929751"/>
      <w:r>
        <w:lastRenderedPageBreak/>
        <w:t>Annex M: Definitions and the Language Reconciliation Protocol</w:t>
      </w:r>
      <w:bookmarkEnd w:id="212"/>
    </w:p>
    <w:p w14:paraId="33036EE8" w14:textId="77777777" w:rsidR="002A4A1B" w:rsidRDefault="00000000">
      <w:pPr>
        <w:pStyle w:val="Heading2"/>
      </w:pPr>
      <w:bookmarkStart w:id="213" w:name="_Toc236929752"/>
      <w:r>
        <w:t>M.1 Definitions</w:t>
      </w:r>
      <w:bookmarkEnd w:id="213"/>
    </w:p>
    <w:tbl>
      <w:tblPr>
        <w:tblW w:w="5000" w:type="pct"/>
        <w:tblInd w:w="100" w:type="dxa"/>
        <w:tblBorders>
          <w:top w:val="single" w:sz="12" w:space="0" w:color="1F3A44"/>
          <w:left w:val="nil"/>
          <w:bottom w:val="single" w:sz="12" w:space="0" w:color="1F3A44"/>
          <w:right w:val="nil"/>
          <w:insideH w:val="single" w:sz="2" w:space="0" w:color="B9C8CC"/>
          <w:insideV w:val="nil"/>
        </w:tblBorders>
        <w:tblCellMar>
          <w:left w:w="10" w:type="dxa"/>
          <w:right w:w="10" w:type="dxa"/>
        </w:tblCellMar>
        <w:tblLook w:val="04A0" w:firstRow="1" w:lastRow="0" w:firstColumn="1" w:lastColumn="0" w:noHBand="0" w:noVBand="1"/>
      </w:tblPr>
      <w:tblGrid>
        <w:gridCol w:w="2718"/>
        <w:gridCol w:w="6508"/>
      </w:tblGrid>
      <w:tr w:rsidR="002A4A1B" w14:paraId="2006E87D" w14:textId="77777777">
        <w:tblPrEx>
          <w:tblCellMar>
            <w:top w:w="0" w:type="dxa"/>
            <w:bottom w:w="0" w:type="dxa"/>
          </w:tblCellMar>
        </w:tblPrEx>
        <w:trPr>
          <w:tblHeader/>
        </w:trPr>
        <w:tc>
          <w:tcPr>
            <w:tcW w:w="2800" w:type="dxa"/>
            <w:tcBorders>
              <w:bottom w:val="single" w:sz="6" w:space="0" w:color="2F5560"/>
            </w:tcBorders>
            <w:shd w:val="clear" w:color="auto" w:fill="E7EEF0"/>
            <w:tcMar>
              <w:top w:w="60" w:type="dxa"/>
              <w:left w:w="100" w:type="dxa"/>
              <w:bottom w:w="60" w:type="dxa"/>
              <w:right w:w="100" w:type="dxa"/>
            </w:tcMar>
          </w:tcPr>
          <w:p w14:paraId="25C2837D" w14:textId="77777777" w:rsidR="002A4A1B" w:rsidRDefault="00000000">
            <w:pPr>
              <w:spacing w:after="0" w:line="300" w:lineRule="auto"/>
            </w:pPr>
            <w:r>
              <w:rPr>
                <w:b/>
                <w:color w:val="1F3A44"/>
                <w:sz w:val="20"/>
              </w:rPr>
              <w:t>Term</w:t>
            </w:r>
          </w:p>
        </w:tc>
        <w:tc>
          <w:tcPr>
            <w:tcW w:w="6800" w:type="dxa"/>
            <w:tcBorders>
              <w:bottom w:val="single" w:sz="6" w:space="0" w:color="2F5560"/>
            </w:tcBorders>
            <w:shd w:val="clear" w:color="auto" w:fill="E7EEF0"/>
            <w:tcMar>
              <w:top w:w="60" w:type="dxa"/>
              <w:left w:w="100" w:type="dxa"/>
              <w:bottom w:w="60" w:type="dxa"/>
              <w:right w:w="100" w:type="dxa"/>
            </w:tcMar>
          </w:tcPr>
          <w:p w14:paraId="323B17A5" w14:textId="77777777" w:rsidR="002A4A1B" w:rsidRDefault="00000000">
            <w:pPr>
              <w:spacing w:after="0" w:line="300" w:lineRule="auto"/>
            </w:pPr>
            <w:r>
              <w:rPr>
                <w:b/>
                <w:color w:val="1F3A44"/>
                <w:sz w:val="20"/>
              </w:rPr>
              <w:t>Meaning</w:t>
            </w:r>
          </w:p>
        </w:tc>
      </w:tr>
      <w:tr w:rsidR="002A4A1B" w14:paraId="7AA9D479" w14:textId="77777777">
        <w:tblPrEx>
          <w:tblCellMar>
            <w:top w:w="0" w:type="dxa"/>
            <w:bottom w:w="0" w:type="dxa"/>
          </w:tblCellMar>
        </w:tblPrEx>
        <w:tc>
          <w:tcPr>
            <w:tcW w:w="2800" w:type="dxa"/>
            <w:tcMar>
              <w:top w:w="60" w:type="dxa"/>
              <w:left w:w="100" w:type="dxa"/>
              <w:bottom w:w="60" w:type="dxa"/>
              <w:right w:w="100" w:type="dxa"/>
            </w:tcMar>
          </w:tcPr>
          <w:p w14:paraId="4411CB31" w14:textId="77777777" w:rsidR="002A4A1B" w:rsidRDefault="00000000">
            <w:pPr>
              <w:spacing w:after="0" w:line="300" w:lineRule="auto"/>
            </w:pPr>
            <w:r>
              <w:rPr>
                <w:sz w:val="20"/>
              </w:rPr>
              <w:t>Amn Buffer</w:t>
            </w:r>
          </w:p>
        </w:tc>
        <w:tc>
          <w:tcPr>
            <w:tcW w:w="6800" w:type="dxa"/>
            <w:tcMar>
              <w:top w:w="60" w:type="dxa"/>
              <w:left w:w="100" w:type="dxa"/>
              <w:bottom w:w="60" w:type="dxa"/>
              <w:right w:w="100" w:type="dxa"/>
            </w:tcMar>
          </w:tcPr>
          <w:p w14:paraId="79ACF116" w14:textId="77777777" w:rsidR="002A4A1B" w:rsidRDefault="00000000">
            <w:pPr>
              <w:spacing w:after="0" w:line="300" w:lineRule="auto"/>
            </w:pPr>
            <w:r>
              <w:rPr>
                <w:sz w:val="20"/>
              </w:rPr>
              <w:t>The central corridor between the Payedar and Sobat Corridors, reserved for emergency diversion, mine-risk avoidance, naval deconfliction, and search and rescue routing</w:t>
            </w:r>
          </w:p>
        </w:tc>
      </w:tr>
      <w:tr w:rsidR="002A4A1B" w14:paraId="799EACAB" w14:textId="77777777">
        <w:tblPrEx>
          <w:tblCellMar>
            <w:top w:w="0" w:type="dxa"/>
            <w:bottom w:w="0" w:type="dxa"/>
          </w:tblCellMar>
        </w:tblPrEx>
        <w:tc>
          <w:tcPr>
            <w:tcW w:w="2800" w:type="dxa"/>
            <w:tcMar>
              <w:top w:w="60" w:type="dxa"/>
              <w:left w:w="100" w:type="dxa"/>
              <w:bottom w:w="60" w:type="dxa"/>
              <w:right w:w="100" w:type="dxa"/>
            </w:tcMar>
          </w:tcPr>
          <w:p w14:paraId="60490CFB" w14:textId="77777777" w:rsidR="002A4A1B" w:rsidRDefault="00000000">
            <w:pPr>
              <w:spacing w:after="0" w:line="300" w:lineRule="auto"/>
            </w:pPr>
            <w:r>
              <w:rPr>
                <w:sz w:val="20"/>
              </w:rPr>
              <w:t>Authority</w:t>
            </w:r>
          </w:p>
        </w:tc>
        <w:tc>
          <w:tcPr>
            <w:tcW w:w="6800" w:type="dxa"/>
            <w:tcMar>
              <w:top w:w="60" w:type="dxa"/>
              <w:left w:w="100" w:type="dxa"/>
              <w:bottom w:w="60" w:type="dxa"/>
              <w:right w:w="100" w:type="dxa"/>
            </w:tcMar>
          </w:tcPr>
          <w:p w14:paraId="6D83F018" w14:textId="77777777" w:rsidR="002A4A1B" w:rsidRDefault="00000000">
            <w:pPr>
              <w:spacing w:after="0" w:line="300" w:lineRule="auto"/>
            </w:pPr>
            <w:r>
              <w:rPr>
                <w:sz w:val="20"/>
              </w:rPr>
              <w:t>The Sobat Payedar Authority established by Article 10</w:t>
            </w:r>
          </w:p>
        </w:tc>
      </w:tr>
      <w:tr w:rsidR="002A4A1B" w14:paraId="6EF11F6B" w14:textId="77777777">
        <w:tblPrEx>
          <w:tblCellMar>
            <w:top w:w="0" w:type="dxa"/>
            <w:bottom w:w="0" w:type="dxa"/>
          </w:tblCellMar>
        </w:tblPrEx>
        <w:tc>
          <w:tcPr>
            <w:tcW w:w="2800" w:type="dxa"/>
            <w:tcMar>
              <w:top w:w="60" w:type="dxa"/>
              <w:left w:w="100" w:type="dxa"/>
              <w:bottom w:w="60" w:type="dxa"/>
              <w:right w:w="100" w:type="dxa"/>
            </w:tcMar>
          </w:tcPr>
          <w:p w14:paraId="57532850" w14:textId="77777777" w:rsidR="002A4A1B" w:rsidRDefault="00000000">
            <w:pPr>
              <w:spacing w:after="0" w:line="300" w:lineRule="auto"/>
            </w:pPr>
            <w:r>
              <w:rPr>
                <w:sz w:val="20"/>
              </w:rPr>
              <w:t>Balance Ratio</w:t>
            </w:r>
          </w:p>
        </w:tc>
        <w:tc>
          <w:tcPr>
            <w:tcW w:w="6800" w:type="dxa"/>
            <w:tcMar>
              <w:top w:w="60" w:type="dxa"/>
              <w:left w:w="100" w:type="dxa"/>
              <w:bottom w:w="60" w:type="dxa"/>
              <w:right w:w="100" w:type="dxa"/>
            </w:tcMar>
          </w:tcPr>
          <w:p w14:paraId="2C3E5935" w14:textId="77777777" w:rsidR="002A4A1B" w:rsidRDefault="00000000">
            <w:pPr>
              <w:spacing w:after="0" w:line="300" w:lineRule="auto"/>
            </w:pPr>
            <w:r>
              <w:rPr>
                <w:sz w:val="20"/>
              </w:rPr>
              <w:t>A Party's rolling 180-day verification credits divided by its verification debits, as Annex F computes</w:t>
            </w:r>
          </w:p>
        </w:tc>
      </w:tr>
      <w:tr w:rsidR="002A4A1B" w14:paraId="5811AA1D" w14:textId="77777777">
        <w:tblPrEx>
          <w:tblCellMar>
            <w:top w:w="0" w:type="dxa"/>
            <w:bottom w:w="0" w:type="dxa"/>
          </w:tblCellMar>
        </w:tblPrEx>
        <w:tc>
          <w:tcPr>
            <w:tcW w:w="2800" w:type="dxa"/>
            <w:tcMar>
              <w:top w:w="60" w:type="dxa"/>
              <w:left w:w="100" w:type="dxa"/>
              <w:bottom w:w="60" w:type="dxa"/>
              <w:right w:w="100" w:type="dxa"/>
            </w:tcMar>
          </w:tcPr>
          <w:p w14:paraId="334F2B8E" w14:textId="77777777" w:rsidR="002A4A1B" w:rsidRDefault="00000000">
            <w:pPr>
              <w:spacing w:after="0" w:line="300" w:lineRule="auto"/>
            </w:pPr>
            <w:r>
              <w:rPr>
                <w:sz w:val="20"/>
              </w:rPr>
              <w:t>Beacon Certificate</w:t>
            </w:r>
          </w:p>
        </w:tc>
        <w:tc>
          <w:tcPr>
            <w:tcW w:w="6800" w:type="dxa"/>
            <w:tcMar>
              <w:top w:w="60" w:type="dxa"/>
              <w:left w:w="100" w:type="dxa"/>
              <w:bottom w:w="60" w:type="dxa"/>
              <w:right w:w="100" w:type="dxa"/>
            </w:tcMar>
          </w:tcPr>
          <w:p w14:paraId="7F46BEC6" w14:textId="77777777" w:rsidR="002A4A1B" w:rsidRDefault="00000000">
            <w:pPr>
              <w:spacing w:after="0" w:line="300" w:lineRule="auto"/>
            </w:pPr>
            <w:r>
              <w:rPr>
                <w:sz w:val="20"/>
              </w:rPr>
              <w:t>The Authority's published certification that a defined body of water meets the Framework safety standard on a stated date</w:t>
            </w:r>
          </w:p>
        </w:tc>
      </w:tr>
      <w:tr w:rsidR="002A4A1B" w14:paraId="6AD0C091" w14:textId="77777777">
        <w:tblPrEx>
          <w:tblCellMar>
            <w:top w:w="0" w:type="dxa"/>
            <w:bottom w:w="0" w:type="dxa"/>
          </w:tblCellMar>
        </w:tblPrEx>
        <w:tc>
          <w:tcPr>
            <w:tcW w:w="2800" w:type="dxa"/>
            <w:tcMar>
              <w:top w:w="60" w:type="dxa"/>
              <w:left w:w="100" w:type="dxa"/>
              <w:bottom w:w="60" w:type="dxa"/>
              <w:right w:w="100" w:type="dxa"/>
            </w:tcMar>
          </w:tcPr>
          <w:p w14:paraId="38B801DD" w14:textId="77777777" w:rsidR="002A4A1B" w:rsidRDefault="00000000">
            <w:pPr>
              <w:spacing w:after="0" w:line="300" w:lineRule="auto"/>
            </w:pPr>
            <w:r>
              <w:rPr>
                <w:sz w:val="20"/>
              </w:rPr>
              <w:t>Circle of Friends</w:t>
            </w:r>
          </w:p>
        </w:tc>
        <w:tc>
          <w:tcPr>
            <w:tcW w:w="6800" w:type="dxa"/>
            <w:tcMar>
              <w:top w:w="60" w:type="dxa"/>
              <w:left w:w="100" w:type="dxa"/>
              <w:bottom w:w="60" w:type="dxa"/>
              <w:right w:w="100" w:type="dxa"/>
            </w:tcMar>
          </w:tcPr>
          <w:p w14:paraId="062C4146" w14:textId="77777777" w:rsidR="002A4A1B" w:rsidRDefault="00000000">
            <w:pPr>
              <w:spacing w:after="0" w:line="300" w:lineRule="auto"/>
            </w:pPr>
            <w:r>
              <w:rPr>
                <w:sz w:val="20"/>
              </w:rPr>
              <w:t>The observer states and organizations of Article 2.3</w:t>
            </w:r>
          </w:p>
        </w:tc>
      </w:tr>
      <w:tr w:rsidR="002A4A1B" w14:paraId="5846BD0A" w14:textId="77777777">
        <w:tblPrEx>
          <w:tblCellMar>
            <w:top w:w="0" w:type="dxa"/>
            <w:bottom w:w="0" w:type="dxa"/>
          </w:tblCellMar>
        </w:tblPrEx>
        <w:tc>
          <w:tcPr>
            <w:tcW w:w="2800" w:type="dxa"/>
            <w:tcMar>
              <w:top w:w="60" w:type="dxa"/>
              <w:left w:w="100" w:type="dxa"/>
              <w:bottom w:w="60" w:type="dxa"/>
              <w:right w:w="100" w:type="dxa"/>
            </w:tcMar>
          </w:tcPr>
          <w:p w14:paraId="657865F9" w14:textId="77777777" w:rsidR="002A4A1B" w:rsidRDefault="00000000">
            <w:pPr>
              <w:spacing w:after="0" w:line="300" w:lineRule="auto"/>
            </w:pPr>
            <w:r>
              <w:rPr>
                <w:sz w:val="20"/>
              </w:rPr>
              <w:t>Coastal Party</w:t>
            </w:r>
          </w:p>
        </w:tc>
        <w:tc>
          <w:tcPr>
            <w:tcW w:w="6800" w:type="dxa"/>
            <w:tcMar>
              <w:top w:w="60" w:type="dxa"/>
              <w:left w:w="100" w:type="dxa"/>
              <w:bottom w:w="60" w:type="dxa"/>
              <w:right w:w="100" w:type="dxa"/>
            </w:tcMar>
          </w:tcPr>
          <w:p w14:paraId="56ECDF7E" w14:textId="77777777" w:rsidR="002A4A1B" w:rsidRDefault="00000000">
            <w:pPr>
              <w:spacing w:after="0" w:line="300" w:lineRule="auto"/>
            </w:pPr>
            <w:r>
              <w:rPr>
                <w:sz w:val="20"/>
              </w:rPr>
              <w:t>A state acceding under Article 2.2</w:t>
            </w:r>
          </w:p>
        </w:tc>
      </w:tr>
      <w:tr w:rsidR="002A4A1B" w14:paraId="069E086A" w14:textId="77777777">
        <w:tblPrEx>
          <w:tblCellMar>
            <w:top w:w="0" w:type="dxa"/>
            <w:bottom w:w="0" w:type="dxa"/>
          </w:tblCellMar>
        </w:tblPrEx>
        <w:tc>
          <w:tcPr>
            <w:tcW w:w="2800" w:type="dxa"/>
            <w:tcMar>
              <w:top w:w="60" w:type="dxa"/>
              <w:left w:w="100" w:type="dxa"/>
              <w:bottom w:w="60" w:type="dxa"/>
              <w:right w:w="100" w:type="dxa"/>
            </w:tcMar>
          </w:tcPr>
          <w:p w14:paraId="2CCF016D" w14:textId="77777777" w:rsidR="002A4A1B" w:rsidRDefault="00000000">
            <w:pPr>
              <w:spacing w:after="0" w:line="300" w:lineRule="auto"/>
            </w:pPr>
            <w:r>
              <w:rPr>
                <w:sz w:val="20"/>
              </w:rPr>
              <w:t>Corridor Desk</w:t>
            </w:r>
          </w:p>
        </w:tc>
        <w:tc>
          <w:tcPr>
            <w:tcW w:w="6800" w:type="dxa"/>
            <w:tcMar>
              <w:top w:w="60" w:type="dxa"/>
              <w:left w:w="100" w:type="dxa"/>
              <w:bottom w:w="60" w:type="dxa"/>
              <w:right w:w="100" w:type="dxa"/>
            </w:tcMar>
          </w:tcPr>
          <w:p w14:paraId="1C766F71" w14:textId="77777777" w:rsidR="002A4A1B" w:rsidRDefault="00000000">
            <w:pPr>
              <w:spacing w:after="0" w:line="300" w:lineRule="auto"/>
            </w:pPr>
            <w:r>
              <w:rPr>
                <w:sz w:val="20"/>
              </w:rPr>
              <w:t>The functional administration desk of a corridor inside the Fusion Center, mirrored at Bandar Abbas</w:t>
            </w:r>
          </w:p>
        </w:tc>
      </w:tr>
      <w:tr w:rsidR="002A4A1B" w14:paraId="50787269" w14:textId="77777777">
        <w:tblPrEx>
          <w:tblCellMar>
            <w:top w:w="0" w:type="dxa"/>
            <w:bottom w:w="0" w:type="dxa"/>
          </w:tblCellMar>
        </w:tblPrEx>
        <w:tc>
          <w:tcPr>
            <w:tcW w:w="2800" w:type="dxa"/>
            <w:tcMar>
              <w:top w:w="60" w:type="dxa"/>
              <w:left w:w="100" w:type="dxa"/>
              <w:bottom w:w="60" w:type="dxa"/>
              <w:right w:w="100" w:type="dxa"/>
            </w:tcMar>
          </w:tcPr>
          <w:p w14:paraId="77B56D1F" w14:textId="77777777" w:rsidR="002A4A1B" w:rsidRDefault="00000000">
            <w:pPr>
              <w:spacing w:after="0" w:line="300" w:lineRule="auto"/>
            </w:pPr>
            <w:r>
              <w:rPr>
                <w:sz w:val="20"/>
              </w:rPr>
              <w:t>Cothrom-Payedar Method</w:t>
            </w:r>
          </w:p>
        </w:tc>
        <w:tc>
          <w:tcPr>
            <w:tcW w:w="6800" w:type="dxa"/>
            <w:tcMar>
              <w:top w:w="60" w:type="dxa"/>
              <w:left w:w="100" w:type="dxa"/>
              <w:bottom w:w="60" w:type="dxa"/>
              <w:right w:w="100" w:type="dxa"/>
            </w:tcMar>
          </w:tcPr>
          <w:p w14:paraId="06283B52" w14:textId="77777777" w:rsidR="002A4A1B" w:rsidRDefault="00000000">
            <w:pPr>
              <w:spacing w:after="0" w:line="300" w:lineRule="auto"/>
            </w:pPr>
            <w:r>
              <w:rPr>
                <w:sz w:val="20"/>
              </w:rPr>
              <w:t>The verification method of Article 13 and Annex F</w:t>
            </w:r>
          </w:p>
        </w:tc>
      </w:tr>
      <w:tr w:rsidR="002A4A1B" w14:paraId="779A298D" w14:textId="77777777">
        <w:tblPrEx>
          <w:tblCellMar>
            <w:top w:w="0" w:type="dxa"/>
            <w:bottom w:w="0" w:type="dxa"/>
          </w:tblCellMar>
        </w:tblPrEx>
        <w:tc>
          <w:tcPr>
            <w:tcW w:w="2800" w:type="dxa"/>
            <w:tcMar>
              <w:top w:w="60" w:type="dxa"/>
              <w:left w:w="100" w:type="dxa"/>
              <w:bottom w:w="60" w:type="dxa"/>
              <w:right w:w="100" w:type="dxa"/>
            </w:tcMar>
          </w:tcPr>
          <w:p w14:paraId="37C9F3C5" w14:textId="77777777" w:rsidR="002A4A1B" w:rsidRDefault="00000000">
            <w:pPr>
              <w:spacing w:after="0" w:line="300" w:lineRule="auto"/>
            </w:pPr>
            <w:r>
              <w:rPr>
                <w:sz w:val="20"/>
              </w:rPr>
              <w:t>Demerit Matrix</w:t>
            </w:r>
          </w:p>
        </w:tc>
        <w:tc>
          <w:tcPr>
            <w:tcW w:w="6800" w:type="dxa"/>
            <w:tcMar>
              <w:top w:w="60" w:type="dxa"/>
              <w:left w:w="100" w:type="dxa"/>
              <w:bottom w:w="60" w:type="dxa"/>
              <w:right w:w="100" w:type="dxa"/>
            </w:tcMar>
          </w:tcPr>
          <w:p w14:paraId="5999AD4C" w14:textId="77777777" w:rsidR="002A4A1B" w:rsidRDefault="00000000">
            <w:pPr>
              <w:spacing w:after="0" w:line="300" w:lineRule="auto"/>
            </w:pPr>
            <w:r>
              <w:rPr>
                <w:sz w:val="20"/>
              </w:rPr>
              <w:t>The violation, point, and consequence schedule of Annex G</w:t>
            </w:r>
          </w:p>
        </w:tc>
      </w:tr>
      <w:tr w:rsidR="002A4A1B" w14:paraId="3B89477F" w14:textId="77777777">
        <w:tblPrEx>
          <w:tblCellMar>
            <w:top w:w="0" w:type="dxa"/>
            <w:bottom w:w="0" w:type="dxa"/>
          </w:tblCellMar>
        </w:tblPrEx>
        <w:tc>
          <w:tcPr>
            <w:tcW w:w="2800" w:type="dxa"/>
            <w:tcMar>
              <w:top w:w="60" w:type="dxa"/>
              <w:left w:w="100" w:type="dxa"/>
              <w:bottom w:w="60" w:type="dxa"/>
              <w:right w:w="100" w:type="dxa"/>
            </w:tcMar>
          </w:tcPr>
          <w:p w14:paraId="70390A78" w14:textId="77777777" w:rsidR="002A4A1B" w:rsidRDefault="00000000">
            <w:pPr>
              <w:spacing w:after="0" w:line="300" w:lineRule="auto"/>
            </w:pPr>
            <w:r>
              <w:rPr>
                <w:sz w:val="20"/>
              </w:rPr>
              <w:t>Dual-key rule</w:t>
            </w:r>
          </w:p>
        </w:tc>
        <w:tc>
          <w:tcPr>
            <w:tcW w:w="6800" w:type="dxa"/>
            <w:tcMar>
              <w:top w:w="60" w:type="dxa"/>
              <w:left w:w="100" w:type="dxa"/>
              <w:bottom w:w="60" w:type="dxa"/>
              <w:right w:w="100" w:type="dxa"/>
            </w:tcMar>
          </w:tcPr>
          <w:p w14:paraId="57538E5C" w14:textId="77777777" w:rsidR="002A4A1B" w:rsidRDefault="00000000">
            <w:pPr>
              <w:spacing w:after="0" w:line="300" w:lineRule="auto"/>
            </w:pPr>
            <w:r>
              <w:rPr>
                <w:sz w:val="20"/>
              </w:rPr>
              <w:t>The requirement that two designated keys activate a consequential security action, as Article 7.2 states</w:t>
            </w:r>
          </w:p>
        </w:tc>
      </w:tr>
      <w:tr w:rsidR="002A4A1B" w14:paraId="7D74386E" w14:textId="77777777">
        <w:tblPrEx>
          <w:tblCellMar>
            <w:top w:w="0" w:type="dxa"/>
            <w:bottom w:w="0" w:type="dxa"/>
          </w:tblCellMar>
        </w:tblPrEx>
        <w:tc>
          <w:tcPr>
            <w:tcW w:w="2800" w:type="dxa"/>
            <w:tcMar>
              <w:top w:w="60" w:type="dxa"/>
              <w:left w:w="100" w:type="dxa"/>
              <w:bottom w:w="60" w:type="dxa"/>
              <w:right w:w="100" w:type="dxa"/>
            </w:tcMar>
          </w:tcPr>
          <w:p w14:paraId="1C88B871" w14:textId="77777777" w:rsidR="002A4A1B" w:rsidRDefault="00000000">
            <w:pPr>
              <w:spacing w:after="0" w:line="300" w:lineRule="auto"/>
            </w:pPr>
            <w:r>
              <w:rPr>
                <w:sz w:val="20"/>
              </w:rPr>
              <w:t>Framework Area</w:t>
            </w:r>
          </w:p>
        </w:tc>
        <w:tc>
          <w:tcPr>
            <w:tcW w:w="6800" w:type="dxa"/>
            <w:tcMar>
              <w:top w:w="60" w:type="dxa"/>
              <w:left w:w="100" w:type="dxa"/>
              <w:bottom w:w="60" w:type="dxa"/>
              <w:right w:w="100" w:type="dxa"/>
            </w:tcMar>
          </w:tcPr>
          <w:p w14:paraId="441890B5" w14:textId="77777777" w:rsidR="002A4A1B" w:rsidRDefault="00000000">
            <w:pPr>
              <w:spacing w:after="0" w:line="300" w:lineRule="auto"/>
            </w:pPr>
            <w:r>
              <w:rPr>
                <w:sz w:val="20"/>
              </w:rPr>
              <w:t>The waters Annex A.1 defines</w:t>
            </w:r>
          </w:p>
        </w:tc>
      </w:tr>
      <w:tr w:rsidR="002A4A1B" w14:paraId="77F88D14" w14:textId="77777777">
        <w:tblPrEx>
          <w:tblCellMar>
            <w:top w:w="0" w:type="dxa"/>
            <w:bottom w:w="0" w:type="dxa"/>
          </w:tblCellMar>
        </w:tblPrEx>
        <w:tc>
          <w:tcPr>
            <w:tcW w:w="2800" w:type="dxa"/>
            <w:tcMar>
              <w:top w:w="60" w:type="dxa"/>
              <w:left w:w="100" w:type="dxa"/>
              <w:bottom w:w="60" w:type="dxa"/>
              <w:right w:w="100" w:type="dxa"/>
            </w:tcMar>
          </w:tcPr>
          <w:p w14:paraId="6EA5DB81" w14:textId="77777777" w:rsidR="002A4A1B" w:rsidRDefault="00000000">
            <w:pPr>
              <w:spacing w:after="0" w:line="300" w:lineRule="auto"/>
            </w:pPr>
            <w:r>
              <w:rPr>
                <w:sz w:val="20"/>
              </w:rPr>
              <w:t>Fusion Center</w:t>
            </w:r>
          </w:p>
        </w:tc>
        <w:tc>
          <w:tcPr>
            <w:tcW w:w="6800" w:type="dxa"/>
            <w:tcMar>
              <w:top w:w="60" w:type="dxa"/>
              <w:left w:w="100" w:type="dxa"/>
              <w:bottom w:w="60" w:type="dxa"/>
              <w:right w:w="100" w:type="dxa"/>
            </w:tcMar>
          </w:tcPr>
          <w:p w14:paraId="6BE2D454" w14:textId="77777777" w:rsidR="002A4A1B" w:rsidRDefault="00000000">
            <w:pPr>
              <w:spacing w:after="0" w:line="300" w:lineRule="auto"/>
            </w:pPr>
            <w:r>
              <w:rPr>
                <w:sz w:val="20"/>
              </w:rPr>
              <w:t>The Muscat monitoring facility of Article 11, with its Bandar Abbas Mirror</w:t>
            </w:r>
          </w:p>
        </w:tc>
      </w:tr>
      <w:tr w:rsidR="002A4A1B" w14:paraId="2298460E" w14:textId="77777777">
        <w:tblPrEx>
          <w:tblCellMar>
            <w:top w:w="0" w:type="dxa"/>
            <w:bottom w:w="0" w:type="dxa"/>
          </w:tblCellMar>
        </w:tblPrEx>
        <w:tc>
          <w:tcPr>
            <w:tcW w:w="2800" w:type="dxa"/>
            <w:tcMar>
              <w:top w:w="60" w:type="dxa"/>
              <w:left w:w="100" w:type="dxa"/>
              <w:bottom w:w="60" w:type="dxa"/>
              <w:right w:w="100" w:type="dxa"/>
            </w:tcMar>
          </w:tcPr>
          <w:p w14:paraId="15492E21" w14:textId="77777777" w:rsidR="002A4A1B" w:rsidRDefault="00000000">
            <w:pPr>
              <w:spacing w:after="0" w:line="300" w:lineRule="auto"/>
            </w:pPr>
            <w:r>
              <w:rPr>
                <w:sz w:val="20"/>
              </w:rPr>
              <w:t>Line One through Line Five</w:t>
            </w:r>
          </w:p>
        </w:tc>
        <w:tc>
          <w:tcPr>
            <w:tcW w:w="6800" w:type="dxa"/>
            <w:tcMar>
              <w:top w:w="60" w:type="dxa"/>
              <w:left w:w="100" w:type="dxa"/>
              <w:bottom w:w="60" w:type="dxa"/>
              <w:right w:w="100" w:type="dxa"/>
            </w:tcMar>
          </w:tcPr>
          <w:p w14:paraId="337B7730" w14:textId="77777777" w:rsidR="002A4A1B" w:rsidRDefault="00000000">
            <w:pPr>
              <w:spacing w:after="0" w:line="300" w:lineRule="auto"/>
            </w:pPr>
            <w:r>
              <w:rPr>
                <w:sz w:val="20"/>
              </w:rPr>
              <w:t>The five charge lines of Article 17.2 and Annex E</w:t>
            </w:r>
          </w:p>
        </w:tc>
      </w:tr>
      <w:tr w:rsidR="002A4A1B" w14:paraId="30AE2261" w14:textId="77777777">
        <w:tblPrEx>
          <w:tblCellMar>
            <w:top w:w="0" w:type="dxa"/>
            <w:bottom w:w="0" w:type="dxa"/>
          </w:tblCellMar>
        </w:tblPrEx>
        <w:tc>
          <w:tcPr>
            <w:tcW w:w="2800" w:type="dxa"/>
            <w:tcMar>
              <w:top w:w="60" w:type="dxa"/>
              <w:left w:w="100" w:type="dxa"/>
              <w:bottom w:w="60" w:type="dxa"/>
              <w:right w:w="100" w:type="dxa"/>
            </w:tcMar>
          </w:tcPr>
          <w:p w14:paraId="46C443DA" w14:textId="77777777" w:rsidR="002A4A1B" w:rsidRDefault="00000000">
            <w:pPr>
              <w:spacing w:after="0" w:line="300" w:lineRule="auto"/>
            </w:pPr>
            <w:r>
              <w:rPr>
                <w:sz w:val="20"/>
              </w:rPr>
              <w:t>MCM Group</w:t>
            </w:r>
          </w:p>
        </w:tc>
        <w:tc>
          <w:tcPr>
            <w:tcW w:w="6800" w:type="dxa"/>
            <w:tcMar>
              <w:top w:w="60" w:type="dxa"/>
              <w:left w:w="100" w:type="dxa"/>
              <w:bottom w:w="60" w:type="dxa"/>
              <w:right w:w="100" w:type="dxa"/>
            </w:tcMar>
          </w:tcPr>
          <w:p w14:paraId="726BE7F2" w14:textId="77777777" w:rsidR="002A4A1B" w:rsidRDefault="00000000">
            <w:pPr>
              <w:spacing w:after="0" w:line="300" w:lineRule="auto"/>
            </w:pPr>
            <w:r>
              <w:rPr>
                <w:sz w:val="20"/>
              </w:rPr>
              <w:t>The Mine Countermeasure Group of Article 9.2</w:t>
            </w:r>
          </w:p>
        </w:tc>
      </w:tr>
      <w:tr w:rsidR="002A4A1B" w14:paraId="59B6BE9B" w14:textId="77777777">
        <w:tblPrEx>
          <w:tblCellMar>
            <w:top w:w="0" w:type="dxa"/>
            <w:bottom w:w="0" w:type="dxa"/>
          </w:tblCellMar>
        </w:tblPrEx>
        <w:tc>
          <w:tcPr>
            <w:tcW w:w="2800" w:type="dxa"/>
            <w:tcMar>
              <w:top w:w="60" w:type="dxa"/>
              <w:left w:w="100" w:type="dxa"/>
              <w:bottom w:w="60" w:type="dxa"/>
              <w:right w:w="100" w:type="dxa"/>
            </w:tcMar>
          </w:tcPr>
          <w:p w14:paraId="2369B9A2" w14:textId="77777777" w:rsidR="002A4A1B" w:rsidRDefault="00000000">
            <w:pPr>
              <w:spacing w:after="0" w:line="300" w:lineRule="auto"/>
            </w:pPr>
            <w:r>
              <w:rPr>
                <w:sz w:val="20"/>
              </w:rPr>
              <w:t>Neutral Administrator</w:t>
            </w:r>
          </w:p>
        </w:tc>
        <w:tc>
          <w:tcPr>
            <w:tcW w:w="6800" w:type="dxa"/>
            <w:tcMar>
              <w:top w:w="60" w:type="dxa"/>
              <w:left w:w="100" w:type="dxa"/>
              <w:bottom w:w="60" w:type="dxa"/>
              <w:right w:w="100" w:type="dxa"/>
            </w:tcMar>
          </w:tcPr>
          <w:p w14:paraId="2A033FE3" w14:textId="77777777" w:rsidR="002A4A1B" w:rsidRDefault="00000000">
            <w:pPr>
              <w:spacing w:after="0" w:line="300" w:lineRule="auto"/>
            </w:pPr>
            <w:r>
              <w:rPr>
                <w:sz w:val="20"/>
              </w:rPr>
              <w:t>The Swiss Confederation in its functions under Article 2.5</w:t>
            </w:r>
          </w:p>
        </w:tc>
      </w:tr>
      <w:tr w:rsidR="002A4A1B" w14:paraId="6252AAD2" w14:textId="77777777">
        <w:tblPrEx>
          <w:tblCellMar>
            <w:top w:w="0" w:type="dxa"/>
            <w:bottom w:w="0" w:type="dxa"/>
          </w:tblCellMar>
        </w:tblPrEx>
        <w:tc>
          <w:tcPr>
            <w:tcW w:w="2800" w:type="dxa"/>
            <w:tcMar>
              <w:top w:w="60" w:type="dxa"/>
              <w:left w:w="100" w:type="dxa"/>
              <w:bottom w:w="60" w:type="dxa"/>
              <w:right w:w="100" w:type="dxa"/>
            </w:tcMar>
          </w:tcPr>
          <w:p w14:paraId="52BB23AA" w14:textId="77777777" w:rsidR="002A4A1B" w:rsidRDefault="00000000">
            <w:pPr>
              <w:spacing w:after="0" w:line="300" w:lineRule="auto"/>
            </w:pPr>
            <w:r>
              <w:rPr>
                <w:sz w:val="20"/>
              </w:rPr>
              <w:t>Nofade Guarantee</w:t>
            </w:r>
          </w:p>
        </w:tc>
        <w:tc>
          <w:tcPr>
            <w:tcW w:w="6800" w:type="dxa"/>
            <w:tcMar>
              <w:top w:w="60" w:type="dxa"/>
              <w:left w:w="100" w:type="dxa"/>
              <w:bottom w:w="60" w:type="dxa"/>
              <w:right w:w="100" w:type="dxa"/>
            </w:tcMar>
          </w:tcPr>
          <w:p w14:paraId="7054050D" w14:textId="77777777" w:rsidR="002A4A1B" w:rsidRDefault="00000000">
            <w:pPr>
              <w:spacing w:after="0" w:line="300" w:lineRule="auto"/>
            </w:pPr>
            <w:r>
              <w:rPr>
                <w:sz w:val="20"/>
              </w:rPr>
              <w:t>The no-sunset, no-fade principle of Article 3.1</w:t>
            </w:r>
          </w:p>
        </w:tc>
      </w:tr>
      <w:tr w:rsidR="002A4A1B" w14:paraId="3256434E" w14:textId="77777777">
        <w:tblPrEx>
          <w:tblCellMar>
            <w:top w:w="0" w:type="dxa"/>
            <w:bottom w:w="0" w:type="dxa"/>
          </w:tblCellMar>
        </w:tblPrEx>
        <w:tc>
          <w:tcPr>
            <w:tcW w:w="2800" w:type="dxa"/>
            <w:tcMar>
              <w:top w:w="60" w:type="dxa"/>
              <w:left w:w="100" w:type="dxa"/>
              <w:bottom w:w="60" w:type="dxa"/>
              <w:right w:w="100" w:type="dxa"/>
            </w:tcMar>
          </w:tcPr>
          <w:p w14:paraId="18703819" w14:textId="77777777" w:rsidR="002A4A1B" w:rsidRDefault="00000000">
            <w:pPr>
              <w:spacing w:after="0" w:line="300" w:lineRule="auto"/>
            </w:pPr>
            <w:r>
              <w:rPr>
                <w:sz w:val="20"/>
              </w:rPr>
              <w:t>Payedar Corridor</w:t>
            </w:r>
          </w:p>
        </w:tc>
        <w:tc>
          <w:tcPr>
            <w:tcW w:w="6800" w:type="dxa"/>
            <w:tcMar>
              <w:top w:w="60" w:type="dxa"/>
              <w:left w:w="100" w:type="dxa"/>
              <w:bottom w:w="60" w:type="dxa"/>
              <w:right w:w="100" w:type="dxa"/>
            </w:tcMar>
          </w:tcPr>
          <w:p w14:paraId="2424C996" w14:textId="77777777" w:rsidR="002A4A1B" w:rsidRDefault="00000000">
            <w:pPr>
              <w:spacing w:after="0" w:line="300" w:lineRule="auto"/>
            </w:pPr>
            <w:r>
              <w:rPr>
                <w:sz w:val="20"/>
              </w:rPr>
              <w:t>The inbound, eastbound corridor through Iranian waters</w:t>
            </w:r>
          </w:p>
        </w:tc>
      </w:tr>
      <w:tr w:rsidR="002A4A1B" w14:paraId="1B1246A6" w14:textId="77777777">
        <w:tblPrEx>
          <w:tblCellMar>
            <w:top w:w="0" w:type="dxa"/>
            <w:bottom w:w="0" w:type="dxa"/>
          </w:tblCellMar>
        </w:tblPrEx>
        <w:tc>
          <w:tcPr>
            <w:tcW w:w="2800" w:type="dxa"/>
            <w:tcMar>
              <w:top w:w="60" w:type="dxa"/>
              <w:left w:w="100" w:type="dxa"/>
              <w:bottom w:w="60" w:type="dxa"/>
              <w:right w:w="100" w:type="dxa"/>
            </w:tcMar>
          </w:tcPr>
          <w:p w14:paraId="3260C993" w14:textId="77777777" w:rsidR="002A4A1B" w:rsidRDefault="00000000">
            <w:pPr>
              <w:spacing w:after="0" w:line="300" w:lineRule="auto"/>
            </w:pPr>
            <w:r>
              <w:rPr>
                <w:sz w:val="20"/>
              </w:rPr>
              <w:t>Service boundary</w:t>
            </w:r>
          </w:p>
        </w:tc>
        <w:tc>
          <w:tcPr>
            <w:tcW w:w="6800" w:type="dxa"/>
            <w:tcMar>
              <w:top w:w="60" w:type="dxa"/>
              <w:left w:w="100" w:type="dxa"/>
              <w:bottom w:w="60" w:type="dxa"/>
              <w:right w:w="100" w:type="dxa"/>
            </w:tcMar>
          </w:tcPr>
          <w:p w14:paraId="4621D5C2" w14:textId="77777777" w:rsidR="002A4A1B" w:rsidRDefault="00000000">
            <w:pPr>
              <w:spacing w:after="0" w:line="300" w:lineRule="auto"/>
            </w:pPr>
            <w:r>
              <w:rPr>
                <w:sz w:val="20"/>
              </w:rPr>
              <w:t>The absolute distinction of Article 6.2 and Annex E between charges on passage, which the Framework excludes, and charges for services, which it publishes</w:t>
            </w:r>
          </w:p>
        </w:tc>
      </w:tr>
      <w:tr w:rsidR="002A4A1B" w14:paraId="0A2B2424" w14:textId="77777777">
        <w:tblPrEx>
          <w:tblCellMar>
            <w:top w:w="0" w:type="dxa"/>
            <w:bottom w:w="0" w:type="dxa"/>
          </w:tblCellMar>
        </w:tblPrEx>
        <w:tc>
          <w:tcPr>
            <w:tcW w:w="2800" w:type="dxa"/>
            <w:tcMar>
              <w:top w:w="60" w:type="dxa"/>
              <w:left w:w="100" w:type="dxa"/>
              <w:bottom w:w="60" w:type="dxa"/>
              <w:right w:w="100" w:type="dxa"/>
            </w:tcMar>
          </w:tcPr>
          <w:p w14:paraId="272D199C" w14:textId="77777777" w:rsidR="002A4A1B" w:rsidRDefault="00000000">
            <w:pPr>
              <w:spacing w:after="0" w:line="300" w:lineRule="auto"/>
            </w:pPr>
            <w:r>
              <w:rPr>
                <w:sz w:val="20"/>
              </w:rPr>
              <w:t>Sobat Corridor</w:t>
            </w:r>
          </w:p>
        </w:tc>
        <w:tc>
          <w:tcPr>
            <w:tcW w:w="6800" w:type="dxa"/>
            <w:tcMar>
              <w:top w:w="60" w:type="dxa"/>
              <w:left w:w="100" w:type="dxa"/>
              <w:bottom w:w="60" w:type="dxa"/>
              <w:right w:w="100" w:type="dxa"/>
            </w:tcMar>
          </w:tcPr>
          <w:p w14:paraId="083C3E35" w14:textId="77777777" w:rsidR="002A4A1B" w:rsidRDefault="00000000">
            <w:pPr>
              <w:spacing w:after="0" w:line="300" w:lineRule="auto"/>
            </w:pPr>
            <w:r>
              <w:rPr>
                <w:sz w:val="20"/>
              </w:rPr>
              <w:t>The outbound, westbound corridor through Omani waters</w:t>
            </w:r>
          </w:p>
        </w:tc>
      </w:tr>
      <w:tr w:rsidR="002A4A1B" w14:paraId="1C4C9769" w14:textId="77777777">
        <w:tblPrEx>
          <w:tblCellMar>
            <w:top w:w="0" w:type="dxa"/>
            <w:bottom w:w="0" w:type="dxa"/>
          </w:tblCellMar>
        </w:tblPrEx>
        <w:tc>
          <w:tcPr>
            <w:tcW w:w="2800" w:type="dxa"/>
            <w:tcMar>
              <w:top w:w="60" w:type="dxa"/>
              <w:left w:w="100" w:type="dxa"/>
              <w:bottom w:w="60" w:type="dxa"/>
              <w:right w:w="100" w:type="dxa"/>
            </w:tcMar>
          </w:tcPr>
          <w:p w14:paraId="341624FD" w14:textId="77777777" w:rsidR="002A4A1B" w:rsidRDefault="00000000">
            <w:pPr>
              <w:spacing w:after="0" w:line="300" w:lineRule="auto"/>
            </w:pPr>
            <w:r>
              <w:rPr>
                <w:sz w:val="20"/>
              </w:rPr>
              <w:t>Stability Audit</w:t>
            </w:r>
          </w:p>
        </w:tc>
        <w:tc>
          <w:tcPr>
            <w:tcW w:w="6800" w:type="dxa"/>
            <w:tcMar>
              <w:top w:w="60" w:type="dxa"/>
              <w:left w:w="100" w:type="dxa"/>
              <w:bottom w:w="60" w:type="dxa"/>
              <w:right w:w="100" w:type="dxa"/>
            </w:tcMar>
          </w:tcPr>
          <w:p w14:paraId="5095C252" w14:textId="77777777" w:rsidR="002A4A1B" w:rsidRDefault="00000000">
            <w:pPr>
              <w:spacing w:after="0" w:line="300" w:lineRule="auto"/>
            </w:pPr>
            <w:r>
              <w:rPr>
                <w:sz w:val="20"/>
              </w:rPr>
              <w:t>The five-domain graduation audit of Annex J</w:t>
            </w:r>
          </w:p>
        </w:tc>
      </w:tr>
      <w:tr w:rsidR="002A4A1B" w14:paraId="24C716EB" w14:textId="77777777">
        <w:tblPrEx>
          <w:tblCellMar>
            <w:top w:w="0" w:type="dxa"/>
            <w:bottom w:w="0" w:type="dxa"/>
          </w:tblCellMar>
        </w:tblPrEx>
        <w:tc>
          <w:tcPr>
            <w:tcW w:w="2800" w:type="dxa"/>
            <w:tcMar>
              <w:top w:w="60" w:type="dxa"/>
              <w:left w:w="100" w:type="dxa"/>
              <w:bottom w:w="60" w:type="dxa"/>
              <w:right w:w="100" w:type="dxa"/>
            </w:tcMar>
          </w:tcPr>
          <w:p w14:paraId="415965E5" w14:textId="77777777" w:rsidR="002A4A1B" w:rsidRDefault="00000000">
            <w:pPr>
              <w:spacing w:after="0" w:line="300" w:lineRule="auto"/>
            </w:pPr>
            <w:r>
              <w:rPr>
                <w:sz w:val="20"/>
              </w:rPr>
              <w:lastRenderedPageBreak/>
              <w:t>Stability Dividend</w:t>
            </w:r>
          </w:p>
        </w:tc>
        <w:tc>
          <w:tcPr>
            <w:tcW w:w="6800" w:type="dxa"/>
            <w:tcMar>
              <w:top w:w="60" w:type="dxa"/>
              <w:left w:w="100" w:type="dxa"/>
              <w:bottom w:w="60" w:type="dxa"/>
              <w:right w:w="100" w:type="dxa"/>
            </w:tcMar>
          </w:tcPr>
          <w:p w14:paraId="1DA6D85D" w14:textId="77777777" w:rsidR="002A4A1B" w:rsidRDefault="00000000">
            <w:pPr>
              <w:spacing w:after="0" w:line="300" w:lineRule="auto"/>
            </w:pPr>
            <w:r>
              <w:rPr>
                <w:sz w:val="20"/>
              </w:rPr>
              <w:t>The performance-linked distribution of Article 18.4 and Annex E.7</w:t>
            </w:r>
          </w:p>
        </w:tc>
      </w:tr>
      <w:tr w:rsidR="002A4A1B" w14:paraId="784BF025" w14:textId="77777777">
        <w:tblPrEx>
          <w:tblCellMar>
            <w:top w:w="0" w:type="dxa"/>
            <w:bottom w:w="0" w:type="dxa"/>
          </w:tblCellMar>
        </w:tblPrEx>
        <w:tc>
          <w:tcPr>
            <w:tcW w:w="2800" w:type="dxa"/>
            <w:tcMar>
              <w:top w:w="60" w:type="dxa"/>
              <w:left w:w="100" w:type="dxa"/>
              <w:bottom w:w="60" w:type="dxa"/>
              <w:right w:w="100" w:type="dxa"/>
            </w:tcMar>
          </w:tcPr>
          <w:p w14:paraId="04C6F284" w14:textId="77777777" w:rsidR="002A4A1B" w:rsidRDefault="00000000">
            <w:pPr>
              <w:spacing w:after="0" w:line="300" w:lineRule="auto"/>
            </w:pPr>
            <w:r>
              <w:rPr>
                <w:sz w:val="20"/>
              </w:rPr>
              <w:t>Stewardship Fund</w:t>
            </w:r>
          </w:p>
        </w:tc>
        <w:tc>
          <w:tcPr>
            <w:tcW w:w="6800" w:type="dxa"/>
            <w:tcMar>
              <w:top w:w="60" w:type="dxa"/>
              <w:left w:w="100" w:type="dxa"/>
              <w:bottom w:w="60" w:type="dxa"/>
              <w:right w:w="100" w:type="dxa"/>
            </w:tcMar>
          </w:tcPr>
          <w:p w14:paraId="5F526DD2" w14:textId="77777777" w:rsidR="002A4A1B" w:rsidRDefault="00000000">
            <w:pPr>
              <w:spacing w:after="0" w:line="300" w:lineRule="auto"/>
            </w:pPr>
            <w:r>
              <w:rPr>
                <w:sz w:val="20"/>
              </w:rPr>
              <w:t>The Hormuz Stewardship Fund of Article 18</w:t>
            </w:r>
          </w:p>
        </w:tc>
      </w:tr>
      <w:tr w:rsidR="002A4A1B" w14:paraId="348978B4" w14:textId="77777777">
        <w:tblPrEx>
          <w:tblCellMar>
            <w:top w:w="0" w:type="dxa"/>
            <w:bottom w:w="0" w:type="dxa"/>
          </w:tblCellMar>
        </w:tblPrEx>
        <w:tc>
          <w:tcPr>
            <w:tcW w:w="2800" w:type="dxa"/>
            <w:tcMar>
              <w:top w:w="60" w:type="dxa"/>
              <w:left w:w="100" w:type="dxa"/>
              <w:bottom w:w="60" w:type="dxa"/>
              <w:right w:w="100" w:type="dxa"/>
            </w:tcMar>
          </w:tcPr>
          <w:p w14:paraId="1448BA00" w14:textId="77777777" w:rsidR="002A4A1B" w:rsidRDefault="00000000">
            <w:pPr>
              <w:spacing w:after="0" w:line="300" w:lineRule="auto"/>
            </w:pPr>
            <w:r>
              <w:rPr>
                <w:sz w:val="20"/>
              </w:rPr>
              <w:t>Three-strike ladder</w:t>
            </w:r>
          </w:p>
        </w:tc>
        <w:tc>
          <w:tcPr>
            <w:tcW w:w="6800" w:type="dxa"/>
            <w:tcMar>
              <w:top w:w="60" w:type="dxa"/>
              <w:left w:w="100" w:type="dxa"/>
              <w:bottom w:w="60" w:type="dxa"/>
              <w:right w:w="100" w:type="dxa"/>
            </w:tcMar>
          </w:tcPr>
          <w:p w14:paraId="45143D89" w14:textId="77777777" w:rsidR="002A4A1B" w:rsidRDefault="00000000">
            <w:pPr>
              <w:spacing w:after="0" w:line="300" w:lineRule="auto"/>
            </w:pPr>
            <w:r>
              <w:rPr>
                <w:sz w:val="20"/>
              </w:rPr>
              <w:t>The earn-back procedure of Article 16.5 and Annex G.6</w:t>
            </w:r>
          </w:p>
        </w:tc>
      </w:tr>
      <w:tr w:rsidR="002A4A1B" w14:paraId="4B7BF02F" w14:textId="77777777">
        <w:tblPrEx>
          <w:tblCellMar>
            <w:top w:w="0" w:type="dxa"/>
            <w:bottom w:w="0" w:type="dxa"/>
          </w:tblCellMar>
        </w:tblPrEx>
        <w:tc>
          <w:tcPr>
            <w:tcW w:w="2800" w:type="dxa"/>
            <w:tcMar>
              <w:top w:w="60" w:type="dxa"/>
              <w:left w:w="100" w:type="dxa"/>
              <w:bottom w:w="60" w:type="dxa"/>
              <w:right w:w="100" w:type="dxa"/>
            </w:tcMar>
          </w:tcPr>
          <w:p w14:paraId="18E85341" w14:textId="77777777" w:rsidR="002A4A1B" w:rsidRDefault="00000000">
            <w:pPr>
              <w:spacing w:after="0" w:line="300" w:lineRule="auto"/>
            </w:pPr>
            <w:r>
              <w:rPr>
                <w:sz w:val="20"/>
              </w:rPr>
              <w:t>Tier One, Two, Three</w:t>
            </w:r>
          </w:p>
        </w:tc>
        <w:tc>
          <w:tcPr>
            <w:tcW w:w="6800" w:type="dxa"/>
            <w:tcMar>
              <w:top w:w="60" w:type="dxa"/>
              <w:left w:w="100" w:type="dxa"/>
              <w:bottom w:w="60" w:type="dxa"/>
              <w:right w:w="100" w:type="dxa"/>
            </w:tcMar>
          </w:tcPr>
          <w:p w14:paraId="23CEB17E" w14:textId="77777777" w:rsidR="002A4A1B" w:rsidRDefault="00000000">
            <w:pPr>
              <w:spacing w:after="0" w:line="300" w:lineRule="auto"/>
            </w:pPr>
            <w:r>
              <w:rPr>
                <w:sz w:val="20"/>
              </w:rPr>
              <w:t>The compliance event classifications of Article 14.1</w:t>
            </w:r>
          </w:p>
        </w:tc>
      </w:tr>
      <w:tr w:rsidR="002A4A1B" w14:paraId="788CECA3" w14:textId="77777777">
        <w:tblPrEx>
          <w:tblCellMar>
            <w:top w:w="0" w:type="dxa"/>
            <w:bottom w:w="0" w:type="dxa"/>
          </w:tblCellMar>
        </w:tblPrEx>
        <w:tc>
          <w:tcPr>
            <w:tcW w:w="2800" w:type="dxa"/>
            <w:tcMar>
              <w:top w:w="60" w:type="dxa"/>
              <w:left w:w="100" w:type="dxa"/>
              <w:bottom w:w="60" w:type="dxa"/>
              <w:right w:w="100" w:type="dxa"/>
            </w:tcMar>
          </w:tcPr>
          <w:p w14:paraId="6CBA2ADD" w14:textId="77777777" w:rsidR="002A4A1B" w:rsidRDefault="00000000">
            <w:pPr>
              <w:spacing w:after="0" w:line="300" w:lineRule="auto"/>
            </w:pPr>
            <w:r>
              <w:rPr>
                <w:sz w:val="20"/>
              </w:rPr>
              <w:t>Truthful duality</w:t>
            </w:r>
          </w:p>
        </w:tc>
        <w:tc>
          <w:tcPr>
            <w:tcW w:w="6800" w:type="dxa"/>
            <w:tcMar>
              <w:top w:w="60" w:type="dxa"/>
              <w:left w:w="100" w:type="dxa"/>
              <w:bottom w:w="60" w:type="dxa"/>
              <w:right w:w="100" w:type="dxa"/>
            </w:tcMar>
          </w:tcPr>
          <w:p w14:paraId="3D0B60CA" w14:textId="77777777" w:rsidR="002A4A1B" w:rsidRDefault="00000000">
            <w:pPr>
              <w:spacing w:after="0" w:line="300" w:lineRule="auto"/>
            </w:pPr>
            <w:r>
              <w:rPr>
                <w:sz w:val="20"/>
              </w:rPr>
              <w:t>The principle that each participant describes the same operative facts in its own words without contradiction</w:t>
            </w:r>
          </w:p>
        </w:tc>
      </w:tr>
      <w:tr w:rsidR="002A4A1B" w14:paraId="2E65CD2C" w14:textId="77777777">
        <w:tblPrEx>
          <w:tblCellMar>
            <w:top w:w="0" w:type="dxa"/>
            <w:bottom w:w="0" w:type="dxa"/>
          </w:tblCellMar>
        </w:tblPrEx>
        <w:tc>
          <w:tcPr>
            <w:tcW w:w="2800" w:type="dxa"/>
            <w:tcMar>
              <w:top w:w="60" w:type="dxa"/>
              <w:left w:w="100" w:type="dxa"/>
              <w:bottom w:w="60" w:type="dxa"/>
              <w:right w:w="100" w:type="dxa"/>
            </w:tcMar>
          </w:tcPr>
          <w:p w14:paraId="515F1F73" w14:textId="77777777" w:rsidR="002A4A1B" w:rsidRDefault="00000000">
            <w:pPr>
              <w:spacing w:after="0" w:line="300" w:lineRule="auto"/>
            </w:pPr>
            <w:r>
              <w:rPr>
                <w:sz w:val="20"/>
              </w:rPr>
              <w:t>Verification Chamber</w:t>
            </w:r>
          </w:p>
        </w:tc>
        <w:tc>
          <w:tcPr>
            <w:tcW w:w="6800" w:type="dxa"/>
            <w:tcMar>
              <w:top w:w="60" w:type="dxa"/>
              <w:left w:w="100" w:type="dxa"/>
              <w:bottom w:w="60" w:type="dxa"/>
              <w:right w:w="100" w:type="dxa"/>
            </w:tcMar>
          </w:tcPr>
          <w:p w14:paraId="494670E5" w14:textId="77777777" w:rsidR="002A4A1B" w:rsidRDefault="00000000">
            <w:pPr>
              <w:spacing w:after="0" w:line="300" w:lineRule="auto"/>
            </w:pPr>
            <w:r>
              <w:rPr>
                <w:sz w:val="20"/>
              </w:rPr>
              <w:t>The verification organ of Article 13.2</w:t>
            </w:r>
          </w:p>
        </w:tc>
      </w:tr>
      <w:tr w:rsidR="002A4A1B" w14:paraId="56BACD3E" w14:textId="77777777">
        <w:tblPrEx>
          <w:tblCellMar>
            <w:top w:w="0" w:type="dxa"/>
            <w:bottom w:w="0" w:type="dxa"/>
          </w:tblCellMar>
        </w:tblPrEx>
        <w:tc>
          <w:tcPr>
            <w:tcW w:w="2800" w:type="dxa"/>
            <w:tcMar>
              <w:top w:w="60" w:type="dxa"/>
              <w:left w:w="100" w:type="dxa"/>
              <w:bottom w:w="60" w:type="dxa"/>
              <w:right w:w="100" w:type="dxa"/>
            </w:tcMar>
          </w:tcPr>
          <w:p w14:paraId="127CCB82" w14:textId="77777777" w:rsidR="002A4A1B" w:rsidRDefault="00000000">
            <w:pPr>
              <w:spacing w:after="0" w:line="300" w:lineRule="auto"/>
            </w:pPr>
            <w:r>
              <w:rPr>
                <w:sz w:val="20"/>
              </w:rPr>
              <w:t>Zone status</w:t>
            </w:r>
          </w:p>
        </w:tc>
        <w:tc>
          <w:tcPr>
            <w:tcW w:w="6800" w:type="dxa"/>
            <w:tcMar>
              <w:top w:w="60" w:type="dxa"/>
              <w:left w:w="100" w:type="dxa"/>
              <w:bottom w:w="60" w:type="dxa"/>
              <w:right w:w="100" w:type="dxa"/>
            </w:tcMar>
          </w:tcPr>
          <w:p w14:paraId="5897E862" w14:textId="77777777" w:rsidR="002A4A1B" w:rsidRDefault="00000000">
            <w:pPr>
              <w:spacing w:after="0" w:line="300" w:lineRule="auto"/>
            </w:pPr>
            <w:r>
              <w:rPr>
                <w:sz w:val="20"/>
              </w:rPr>
              <w:t>The Green, Amber, Orange, or Red standing of a Party under Article 16</w:t>
            </w:r>
          </w:p>
        </w:tc>
      </w:tr>
    </w:tbl>
    <w:p w14:paraId="5760B4F7" w14:textId="77777777" w:rsidR="002A4A1B" w:rsidRDefault="002A4A1B">
      <w:pPr>
        <w:spacing w:after="160"/>
      </w:pPr>
    </w:p>
    <w:p w14:paraId="340B41B8" w14:textId="77777777" w:rsidR="002A4A1B" w:rsidRDefault="00000000">
      <w:pPr>
        <w:pStyle w:val="Heading2"/>
      </w:pPr>
      <w:bookmarkStart w:id="214" w:name="_Toc236929753"/>
      <w:r>
        <w:t>M.2 The Language Reconciliation Protocol</w:t>
      </w:r>
      <w:bookmarkEnd w:id="214"/>
    </w:p>
    <w:p w14:paraId="2EE50F74" w14:textId="77777777" w:rsidR="002A4A1B" w:rsidRDefault="00000000">
      <w:pPr>
        <w:spacing w:after="140"/>
        <w:jc w:val="both"/>
      </w:pPr>
      <w:r>
        <w:rPr>
          <w:b/>
          <w:color w:val="1F3A44"/>
        </w:rPr>
        <w:t xml:space="preserve">M.2.1   </w:t>
      </w:r>
      <w:r>
        <w:t>The three authentic texts reconcile as follows: the Joint Translation Commission, one linguist per authentic language plus the Neutral Administrator's chair, reviews any asserted divergence on reference by any Party or organ; it reports within thirty days; and its reconciliation binds, guided by the interpretation that best serves the purposes of Article 1 and the symmetry principle of Article 3.3. Pending reconciliation, every organ acts on the interpretation it most recently applied consistently, so a linguistic question never pauses an operational duty.</w:t>
      </w:r>
    </w:p>
    <w:p w14:paraId="248EA64A" w14:textId="77777777" w:rsidR="002A4A1B" w:rsidRDefault="00000000">
      <w:pPr>
        <w:pStyle w:val="Heading2"/>
      </w:pPr>
      <w:bookmarkStart w:id="215" w:name="_Toc236929754"/>
      <w:r>
        <w:t>M.3 Amendment and Version Control</w:t>
      </w:r>
      <w:bookmarkEnd w:id="215"/>
    </w:p>
    <w:p w14:paraId="0F8E33DC" w14:textId="77777777" w:rsidR="002A4A1B" w:rsidRDefault="00000000">
      <w:pPr>
        <w:spacing w:after="140"/>
        <w:jc w:val="both"/>
      </w:pPr>
      <w:r>
        <w:rPr>
          <w:b/>
          <w:color w:val="1F3A44"/>
        </w:rPr>
        <w:t xml:space="preserve">M.3.1   </w:t>
      </w:r>
      <w:r>
        <w:t>This Annex and every Annex carries its own version number. The Council amends technical annexes under Article 26.2.1; each amendment republishes the whole affected annex with its new version number and effective date; and the registry retains every superseded version, publicly, forever. The archive's completeness is itself a verification instrument: the system's history stays visible so its present stays honest.</w:t>
      </w:r>
    </w:p>
    <w:p w14:paraId="5D6843A1" w14:textId="77777777" w:rsidR="002A4A1B" w:rsidRDefault="00000000">
      <w:pPr>
        <w:pStyle w:val="Heading1"/>
      </w:pPr>
      <w:bookmarkStart w:id="216" w:name="_Toc236929755"/>
      <w:r>
        <w:lastRenderedPageBreak/>
        <w:t>Closing Note: The Sobat Payedar Undertaking</w:t>
      </w:r>
      <w:bookmarkEnd w:id="216"/>
    </w:p>
    <w:p w14:paraId="03F766FC" w14:textId="77777777" w:rsidR="002A4A1B" w:rsidRDefault="00000000">
      <w:pPr>
        <w:spacing w:after="140"/>
        <w:jc w:val="both"/>
      </w:pPr>
      <w:r>
        <w:t>This Framework began from four unfinished components and seventy-five stated demands, and it answers them with one architecture: corridors already agreed, authority allocated by function rather than claimed by sovereignty, charges bounded by service and audited in public, verification owned by both coasts at once, consequences written down in advance, recovery built into the same tables as consequence, humanitarian passage beyond the reach of any dispute, and an economic calendar in which every week of quiet pays both shores equally. It asks no capital to trust another. It asks every capital to watch the same instruments, and it makes watching free.</w:t>
      </w:r>
    </w:p>
    <w:p w14:paraId="45368FD0" w14:textId="77777777" w:rsidR="002A4A1B" w:rsidRDefault="00000000">
      <w:pPr>
        <w:spacing w:after="140"/>
        <w:jc w:val="both"/>
      </w:pPr>
      <w:r>
        <w:t>The Strait of Hormuz carried the world's energy through every storm of the last half century, including the storm of 2026 that closed it in practice while every authority insisted it remained open in law. The lesson of that year is written into every article of this text: law without machinery is a press release, and machinery without fairness is a provocation. The Sobat Payedar Framework offers both, engineered together, on the record, for the long term. The water is open. One chart serves every captain. The keys turn in pairs. The rest is performance.</w:t>
      </w:r>
    </w:p>
    <w:p w14:paraId="5937F63A" w14:textId="77777777" w:rsidR="002A4A1B" w:rsidRDefault="002A4A1B">
      <w:pPr>
        <w:spacing w:after="300"/>
      </w:pPr>
    </w:p>
    <w:tbl>
      <w:tblPr>
        <w:tblW w:w="5000" w:type="pct"/>
        <w:tblInd w:w="180" w:type="dxa"/>
        <w:tblBorders>
          <w:top w:val="single" w:sz="8" w:space="0" w:color="1F3A44"/>
          <w:left w:val="single" w:sz="8" w:space="0" w:color="1F3A44"/>
          <w:bottom w:val="single" w:sz="8" w:space="0" w:color="1F3A44"/>
          <w:right w:val="single" w:sz="8" w:space="0" w:color="1F3A44"/>
        </w:tblBorders>
        <w:tblCellMar>
          <w:left w:w="10" w:type="dxa"/>
          <w:right w:w="10" w:type="dxa"/>
        </w:tblCellMar>
        <w:tblLook w:val="04A0" w:firstRow="1" w:lastRow="0" w:firstColumn="1" w:lastColumn="0" w:noHBand="0" w:noVBand="1"/>
      </w:tblPr>
      <w:tblGrid>
        <w:gridCol w:w="9386"/>
      </w:tblGrid>
      <w:tr w:rsidR="002A4A1B" w14:paraId="7F7593DD" w14:textId="77777777">
        <w:tblPrEx>
          <w:tblCellMar>
            <w:top w:w="0" w:type="dxa"/>
            <w:bottom w:w="0" w:type="dxa"/>
          </w:tblCellMar>
        </w:tblPrEx>
        <w:tc>
          <w:tcPr>
            <w:tcW w:w="9600" w:type="dxa"/>
            <w:shd w:val="clear" w:color="auto" w:fill="F4F7F7"/>
            <w:tcMar>
              <w:top w:w="140" w:type="dxa"/>
              <w:left w:w="180" w:type="dxa"/>
              <w:bottom w:w="140" w:type="dxa"/>
              <w:right w:w="180" w:type="dxa"/>
            </w:tcMar>
          </w:tcPr>
          <w:p w14:paraId="52EDFCD7" w14:textId="77777777" w:rsidR="002A4A1B" w:rsidRDefault="00000000">
            <w:pPr>
              <w:spacing w:after="60"/>
            </w:pPr>
            <w:r>
              <w:rPr>
                <w:rFonts w:ascii="Georgia" w:hAnsi="Georgia"/>
                <w:b/>
                <w:color w:val="1F3A44"/>
                <w:sz w:val="23"/>
              </w:rPr>
              <w:t>Signature Blocks</w:t>
            </w:r>
          </w:p>
          <w:p w14:paraId="0F09A1EB" w14:textId="77777777" w:rsidR="002A4A1B" w:rsidRDefault="00000000">
            <w:pPr>
              <w:spacing w:after="60" w:line="320" w:lineRule="auto"/>
              <w:jc w:val="both"/>
            </w:pPr>
            <w:r>
              <w:rPr>
                <w:sz w:val="21"/>
              </w:rPr>
              <w:t>For the Islamic Republic of Iran: ______________________________    Date: ______________</w:t>
            </w:r>
          </w:p>
          <w:p w14:paraId="7F9577BA" w14:textId="77777777" w:rsidR="002A4A1B" w:rsidRDefault="00000000">
            <w:pPr>
              <w:spacing w:after="60" w:line="320" w:lineRule="auto"/>
              <w:jc w:val="both"/>
            </w:pPr>
            <w:r>
              <w:rPr>
                <w:sz w:val="21"/>
              </w:rPr>
              <w:t>For the Sultanate of Oman: ______________________________    Date: ______________</w:t>
            </w:r>
          </w:p>
          <w:p w14:paraId="241F2617" w14:textId="77777777" w:rsidR="002A4A1B" w:rsidRDefault="00000000">
            <w:pPr>
              <w:spacing w:after="60" w:line="320" w:lineRule="auto"/>
              <w:jc w:val="both"/>
            </w:pPr>
            <w:r>
              <w:rPr>
                <w:sz w:val="21"/>
              </w:rPr>
              <w:t>Witnessed for the Neutral Administrator, the Swiss Confederation: ______________________________</w:t>
            </w:r>
          </w:p>
          <w:p w14:paraId="5A04FC39" w14:textId="77777777" w:rsidR="002A4A1B" w:rsidRDefault="00000000">
            <w:pPr>
              <w:spacing w:after="60" w:line="320" w:lineRule="auto"/>
              <w:jc w:val="both"/>
            </w:pPr>
            <w:r>
              <w:rPr>
                <w:sz w:val="21"/>
              </w:rPr>
              <w:t>Witnessed for the Supporting Facilitators, the State of Qatar and the Islamic Republic of Pakistan: ______________________________</w:t>
            </w:r>
          </w:p>
          <w:p w14:paraId="0C4CF592" w14:textId="77777777" w:rsidR="002A4A1B" w:rsidRDefault="00000000">
            <w:pPr>
              <w:spacing w:after="60" w:line="320" w:lineRule="auto"/>
              <w:jc w:val="both"/>
            </w:pPr>
            <w:r>
              <w:rPr>
                <w:sz w:val="21"/>
              </w:rPr>
              <w:t>Deposited with the Depositary at Bern on: ______________    Instrument of Record: TSPF-2026-MUSCAT-001</w:t>
            </w:r>
          </w:p>
        </w:tc>
      </w:tr>
    </w:tbl>
    <w:p w14:paraId="5CB67D78" w14:textId="77777777" w:rsidR="002A4A1B" w:rsidRDefault="002A4A1B">
      <w:pPr>
        <w:spacing w:after="160"/>
      </w:pPr>
    </w:p>
    <w:sectPr w:rsidR="002A4A1B">
      <w:headerReference w:type="default" r:id="rId7"/>
      <w:footerReference w:type="default" r:id="rId8"/>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2497" w14:textId="77777777" w:rsidR="00244B64" w:rsidRDefault="00244B64">
      <w:pPr>
        <w:spacing w:after="0" w:line="240" w:lineRule="auto"/>
      </w:pPr>
      <w:r>
        <w:separator/>
      </w:r>
    </w:p>
  </w:endnote>
  <w:endnote w:type="continuationSeparator" w:id="0">
    <w:p w14:paraId="68BE3AC9" w14:textId="77777777" w:rsidR="00244B64" w:rsidRDefault="0024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D951" w14:textId="77777777" w:rsidR="002A4A1B" w:rsidRDefault="00000000">
    <w:pPr>
      <w:jc w:val="center"/>
    </w:pPr>
    <w:r>
      <w:rPr>
        <w:color w:val="6E8A94"/>
        <w:sz w:val="18"/>
      </w:rPr>
      <w:t xml:space="preserve">Page </w:t>
    </w:r>
    <w:r>
      <w:rPr>
        <w:color w:val="6E8A94"/>
        <w:sz w:val="18"/>
      </w:rPr>
      <w:fldChar w:fldCharType="begin"/>
    </w:r>
    <w:r>
      <w:rPr>
        <w:color w:val="6E8A94"/>
        <w:sz w:val="18"/>
      </w:rPr>
      <w:instrText xml:space="preserve"> PAGE </w:instrText>
    </w:r>
    <w:r>
      <w:rPr>
        <w:color w:val="6E8A94"/>
        <w:sz w:val="18"/>
      </w:rPr>
      <w:fldChar w:fldCharType="separate"/>
    </w:r>
    <w:r>
      <w:rPr>
        <w:color w:val="6E8A94"/>
        <w:sz w:val="18"/>
      </w:rPr>
      <w:t>1</w:t>
    </w:r>
    <w:r>
      <w:rPr>
        <w:color w:val="6E8A9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298A" w14:textId="77777777" w:rsidR="00244B64" w:rsidRDefault="00244B64">
      <w:pPr>
        <w:spacing w:after="0" w:line="240" w:lineRule="auto"/>
      </w:pPr>
      <w:r>
        <w:separator/>
      </w:r>
    </w:p>
  </w:footnote>
  <w:footnote w:type="continuationSeparator" w:id="0">
    <w:p w14:paraId="66C8F69C" w14:textId="77777777" w:rsidR="00244B64" w:rsidRDefault="00244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1EDA" w14:textId="77777777" w:rsidR="002A4A1B" w:rsidRDefault="00000000">
    <w:pPr>
      <w:pBdr>
        <w:bottom w:val="single" w:sz="4" w:space="0" w:color="B9C8CC"/>
      </w:pBdr>
      <w:spacing w:after="60"/>
      <w:jc w:val="center"/>
    </w:pPr>
    <w:r>
      <w:rPr>
        <w:rFonts w:ascii="Georgia" w:hAnsi="Georgia"/>
        <w:smallCaps/>
        <w:color w:val="6E8A94"/>
        <w:sz w:val="17"/>
      </w:rPr>
      <w:t>The Sobat Payedar Framework  ·  TSPF v1.0  ·  Strait of Hormuz Governance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772FB"/>
    <w:multiLevelType w:val="multilevel"/>
    <w:tmpl w:val="5F524758"/>
    <w:lvl w:ilvl="0">
      <w:start w:val="1"/>
      <w:numFmt w:val="bullet"/>
      <w:lvlText w:val="•"/>
      <w:lvlJc w:val="left"/>
      <w:pPr>
        <w:ind w:left="576"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1333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4A1B"/>
    <w:rsid w:val="00244B64"/>
    <w:rsid w:val="002A4A1B"/>
    <w:rsid w:val="0094228B"/>
    <w:rsid w:val="00D269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ED3C"/>
  <w15:docId w15:val="{AEB506C2-48F1-4A2F-BAC7-8E5DEB52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40" w:lineRule="auto"/>
    </w:pPr>
    <w:rPr>
      <w:rFonts w:ascii="Calibri" w:eastAsia="Microsoft YaHei" w:hAnsi="Calibri"/>
      <w:color w:val="263238"/>
      <w:sz w:val="22"/>
    </w:rPr>
  </w:style>
  <w:style w:type="paragraph" w:styleId="Heading1">
    <w:name w:val="heading 1"/>
    <w:basedOn w:val="Normal"/>
    <w:uiPriority w:val="9"/>
    <w:qFormat/>
    <w:pPr>
      <w:keepNext/>
      <w:keepLines/>
      <w:pageBreakBefore/>
      <w:spacing w:after="320"/>
      <w:outlineLvl w:val="0"/>
    </w:pPr>
    <w:rPr>
      <w:rFonts w:ascii="Georgia" w:hAnsi="Georgia"/>
      <w:b/>
      <w:color w:val="1F3A44"/>
      <w:sz w:val="32"/>
    </w:rPr>
  </w:style>
  <w:style w:type="paragraph" w:styleId="Heading2">
    <w:name w:val="heading 2"/>
    <w:basedOn w:val="Normal"/>
    <w:uiPriority w:val="9"/>
    <w:unhideWhenUsed/>
    <w:qFormat/>
    <w:pPr>
      <w:keepNext/>
      <w:keepLines/>
      <w:spacing w:before="360" w:after="160"/>
      <w:outlineLvl w:val="1"/>
    </w:pPr>
    <w:rPr>
      <w:rFonts w:ascii="Georgia" w:hAnsi="Georgia"/>
      <w:b/>
      <w:color w:val="2F5560"/>
      <w:sz w:val="26"/>
    </w:rPr>
  </w:style>
  <w:style w:type="paragraph" w:styleId="Heading3">
    <w:name w:val="heading 3"/>
    <w:basedOn w:val="Normal"/>
    <w:uiPriority w:val="9"/>
    <w:semiHidden/>
    <w:unhideWhenUsed/>
    <w:qFormat/>
    <w:pPr>
      <w:keepNext/>
      <w:keepLines/>
      <w:spacing w:before="240"/>
      <w:outlineLvl w:val="2"/>
    </w:pPr>
    <w:rPr>
      <w:rFonts w:ascii="Georgia" w:hAnsi="Georgia"/>
      <w:b/>
      <w:color w:val="3E6B78"/>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style>
  <w:style w:type="paragraph" w:styleId="TOC1">
    <w:name w:val="toc 1"/>
    <w:basedOn w:val="Normal"/>
    <w:uiPriority w:val="39"/>
    <w:pPr>
      <w:tabs>
        <w:tab w:val="right" w:leader="dot" w:pos="9600"/>
      </w:tabs>
      <w:spacing w:before="120" w:after="40"/>
    </w:pPr>
    <w:rPr>
      <w:b/>
      <w:color w:val="1F3A44"/>
      <w:sz w:val="21"/>
    </w:rPr>
  </w:style>
  <w:style w:type="paragraph" w:styleId="TOC2">
    <w:name w:val="toc 2"/>
    <w:basedOn w:val="Normal"/>
    <w:uiPriority w:val="39"/>
    <w:pPr>
      <w:tabs>
        <w:tab w:val="right" w:leader="dot" w:pos="9600"/>
      </w:tabs>
      <w:spacing w:after="20"/>
      <w:ind w:left="360"/>
    </w:pPr>
    <w:rPr>
      <w:sz w:val="20"/>
    </w:rPr>
  </w:style>
  <w:style w:type="paragraph" w:styleId="TOC3">
    <w:name w:val="toc 3"/>
    <w:basedOn w:val="Normal"/>
    <w:next w:val="Normal"/>
    <w:autoRedefine/>
    <w:uiPriority w:val="39"/>
    <w:unhideWhenUsed/>
    <w:rsid w:val="0094228B"/>
    <w:pPr>
      <w:spacing w:after="100" w:line="278" w:lineRule="auto"/>
      <w:ind w:left="480"/>
    </w:pPr>
    <w:rPr>
      <w:rFonts w:asciiTheme="minorHAnsi" w:eastAsiaTheme="minorEastAsia" w:hAnsiTheme="minorHAnsi"/>
      <w:color w:val="auto"/>
      <w:sz w:val="24"/>
    </w:rPr>
  </w:style>
  <w:style w:type="paragraph" w:styleId="TOC4">
    <w:name w:val="toc 4"/>
    <w:basedOn w:val="Normal"/>
    <w:next w:val="Normal"/>
    <w:autoRedefine/>
    <w:uiPriority w:val="39"/>
    <w:unhideWhenUsed/>
    <w:rsid w:val="0094228B"/>
    <w:pPr>
      <w:spacing w:after="100" w:line="278" w:lineRule="auto"/>
      <w:ind w:left="720"/>
    </w:pPr>
    <w:rPr>
      <w:rFonts w:asciiTheme="minorHAnsi" w:eastAsiaTheme="minorEastAsia" w:hAnsiTheme="minorHAnsi"/>
      <w:color w:val="auto"/>
      <w:sz w:val="24"/>
    </w:rPr>
  </w:style>
  <w:style w:type="paragraph" w:styleId="TOC5">
    <w:name w:val="toc 5"/>
    <w:basedOn w:val="Normal"/>
    <w:next w:val="Normal"/>
    <w:autoRedefine/>
    <w:uiPriority w:val="39"/>
    <w:unhideWhenUsed/>
    <w:rsid w:val="0094228B"/>
    <w:pPr>
      <w:spacing w:after="100" w:line="278" w:lineRule="auto"/>
      <w:ind w:left="960"/>
    </w:pPr>
    <w:rPr>
      <w:rFonts w:asciiTheme="minorHAnsi" w:eastAsiaTheme="minorEastAsia" w:hAnsiTheme="minorHAnsi"/>
      <w:color w:val="auto"/>
      <w:sz w:val="24"/>
    </w:rPr>
  </w:style>
  <w:style w:type="paragraph" w:styleId="TOC6">
    <w:name w:val="toc 6"/>
    <w:basedOn w:val="Normal"/>
    <w:next w:val="Normal"/>
    <w:autoRedefine/>
    <w:uiPriority w:val="39"/>
    <w:unhideWhenUsed/>
    <w:rsid w:val="0094228B"/>
    <w:pPr>
      <w:spacing w:after="100" w:line="278" w:lineRule="auto"/>
      <w:ind w:left="1200"/>
    </w:pPr>
    <w:rPr>
      <w:rFonts w:asciiTheme="minorHAnsi" w:eastAsiaTheme="minorEastAsia" w:hAnsiTheme="minorHAnsi"/>
      <w:color w:val="auto"/>
      <w:sz w:val="24"/>
    </w:rPr>
  </w:style>
  <w:style w:type="paragraph" w:styleId="TOC7">
    <w:name w:val="toc 7"/>
    <w:basedOn w:val="Normal"/>
    <w:next w:val="Normal"/>
    <w:autoRedefine/>
    <w:uiPriority w:val="39"/>
    <w:unhideWhenUsed/>
    <w:rsid w:val="0094228B"/>
    <w:pPr>
      <w:spacing w:after="100" w:line="278" w:lineRule="auto"/>
      <w:ind w:left="1440"/>
    </w:pPr>
    <w:rPr>
      <w:rFonts w:asciiTheme="minorHAnsi" w:eastAsiaTheme="minorEastAsia" w:hAnsiTheme="minorHAnsi"/>
      <w:color w:val="auto"/>
      <w:sz w:val="24"/>
    </w:rPr>
  </w:style>
  <w:style w:type="paragraph" w:styleId="TOC8">
    <w:name w:val="toc 8"/>
    <w:basedOn w:val="Normal"/>
    <w:next w:val="Normal"/>
    <w:autoRedefine/>
    <w:uiPriority w:val="39"/>
    <w:unhideWhenUsed/>
    <w:rsid w:val="0094228B"/>
    <w:pPr>
      <w:spacing w:after="100" w:line="278" w:lineRule="auto"/>
      <w:ind w:left="1680"/>
    </w:pPr>
    <w:rPr>
      <w:rFonts w:asciiTheme="minorHAnsi" w:eastAsiaTheme="minorEastAsia" w:hAnsiTheme="minorHAnsi"/>
      <w:color w:val="auto"/>
      <w:sz w:val="24"/>
    </w:rPr>
  </w:style>
  <w:style w:type="paragraph" w:styleId="TOC9">
    <w:name w:val="toc 9"/>
    <w:basedOn w:val="Normal"/>
    <w:next w:val="Normal"/>
    <w:autoRedefine/>
    <w:uiPriority w:val="39"/>
    <w:unhideWhenUsed/>
    <w:rsid w:val="0094228B"/>
    <w:pPr>
      <w:spacing w:after="100" w:line="278" w:lineRule="auto"/>
      <w:ind w:left="1920"/>
    </w:pPr>
    <w:rPr>
      <w:rFonts w:asciiTheme="minorHAnsi" w:eastAsiaTheme="minorEastAsia" w:hAnsiTheme="minorHAnsi"/>
      <w:color w:val="auto"/>
      <w:sz w:val="24"/>
    </w:rPr>
  </w:style>
  <w:style w:type="character" w:styleId="Hyperlink">
    <w:name w:val="Hyperlink"/>
    <w:basedOn w:val="DefaultParagraphFont"/>
    <w:uiPriority w:val="99"/>
    <w:unhideWhenUsed/>
    <w:rsid w:val="0094228B"/>
    <w:rPr>
      <w:color w:val="467886" w:themeColor="hyperlink"/>
      <w:u w:val="single"/>
    </w:rPr>
  </w:style>
  <w:style w:type="character" w:styleId="UnresolvedMention">
    <w:name w:val="Unresolved Mention"/>
    <w:basedOn w:val="DefaultParagraphFont"/>
    <w:uiPriority w:val="99"/>
    <w:semiHidden/>
    <w:unhideWhenUsed/>
    <w:rsid w:val="00942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105</Pages>
  <Words>26967</Words>
  <Characters>153712</Characters>
  <Application>Microsoft Office Word</Application>
  <DocSecurity>0</DocSecurity>
  <Lines>1280</Lines>
  <Paragraphs>360</Paragraphs>
  <ScaleCrop>false</ScaleCrop>
  <Company/>
  <LinksUpToDate>false</LinksUpToDate>
  <CharactersWithSpaces>180319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2026-08-06T21:25:00Z</dcterms:created>
  <dcterms:modified xsi:type="dcterms:W3CDTF">2026-08-06T21:25:00Z</dcterms:modified>
</cp:coreProperties>
</file>