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38FB" w14:textId="77777777" w:rsidR="00293BDE" w:rsidRDefault="00000000">
      <w:pPr>
        <w:pBdr>
          <w:top w:val="single" w:sz="18" w:space="24" w:color="2E4E5E"/>
        </w:pBdr>
        <w:spacing w:before="1120"/>
        <w:jc w:val="center"/>
      </w:pPr>
      <w:r>
        <w:rPr>
          <w:b/>
          <w:color w:val="2E4E5E"/>
          <w:sz w:val="54"/>
        </w:rPr>
        <w:t>THE STRAIT STABILITY HORIZON COMPACT</w:t>
      </w:r>
    </w:p>
    <w:p w14:paraId="21DDABCF" w14:textId="77777777" w:rsidR="00293BDE" w:rsidRDefault="00000000">
      <w:pPr>
        <w:spacing w:before="80" w:after="40"/>
        <w:jc w:val="center"/>
      </w:pPr>
      <w:r>
        <w:rPr>
          <w:b/>
          <w:color w:val="3A5E6E"/>
          <w:sz w:val="30"/>
        </w:rPr>
        <w:t>TSSHC · Version 1.0</w:t>
      </w:r>
    </w:p>
    <w:p w14:paraId="5014E7A2" w14:textId="03B24283" w:rsidR="00293BDE" w:rsidRDefault="00000000">
      <w:pPr>
        <w:spacing w:before="40" w:after="280"/>
        <w:jc w:val="center"/>
      </w:pPr>
      <w:r>
        <w:rPr>
          <w:i/>
          <w:color w:val="4A6B78"/>
          <w:sz w:val="27"/>
        </w:rPr>
        <w:t>Governance Architecture for the Strait of Hormuz</w:t>
      </w:r>
    </w:p>
    <w:p w14:paraId="4D071DF9" w14:textId="77777777" w:rsidR="00293BDE" w:rsidRDefault="00000000">
      <w:pPr>
        <w:pStyle w:val="FirstParagraph"/>
        <w:spacing w:before="40" w:after="320"/>
        <w:jc w:val="center"/>
      </w:pPr>
      <w:r>
        <w:rPr>
          <w:bCs/>
          <w:color w:val="6B7D85"/>
          <w:sz w:val="24"/>
        </w:rPr>
        <w:t>Muscat Text · August 2026</w:t>
      </w:r>
    </w:p>
    <w:p w14:paraId="2515B76B" w14:textId="77777777" w:rsidR="00293BDE" w:rsidRDefault="00000000">
      <w:pPr>
        <w:pStyle w:val="BodyText"/>
        <w:spacing w:before="120" w:after="40"/>
        <w:jc w:val="center"/>
      </w:pPr>
      <w:r>
        <w:rPr>
          <w:b/>
          <w:bCs/>
          <w:sz w:val="25"/>
        </w:rPr>
        <w:t>The Islamic Republic of Iran · The Sultanate of Oman</w:t>
      </w:r>
    </w:p>
    <w:p w14:paraId="4D2A552B" w14:textId="77777777" w:rsidR="00293BDE" w:rsidRDefault="00000000">
      <w:pPr>
        <w:pStyle w:val="BodyText"/>
        <w:spacing w:before="40" w:after="40"/>
        <w:jc w:val="center"/>
      </w:pPr>
      <w:r>
        <w:rPr>
          <w:bCs/>
        </w:rPr>
        <w:t>with a defined accession path for the United Arab Emirates, the State of Qatar, the Kingdom of Bahrain, the State of Kuwait, the Kingdom of Saudi Arabia, and the Republic of Iraq</w:t>
      </w:r>
    </w:p>
    <w:p w14:paraId="6C122F88" w14:textId="77777777" w:rsidR="00293BDE" w:rsidRDefault="00000000">
      <w:pPr>
        <w:pStyle w:val="BodyText"/>
        <w:spacing w:before="40" w:after="40"/>
        <w:jc w:val="center"/>
      </w:pPr>
      <w:r>
        <w:rPr>
          <w:bCs/>
        </w:rPr>
        <w:t>with the United States of America as Endorsing Stakeholder</w:t>
      </w:r>
    </w:p>
    <w:p w14:paraId="10B6573D" w14:textId="77777777" w:rsidR="00293BDE" w:rsidRDefault="00000000">
      <w:pPr>
        <w:pStyle w:val="BodyText"/>
        <w:spacing w:before="40" w:after="200"/>
        <w:jc w:val="center"/>
      </w:pPr>
      <w:r>
        <w:rPr>
          <w:bCs/>
        </w:rPr>
        <w:t>and an open endorsement track for the European Union, the United Kingdom, and the French Republic</w:t>
      </w:r>
    </w:p>
    <w:p w14:paraId="3E3D891D" w14:textId="77777777" w:rsidR="00293BDE" w:rsidRDefault="00000000">
      <w:pPr>
        <w:pStyle w:val="BodyText"/>
        <w:spacing w:before="40" w:after="40"/>
        <w:jc w:val="center"/>
      </w:pPr>
      <w:r>
        <w:rPr>
          <w:color w:val="3A5E6E"/>
          <w:sz w:val="20"/>
        </w:rPr>
        <w:t>Mediator of Record: The Sultanate of Oman</w:t>
      </w:r>
    </w:p>
    <w:p w14:paraId="59C20216" w14:textId="77777777" w:rsidR="00293BDE" w:rsidRDefault="00000000">
      <w:pPr>
        <w:pStyle w:val="BodyText"/>
        <w:spacing w:before="40" w:after="40"/>
        <w:jc w:val="center"/>
      </w:pPr>
      <w:r>
        <w:rPr>
          <w:color w:val="3A5E6E"/>
          <w:sz w:val="20"/>
        </w:rPr>
        <w:t>Neutral Administrator: The Swiss Confederation</w:t>
      </w:r>
    </w:p>
    <w:p w14:paraId="02D6FD0F" w14:textId="77777777" w:rsidR="00293BDE" w:rsidRDefault="00000000">
      <w:pPr>
        <w:pStyle w:val="BodyText"/>
        <w:spacing w:before="40" w:after="40"/>
        <w:jc w:val="center"/>
      </w:pPr>
      <w:r>
        <w:rPr>
          <w:color w:val="3A5E6E"/>
          <w:sz w:val="20"/>
        </w:rPr>
        <w:t>Facilitators: The State of Qatar and the Islamic Republic of Pakistan</w:t>
      </w:r>
    </w:p>
    <w:p w14:paraId="0CB6CD9E" w14:textId="77777777" w:rsidR="00293BDE" w:rsidRDefault="00000000">
      <w:pPr>
        <w:pStyle w:val="BodyText"/>
        <w:spacing w:before="40" w:after="120"/>
        <w:jc w:val="center"/>
      </w:pPr>
      <w:r>
        <w:rPr>
          <w:color w:val="3A5E6E"/>
          <w:sz w:val="20"/>
        </w:rPr>
        <w:t>Technical Interface: The International Maritime Organization (IMO), the International Hydrographic Organization (IHO), and the United Nations Mine Action Service (UNMAS)</w:t>
      </w:r>
    </w:p>
    <w:p w14:paraId="5BFADD79" w14:textId="77777777" w:rsidR="00293BDE" w:rsidRDefault="00000000">
      <w:pPr>
        <w:pStyle w:val="BodyText"/>
        <w:spacing w:before="40" w:after="160"/>
        <w:jc w:val="center"/>
      </w:pPr>
      <w:r>
        <w:rPr>
          <w:i/>
          <w:color w:val="4A6B78"/>
          <w:sz w:val="20"/>
        </w:rPr>
        <w:t>Seated at the Horizon Operations Center, Muscat, with the Mirror Facility of Equal Rank at Bandar Abbas</w:t>
      </w:r>
    </w:p>
    <w:p w14:paraId="420F48D5" w14:textId="77777777" w:rsidR="00293BDE" w:rsidRDefault="00000000">
      <w:pPr>
        <w:pStyle w:val="BodyText"/>
        <w:pBdr>
          <w:bottom w:val="single" w:sz="18" w:space="24" w:color="2E4E5E"/>
        </w:pBdr>
        <w:spacing w:before="40" w:after="120"/>
        <w:jc w:val="center"/>
      </w:pPr>
      <w:r>
        <w:rPr>
          <w:i/>
          <w:color w:val="6B7D85"/>
          <w:sz w:val="19"/>
        </w:rPr>
        <w:t>Drafted in strict adherence to the Immutable Present-Tense Matrix, with the Standing Continuity Guarantee first among equals</w:t>
      </w:r>
    </w:p>
    <w:bookmarkStart w:id="0" w:name="the-strait-stability-horizon-compact"/>
    <w:bookmarkStart w:id="1" w:name="tsshc-version-1.0"/>
    <w:bookmarkStart w:id="2" w:name="X043947e682b4b8bab2ad5141890fceac78ac1cc"/>
    <w:p w14:paraId="5F69F4C9" w14:textId="370FE390" w:rsidR="00293BDE" w:rsidRDefault="00622008">
      <w:r>
        <w:rPr>
          <w:noProof/>
        </w:rPr>
      </w:r>
      <w:r>
        <w:pict w14:anchorId="7E80964B">
          <v:rect id="Rectangle 1" o:spid="_x0000_s1054"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0"/>
      <w:bookmarkEnd w:id="1"/>
      <w:bookmarkEnd w:id="2"/>
      <w:r w:rsidR="00000000">
        <w:br w:type="page"/>
      </w:r>
    </w:p>
    <w:p w14:paraId="7EE0A1F3" w14:textId="77777777" w:rsidR="00293BDE" w:rsidRDefault="00000000">
      <w:pPr>
        <w:pBdr>
          <w:bottom w:val="single" w:sz="8" w:space="4" w:color="2E4E5E"/>
        </w:pBdr>
        <w:spacing w:before="400" w:after="200"/>
      </w:pPr>
      <w:r>
        <w:rPr>
          <w:b/>
          <w:color w:val="2E4E5E"/>
          <w:sz w:val="32"/>
        </w:rPr>
        <w:lastRenderedPageBreak/>
        <w:t>Table of Contents</w:t>
      </w:r>
    </w:p>
    <w:sdt>
      <w:sdtPr>
        <w:id w:val="108250276"/>
        <w:docPartObj>
          <w:docPartGallery w:val="Table of Contents"/>
          <w:docPartUnique/>
        </w:docPartObj>
      </w:sdtPr>
      <w:sdtContent>
        <w:p w14:paraId="0AB1ECCE" w14:textId="77777777" w:rsidR="00293BDE" w:rsidRDefault="00000000">
          <w:pPr>
            <w:pStyle w:val="TOC1"/>
          </w:pPr>
          <w:r>
            <w:fldChar w:fldCharType="begin"/>
          </w:r>
          <w:r>
            <w:rPr>
              <w:rStyle w:val="IndexLink"/>
              <w:webHidden/>
            </w:rPr>
            <w:instrText xml:space="preserve"> TOC \z \o "1-2" \u \h</w:instrText>
          </w:r>
          <w:r>
            <w:rPr>
              <w:rStyle w:val="IndexLink"/>
            </w:rPr>
            <w:fldChar w:fldCharType="separate"/>
          </w:r>
          <w:hyperlink w:anchor="__RefHeading___Toc10786_3324765499">
            <w:r>
              <w:rPr>
                <w:rStyle w:val="IndexLink"/>
                <w:webHidden/>
              </w:rPr>
              <w:t>Document Control</w:t>
            </w:r>
            <w:r>
              <w:rPr>
                <w:rStyle w:val="IndexLink"/>
                <w:webHidden/>
              </w:rPr>
              <w:tab/>
              <w:t>9</w:t>
            </w:r>
          </w:hyperlink>
        </w:p>
        <w:p w14:paraId="66D64252" w14:textId="77777777" w:rsidR="00293BDE" w:rsidRDefault="00000000">
          <w:pPr>
            <w:pStyle w:val="TOC1"/>
          </w:pPr>
          <w:hyperlink w:anchor="__RefHeading___Toc10788_3324765499">
            <w:r>
              <w:rPr>
                <w:rStyle w:val="IndexLink"/>
                <w:webHidden/>
              </w:rPr>
              <w:t>The Horizon Declaration of Principles</w:t>
            </w:r>
            <w:r>
              <w:rPr>
                <w:rStyle w:val="IndexLink"/>
                <w:webHidden/>
              </w:rPr>
              <w:tab/>
              <w:t>10</w:t>
            </w:r>
          </w:hyperlink>
        </w:p>
        <w:p w14:paraId="44BB396D" w14:textId="77777777" w:rsidR="00293BDE" w:rsidRDefault="00000000">
          <w:pPr>
            <w:pStyle w:val="TOC1"/>
          </w:pPr>
          <w:hyperlink w:anchor="__RefHeading___Toc10790_3324765499">
            <w:r>
              <w:rPr>
                <w:rStyle w:val="IndexLink"/>
                <w:webHidden/>
              </w:rPr>
              <w:t>Preamble: The Moment of August 2026</w:t>
            </w:r>
            <w:r>
              <w:rPr>
                <w:rStyle w:val="IndexLink"/>
                <w:webHidden/>
              </w:rPr>
              <w:tab/>
              <w:t>12</w:t>
            </w:r>
          </w:hyperlink>
        </w:p>
        <w:p w14:paraId="5D96EB2E" w14:textId="77777777" w:rsidR="00293BDE" w:rsidRDefault="00000000">
          <w:pPr>
            <w:pStyle w:val="TOC1"/>
          </w:pPr>
          <w:hyperlink w:anchor="__RefHeading___Toc10792_3324765499">
            <w:r>
              <w:rPr>
                <w:rStyle w:val="IndexLink"/>
                <w:webHidden/>
              </w:rPr>
              <w:t>Executive Summary: The Compact in Ten Minutes</w:t>
            </w:r>
            <w:r>
              <w:rPr>
                <w:rStyle w:val="IndexLink"/>
                <w:webHidden/>
              </w:rPr>
              <w:tab/>
              <w:t>13</w:t>
            </w:r>
          </w:hyperlink>
        </w:p>
        <w:p w14:paraId="01C922B9" w14:textId="77777777" w:rsidR="00293BDE" w:rsidRDefault="00000000">
          <w:pPr>
            <w:pStyle w:val="TOC1"/>
          </w:pPr>
          <w:hyperlink w:anchor="__RefHeading___Toc10794_3324765499">
            <w:r>
              <w:rPr>
                <w:rStyle w:val="IndexLink"/>
                <w:webHidden/>
              </w:rPr>
              <w:t>Situation Assessment: The Strait as of August 2026</w:t>
            </w:r>
            <w:r>
              <w:rPr>
                <w:rStyle w:val="IndexLink"/>
                <w:webHidden/>
              </w:rPr>
              <w:tab/>
              <w:t>15</w:t>
            </w:r>
          </w:hyperlink>
        </w:p>
        <w:p w14:paraId="1C45D2F9" w14:textId="77777777" w:rsidR="00293BDE" w:rsidRDefault="00000000">
          <w:pPr>
            <w:pStyle w:val="TOC2"/>
            <w:tabs>
              <w:tab w:val="clear" w:pos="8789"/>
              <w:tab w:val="right" w:leader="dot" w:pos="9072"/>
            </w:tabs>
          </w:pPr>
          <w:hyperlink w:anchor="__RefHeading___Toc10796_3324765499">
            <w:r>
              <w:rPr>
                <w:rStyle w:val="IndexLink"/>
                <w:webHidden/>
              </w:rPr>
              <w:t>The war and the ceasefires</w:t>
            </w:r>
            <w:r>
              <w:rPr>
                <w:rStyle w:val="IndexLink"/>
                <w:webHidden/>
              </w:rPr>
              <w:tab/>
              <w:t>15</w:t>
            </w:r>
          </w:hyperlink>
        </w:p>
        <w:p w14:paraId="3DBB640A" w14:textId="77777777" w:rsidR="00293BDE" w:rsidRDefault="00000000">
          <w:pPr>
            <w:pStyle w:val="TOC2"/>
            <w:tabs>
              <w:tab w:val="clear" w:pos="8789"/>
              <w:tab w:val="right" w:leader="dot" w:pos="9072"/>
            </w:tabs>
          </w:pPr>
          <w:hyperlink w:anchor="__RefHeading___Toc10798_3324765499">
            <w:r>
              <w:rPr>
                <w:rStyle w:val="IndexLink"/>
                <w:webHidden/>
              </w:rPr>
              <w:t>The corridor breakthrough</w:t>
            </w:r>
            <w:r>
              <w:rPr>
                <w:rStyle w:val="IndexLink"/>
                <w:webHidden/>
              </w:rPr>
              <w:tab/>
              <w:t>15</w:t>
            </w:r>
          </w:hyperlink>
        </w:p>
        <w:p w14:paraId="58F9AC59" w14:textId="77777777" w:rsidR="00293BDE" w:rsidRDefault="00000000">
          <w:pPr>
            <w:pStyle w:val="TOC2"/>
            <w:tabs>
              <w:tab w:val="clear" w:pos="8789"/>
              <w:tab w:val="right" w:leader="dot" w:pos="9072"/>
            </w:tabs>
          </w:pPr>
          <w:hyperlink w:anchor="__RefHeading___Toc10800_3324765499">
            <w:r>
              <w:rPr>
                <w:rStyle w:val="IndexLink"/>
                <w:webHidden/>
              </w:rPr>
              <w:t>The four gaps</w:t>
            </w:r>
            <w:r>
              <w:rPr>
                <w:rStyle w:val="IndexLink"/>
                <w:webHidden/>
              </w:rPr>
              <w:tab/>
              <w:t>16</w:t>
            </w:r>
          </w:hyperlink>
        </w:p>
        <w:p w14:paraId="7D55AE91" w14:textId="77777777" w:rsidR="00293BDE" w:rsidRDefault="00000000">
          <w:pPr>
            <w:pStyle w:val="TOC2"/>
            <w:tabs>
              <w:tab w:val="clear" w:pos="8789"/>
              <w:tab w:val="right" w:leader="dot" w:pos="9072"/>
            </w:tabs>
          </w:pPr>
          <w:hyperlink w:anchor="__RefHeading___Toc10802_3324765499">
            <w:r>
              <w:rPr>
                <w:rStyle w:val="IndexLink"/>
                <w:webHidden/>
              </w:rPr>
              <w:t>The cost of the status quo</w:t>
            </w:r>
            <w:r>
              <w:rPr>
                <w:rStyle w:val="IndexLink"/>
                <w:webHidden/>
              </w:rPr>
              <w:tab/>
              <w:t>16</w:t>
            </w:r>
          </w:hyperlink>
        </w:p>
        <w:p w14:paraId="5B16E184" w14:textId="77777777" w:rsidR="00293BDE" w:rsidRDefault="00000000">
          <w:pPr>
            <w:pStyle w:val="TOC2"/>
            <w:tabs>
              <w:tab w:val="clear" w:pos="8789"/>
              <w:tab w:val="right" w:leader="dot" w:pos="9072"/>
            </w:tabs>
          </w:pPr>
          <w:hyperlink w:anchor="__RefHeading___Toc10804_3324765499">
            <w:r>
              <w:rPr>
                <w:rStyle w:val="IndexLink"/>
                <w:webHidden/>
              </w:rPr>
              <w:t>The risk tiers of inaction</w:t>
            </w:r>
            <w:r>
              <w:rPr>
                <w:rStyle w:val="IndexLink"/>
                <w:webHidden/>
              </w:rPr>
              <w:tab/>
              <w:t>16</w:t>
            </w:r>
          </w:hyperlink>
        </w:p>
        <w:p w14:paraId="17D67413" w14:textId="77777777" w:rsidR="00293BDE" w:rsidRDefault="00000000">
          <w:pPr>
            <w:pStyle w:val="TOC1"/>
          </w:pPr>
          <w:hyperlink w:anchor="__RefHeading___Toc10806_3324765499">
            <w:r>
              <w:rPr>
                <w:rStyle w:val="IndexLink"/>
                <w:webHidden/>
              </w:rPr>
              <w:t>Reader’s Guide: How This Compact Works</w:t>
            </w:r>
            <w:r>
              <w:rPr>
                <w:rStyle w:val="IndexLink"/>
                <w:webHidden/>
              </w:rPr>
              <w:tab/>
              <w:t>17</w:t>
            </w:r>
          </w:hyperlink>
        </w:p>
        <w:p w14:paraId="192FBEB1" w14:textId="77777777" w:rsidR="00293BDE" w:rsidRDefault="00000000">
          <w:pPr>
            <w:pStyle w:val="TOC1"/>
          </w:pPr>
          <w:hyperlink w:anchor="__RefHeading___Toc10808_3324765499">
            <w:r>
              <w:rPr>
                <w:rStyle w:val="IndexLink"/>
                <w:webHidden/>
              </w:rPr>
              <w:t>PART I: FOUNDATIONS</w:t>
            </w:r>
            <w:r>
              <w:rPr>
                <w:rStyle w:val="IndexLink"/>
                <w:webHidden/>
              </w:rPr>
              <w:tab/>
              <w:t>18</w:t>
            </w:r>
          </w:hyperlink>
        </w:p>
        <w:p w14:paraId="57B35235" w14:textId="77777777" w:rsidR="00293BDE" w:rsidRDefault="00000000">
          <w:pPr>
            <w:pStyle w:val="TOC2"/>
            <w:tabs>
              <w:tab w:val="clear" w:pos="8789"/>
              <w:tab w:val="right" w:leader="dot" w:pos="9072"/>
            </w:tabs>
          </w:pPr>
          <w:hyperlink w:anchor="__RefHeading___Toc10810_3324765499">
            <w:r>
              <w:rPr>
                <w:rStyle w:val="IndexLink"/>
                <w:webHidden/>
              </w:rPr>
              <w:t>Article 1: Establishment, Purpose, and Scope</w:t>
            </w:r>
            <w:r>
              <w:rPr>
                <w:rStyle w:val="IndexLink"/>
                <w:webHidden/>
              </w:rPr>
              <w:tab/>
              <w:t>18</w:t>
            </w:r>
          </w:hyperlink>
        </w:p>
        <w:p w14:paraId="1565A727" w14:textId="77777777" w:rsidR="00293BDE" w:rsidRDefault="00000000">
          <w:pPr>
            <w:pStyle w:val="TOC2"/>
            <w:tabs>
              <w:tab w:val="clear" w:pos="8789"/>
              <w:tab w:val="right" w:leader="dot" w:pos="9072"/>
            </w:tabs>
          </w:pPr>
          <w:hyperlink w:anchor="__RefHeading___Toc10812_3324765499">
            <w:r>
              <w:rPr>
                <w:rStyle w:val="IndexLink"/>
                <w:webHidden/>
              </w:rPr>
              <w:t>Article 2: Legal Foundations</w:t>
            </w:r>
            <w:r>
              <w:rPr>
                <w:rStyle w:val="IndexLink"/>
                <w:webHidden/>
              </w:rPr>
              <w:tab/>
              <w:t>20</w:t>
            </w:r>
          </w:hyperlink>
        </w:p>
        <w:p w14:paraId="77CA4C38" w14:textId="77777777" w:rsidR="00293BDE" w:rsidRDefault="00000000">
          <w:pPr>
            <w:pStyle w:val="TOC2"/>
            <w:tabs>
              <w:tab w:val="clear" w:pos="8789"/>
              <w:tab w:val="right" w:leader="dot" w:pos="9072"/>
            </w:tabs>
          </w:pPr>
          <w:hyperlink w:anchor="__RefHeading___Toc10814_3324765499">
            <w:r>
              <w:rPr>
                <w:rStyle w:val="IndexLink"/>
                <w:webHidden/>
              </w:rPr>
              <w:t>Article 3: Core Operating Principles</w:t>
            </w:r>
            <w:r>
              <w:rPr>
                <w:rStyle w:val="IndexLink"/>
                <w:webHidden/>
              </w:rPr>
              <w:tab/>
              <w:t>22</w:t>
            </w:r>
          </w:hyperlink>
        </w:p>
        <w:p w14:paraId="26DB045F" w14:textId="77777777" w:rsidR="00293BDE" w:rsidRDefault="00000000">
          <w:pPr>
            <w:pStyle w:val="TOC2"/>
            <w:tabs>
              <w:tab w:val="clear" w:pos="8789"/>
              <w:tab w:val="right" w:leader="dot" w:pos="9072"/>
            </w:tabs>
          </w:pPr>
          <w:hyperlink w:anchor="__RefHeading___Toc10816_3324765499">
            <w:r>
              <w:rPr>
                <w:rStyle w:val="IndexLink"/>
                <w:webHidden/>
              </w:rPr>
              <w:t>Article 4: The Standing Continuity Guarantee</w:t>
            </w:r>
            <w:r>
              <w:rPr>
                <w:rStyle w:val="IndexLink"/>
                <w:webHidden/>
              </w:rPr>
              <w:tab/>
              <w:t>24</w:t>
            </w:r>
          </w:hyperlink>
        </w:p>
        <w:p w14:paraId="3B436616" w14:textId="77777777" w:rsidR="00293BDE" w:rsidRDefault="00000000">
          <w:pPr>
            <w:pStyle w:val="TOC2"/>
            <w:tabs>
              <w:tab w:val="clear" w:pos="8789"/>
              <w:tab w:val="right" w:leader="dot" w:pos="9072"/>
            </w:tabs>
          </w:pPr>
          <w:hyperlink w:anchor="__RefHeading___Toc10818_3324765499">
            <w:r>
              <w:rPr>
                <w:rStyle w:val="IndexLink"/>
                <w:webHidden/>
              </w:rPr>
              <w:t>Article 5: The Inviolable Principles Register and the Perimeter Test</w:t>
            </w:r>
            <w:r>
              <w:rPr>
                <w:rStyle w:val="IndexLink"/>
                <w:webHidden/>
              </w:rPr>
              <w:tab/>
              <w:t>26</w:t>
            </w:r>
          </w:hyperlink>
        </w:p>
        <w:p w14:paraId="23B02EF7" w14:textId="77777777" w:rsidR="00293BDE" w:rsidRDefault="00000000">
          <w:pPr>
            <w:pStyle w:val="TOC2"/>
            <w:tabs>
              <w:tab w:val="clear" w:pos="8789"/>
              <w:tab w:val="right" w:leader="dot" w:pos="9072"/>
            </w:tabs>
          </w:pPr>
          <w:hyperlink w:anchor="__RefHeading___Toc10820_3324765499">
            <w:r>
              <w:rPr>
                <w:rStyle w:val="IndexLink"/>
                <w:webHidden/>
              </w:rPr>
              <w:t>Article 6: Parties, Roles, and Participation Architecture</w:t>
            </w:r>
            <w:r>
              <w:rPr>
                <w:rStyle w:val="IndexLink"/>
                <w:webHidden/>
              </w:rPr>
              <w:tab/>
              <w:t>27</w:t>
            </w:r>
          </w:hyperlink>
        </w:p>
        <w:p w14:paraId="39066C75" w14:textId="77777777" w:rsidR="00293BDE" w:rsidRDefault="00000000">
          <w:pPr>
            <w:pStyle w:val="TOC1"/>
          </w:pPr>
          <w:hyperlink w:anchor="__RefHeading___Toc10822_3324765499">
            <w:r>
              <w:rPr>
                <w:rStyle w:val="IndexLink"/>
                <w:webHidden/>
              </w:rPr>
              <w:t>PART II: THE THREE-CORRIDOR NAVIGATION SYSTEM</w:t>
            </w:r>
            <w:r>
              <w:rPr>
                <w:rStyle w:val="IndexLink"/>
                <w:webHidden/>
              </w:rPr>
              <w:tab/>
              <w:t>30</w:t>
            </w:r>
          </w:hyperlink>
        </w:p>
        <w:p w14:paraId="467B9D38" w14:textId="77777777" w:rsidR="00293BDE" w:rsidRDefault="00000000">
          <w:pPr>
            <w:pStyle w:val="TOC2"/>
            <w:tabs>
              <w:tab w:val="clear" w:pos="8789"/>
              <w:tab w:val="right" w:leader="dot" w:pos="9072"/>
            </w:tabs>
          </w:pPr>
          <w:hyperlink w:anchor="__RefHeading___Toc10824_3324765499">
            <w:r>
              <w:rPr>
                <w:rStyle w:val="IndexLink"/>
                <w:webHidden/>
              </w:rPr>
              <w:t>Article 7: The Governance Area and Boundary Coordinates</w:t>
            </w:r>
            <w:r>
              <w:rPr>
                <w:rStyle w:val="IndexLink"/>
                <w:webHidden/>
              </w:rPr>
              <w:tab/>
              <w:t>30</w:t>
            </w:r>
          </w:hyperlink>
        </w:p>
        <w:p w14:paraId="0F4B4995" w14:textId="77777777" w:rsidR="00293BDE" w:rsidRDefault="00000000">
          <w:pPr>
            <w:pStyle w:val="TOC2"/>
            <w:tabs>
              <w:tab w:val="clear" w:pos="8789"/>
              <w:tab w:val="right" w:leader="dot" w:pos="9072"/>
            </w:tabs>
          </w:pPr>
          <w:hyperlink w:anchor="__RefHeading___Toc10826_3324765499">
            <w:r>
              <w:rPr>
                <w:rStyle w:val="IndexLink"/>
                <w:webHidden/>
              </w:rPr>
              <w:t>Article 8: The Three Corridors</w:t>
            </w:r>
            <w:r>
              <w:rPr>
                <w:rStyle w:val="IndexLink"/>
                <w:webHidden/>
              </w:rPr>
              <w:tab/>
              <w:t>31</w:t>
            </w:r>
          </w:hyperlink>
        </w:p>
        <w:p w14:paraId="5652A39B" w14:textId="77777777" w:rsidR="00293BDE" w:rsidRDefault="00000000">
          <w:pPr>
            <w:pStyle w:val="TOC2"/>
            <w:tabs>
              <w:tab w:val="clear" w:pos="8789"/>
              <w:tab w:val="right" w:leader="dot" w:pos="9072"/>
            </w:tabs>
          </w:pPr>
          <w:hyperlink w:anchor="__RefHeading___Toc10828_3324765499">
            <w:r>
              <w:rPr>
                <w:rStyle w:val="IndexLink"/>
                <w:webHidden/>
              </w:rPr>
              <w:t>Article 9: Hazard Survey, Mines, and the Reopening Sequence</w:t>
            </w:r>
            <w:r>
              <w:rPr>
                <w:rStyle w:val="IndexLink"/>
                <w:webHidden/>
              </w:rPr>
              <w:tab/>
              <w:t>34</w:t>
            </w:r>
          </w:hyperlink>
        </w:p>
        <w:p w14:paraId="3B5B6047" w14:textId="77777777" w:rsidR="00293BDE" w:rsidRDefault="00000000">
          <w:pPr>
            <w:pStyle w:val="TOC2"/>
            <w:tabs>
              <w:tab w:val="clear" w:pos="8789"/>
              <w:tab w:val="right" w:leader="dot" w:pos="9072"/>
            </w:tabs>
          </w:pPr>
          <w:hyperlink w:anchor="__RefHeading___Toc10830_3324765499">
            <w:r>
              <w:rPr>
                <w:rStyle w:val="IndexLink"/>
                <w:webHidden/>
              </w:rPr>
              <w:t>Article 10: Vessel Classification and Differentiated Treatment</w:t>
            </w:r>
            <w:r>
              <w:rPr>
                <w:rStyle w:val="IndexLink"/>
                <w:webHidden/>
              </w:rPr>
              <w:tab/>
              <w:t>35</w:t>
            </w:r>
          </w:hyperlink>
        </w:p>
        <w:p w14:paraId="3B895E02" w14:textId="77777777" w:rsidR="00293BDE" w:rsidRDefault="00000000">
          <w:pPr>
            <w:pStyle w:val="TOC2"/>
            <w:tabs>
              <w:tab w:val="clear" w:pos="8789"/>
              <w:tab w:val="right" w:leader="dot" w:pos="9072"/>
            </w:tabs>
          </w:pPr>
          <w:hyperlink w:anchor="__RefHeading___Toc10832_3324765499">
            <w:r>
              <w:rPr>
                <w:rStyle w:val="IndexLink"/>
                <w:webHidden/>
              </w:rPr>
              <w:t>Article 11: Safe Passage and the Non-Interdiction Protocol</w:t>
            </w:r>
            <w:r>
              <w:rPr>
                <w:rStyle w:val="IndexLink"/>
                <w:webHidden/>
              </w:rPr>
              <w:tab/>
              <w:t>37</w:t>
            </w:r>
          </w:hyperlink>
        </w:p>
        <w:p w14:paraId="1FE840E1" w14:textId="77777777" w:rsidR="00293BDE" w:rsidRDefault="00000000">
          <w:pPr>
            <w:pStyle w:val="TOC2"/>
            <w:tabs>
              <w:tab w:val="clear" w:pos="8789"/>
              <w:tab w:val="right" w:leader="dot" w:pos="9072"/>
            </w:tabs>
          </w:pPr>
          <w:hyperlink w:anchor="__RefHeading___Toc10834_3324765499">
            <w:r>
              <w:rPr>
                <w:rStyle w:val="IndexLink"/>
                <w:webHidden/>
              </w:rPr>
              <w:t>Article 12: The Shipping Liaison and Transit Notice System</w:t>
            </w:r>
            <w:r>
              <w:rPr>
                <w:rStyle w:val="IndexLink"/>
                <w:webHidden/>
              </w:rPr>
              <w:tab/>
              <w:t>38</w:t>
            </w:r>
          </w:hyperlink>
        </w:p>
        <w:p w14:paraId="2C0DBC86" w14:textId="77777777" w:rsidR="00293BDE" w:rsidRDefault="00000000">
          <w:pPr>
            <w:pStyle w:val="TOC1"/>
          </w:pPr>
          <w:hyperlink w:anchor="__RefHeading___Toc10836_3324765499">
            <w:r>
              <w:rPr>
                <w:rStyle w:val="IndexLink"/>
                <w:webHidden/>
              </w:rPr>
              <w:t>PART III: INSTITUTIONAL ARCHITECTURE</w:t>
            </w:r>
            <w:r>
              <w:rPr>
                <w:rStyle w:val="IndexLink"/>
                <w:webHidden/>
              </w:rPr>
              <w:tab/>
              <w:t>40</w:t>
            </w:r>
          </w:hyperlink>
        </w:p>
        <w:p w14:paraId="260630C8" w14:textId="77777777" w:rsidR="00293BDE" w:rsidRDefault="00000000">
          <w:pPr>
            <w:pStyle w:val="TOC2"/>
            <w:tabs>
              <w:tab w:val="clear" w:pos="8789"/>
              <w:tab w:val="right" w:leader="dot" w:pos="9072"/>
            </w:tabs>
          </w:pPr>
          <w:hyperlink w:anchor="__RefHeading___Toc10838_3324765499">
            <w:r>
              <w:rPr>
                <w:rStyle w:val="IndexLink"/>
                <w:webHidden/>
              </w:rPr>
              <w:t>Article 13: The Horizon Maritime Authority</w:t>
            </w:r>
            <w:r>
              <w:rPr>
                <w:rStyle w:val="IndexLink"/>
                <w:webHidden/>
              </w:rPr>
              <w:tab/>
              <w:t>40</w:t>
            </w:r>
          </w:hyperlink>
        </w:p>
        <w:p w14:paraId="568A22CD" w14:textId="77777777" w:rsidR="00293BDE" w:rsidRDefault="00000000">
          <w:pPr>
            <w:pStyle w:val="TOC2"/>
            <w:tabs>
              <w:tab w:val="clear" w:pos="8789"/>
              <w:tab w:val="right" w:leader="dot" w:pos="9072"/>
            </w:tabs>
          </w:pPr>
          <w:hyperlink w:anchor="__RefHeading___Toc10840_3324765499">
            <w:r>
              <w:rPr>
                <w:rStyle w:val="IndexLink"/>
                <w:webHidden/>
              </w:rPr>
              <w:t>Article 14: The Horizon Operations Center, the Mirror Facility, and Participation Functions</w:t>
            </w:r>
            <w:r>
              <w:rPr>
                <w:rStyle w:val="IndexLink"/>
                <w:webHidden/>
              </w:rPr>
              <w:tab/>
              <w:t>41</w:t>
            </w:r>
          </w:hyperlink>
        </w:p>
        <w:p w14:paraId="0C65EA84" w14:textId="77777777" w:rsidR="00293BDE" w:rsidRDefault="00000000">
          <w:pPr>
            <w:pStyle w:val="TOC2"/>
            <w:tabs>
              <w:tab w:val="clear" w:pos="8789"/>
              <w:tab w:val="right" w:leader="dot" w:pos="9072"/>
            </w:tabs>
          </w:pPr>
          <w:hyperlink w:anchor="__RefHeading___Toc10842_3324765499">
            <w:r>
              <w:rPr>
                <w:rStyle w:val="IndexLink"/>
                <w:webHidden/>
              </w:rPr>
              <w:t>Article 15: Decision Rules</w:t>
            </w:r>
            <w:r>
              <w:rPr>
                <w:rStyle w:val="IndexLink"/>
                <w:webHidden/>
              </w:rPr>
              <w:tab/>
              <w:t>44</w:t>
            </w:r>
          </w:hyperlink>
        </w:p>
        <w:p w14:paraId="3CE28DD7" w14:textId="77777777" w:rsidR="00293BDE" w:rsidRDefault="00000000">
          <w:pPr>
            <w:pStyle w:val="TOC2"/>
            <w:tabs>
              <w:tab w:val="clear" w:pos="8789"/>
              <w:tab w:val="right" w:leader="dot" w:pos="9072"/>
            </w:tabs>
          </w:pPr>
          <w:hyperlink w:anchor="__RefHeading___Toc10844_3324765499">
            <w:r>
              <w:rPr>
                <w:rStyle w:val="IndexLink"/>
                <w:webHidden/>
              </w:rPr>
              <w:t>Article 16: External Participation and the Endorsement Framework</w:t>
            </w:r>
            <w:r>
              <w:rPr>
                <w:rStyle w:val="IndexLink"/>
                <w:webHidden/>
              </w:rPr>
              <w:tab/>
              <w:t>46</w:t>
            </w:r>
          </w:hyperlink>
        </w:p>
        <w:p w14:paraId="5A683A4F" w14:textId="77777777" w:rsidR="00293BDE" w:rsidRDefault="00000000">
          <w:pPr>
            <w:pStyle w:val="TOC1"/>
          </w:pPr>
          <w:hyperlink w:anchor="__RefHeading___Toc10846_3324765499">
            <w:r>
              <w:rPr>
                <w:rStyle w:val="IndexLink"/>
                <w:webHidden/>
              </w:rPr>
              <w:t>PART IV: THE FINANCIAL ARCHITECTURE: THE SETTLEMENT OF THE TOLL QUESTION</w:t>
            </w:r>
            <w:r>
              <w:rPr>
                <w:rStyle w:val="IndexLink"/>
                <w:webHidden/>
              </w:rPr>
              <w:tab/>
              <w:t>47</w:t>
            </w:r>
          </w:hyperlink>
        </w:p>
        <w:p w14:paraId="6B91D44B" w14:textId="77777777" w:rsidR="00293BDE" w:rsidRDefault="00000000">
          <w:pPr>
            <w:pStyle w:val="TOC2"/>
            <w:tabs>
              <w:tab w:val="clear" w:pos="8789"/>
              <w:tab w:val="right" w:leader="dot" w:pos="9072"/>
            </w:tabs>
          </w:pPr>
          <w:hyperlink w:anchor="__RefHeading___Toc10848_3324765499">
            <w:r>
              <w:rPr>
                <w:rStyle w:val="IndexLink"/>
                <w:webHidden/>
              </w:rPr>
              <w:t>Article 17: The Open Passage Rule</w:t>
            </w:r>
            <w:r>
              <w:rPr>
                <w:rStyle w:val="IndexLink"/>
                <w:webHidden/>
              </w:rPr>
              <w:tab/>
              <w:t>47</w:t>
            </w:r>
          </w:hyperlink>
        </w:p>
        <w:p w14:paraId="548A3B27" w14:textId="77777777" w:rsidR="00293BDE" w:rsidRDefault="00000000">
          <w:pPr>
            <w:pStyle w:val="TOC2"/>
            <w:tabs>
              <w:tab w:val="clear" w:pos="8789"/>
              <w:tab w:val="right" w:leader="dot" w:pos="9072"/>
            </w:tabs>
          </w:pPr>
          <w:hyperlink w:anchor="__RefHeading___Toc10850_3324765499">
            <w:r>
              <w:rPr>
                <w:rStyle w:val="IndexLink"/>
                <w:webHidden/>
              </w:rPr>
              <w:t>Article 18: The Verified Services Catalog and the Route Assurance Data Service</w:t>
            </w:r>
            <w:r>
              <w:rPr>
                <w:rStyle w:val="IndexLink"/>
                <w:webHidden/>
              </w:rPr>
              <w:tab/>
              <w:t>48</w:t>
            </w:r>
          </w:hyperlink>
        </w:p>
        <w:p w14:paraId="560C3563" w14:textId="77777777" w:rsidR="00293BDE" w:rsidRDefault="00000000">
          <w:pPr>
            <w:pStyle w:val="TOC2"/>
            <w:tabs>
              <w:tab w:val="clear" w:pos="8789"/>
              <w:tab w:val="right" w:leader="dot" w:pos="9072"/>
            </w:tabs>
          </w:pPr>
          <w:hyperlink w:anchor="__RefHeading___Toc10852_3324765499">
            <w:r>
              <w:rPr>
                <w:rStyle w:val="IndexLink"/>
                <w:webHidden/>
              </w:rPr>
              <w:t>Article 19: The Strait Services Fund</w:t>
            </w:r>
            <w:r>
              <w:rPr>
                <w:rStyle w:val="IndexLink"/>
                <w:webHidden/>
              </w:rPr>
              <w:tab/>
              <w:t>51</w:t>
            </w:r>
          </w:hyperlink>
        </w:p>
        <w:p w14:paraId="2D68F839" w14:textId="77777777" w:rsidR="00293BDE" w:rsidRDefault="00000000">
          <w:pPr>
            <w:pStyle w:val="TOC2"/>
            <w:tabs>
              <w:tab w:val="clear" w:pos="8789"/>
              <w:tab w:val="right" w:leader="dot" w:pos="9072"/>
            </w:tabs>
          </w:pPr>
          <w:hyperlink w:anchor="__RefHeading___Toc10854_3324765499">
            <w:r>
              <w:rPr>
                <w:rStyle w:val="IndexLink"/>
                <w:webHidden/>
              </w:rPr>
              <w:t>Article 20: Budget, Audit, and the Sanctions-Compliance Firewall</w:t>
            </w:r>
            <w:r>
              <w:rPr>
                <w:rStyle w:val="IndexLink"/>
                <w:webHidden/>
              </w:rPr>
              <w:tab/>
              <w:t>53</w:t>
            </w:r>
          </w:hyperlink>
        </w:p>
        <w:p w14:paraId="2F0773B5" w14:textId="77777777" w:rsidR="00293BDE" w:rsidRDefault="00000000">
          <w:pPr>
            <w:pStyle w:val="TOC2"/>
            <w:tabs>
              <w:tab w:val="clear" w:pos="8789"/>
              <w:tab w:val="right" w:leader="dot" w:pos="9072"/>
            </w:tabs>
          </w:pPr>
          <w:hyperlink w:anchor="__RefHeading___Toc10856_3324765499">
            <w:r>
              <w:rPr>
                <w:rStyle w:val="IndexLink"/>
                <w:webHidden/>
              </w:rPr>
              <w:t>Article 21: Rates, Apportionment, and the Voluntary Contribution Facility</w:t>
            </w:r>
            <w:r>
              <w:rPr>
                <w:rStyle w:val="IndexLink"/>
                <w:webHidden/>
              </w:rPr>
              <w:tab/>
              <w:t>54</w:t>
            </w:r>
          </w:hyperlink>
        </w:p>
        <w:p w14:paraId="4BEEA7CB" w14:textId="77777777" w:rsidR="00293BDE" w:rsidRDefault="00000000">
          <w:pPr>
            <w:pStyle w:val="TOC1"/>
          </w:pPr>
          <w:hyperlink w:anchor="__RefHeading___Toc10858_3324765499">
            <w:r>
              <w:rPr>
                <w:rStyle w:val="IndexLink"/>
                <w:webHidden/>
              </w:rPr>
              <w:t>PART V: VERIFICATION, DE-CONFLICTION, AND INCIDENT MANAGEMENT</w:t>
            </w:r>
            <w:r>
              <w:rPr>
                <w:rStyle w:val="IndexLink"/>
                <w:webHidden/>
              </w:rPr>
              <w:tab/>
              <w:t>56</w:t>
            </w:r>
          </w:hyperlink>
        </w:p>
        <w:p w14:paraId="1DA7E3B3" w14:textId="77777777" w:rsidR="00293BDE" w:rsidRDefault="00000000">
          <w:pPr>
            <w:pStyle w:val="TOC2"/>
            <w:tabs>
              <w:tab w:val="clear" w:pos="8789"/>
              <w:tab w:val="right" w:leader="dot" w:pos="9072"/>
            </w:tabs>
          </w:pPr>
          <w:hyperlink w:anchor="__RefHeading___Toc10860_3324765499">
            <w:r>
              <w:rPr>
                <w:rStyle w:val="IndexLink"/>
                <w:webHidden/>
              </w:rPr>
              <w:t>Article 22: Verification: The Human Anchor Method</w:t>
            </w:r>
            <w:r>
              <w:rPr>
                <w:rStyle w:val="IndexLink"/>
                <w:webHidden/>
              </w:rPr>
              <w:tab/>
              <w:t>56</w:t>
            </w:r>
          </w:hyperlink>
        </w:p>
        <w:p w14:paraId="4CD71268" w14:textId="77777777" w:rsidR="00293BDE" w:rsidRDefault="00000000">
          <w:pPr>
            <w:pStyle w:val="TOC2"/>
            <w:tabs>
              <w:tab w:val="clear" w:pos="8789"/>
              <w:tab w:val="right" w:leader="dot" w:pos="9072"/>
            </w:tabs>
          </w:pPr>
          <w:hyperlink w:anchor="__RefHeading___Toc10862_3324765499">
            <w:r>
              <w:rPr>
                <w:rStyle w:val="IndexLink"/>
                <w:webHidden/>
              </w:rPr>
              <w:t>Article 23: Naval De-confliction and the Standoff Geometry</w:t>
            </w:r>
            <w:r>
              <w:rPr>
                <w:rStyle w:val="IndexLink"/>
                <w:webHidden/>
              </w:rPr>
              <w:tab/>
              <w:t>58</w:t>
            </w:r>
          </w:hyperlink>
        </w:p>
        <w:p w14:paraId="71EA0B73" w14:textId="77777777" w:rsidR="00293BDE" w:rsidRDefault="00000000">
          <w:pPr>
            <w:pStyle w:val="TOC2"/>
            <w:tabs>
              <w:tab w:val="clear" w:pos="8789"/>
              <w:tab w:val="right" w:leader="dot" w:pos="9072"/>
            </w:tabs>
          </w:pPr>
          <w:hyperlink w:anchor="__RefHeading___Toc10864_3324765499">
            <w:r>
              <w:rPr>
                <w:rStyle w:val="IndexLink"/>
                <w:webHidden/>
              </w:rPr>
              <w:t>Article 24: Incidents, Proxy Events, and Emergency Response</w:t>
            </w:r>
            <w:r>
              <w:rPr>
                <w:rStyle w:val="IndexLink"/>
                <w:webHidden/>
              </w:rPr>
              <w:tab/>
              <w:t>60</w:t>
            </w:r>
          </w:hyperlink>
        </w:p>
        <w:p w14:paraId="3AC63BA8" w14:textId="77777777" w:rsidR="00293BDE" w:rsidRDefault="00000000">
          <w:pPr>
            <w:pStyle w:val="TOC1"/>
          </w:pPr>
          <w:hyperlink w:anchor="__RefHeading___Toc10866_3324765499">
            <w:r>
              <w:rPr>
                <w:rStyle w:val="IndexLink"/>
                <w:webHidden/>
              </w:rPr>
              <w:t>PART VI: COMPLIANCE, ACCOUNTABILITY, AND DISPUTE RESOLUTION</w:t>
            </w:r>
            <w:r>
              <w:rPr>
                <w:rStyle w:val="IndexLink"/>
                <w:webHidden/>
              </w:rPr>
              <w:tab/>
              <w:t>62</w:t>
            </w:r>
          </w:hyperlink>
        </w:p>
        <w:p w14:paraId="61EB5FB1" w14:textId="77777777" w:rsidR="00293BDE" w:rsidRDefault="00000000">
          <w:pPr>
            <w:pStyle w:val="TOC2"/>
            <w:tabs>
              <w:tab w:val="clear" w:pos="8789"/>
              <w:tab w:val="right" w:leader="dot" w:pos="9072"/>
            </w:tabs>
          </w:pPr>
          <w:hyperlink w:anchor="__RefHeading___Toc10868_3324765499">
            <w:r>
              <w:rPr>
                <w:rStyle w:val="IndexLink"/>
                <w:webHidden/>
              </w:rPr>
              <w:t>Article 25: The Compliance Engine</w:t>
            </w:r>
            <w:r>
              <w:rPr>
                <w:rStyle w:val="IndexLink"/>
                <w:webHidden/>
              </w:rPr>
              <w:tab/>
              <w:t>62</w:t>
            </w:r>
          </w:hyperlink>
        </w:p>
        <w:p w14:paraId="1DC2E3F7" w14:textId="77777777" w:rsidR="00293BDE" w:rsidRDefault="00000000">
          <w:pPr>
            <w:pStyle w:val="TOC2"/>
            <w:tabs>
              <w:tab w:val="clear" w:pos="8789"/>
              <w:tab w:val="right" w:leader="dot" w:pos="9072"/>
            </w:tabs>
          </w:pPr>
          <w:hyperlink w:anchor="__RefHeading___Toc10870_3324765499">
            <w:r>
              <w:rPr>
                <w:rStyle w:val="IndexLink"/>
                <w:webHidden/>
              </w:rPr>
              <w:t>Article 26: Dispute Resolution</w:t>
            </w:r>
            <w:r>
              <w:rPr>
                <w:rStyle w:val="IndexLink"/>
                <w:webHidden/>
              </w:rPr>
              <w:tab/>
              <w:t>65</w:t>
            </w:r>
          </w:hyperlink>
        </w:p>
        <w:p w14:paraId="58B04C54" w14:textId="77777777" w:rsidR="00293BDE" w:rsidRDefault="00000000">
          <w:pPr>
            <w:pStyle w:val="TOC2"/>
            <w:tabs>
              <w:tab w:val="clear" w:pos="8789"/>
              <w:tab w:val="right" w:leader="dot" w:pos="9072"/>
            </w:tabs>
          </w:pPr>
          <w:hyperlink w:anchor="__RefHeading___Toc10872_3324765499">
            <w:r>
              <w:rPr>
                <w:rStyle w:val="IndexLink"/>
                <w:webHidden/>
              </w:rPr>
              <w:t>Article 27: Substantiated Claims, the Performance Bond, and the Reciprocity Ledger</w:t>
            </w:r>
            <w:r>
              <w:rPr>
                <w:rStyle w:val="IndexLink"/>
                <w:webHidden/>
              </w:rPr>
              <w:tab/>
              <w:t>67</w:t>
            </w:r>
          </w:hyperlink>
        </w:p>
        <w:p w14:paraId="7E6D04EF" w14:textId="77777777" w:rsidR="00293BDE" w:rsidRDefault="00000000">
          <w:pPr>
            <w:pStyle w:val="TOC2"/>
            <w:tabs>
              <w:tab w:val="clear" w:pos="8789"/>
              <w:tab w:val="right" w:leader="dot" w:pos="9072"/>
            </w:tabs>
          </w:pPr>
          <w:hyperlink w:anchor="__RefHeading___Toc10874_3324765499">
            <w:r>
              <w:rPr>
                <w:rStyle w:val="IndexLink"/>
                <w:webHidden/>
              </w:rPr>
              <w:t>Article 28: The Protection Covenant</w:t>
            </w:r>
            <w:r>
              <w:rPr>
                <w:rStyle w:val="IndexLink"/>
                <w:webHidden/>
              </w:rPr>
              <w:tab/>
              <w:t>68</w:t>
            </w:r>
          </w:hyperlink>
        </w:p>
        <w:p w14:paraId="37633D89" w14:textId="77777777" w:rsidR="00293BDE" w:rsidRDefault="00000000">
          <w:pPr>
            <w:pStyle w:val="TOC2"/>
            <w:tabs>
              <w:tab w:val="clear" w:pos="8789"/>
              <w:tab w:val="right" w:leader="dot" w:pos="9072"/>
            </w:tabs>
          </w:pPr>
          <w:hyperlink w:anchor="__RefHeading___Toc10876_3324765499">
            <w:r>
              <w:rPr>
                <w:rStyle w:val="IndexLink"/>
                <w:webHidden/>
              </w:rPr>
              <w:t>Article 29: Domestic Framing Autonomy and Narrative Peace</w:t>
            </w:r>
            <w:r>
              <w:rPr>
                <w:rStyle w:val="IndexLink"/>
                <w:webHidden/>
              </w:rPr>
              <w:tab/>
              <w:t>69</w:t>
            </w:r>
          </w:hyperlink>
        </w:p>
        <w:p w14:paraId="753C7C38" w14:textId="77777777" w:rsidR="00293BDE" w:rsidRDefault="00000000">
          <w:pPr>
            <w:pStyle w:val="TOC1"/>
          </w:pPr>
          <w:hyperlink w:anchor="__RefHeading___Toc10878_3324765499">
            <w:r>
              <w:rPr>
                <w:rStyle w:val="IndexLink"/>
                <w:webHidden/>
              </w:rPr>
              <w:t>PART VII: ACTIVATION, CONTINUITY, AND FINAL PROVISIONS</w:t>
            </w:r>
            <w:r>
              <w:rPr>
                <w:rStyle w:val="IndexLink"/>
                <w:webHidden/>
              </w:rPr>
              <w:tab/>
              <w:t>70</w:t>
            </w:r>
          </w:hyperlink>
        </w:p>
        <w:p w14:paraId="2C766D2D" w14:textId="77777777" w:rsidR="00293BDE" w:rsidRDefault="00000000">
          <w:pPr>
            <w:pStyle w:val="TOC2"/>
            <w:tabs>
              <w:tab w:val="clear" w:pos="8789"/>
              <w:tab w:val="right" w:leader="dot" w:pos="9072"/>
            </w:tabs>
          </w:pPr>
          <w:hyperlink w:anchor="__RefHeading___Toc10880_3324765499">
            <w:r>
              <w:rPr>
                <w:rStyle w:val="IndexLink"/>
                <w:webHidden/>
              </w:rPr>
              <w:t>Article 30: Activation: The Assurance Phase and the Activation Review</w:t>
            </w:r>
            <w:r>
              <w:rPr>
                <w:rStyle w:val="IndexLink"/>
                <w:webHidden/>
              </w:rPr>
              <w:tab/>
              <w:t>70</w:t>
            </w:r>
          </w:hyperlink>
        </w:p>
        <w:p w14:paraId="56472280" w14:textId="77777777" w:rsidR="00293BDE" w:rsidRDefault="00000000">
          <w:pPr>
            <w:pStyle w:val="TOC2"/>
            <w:tabs>
              <w:tab w:val="clear" w:pos="8789"/>
              <w:tab w:val="right" w:leader="dot" w:pos="9072"/>
            </w:tabs>
          </w:pPr>
          <w:hyperlink w:anchor="__RefHeading___Toc10882_3324765499">
            <w:r>
              <w:rPr>
                <w:rStyle w:val="IndexLink"/>
                <w:webHidden/>
              </w:rPr>
              <w:t>Article 31: Accession and the Multilateral Expansion Path</w:t>
            </w:r>
            <w:r>
              <w:rPr>
                <w:rStyle w:val="IndexLink"/>
                <w:webHidden/>
              </w:rPr>
              <w:tab/>
              <w:t>72</w:t>
            </w:r>
          </w:hyperlink>
        </w:p>
        <w:p w14:paraId="02036976" w14:textId="77777777" w:rsidR="00293BDE" w:rsidRDefault="00000000">
          <w:pPr>
            <w:pStyle w:val="TOC2"/>
            <w:tabs>
              <w:tab w:val="clear" w:pos="8789"/>
              <w:tab w:val="right" w:leader="dot" w:pos="9072"/>
            </w:tabs>
          </w:pPr>
          <w:hyperlink w:anchor="__RefHeading___Toc10884_3324765499">
            <w:r>
              <w:rPr>
                <w:rStyle w:val="IndexLink"/>
                <w:webHidden/>
              </w:rPr>
              <w:t>Article 32: Amendment and Review</w:t>
            </w:r>
            <w:r>
              <w:rPr>
                <w:rStyle w:val="IndexLink"/>
                <w:webHidden/>
              </w:rPr>
              <w:tab/>
              <w:t>73</w:t>
            </w:r>
          </w:hyperlink>
        </w:p>
        <w:p w14:paraId="57F188FD" w14:textId="77777777" w:rsidR="00293BDE" w:rsidRDefault="00000000">
          <w:pPr>
            <w:pStyle w:val="TOC2"/>
            <w:tabs>
              <w:tab w:val="clear" w:pos="8789"/>
              <w:tab w:val="right" w:leader="dot" w:pos="9072"/>
            </w:tabs>
          </w:pPr>
          <w:hyperlink w:anchor="__RefHeading___Toc10886_3324765499">
            <w:r>
              <w:rPr>
                <w:rStyle w:val="IndexLink"/>
                <w:webHidden/>
              </w:rPr>
              <w:t>Article 33: Transition, Succession, Withdrawal, and Reconstitution</w:t>
            </w:r>
            <w:r>
              <w:rPr>
                <w:rStyle w:val="IndexLink"/>
                <w:webHidden/>
              </w:rPr>
              <w:tab/>
              <w:t>74</w:t>
            </w:r>
          </w:hyperlink>
        </w:p>
        <w:p w14:paraId="682149CC" w14:textId="77777777" w:rsidR="00293BDE" w:rsidRDefault="00000000">
          <w:pPr>
            <w:pStyle w:val="TOC2"/>
            <w:tabs>
              <w:tab w:val="clear" w:pos="8789"/>
              <w:tab w:val="right" w:leader="dot" w:pos="9072"/>
            </w:tabs>
          </w:pPr>
          <w:hyperlink w:anchor="__RefHeading___Toc10888_3324765499">
            <w:r>
              <w:rPr>
                <w:rStyle w:val="IndexLink"/>
                <w:webHidden/>
              </w:rPr>
              <w:t>Article 34: Final Provisions</w:t>
            </w:r>
            <w:r>
              <w:rPr>
                <w:rStyle w:val="IndexLink"/>
                <w:webHidden/>
              </w:rPr>
              <w:tab/>
              <w:t>76</w:t>
            </w:r>
          </w:hyperlink>
        </w:p>
        <w:p w14:paraId="6018F990" w14:textId="77777777" w:rsidR="00293BDE" w:rsidRDefault="00000000">
          <w:pPr>
            <w:pStyle w:val="TOC1"/>
          </w:pPr>
          <w:hyperlink w:anchor="__RefHeading___Toc10890_3324765499">
            <w:r>
              <w:rPr>
                <w:rStyle w:val="IndexLink"/>
                <w:webHidden/>
              </w:rPr>
              <w:t>Signature Block</w:t>
            </w:r>
            <w:r>
              <w:rPr>
                <w:rStyle w:val="IndexLink"/>
                <w:webHidden/>
              </w:rPr>
              <w:tab/>
              <w:t>78</w:t>
            </w:r>
          </w:hyperlink>
        </w:p>
        <w:p w14:paraId="392AFD14" w14:textId="77777777" w:rsidR="00293BDE" w:rsidRDefault="00000000">
          <w:pPr>
            <w:pStyle w:val="TOC1"/>
          </w:pPr>
          <w:hyperlink w:anchor="__RefHeading___Toc10892_3324765499">
            <w:r>
              <w:rPr>
                <w:rStyle w:val="IndexLink"/>
                <w:webHidden/>
              </w:rPr>
              <w:t>ANNEX A: PASSAGE COORDINATES AND GEOMETRY REGISTRY</w:t>
            </w:r>
            <w:r>
              <w:rPr>
                <w:rStyle w:val="IndexLink"/>
                <w:webHidden/>
              </w:rPr>
              <w:tab/>
              <w:t>79</w:t>
            </w:r>
          </w:hyperlink>
        </w:p>
        <w:p w14:paraId="413BB418" w14:textId="77777777" w:rsidR="00293BDE" w:rsidRDefault="00000000">
          <w:pPr>
            <w:pStyle w:val="TOC2"/>
            <w:tabs>
              <w:tab w:val="clear" w:pos="8789"/>
              <w:tab w:val="right" w:leader="dot" w:pos="9072"/>
            </w:tabs>
          </w:pPr>
          <w:hyperlink w:anchor="__RefHeading___Toc10894_3324765499">
            <w:r>
              <w:rPr>
                <w:rStyle w:val="IndexLink"/>
                <w:webHidden/>
              </w:rPr>
              <w:t>A.1 Governance Area boundary</w:t>
            </w:r>
            <w:r>
              <w:rPr>
                <w:rStyle w:val="IndexLink"/>
                <w:webHidden/>
              </w:rPr>
              <w:tab/>
              <w:t>79</w:t>
            </w:r>
          </w:hyperlink>
        </w:p>
        <w:p w14:paraId="2A78CFAA" w14:textId="77777777" w:rsidR="00293BDE" w:rsidRDefault="00000000">
          <w:pPr>
            <w:pStyle w:val="TOC2"/>
            <w:tabs>
              <w:tab w:val="clear" w:pos="8789"/>
              <w:tab w:val="right" w:leader="dot" w:pos="9072"/>
            </w:tabs>
          </w:pPr>
          <w:hyperlink w:anchor="__RefHeading___Toc10896_3324765499">
            <w:r>
              <w:rPr>
                <w:rStyle w:val="IndexLink"/>
                <w:webHidden/>
              </w:rPr>
              <w:t>A.2 Southern Outbound Corridor waypoints</w:t>
            </w:r>
            <w:r>
              <w:rPr>
                <w:rStyle w:val="IndexLink"/>
                <w:webHidden/>
              </w:rPr>
              <w:tab/>
              <w:t>80</w:t>
            </w:r>
          </w:hyperlink>
        </w:p>
        <w:p w14:paraId="77C38984" w14:textId="77777777" w:rsidR="00293BDE" w:rsidRDefault="00000000">
          <w:pPr>
            <w:pStyle w:val="TOC2"/>
            <w:tabs>
              <w:tab w:val="clear" w:pos="8789"/>
              <w:tab w:val="right" w:leader="dot" w:pos="9072"/>
            </w:tabs>
          </w:pPr>
          <w:hyperlink w:anchor="__RefHeading___Toc10898_3324765499">
            <w:r>
              <w:rPr>
                <w:rStyle w:val="IndexLink"/>
                <w:webHidden/>
              </w:rPr>
              <w:t>A.3 Northern Inbound Corridor waypoints</w:t>
            </w:r>
            <w:r>
              <w:rPr>
                <w:rStyle w:val="IndexLink"/>
                <w:webHidden/>
              </w:rPr>
              <w:tab/>
              <w:t>80</w:t>
            </w:r>
          </w:hyperlink>
        </w:p>
        <w:p w14:paraId="237F8836" w14:textId="77777777" w:rsidR="00293BDE" w:rsidRDefault="00000000">
          <w:pPr>
            <w:pStyle w:val="TOC2"/>
            <w:tabs>
              <w:tab w:val="clear" w:pos="8789"/>
              <w:tab w:val="right" w:leader="dot" w:pos="9072"/>
            </w:tabs>
          </w:pPr>
          <w:hyperlink w:anchor="__RefHeading___Toc10900_3324765499">
            <w:r>
              <w:rPr>
                <w:rStyle w:val="IndexLink"/>
                <w:webHidden/>
              </w:rPr>
              <w:t>A.4 Central Buffer Corridor waypoints</w:t>
            </w:r>
            <w:r>
              <w:rPr>
                <w:rStyle w:val="IndexLink"/>
                <w:webHidden/>
              </w:rPr>
              <w:tab/>
              <w:t>81</w:t>
            </w:r>
          </w:hyperlink>
        </w:p>
        <w:p w14:paraId="6E9951D0" w14:textId="77777777" w:rsidR="00293BDE" w:rsidRDefault="00000000">
          <w:pPr>
            <w:pStyle w:val="TOC2"/>
            <w:tabs>
              <w:tab w:val="clear" w:pos="8789"/>
              <w:tab w:val="right" w:leader="dot" w:pos="9072"/>
            </w:tabs>
          </w:pPr>
          <w:hyperlink w:anchor="__RefHeading___Toc10902_3324765499">
            <w:r>
              <w:rPr>
                <w:rStyle w:val="IndexLink"/>
                <w:webHidden/>
              </w:rPr>
              <w:t>A.5 Separation belts</w:t>
            </w:r>
            <w:r>
              <w:rPr>
                <w:rStyle w:val="IndexLink"/>
                <w:webHidden/>
              </w:rPr>
              <w:tab/>
              <w:t>81</w:t>
            </w:r>
          </w:hyperlink>
        </w:p>
        <w:p w14:paraId="0AE47C5F" w14:textId="77777777" w:rsidR="00293BDE" w:rsidRDefault="00000000">
          <w:pPr>
            <w:pStyle w:val="TOC2"/>
            <w:tabs>
              <w:tab w:val="clear" w:pos="8789"/>
              <w:tab w:val="right" w:leader="dot" w:pos="9072"/>
            </w:tabs>
          </w:pPr>
          <w:hyperlink w:anchor="__RefHeading___Toc10904_3324765499">
            <w:r>
              <w:rPr>
                <w:rStyle w:val="IndexLink"/>
                <w:webHidden/>
              </w:rPr>
              <w:t>A.6 Precautionary zones and holding anchorages</w:t>
            </w:r>
            <w:r>
              <w:rPr>
                <w:rStyle w:val="IndexLink"/>
                <w:webHidden/>
              </w:rPr>
              <w:tab/>
              <w:t>81</w:t>
            </w:r>
          </w:hyperlink>
        </w:p>
        <w:p w14:paraId="7A83F9E3" w14:textId="77777777" w:rsidR="00293BDE" w:rsidRDefault="00000000">
          <w:pPr>
            <w:pStyle w:val="TOC2"/>
            <w:tabs>
              <w:tab w:val="clear" w:pos="8789"/>
              <w:tab w:val="right" w:leader="dot" w:pos="9072"/>
            </w:tabs>
          </w:pPr>
          <w:hyperlink w:anchor="__RefHeading___Toc10906_3324765499">
            <w:r>
              <w:rPr>
                <w:rStyle w:val="IndexLink"/>
                <w:webHidden/>
              </w:rPr>
              <w:t>A.7 Crossing gates, inshore bands, and reporting points</w:t>
            </w:r>
            <w:r>
              <w:rPr>
                <w:rStyle w:val="IndexLink"/>
                <w:webHidden/>
              </w:rPr>
              <w:tab/>
              <w:t>82</w:t>
            </w:r>
          </w:hyperlink>
        </w:p>
        <w:p w14:paraId="34166E34" w14:textId="77777777" w:rsidR="00293BDE" w:rsidRDefault="00000000">
          <w:pPr>
            <w:pStyle w:val="TOC2"/>
            <w:tabs>
              <w:tab w:val="clear" w:pos="8789"/>
              <w:tab w:val="right" w:leader="dot" w:pos="9072"/>
            </w:tabs>
          </w:pPr>
          <w:hyperlink w:anchor="__RefHeading___Toc10908_3324765499">
            <w:r>
              <w:rPr>
                <w:rStyle w:val="IndexLink"/>
                <w:webHidden/>
              </w:rPr>
              <w:t>A.8 Quiet Water Windows</w:t>
            </w:r>
            <w:r>
              <w:rPr>
                <w:rStyle w:val="IndexLink"/>
                <w:webHidden/>
              </w:rPr>
              <w:tab/>
              <w:t>82</w:t>
            </w:r>
          </w:hyperlink>
        </w:p>
        <w:p w14:paraId="5B8E9ABA" w14:textId="77777777" w:rsidR="00293BDE" w:rsidRDefault="00000000">
          <w:pPr>
            <w:pStyle w:val="TOC2"/>
            <w:tabs>
              <w:tab w:val="clear" w:pos="8789"/>
              <w:tab w:val="right" w:leader="dot" w:pos="9072"/>
            </w:tabs>
          </w:pPr>
          <w:hyperlink w:anchor="__RefHeading___Toc10910_3324765499">
            <w:r>
              <w:rPr>
                <w:rStyle w:val="IndexLink"/>
                <w:webHidden/>
              </w:rPr>
              <w:t>A.9 Chart edition</w:t>
            </w:r>
            <w:r>
              <w:rPr>
                <w:rStyle w:val="IndexLink"/>
                <w:webHidden/>
              </w:rPr>
              <w:tab/>
              <w:t>82</w:t>
            </w:r>
          </w:hyperlink>
        </w:p>
        <w:p w14:paraId="08D2C99C" w14:textId="77777777" w:rsidR="00293BDE" w:rsidRDefault="00000000">
          <w:pPr>
            <w:pStyle w:val="TOC2"/>
            <w:tabs>
              <w:tab w:val="clear" w:pos="8789"/>
              <w:tab w:val="right" w:leader="dot" w:pos="9072"/>
            </w:tabs>
          </w:pPr>
          <w:hyperlink w:anchor="__RefHeading___Toc10912_3324765499">
            <w:r>
              <w:rPr>
                <w:rStyle w:val="IndexLink"/>
                <w:webHidden/>
              </w:rPr>
              <w:t>A.10 Segment reference for Flow States</w:t>
            </w:r>
            <w:r>
              <w:rPr>
                <w:rStyle w:val="IndexLink"/>
                <w:webHidden/>
              </w:rPr>
              <w:tab/>
              <w:t>83</w:t>
            </w:r>
          </w:hyperlink>
        </w:p>
        <w:p w14:paraId="198D18B3" w14:textId="77777777" w:rsidR="00293BDE" w:rsidRDefault="00000000">
          <w:pPr>
            <w:pStyle w:val="TOC1"/>
          </w:pPr>
          <w:hyperlink w:anchor="__RefHeading___Toc10914_3324765499">
            <w:r>
              <w:rPr>
                <w:rStyle w:val="IndexLink"/>
                <w:webHidden/>
              </w:rPr>
              <w:t>ANNEX B: THE STRAIT SERVICES FUND CHARTER</w:t>
            </w:r>
            <w:r>
              <w:rPr>
                <w:rStyle w:val="IndexLink"/>
                <w:webHidden/>
              </w:rPr>
              <w:tab/>
              <w:t>83</w:t>
            </w:r>
          </w:hyperlink>
        </w:p>
        <w:p w14:paraId="54F95940" w14:textId="77777777" w:rsidR="00293BDE" w:rsidRDefault="00000000">
          <w:pPr>
            <w:pStyle w:val="TOC2"/>
            <w:tabs>
              <w:tab w:val="clear" w:pos="8789"/>
              <w:tab w:val="right" w:leader="dot" w:pos="9072"/>
            </w:tabs>
          </w:pPr>
          <w:hyperlink w:anchor="__RefHeading___Toc10916_3324765499">
            <w:r>
              <w:rPr>
                <w:rStyle w:val="IndexLink"/>
                <w:webHidden/>
              </w:rPr>
              <w:t>B.1 Legal form and accounts</w:t>
            </w:r>
            <w:r>
              <w:rPr>
                <w:rStyle w:val="IndexLink"/>
                <w:webHidden/>
              </w:rPr>
              <w:tab/>
              <w:t>83</w:t>
            </w:r>
          </w:hyperlink>
        </w:p>
        <w:p w14:paraId="7CE1DE5D" w14:textId="77777777" w:rsidR="00293BDE" w:rsidRDefault="00000000">
          <w:pPr>
            <w:pStyle w:val="TOC2"/>
            <w:tabs>
              <w:tab w:val="clear" w:pos="8789"/>
              <w:tab w:val="right" w:leader="dot" w:pos="9072"/>
            </w:tabs>
          </w:pPr>
          <w:hyperlink w:anchor="__RefHeading___Toc10918_3324765499">
            <w:r>
              <w:rPr>
                <w:rStyle w:val="IndexLink"/>
                <w:webHidden/>
              </w:rPr>
              <w:t>B.2 Initial capitalization and budget framework</w:t>
            </w:r>
            <w:r>
              <w:rPr>
                <w:rStyle w:val="IndexLink"/>
                <w:webHidden/>
              </w:rPr>
              <w:tab/>
              <w:t>83</w:t>
            </w:r>
          </w:hyperlink>
        </w:p>
        <w:p w14:paraId="001C8821" w14:textId="77777777" w:rsidR="00293BDE" w:rsidRDefault="00000000">
          <w:pPr>
            <w:pStyle w:val="TOC2"/>
            <w:tabs>
              <w:tab w:val="clear" w:pos="8789"/>
              <w:tab w:val="right" w:leader="dot" w:pos="9072"/>
            </w:tabs>
          </w:pPr>
          <w:hyperlink w:anchor="__RefHeading___Toc10920_3324765499">
            <w:r>
              <w:rPr>
                <w:rStyle w:val="IndexLink"/>
                <w:webHidden/>
              </w:rPr>
              <w:t>B.3 Payment mechanics</w:t>
            </w:r>
            <w:r>
              <w:rPr>
                <w:rStyle w:val="IndexLink"/>
                <w:webHidden/>
              </w:rPr>
              <w:tab/>
              <w:t>84</w:t>
            </w:r>
          </w:hyperlink>
        </w:p>
        <w:p w14:paraId="619F14A8" w14:textId="77777777" w:rsidR="00293BDE" w:rsidRDefault="00000000">
          <w:pPr>
            <w:pStyle w:val="TOC2"/>
            <w:tabs>
              <w:tab w:val="clear" w:pos="8789"/>
              <w:tab w:val="right" w:leader="dot" w:pos="9072"/>
            </w:tabs>
          </w:pPr>
          <w:hyperlink w:anchor="__RefHeading___Toc10922_3324765499">
            <w:r>
              <w:rPr>
                <w:rStyle w:val="IndexLink"/>
                <w:webHidden/>
              </w:rPr>
              <w:t>B.4 Initial rate card (Assurance-Phase pilot rates at fifty percent in parentheses)</w:t>
            </w:r>
            <w:r>
              <w:rPr>
                <w:rStyle w:val="IndexLink"/>
                <w:webHidden/>
              </w:rPr>
              <w:tab/>
              <w:t>84</w:t>
            </w:r>
          </w:hyperlink>
        </w:p>
        <w:p w14:paraId="2EE8537D" w14:textId="77777777" w:rsidR="00293BDE" w:rsidRDefault="00000000">
          <w:pPr>
            <w:pStyle w:val="TOC2"/>
            <w:tabs>
              <w:tab w:val="clear" w:pos="8789"/>
              <w:tab w:val="right" w:leader="dot" w:pos="9072"/>
            </w:tabs>
          </w:pPr>
          <w:hyperlink w:anchor="__RefHeading___Toc10924_3324765499">
            <w:r>
              <w:rPr>
                <w:rStyle w:val="IndexLink"/>
                <w:webHidden/>
              </w:rPr>
              <w:t>B.5 Apportionment mechanics</w:t>
            </w:r>
            <w:r>
              <w:rPr>
                <w:rStyle w:val="IndexLink"/>
                <w:webHidden/>
              </w:rPr>
              <w:tab/>
              <w:t>85</w:t>
            </w:r>
          </w:hyperlink>
        </w:p>
        <w:p w14:paraId="21D7BE33" w14:textId="77777777" w:rsidR="00293BDE" w:rsidRDefault="00000000">
          <w:pPr>
            <w:pStyle w:val="TOC2"/>
            <w:tabs>
              <w:tab w:val="clear" w:pos="8789"/>
              <w:tab w:val="right" w:leader="dot" w:pos="9072"/>
            </w:tabs>
          </w:pPr>
          <w:hyperlink w:anchor="__RefHeading___Toc10926_3324765499">
            <w:r>
              <w:rPr>
                <w:rStyle w:val="IndexLink"/>
                <w:webHidden/>
              </w:rPr>
              <w:t>B.6 Compensation Window schedule</w:t>
            </w:r>
            <w:r>
              <w:rPr>
                <w:rStyle w:val="IndexLink"/>
                <w:webHidden/>
              </w:rPr>
              <w:tab/>
              <w:t>85</w:t>
            </w:r>
          </w:hyperlink>
        </w:p>
        <w:p w14:paraId="6CA8718F" w14:textId="77777777" w:rsidR="00293BDE" w:rsidRDefault="00000000">
          <w:pPr>
            <w:pStyle w:val="TOC2"/>
            <w:tabs>
              <w:tab w:val="clear" w:pos="8789"/>
              <w:tab w:val="right" w:leader="dot" w:pos="9072"/>
            </w:tabs>
          </w:pPr>
          <w:hyperlink w:anchor="__RefHeading___Toc10928_3324765499">
            <w:r>
              <w:rPr>
                <w:rStyle w:val="IndexLink"/>
                <w:webHidden/>
              </w:rPr>
              <w:t>B.7 Insurance normalization schedule</w:t>
            </w:r>
            <w:r>
              <w:rPr>
                <w:rStyle w:val="IndexLink"/>
                <w:webHidden/>
              </w:rPr>
              <w:tab/>
              <w:t>85</w:t>
            </w:r>
          </w:hyperlink>
        </w:p>
        <w:p w14:paraId="15195C49" w14:textId="77777777" w:rsidR="00293BDE" w:rsidRDefault="00000000">
          <w:pPr>
            <w:pStyle w:val="TOC2"/>
            <w:tabs>
              <w:tab w:val="clear" w:pos="8789"/>
              <w:tab w:val="right" w:leader="dot" w:pos="9072"/>
            </w:tabs>
          </w:pPr>
          <w:hyperlink w:anchor="__RefHeading___Toc10930_3324765499">
            <w:r>
              <w:rPr>
                <w:rStyle w:val="IndexLink"/>
                <w:webHidden/>
              </w:rPr>
              <w:t>B.8 Voluntary Contribution Facility scales</w:t>
            </w:r>
            <w:r>
              <w:rPr>
                <w:rStyle w:val="IndexLink"/>
                <w:webHidden/>
              </w:rPr>
              <w:tab/>
              <w:t>86</w:t>
            </w:r>
          </w:hyperlink>
        </w:p>
        <w:p w14:paraId="08F60E33" w14:textId="77777777" w:rsidR="00293BDE" w:rsidRDefault="00000000">
          <w:pPr>
            <w:pStyle w:val="TOC2"/>
            <w:tabs>
              <w:tab w:val="clear" w:pos="8789"/>
              <w:tab w:val="right" w:leader="dot" w:pos="9072"/>
            </w:tabs>
          </w:pPr>
          <w:hyperlink w:anchor="__RefHeading___Toc10932_3324765499">
            <w:r>
              <w:rPr>
                <w:rStyle w:val="IndexLink"/>
                <w:webHidden/>
              </w:rPr>
              <w:t>B.9 The Confidence Window</w:t>
            </w:r>
            <w:r>
              <w:rPr>
                <w:rStyle w:val="IndexLink"/>
                <w:webHidden/>
              </w:rPr>
              <w:tab/>
              <w:t>86</w:t>
            </w:r>
          </w:hyperlink>
        </w:p>
        <w:p w14:paraId="628B7E69" w14:textId="77777777" w:rsidR="00293BDE" w:rsidRDefault="00000000">
          <w:pPr>
            <w:pStyle w:val="TOC2"/>
            <w:tabs>
              <w:tab w:val="clear" w:pos="8789"/>
              <w:tab w:val="right" w:leader="dot" w:pos="9072"/>
            </w:tabs>
          </w:pPr>
          <w:hyperlink w:anchor="__RefHeading___Toc10934_3324765499">
            <w:r>
              <w:rPr>
                <w:rStyle w:val="IndexLink"/>
                <w:webHidden/>
              </w:rPr>
              <w:t>B.10 Licenses and exemption calendar</w:t>
            </w:r>
            <w:r>
              <w:rPr>
                <w:rStyle w:val="IndexLink"/>
                <w:webHidden/>
              </w:rPr>
              <w:tab/>
              <w:t>86</w:t>
            </w:r>
          </w:hyperlink>
        </w:p>
        <w:p w14:paraId="1C7D71B7" w14:textId="77777777" w:rsidR="00293BDE" w:rsidRDefault="00000000">
          <w:pPr>
            <w:pStyle w:val="TOC2"/>
            <w:tabs>
              <w:tab w:val="clear" w:pos="8789"/>
              <w:tab w:val="right" w:leader="dot" w:pos="9072"/>
            </w:tabs>
          </w:pPr>
          <w:hyperlink w:anchor="__RefHeading___Toc10936_3324765499">
            <w:r>
              <w:rPr>
                <w:rStyle w:val="IndexLink"/>
                <w:webHidden/>
              </w:rPr>
              <w:t>B.11 Performance Bond sizing</w:t>
            </w:r>
            <w:r>
              <w:rPr>
                <w:rStyle w:val="IndexLink"/>
                <w:webHidden/>
              </w:rPr>
              <w:tab/>
              <w:t>87</w:t>
            </w:r>
          </w:hyperlink>
        </w:p>
        <w:p w14:paraId="13803EB8" w14:textId="77777777" w:rsidR="00293BDE" w:rsidRDefault="00000000">
          <w:pPr>
            <w:pStyle w:val="TOC2"/>
            <w:tabs>
              <w:tab w:val="clear" w:pos="8789"/>
              <w:tab w:val="right" w:leader="dot" w:pos="9072"/>
            </w:tabs>
          </w:pPr>
          <w:hyperlink w:anchor="__RefHeading___Toc10938_3324765499">
            <w:r>
              <w:rPr>
                <w:rStyle w:val="IndexLink"/>
                <w:webHidden/>
              </w:rPr>
              <w:t>B.12 Audit cycle</w:t>
            </w:r>
            <w:r>
              <w:rPr>
                <w:rStyle w:val="IndexLink"/>
                <w:webHidden/>
              </w:rPr>
              <w:tab/>
              <w:t>87</w:t>
            </w:r>
          </w:hyperlink>
        </w:p>
        <w:p w14:paraId="39F2C607" w14:textId="77777777" w:rsidR="00293BDE" w:rsidRDefault="00000000">
          <w:pPr>
            <w:pStyle w:val="TOC2"/>
            <w:tabs>
              <w:tab w:val="clear" w:pos="8789"/>
              <w:tab w:val="right" w:leader="dot" w:pos="9072"/>
            </w:tabs>
          </w:pPr>
          <w:hyperlink w:anchor="__RefHeading___Toc10940_3324765499">
            <w:r>
              <w:rPr>
                <w:rStyle w:val="IndexLink"/>
                <w:webHidden/>
              </w:rPr>
              <w:t>B.13 Cost benchmarks</w:t>
            </w:r>
            <w:r>
              <w:rPr>
                <w:rStyle w:val="IndexLink"/>
                <w:webHidden/>
              </w:rPr>
              <w:tab/>
              <w:t>87</w:t>
            </w:r>
          </w:hyperlink>
        </w:p>
        <w:p w14:paraId="31A3C253" w14:textId="77777777" w:rsidR="00293BDE" w:rsidRDefault="00000000">
          <w:pPr>
            <w:pStyle w:val="TOC2"/>
            <w:tabs>
              <w:tab w:val="clear" w:pos="8789"/>
              <w:tab w:val="right" w:leader="dot" w:pos="9072"/>
            </w:tabs>
          </w:pPr>
          <w:hyperlink w:anchor="__RefHeading___Toc10942_3324765499">
            <w:r>
              <w:rPr>
                <w:rStyle w:val="IndexLink"/>
                <w:webHidden/>
              </w:rPr>
              <w:t>B.14 The heavy-user cap</w:t>
            </w:r>
            <w:r>
              <w:rPr>
                <w:rStyle w:val="IndexLink"/>
                <w:webHidden/>
              </w:rPr>
              <w:tab/>
              <w:t>87</w:t>
            </w:r>
          </w:hyperlink>
        </w:p>
        <w:p w14:paraId="7262C470" w14:textId="77777777" w:rsidR="00293BDE" w:rsidRDefault="00000000">
          <w:pPr>
            <w:pStyle w:val="TOC2"/>
            <w:tabs>
              <w:tab w:val="clear" w:pos="8789"/>
              <w:tab w:val="right" w:leader="dot" w:pos="9072"/>
            </w:tabs>
          </w:pPr>
          <w:hyperlink w:anchor="__RefHeading___Toc10944_3324765499">
            <w:r>
              <w:rPr>
                <w:rStyle w:val="IndexLink"/>
                <w:webHidden/>
              </w:rPr>
              <w:t>B.15 Worked apportionment example</w:t>
            </w:r>
            <w:r>
              <w:rPr>
                <w:rStyle w:val="IndexLink"/>
                <w:webHidden/>
              </w:rPr>
              <w:tab/>
              <w:t>87</w:t>
            </w:r>
          </w:hyperlink>
        </w:p>
        <w:p w14:paraId="5216F82B" w14:textId="77777777" w:rsidR="00293BDE" w:rsidRDefault="00000000">
          <w:pPr>
            <w:pStyle w:val="TOC2"/>
            <w:tabs>
              <w:tab w:val="clear" w:pos="8789"/>
              <w:tab w:val="right" w:leader="dot" w:pos="9072"/>
            </w:tabs>
          </w:pPr>
          <w:hyperlink w:anchor="__RefHeading___Toc10946_3324765499">
            <w:r>
              <w:rPr>
                <w:rStyle w:val="IndexLink"/>
                <w:webHidden/>
              </w:rPr>
              <w:t>B.16 Charter amendment</w:t>
            </w:r>
            <w:r>
              <w:rPr>
                <w:rStyle w:val="IndexLink"/>
                <w:webHidden/>
              </w:rPr>
              <w:tab/>
              <w:t>88</w:t>
            </w:r>
          </w:hyperlink>
        </w:p>
        <w:p w14:paraId="563B70A5" w14:textId="77777777" w:rsidR="00293BDE" w:rsidRDefault="00000000">
          <w:pPr>
            <w:pStyle w:val="TOC1"/>
          </w:pPr>
          <w:hyperlink w:anchor="__RefHeading___Toc10948_3324765499">
            <w:r>
              <w:rPr>
                <w:rStyle w:val="IndexLink"/>
                <w:webHidden/>
              </w:rPr>
              <w:t>ANNEX C: THE COMPLIANCE POINT SCHEDULE</w:t>
            </w:r>
            <w:r>
              <w:rPr>
                <w:rStyle w:val="IndexLink"/>
                <w:webHidden/>
              </w:rPr>
              <w:tab/>
              <w:t>88</w:t>
            </w:r>
          </w:hyperlink>
        </w:p>
        <w:p w14:paraId="415D60C7" w14:textId="77777777" w:rsidR="00293BDE" w:rsidRDefault="00000000">
          <w:pPr>
            <w:pStyle w:val="TOC2"/>
            <w:tabs>
              <w:tab w:val="clear" w:pos="8789"/>
              <w:tab w:val="right" w:leader="dot" w:pos="9072"/>
            </w:tabs>
          </w:pPr>
          <w:hyperlink w:anchor="__RefHeading___Toc10950_3324765499">
            <w:r>
              <w:rPr>
                <w:rStyle w:val="IndexLink"/>
                <w:webHidden/>
              </w:rPr>
              <w:t>C.1 Purpose and rules</w:t>
            </w:r>
            <w:r>
              <w:rPr>
                <w:rStyle w:val="IndexLink"/>
                <w:webHidden/>
              </w:rPr>
              <w:tab/>
              <w:t>88</w:t>
            </w:r>
          </w:hyperlink>
        </w:p>
        <w:p w14:paraId="36568F48" w14:textId="77777777" w:rsidR="00293BDE" w:rsidRDefault="00000000">
          <w:pPr>
            <w:pStyle w:val="TOC2"/>
            <w:tabs>
              <w:tab w:val="clear" w:pos="8789"/>
              <w:tab w:val="right" w:leader="dot" w:pos="9072"/>
            </w:tabs>
          </w:pPr>
          <w:hyperlink w:anchor="__RefHeading___Toc10952_3324765499">
            <w:r>
              <w:rPr>
                <w:rStyle w:val="IndexLink"/>
                <w:webHidden/>
              </w:rPr>
              <w:t>C.2 Escalation thresholds</w:t>
            </w:r>
            <w:r>
              <w:rPr>
                <w:rStyle w:val="IndexLink"/>
                <w:webHidden/>
              </w:rPr>
              <w:tab/>
              <w:t>88</w:t>
            </w:r>
          </w:hyperlink>
        </w:p>
        <w:p w14:paraId="31C38098" w14:textId="77777777" w:rsidR="00293BDE" w:rsidRDefault="00000000">
          <w:pPr>
            <w:pStyle w:val="TOC2"/>
            <w:tabs>
              <w:tab w:val="clear" w:pos="8789"/>
              <w:tab w:val="right" w:leader="dot" w:pos="9072"/>
            </w:tabs>
          </w:pPr>
          <w:hyperlink w:anchor="__RefHeading___Toc10954_3324765499">
            <w:r>
              <w:rPr>
                <w:rStyle w:val="IndexLink"/>
                <w:webHidden/>
              </w:rPr>
              <w:t>C.3 Maritime domain</w:t>
            </w:r>
            <w:r>
              <w:rPr>
                <w:rStyle w:val="IndexLink"/>
                <w:webHidden/>
              </w:rPr>
              <w:tab/>
              <w:t>89</w:t>
            </w:r>
          </w:hyperlink>
        </w:p>
        <w:p w14:paraId="34290CFA" w14:textId="77777777" w:rsidR="00293BDE" w:rsidRDefault="00000000">
          <w:pPr>
            <w:pStyle w:val="TOC2"/>
            <w:tabs>
              <w:tab w:val="clear" w:pos="8789"/>
              <w:tab w:val="right" w:leader="dot" w:pos="9072"/>
            </w:tabs>
          </w:pPr>
          <w:hyperlink w:anchor="__RefHeading___Toc10956_3324765499">
            <w:r>
              <w:rPr>
                <w:rStyle w:val="IndexLink"/>
                <w:webHidden/>
              </w:rPr>
              <w:t>C.4 De-confliction domain</w:t>
            </w:r>
            <w:r>
              <w:rPr>
                <w:rStyle w:val="IndexLink"/>
                <w:webHidden/>
              </w:rPr>
              <w:tab/>
              <w:t>90</w:t>
            </w:r>
          </w:hyperlink>
        </w:p>
        <w:p w14:paraId="25E3B0C8" w14:textId="77777777" w:rsidR="00293BDE" w:rsidRDefault="00000000">
          <w:pPr>
            <w:pStyle w:val="TOC2"/>
            <w:tabs>
              <w:tab w:val="clear" w:pos="8789"/>
              <w:tab w:val="right" w:leader="dot" w:pos="9072"/>
            </w:tabs>
          </w:pPr>
          <w:hyperlink w:anchor="__RefHeading___Toc10958_3324765499">
            <w:r>
              <w:rPr>
                <w:rStyle w:val="IndexLink"/>
                <w:webHidden/>
              </w:rPr>
              <w:t>C.5 Financial domain</w:t>
            </w:r>
            <w:r>
              <w:rPr>
                <w:rStyle w:val="IndexLink"/>
                <w:webHidden/>
              </w:rPr>
              <w:tab/>
              <w:t>91</w:t>
            </w:r>
          </w:hyperlink>
        </w:p>
        <w:p w14:paraId="2B01B9F4" w14:textId="77777777" w:rsidR="00293BDE" w:rsidRDefault="00000000">
          <w:pPr>
            <w:pStyle w:val="TOC2"/>
            <w:tabs>
              <w:tab w:val="clear" w:pos="8789"/>
              <w:tab w:val="right" w:leader="dot" w:pos="9072"/>
            </w:tabs>
          </w:pPr>
          <w:hyperlink w:anchor="__RefHeading___Toc10960_3324765499">
            <w:r>
              <w:rPr>
                <w:rStyle w:val="IndexLink"/>
                <w:webHidden/>
              </w:rPr>
              <w:t>C.6 Monitoring and data domain</w:t>
            </w:r>
            <w:r>
              <w:rPr>
                <w:rStyle w:val="IndexLink"/>
                <w:webHidden/>
              </w:rPr>
              <w:tab/>
              <w:t>93</w:t>
            </w:r>
          </w:hyperlink>
        </w:p>
        <w:p w14:paraId="7C47A28C" w14:textId="77777777" w:rsidR="00293BDE" w:rsidRDefault="00000000">
          <w:pPr>
            <w:pStyle w:val="TOC2"/>
            <w:tabs>
              <w:tab w:val="clear" w:pos="8789"/>
              <w:tab w:val="right" w:leader="dot" w:pos="9072"/>
            </w:tabs>
          </w:pPr>
          <w:hyperlink w:anchor="__RefHeading___Toc10962_3324765499">
            <w:r>
              <w:rPr>
                <w:rStyle w:val="IndexLink"/>
                <w:webHidden/>
              </w:rPr>
              <w:t>C.7 Governance domain</w:t>
            </w:r>
            <w:r>
              <w:rPr>
                <w:rStyle w:val="IndexLink"/>
                <w:webHidden/>
              </w:rPr>
              <w:tab/>
              <w:t>94</w:t>
            </w:r>
          </w:hyperlink>
        </w:p>
        <w:p w14:paraId="6333DE0D" w14:textId="77777777" w:rsidR="00293BDE" w:rsidRDefault="00000000">
          <w:pPr>
            <w:pStyle w:val="TOC2"/>
            <w:tabs>
              <w:tab w:val="clear" w:pos="8789"/>
              <w:tab w:val="right" w:leader="dot" w:pos="9072"/>
            </w:tabs>
          </w:pPr>
          <w:hyperlink w:anchor="__RefHeading___Toc10964_3324765499">
            <w:r>
              <w:rPr>
                <w:rStyle w:val="IndexLink"/>
                <w:webHidden/>
              </w:rPr>
              <w:t>C.8 The proportionality formula</w:t>
            </w:r>
            <w:r>
              <w:rPr>
                <w:rStyle w:val="IndexLink"/>
                <w:webHidden/>
              </w:rPr>
              <w:tab/>
              <w:t>95</w:t>
            </w:r>
          </w:hyperlink>
        </w:p>
        <w:p w14:paraId="57DA890A" w14:textId="77777777" w:rsidR="00293BDE" w:rsidRDefault="00000000">
          <w:pPr>
            <w:pStyle w:val="TOC2"/>
            <w:tabs>
              <w:tab w:val="clear" w:pos="8789"/>
              <w:tab w:val="right" w:leader="dot" w:pos="9072"/>
            </w:tabs>
          </w:pPr>
          <w:hyperlink w:anchor="__RefHeading___Toc10966_3324765499">
            <w:r>
              <w:rPr>
                <w:rStyle w:val="IndexLink"/>
                <w:webHidden/>
              </w:rPr>
              <w:t>C.9 Monitoring periods for restoration</w:t>
            </w:r>
            <w:r>
              <w:rPr>
                <w:rStyle w:val="IndexLink"/>
                <w:webHidden/>
              </w:rPr>
              <w:tab/>
              <w:t>95</w:t>
            </w:r>
          </w:hyperlink>
        </w:p>
        <w:p w14:paraId="75C8292F" w14:textId="77777777" w:rsidR="00293BDE" w:rsidRDefault="00000000">
          <w:pPr>
            <w:pStyle w:val="TOC2"/>
            <w:tabs>
              <w:tab w:val="clear" w:pos="8789"/>
              <w:tab w:val="right" w:leader="dot" w:pos="9072"/>
            </w:tabs>
          </w:pPr>
          <w:hyperlink w:anchor="__RefHeading___Toc10968_3324765499">
            <w:r>
              <w:rPr>
                <w:rStyle w:val="IndexLink"/>
                <w:webHidden/>
              </w:rPr>
              <w:t>C.10 Standing formula and directness test</w:t>
            </w:r>
            <w:r>
              <w:rPr>
                <w:rStyle w:val="IndexLink"/>
                <w:webHidden/>
              </w:rPr>
              <w:tab/>
              <w:t>95</w:t>
            </w:r>
          </w:hyperlink>
        </w:p>
        <w:p w14:paraId="1AE0E723" w14:textId="77777777" w:rsidR="00293BDE" w:rsidRDefault="00000000">
          <w:pPr>
            <w:pStyle w:val="TOC2"/>
            <w:tabs>
              <w:tab w:val="clear" w:pos="8789"/>
              <w:tab w:val="right" w:leader="dot" w:pos="9072"/>
            </w:tabs>
          </w:pPr>
          <w:hyperlink w:anchor="__RefHeading___Toc10970_3324765499">
            <w:r>
              <w:rPr>
                <w:rStyle w:val="IndexLink"/>
                <w:webHidden/>
              </w:rPr>
              <w:t>C.11 Worked Ladder example</w:t>
            </w:r>
            <w:r>
              <w:rPr>
                <w:rStyle w:val="IndexLink"/>
                <w:webHidden/>
              </w:rPr>
              <w:tab/>
              <w:t>96</w:t>
            </w:r>
          </w:hyperlink>
        </w:p>
        <w:p w14:paraId="410FF551" w14:textId="77777777" w:rsidR="00293BDE" w:rsidRDefault="00000000">
          <w:pPr>
            <w:pStyle w:val="TOC1"/>
          </w:pPr>
          <w:hyperlink w:anchor="__RefHeading___Toc10972_3324765499">
            <w:r>
              <w:rPr>
                <w:rStyle w:val="IndexLink"/>
                <w:webHidden/>
              </w:rPr>
              <w:t>ANNEX D: COMMUNICATIONS, NOTIFICATION FORMATS, AND THE MARINERS’ HANDBOOK</w:t>
            </w:r>
            <w:r>
              <w:rPr>
                <w:rStyle w:val="IndexLink"/>
                <w:webHidden/>
              </w:rPr>
              <w:tab/>
              <w:t>96</w:t>
            </w:r>
          </w:hyperlink>
        </w:p>
        <w:p w14:paraId="1C4308D5" w14:textId="77777777" w:rsidR="00293BDE" w:rsidRDefault="00000000">
          <w:pPr>
            <w:pStyle w:val="TOC2"/>
            <w:tabs>
              <w:tab w:val="clear" w:pos="8789"/>
              <w:tab w:val="right" w:leader="dot" w:pos="9072"/>
            </w:tabs>
          </w:pPr>
          <w:hyperlink w:anchor="__RefHeading___Toc10974_3324765499">
            <w:r>
              <w:rPr>
                <w:rStyle w:val="IndexLink"/>
                <w:webHidden/>
              </w:rPr>
              <w:t>D.1 The twelve-field transit notice</w:t>
            </w:r>
            <w:r>
              <w:rPr>
                <w:rStyle w:val="IndexLink"/>
                <w:webHidden/>
              </w:rPr>
              <w:tab/>
              <w:t>96</w:t>
            </w:r>
          </w:hyperlink>
        </w:p>
        <w:p w14:paraId="52B69624" w14:textId="77777777" w:rsidR="00293BDE" w:rsidRDefault="00000000">
          <w:pPr>
            <w:pStyle w:val="TOC2"/>
            <w:tabs>
              <w:tab w:val="clear" w:pos="8789"/>
              <w:tab w:val="right" w:leader="dot" w:pos="9072"/>
            </w:tabs>
          </w:pPr>
          <w:hyperlink w:anchor="__RefHeading___Toc10976_3324765499">
            <w:r>
              <w:rPr>
                <w:rStyle w:val="IndexLink"/>
                <w:webHidden/>
              </w:rPr>
              <w:t>D.2 The voice discipline</w:t>
            </w:r>
            <w:r>
              <w:rPr>
                <w:rStyle w:val="IndexLink"/>
                <w:webHidden/>
              </w:rPr>
              <w:tab/>
              <w:t>97</w:t>
            </w:r>
          </w:hyperlink>
        </w:p>
        <w:p w14:paraId="41AAB6D9" w14:textId="77777777" w:rsidR="00293BDE" w:rsidRDefault="00000000">
          <w:pPr>
            <w:pStyle w:val="TOC2"/>
            <w:tabs>
              <w:tab w:val="clear" w:pos="8789"/>
              <w:tab w:val="right" w:leader="dot" w:pos="9072"/>
            </w:tabs>
          </w:pPr>
          <w:hyperlink w:anchor="__RefHeading___Toc10978_3324765499">
            <w:r>
              <w:rPr>
                <w:rStyle w:val="IndexLink"/>
                <w:webHidden/>
              </w:rPr>
              <w:t>D.3 The non-telemetry mode</w:t>
            </w:r>
            <w:r>
              <w:rPr>
                <w:rStyle w:val="IndexLink"/>
                <w:webHidden/>
              </w:rPr>
              <w:tab/>
              <w:t>97</w:t>
            </w:r>
          </w:hyperlink>
        </w:p>
        <w:p w14:paraId="4D357F85" w14:textId="77777777" w:rsidR="00293BDE" w:rsidRDefault="00000000">
          <w:pPr>
            <w:pStyle w:val="TOC2"/>
            <w:tabs>
              <w:tab w:val="clear" w:pos="8789"/>
              <w:tab w:val="right" w:leader="dot" w:pos="9072"/>
            </w:tabs>
          </w:pPr>
          <w:hyperlink w:anchor="__RefHeading___Toc10980_3324765499">
            <w:r>
              <w:rPr>
                <w:rStyle w:val="IndexLink"/>
                <w:webHidden/>
              </w:rPr>
              <w:t>D.4 The standing pre-authorization for clearance</w:t>
            </w:r>
            <w:r>
              <w:rPr>
                <w:rStyle w:val="IndexLink"/>
                <w:webHidden/>
              </w:rPr>
              <w:tab/>
              <w:t>97</w:t>
            </w:r>
          </w:hyperlink>
        </w:p>
        <w:p w14:paraId="1869DF3F" w14:textId="77777777" w:rsidR="00293BDE" w:rsidRDefault="00000000">
          <w:pPr>
            <w:pStyle w:val="TOC2"/>
            <w:tabs>
              <w:tab w:val="clear" w:pos="8789"/>
              <w:tab w:val="right" w:leader="dot" w:pos="9072"/>
            </w:tabs>
          </w:pPr>
          <w:hyperlink w:anchor="__RefHeading___Toc10982_3324765499">
            <w:r>
              <w:rPr>
                <w:rStyle w:val="IndexLink"/>
                <w:webHidden/>
              </w:rPr>
              <w:t>D.5 The one-page cards</w:t>
            </w:r>
            <w:r>
              <w:rPr>
                <w:rStyle w:val="IndexLink"/>
                <w:webHidden/>
              </w:rPr>
              <w:tab/>
              <w:t>98</w:t>
            </w:r>
          </w:hyperlink>
        </w:p>
        <w:p w14:paraId="30A623C4" w14:textId="77777777" w:rsidR="00293BDE" w:rsidRDefault="00000000">
          <w:pPr>
            <w:pStyle w:val="TOC2"/>
            <w:tabs>
              <w:tab w:val="clear" w:pos="8789"/>
              <w:tab w:val="right" w:leader="dot" w:pos="9072"/>
            </w:tabs>
          </w:pPr>
          <w:hyperlink w:anchor="__RefHeading___Toc10984_3324765499">
            <w:r>
              <w:rPr>
                <w:rStyle w:val="IndexLink"/>
                <w:webHidden/>
              </w:rPr>
              <w:t>D.6 Notification formats</w:t>
            </w:r>
            <w:r>
              <w:rPr>
                <w:rStyle w:val="IndexLink"/>
                <w:webHidden/>
              </w:rPr>
              <w:tab/>
              <w:t>98</w:t>
            </w:r>
          </w:hyperlink>
        </w:p>
        <w:p w14:paraId="70B6F2A9" w14:textId="77777777" w:rsidR="00293BDE" w:rsidRDefault="00000000">
          <w:pPr>
            <w:pStyle w:val="TOC2"/>
            <w:tabs>
              <w:tab w:val="clear" w:pos="8789"/>
              <w:tab w:val="right" w:leader="dot" w:pos="9072"/>
            </w:tabs>
          </w:pPr>
          <w:hyperlink w:anchor="__RefHeading___Toc10986_3324765499">
            <w:r>
              <w:rPr>
                <w:rStyle w:val="IndexLink"/>
                <w:webHidden/>
              </w:rPr>
              <w:t>D.7 Service completion report</w:t>
            </w:r>
            <w:r>
              <w:rPr>
                <w:rStyle w:val="IndexLink"/>
                <w:webHidden/>
              </w:rPr>
              <w:tab/>
              <w:t>98</w:t>
            </w:r>
          </w:hyperlink>
        </w:p>
        <w:p w14:paraId="35884324" w14:textId="77777777" w:rsidR="00293BDE" w:rsidRDefault="00000000">
          <w:pPr>
            <w:pStyle w:val="TOC2"/>
            <w:tabs>
              <w:tab w:val="clear" w:pos="8789"/>
              <w:tab w:val="right" w:leader="dot" w:pos="9072"/>
            </w:tabs>
          </w:pPr>
          <w:hyperlink w:anchor="__RefHeading___Toc10988_3324765499">
            <w:r>
              <w:rPr>
                <w:rStyle w:val="IndexLink"/>
                <w:webHidden/>
              </w:rPr>
              <w:t>D.8 Data retention</w:t>
            </w:r>
            <w:r>
              <w:rPr>
                <w:rStyle w:val="IndexLink"/>
                <w:webHidden/>
              </w:rPr>
              <w:tab/>
              <w:t>98</w:t>
            </w:r>
          </w:hyperlink>
        </w:p>
        <w:p w14:paraId="47849EC2" w14:textId="77777777" w:rsidR="00293BDE" w:rsidRDefault="00000000">
          <w:pPr>
            <w:pStyle w:val="TOC2"/>
            <w:tabs>
              <w:tab w:val="clear" w:pos="8789"/>
              <w:tab w:val="right" w:leader="dot" w:pos="9072"/>
            </w:tabs>
          </w:pPr>
          <w:hyperlink w:anchor="__RefHeading___Toc10990_3324765499">
            <w:r>
              <w:rPr>
                <w:rStyle w:val="IndexLink"/>
                <w:webHidden/>
              </w:rPr>
              <w:t>D.9 Publication channels</w:t>
            </w:r>
            <w:r>
              <w:rPr>
                <w:rStyle w:val="IndexLink"/>
                <w:webHidden/>
              </w:rPr>
              <w:tab/>
              <w:t>99</w:t>
            </w:r>
          </w:hyperlink>
        </w:p>
        <w:p w14:paraId="45CB5AC8" w14:textId="77777777" w:rsidR="00293BDE" w:rsidRDefault="00000000">
          <w:pPr>
            <w:pStyle w:val="TOC2"/>
            <w:tabs>
              <w:tab w:val="clear" w:pos="8789"/>
              <w:tab w:val="right" w:leader="dot" w:pos="9072"/>
            </w:tabs>
          </w:pPr>
          <w:hyperlink w:anchor="__RefHeading___Toc10992_3324765499">
            <w:r>
              <w:rPr>
                <w:rStyle w:val="IndexLink"/>
                <w:webHidden/>
              </w:rPr>
              <w:t>D.10 Handbook maintenance</w:t>
            </w:r>
            <w:r>
              <w:rPr>
                <w:rStyle w:val="IndexLink"/>
                <w:webHidden/>
              </w:rPr>
              <w:tab/>
              <w:t>99</w:t>
            </w:r>
          </w:hyperlink>
        </w:p>
        <w:p w14:paraId="2566907C" w14:textId="77777777" w:rsidR="00293BDE" w:rsidRDefault="00000000">
          <w:pPr>
            <w:pStyle w:val="TOC1"/>
          </w:pPr>
          <w:hyperlink w:anchor="__RefHeading___Toc10994_3324765499">
            <w:r>
              <w:rPr>
                <w:rStyle w:val="IndexLink"/>
                <w:webHidden/>
              </w:rPr>
              <w:t>ANNEX E: IMPLEMENTATION TIMELINE, ACTIVATION CHECKLISTS, AND STAFFING TABLE</w:t>
            </w:r>
            <w:r>
              <w:rPr>
                <w:rStyle w:val="IndexLink"/>
                <w:webHidden/>
              </w:rPr>
              <w:tab/>
              <w:t>99</w:t>
            </w:r>
          </w:hyperlink>
        </w:p>
        <w:p w14:paraId="6AC1B91D" w14:textId="77777777" w:rsidR="00293BDE" w:rsidRDefault="00000000">
          <w:pPr>
            <w:pStyle w:val="TOC2"/>
            <w:tabs>
              <w:tab w:val="clear" w:pos="8789"/>
              <w:tab w:val="right" w:leader="dot" w:pos="9072"/>
            </w:tabs>
          </w:pPr>
          <w:hyperlink w:anchor="__RefHeading___Toc10996_3324765499">
            <w:r>
              <w:rPr>
                <w:rStyle w:val="IndexLink"/>
                <w:webHidden/>
              </w:rPr>
              <w:t>E.1 The activation phases</w:t>
            </w:r>
            <w:r>
              <w:rPr>
                <w:rStyle w:val="IndexLink"/>
                <w:webHidden/>
              </w:rPr>
              <w:tab/>
              <w:t>99</w:t>
            </w:r>
          </w:hyperlink>
        </w:p>
        <w:p w14:paraId="24E78619" w14:textId="77777777" w:rsidR="00293BDE" w:rsidRDefault="00000000">
          <w:pPr>
            <w:pStyle w:val="TOC2"/>
            <w:tabs>
              <w:tab w:val="clear" w:pos="8789"/>
              <w:tab w:val="right" w:leader="dot" w:pos="9072"/>
            </w:tabs>
          </w:pPr>
          <w:hyperlink w:anchor="__RefHeading___Toc10998_3324765499">
            <w:r>
              <w:rPr>
                <w:rStyle w:val="IndexLink"/>
                <w:webHidden/>
              </w:rPr>
              <w:t>E.2 Day One checklist</w:t>
            </w:r>
            <w:r>
              <w:rPr>
                <w:rStyle w:val="IndexLink"/>
                <w:webHidden/>
              </w:rPr>
              <w:tab/>
              <w:t>100</w:t>
            </w:r>
          </w:hyperlink>
        </w:p>
        <w:p w14:paraId="61102A86" w14:textId="77777777" w:rsidR="00293BDE" w:rsidRDefault="00000000">
          <w:pPr>
            <w:pStyle w:val="TOC2"/>
            <w:tabs>
              <w:tab w:val="clear" w:pos="8789"/>
              <w:tab w:val="right" w:leader="dot" w:pos="9072"/>
            </w:tabs>
          </w:pPr>
          <w:hyperlink w:anchor="__RefHeading___Toc11000_3324765499">
            <w:r>
              <w:rPr>
                <w:rStyle w:val="IndexLink"/>
                <w:webHidden/>
              </w:rPr>
              <w:t>E.3 Early harvest</w:t>
            </w:r>
            <w:r>
              <w:rPr>
                <w:rStyle w:val="IndexLink"/>
                <w:webHidden/>
              </w:rPr>
              <w:tab/>
              <w:t>101</w:t>
            </w:r>
          </w:hyperlink>
        </w:p>
        <w:p w14:paraId="443C2E6C" w14:textId="77777777" w:rsidR="00293BDE" w:rsidRDefault="00000000">
          <w:pPr>
            <w:pStyle w:val="TOC2"/>
            <w:tabs>
              <w:tab w:val="clear" w:pos="8789"/>
              <w:tab w:val="right" w:leader="dot" w:pos="9072"/>
            </w:tabs>
          </w:pPr>
          <w:hyperlink w:anchor="__RefHeading___Toc11002_3324765499">
            <w:r>
              <w:rPr>
                <w:rStyle w:val="IndexLink"/>
                <w:webHidden/>
              </w:rPr>
              <w:t>E.4 Staffing table and parity band</w:t>
            </w:r>
            <w:r>
              <w:rPr>
                <w:rStyle w:val="IndexLink"/>
                <w:webHidden/>
              </w:rPr>
              <w:tab/>
              <w:t>101</w:t>
            </w:r>
          </w:hyperlink>
        </w:p>
        <w:p w14:paraId="53CDB39C" w14:textId="77777777" w:rsidR="00293BDE" w:rsidRDefault="00000000">
          <w:pPr>
            <w:pStyle w:val="TOC2"/>
            <w:tabs>
              <w:tab w:val="clear" w:pos="8789"/>
              <w:tab w:val="right" w:leader="dot" w:pos="9072"/>
            </w:tabs>
          </w:pPr>
          <w:hyperlink w:anchor="__RefHeading___Toc11004_3324765499">
            <w:r>
              <w:rPr>
                <w:rStyle w:val="IndexLink"/>
                <w:webHidden/>
              </w:rPr>
              <w:t>E.5 Essential Functions Protocol list</w:t>
            </w:r>
            <w:r>
              <w:rPr>
                <w:rStyle w:val="IndexLink"/>
                <w:webHidden/>
              </w:rPr>
              <w:tab/>
              <w:t>102</w:t>
            </w:r>
          </w:hyperlink>
        </w:p>
        <w:p w14:paraId="1570415D" w14:textId="77777777" w:rsidR="00293BDE" w:rsidRDefault="00000000">
          <w:pPr>
            <w:pStyle w:val="TOC2"/>
            <w:tabs>
              <w:tab w:val="clear" w:pos="8789"/>
              <w:tab w:val="right" w:leader="dot" w:pos="9072"/>
            </w:tabs>
          </w:pPr>
          <w:hyperlink w:anchor="__RefHeading___Toc11006_3324765499">
            <w:r>
              <w:rPr>
                <w:rStyle w:val="IndexLink"/>
                <w:webHidden/>
              </w:rPr>
              <w:t>E.6 Weekly cadence during the Assurance Phase</w:t>
            </w:r>
            <w:r>
              <w:rPr>
                <w:rStyle w:val="IndexLink"/>
                <w:webHidden/>
              </w:rPr>
              <w:tab/>
              <w:t>102</w:t>
            </w:r>
          </w:hyperlink>
        </w:p>
        <w:p w14:paraId="0E885086" w14:textId="77777777" w:rsidR="00293BDE" w:rsidRDefault="00000000">
          <w:pPr>
            <w:pStyle w:val="TOC1"/>
          </w:pPr>
          <w:hyperlink w:anchor="__RefHeading___Toc11008_3324765499">
            <w:r>
              <w:rPr>
                <w:rStyle w:val="IndexLink"/>
                <w:webHidden/>
              </w:rPr>
              <w:t>ANNEX F: ACCESSION, ADHERENCE, ATTACHMENT, AND PARTICIPATION INSTRUMENTS</w:t>
            </w:r>
            <w:r>
              <w:rPr>
                <w:rStyle w:val="IndexLink"/>
                <w:webHidden/>
              </w:rPr>
              <w:tab/>
              <w:t>102</w:t>
            </w:r>
          </w:hyperlink>
        </w:p>
        <w:p w14:paraId="1E85DFF3" w14:textId="77777777" w:rsidR="00293BDE" w:rsidRDefault="00000000">
          <w:pPr>
            <w:pStyle w:val="TOC2"/>
            <w:tabs>
              <w:tab w:val="clear" w:pos="8789"/>
              <w:tab w:val="right" w:leader="dot" w:pos="9072"/>
            </w:tabs>
          </w:pPr>
          <w:hyperlink w:anchor="__RefHeading___Toc11010_3324765499">
            <w:r>
              <w:rPr>
                <w:rStyle w:val="IndexLink"/>
                <w:webHidden/>
              </w:rPr>
              <w:t>F.1 Model accession instrument (Littoral Parties)</w:t>
            </w:r>
            <w:r>
              <w:rPr>
                <w:rStyle w:val="IndexLink"/>
                <w:webHidden/>
              </w:rPr>
              <w:tab/>
              <w:t>102</w:t>
            </w:r>
          </w:hyperlink>
        </w:p>
        <w:p w14:paraId="10ED3AC2" w14:textId="77777777" w:rsidR="00293BDE" w:rsidRDefault="00000000">
          <w:pPr>
            <w:pStyle w:val="TOC2"/>
            <w:tabs>
              <w:tab w:val="clear" w:pos="8789"/>
              <w:tab w:val="right" w:leader="dot" w:pos="9072"/>
            </w:tabs>
          </w:pPr>
          <w:hyperlink w:anchor="__RefHeading___Toc11012_3324765499">
            <w:r>
              <w:rPr>
                <w:rStyle w:val="IndexLink"/>
                <w:webHidden/>
              </w:rPr>
              <w:t>F.2 Model endorsement instrument (Endorsing Stakeholders)</w:t>
            </w:r>
            <w:r>
              <w:rPr>
                <w:rStyle w:val="IndexLink"/>
                <w:webHidden/>
              </w:rPr>
              <w:tab/>
              <w:t>103</w:t>
            </w:r>
          </w:hyperlink>
        </w:p>
        <w:p w14:paraId="77F3D0E8" w14:textId="77777777" w:rsidR="00293BDE" w:rsidRDefault="00000000">
          <w:pPr>
            <w:pStyle w:val="TOC2"/>
            <w:tabs>
              <w:tab w:val="clear" w:pos="8789"/>
              <w:tab w:val="right" w:leader="dot" w:pos="9072"/>
            </w:tabs>
          </w:pPr>
          <w:hyperlink w:anchor="__RefHeading___Toc11014_3324765499">
            <w:r>
              <w:rPr>
                <w:rStyle w:val="IndexLink"/>
                <w:webHidden/>
              </w:rPr>
              <w:t>F.3 Model adherence instrument (security liaisons)</w:t>
            </w:r>
            <w:r>
              <w:rPr>
                <w:rStyle w:val="IndexLink"/>
                <w:webHidden/>
              </w:rPr>
              <w:tab/>
              <w:t>103</w:t>
            </w:r>
          </w:hyperlink>
        </w:p>
        <w:p w14:paraId="5FA24978" w14:textId="77777777" w:rsidR="00293BDE" w:rsidRDefault="00000000">
          <w:pPr>
            <w:pStyle w:val="TOC2"/>
            <w:tabs>
              <w:tab w:val="clear" w:pos="8789"/>
              <w:tab w:val="right" w:leader="dot" w:pos="9072"/>
            </w:tabs>
          </w:pPr>
          <w:hyperlink w:anchor="__RefHeading___Toc11016_3324765499">
            <w:r>
              <w:rPr>
                <w:rStyle w:val="IndexLink"/>
                <w:webHidden/>
              </w:rPr>
              <w:t>F.4 Model attachment instruments</w:t>
            </w:r>
            <w:r>
              <w:rPr>
                <w:rStyle w:val="IndexLink"/>
                <w:webHidden/>
              </w:rPr>
              <w:tab/>
              <w:t>103</w:t>
            </w:r>
          </w:hyperlink>
        </w:p>
        <w:p w14:paraId="6FE95DBA" w14:textId="77777777" w:rsidR="00293BDE" w:rsidRDefault="00000000">
          <w:pPr>
            <w:pStyle w:val="TOC2"/>
            <w:tabs>
              <w:tab w:val="clear" w:pos="8789"/>
              <w:tab w:val="right" w:leader="dot" w:pos="9072"/>
            </w:tabs>
          </w:pPr>
          <w:hyperlink w:anchor="__RefHeading___Toc11018_3324765499">
            <w:r>
              <w:rPr>
                <w:rStyle w:val="IndexLink"/>
                <w:webHidden/>
              </w:rPr>
              <w:t>F.5 Domestic law reconciliation instrument</w:t>
            </w:r>
            <w:r>
              <w:rPr>
                <w:rStyle w:val="IndexLink"/>
                <w:webHidden/>
              </w:rPr>
              <w:tab/>
              <w:t>103</w:t>
            </w:r>
          </w:hyperlink>
        </w:p>
        <w:p w14:paraId="66BDA04E" w14:textId="77777777" w:rsidR="00293BDE" w:rsidRDefault="00000000">
          <w:pPr>
            <w:pStyle w:val="TOC2"/>
            <w:tabs>
              <w:tab w:val="clear" w:pos="8789"/>
              <w:tab w:val="right" w:leader="dot" w:pos="9072"/>
            </w:tabs>
          </w:pPr>
          <w:hyperlink w:anchor="__RefHeading___Toc11020_3324765499">
            <w:r>
              <w:rPr>
                <w:rStyle w:val="IndexLink"/>
                <w:webHidden/>
              </w:rPr>
              <w:t>F.6 Standing invitations</w:t>
            </w:r>
            <w:r>
              <w:rPr>
                <w:rStyle w:val="IndexLink"/>
                <w:webHidden/>
              </w:rPr>
              <w:tab/>
              <w:t>103</w:t>
            </w:r>
          </w:hyperlink>
        </w:p>
        <w:p w14:paraId="13BBB45E" w14:textId="77777777" w:rsidR="00293BDE" w:rsidRDefault="00000000">
          <w:pPr>
            <w:pStyle w:val="TOC2"/>
            <w:tabs>
              <w:tab w:val="clear" w:pos="8789"/>
              <w:tab w:val="right" w:leader="dot" w:pos="9072"/>
            </w:tabs>
          </w:pPr>
          <w:hyperlink w:anchor="__RefHeading___Toc11022_3324765499">
            <w:r>
              <w:rPr>
                <w:rStyle w:val="IndexLink"/>
                <w:webHidden/>
              </w:rPr>
              <w:t>F.7 The fast-track accreditation schedule</w:t>
            </w:r>
            <w:r>
              <w:rPr>
                <w:rStyle w:val="IndexLink"/>
                <w:webHidden/>
              </w:rPr>
              <w:tab/>
              <w:t>103</w:t>
            </w:r>
          </w:hyperlink>
        </w:p>
        <w:p w14:paraId="2303406F" w14:textId="77777777" w:rsidR="00293BDE" w:rsidRDefault="00000000">
          <w:pPr>
            <w:pStyle w:val="TOC1"/>
          </w:pPr>
          <w:hyperlink w:anchor="__RefHeading___Toc11024_3324765499">
            <w:r>
              <w:rPr>
                <w:rStyle w:val="IndexLink"/>
                <w:webHidden/>
              </w:rPr>
              <w:t>ANNEX G: THE INVIOLABLE PRINCIPLES REGISTER (FULL OPERATIVE TEXT)</w:t>
            </w:r>
            <w:r>
              <w:rPr>
                <w:rStyle w:val="IndexLink"/>
                <w:webHidden/>
              </w:rPr>
              <w:tab/>
              <w:t>104</w:t>
            </w:r>
          </w:hyperlink>
        </w:p>
        <w:p w14:paraId="4ECBA456" w14:textId="77777777" w:rsidR="00293BDE" w:rsidRDefault="00000000">
          <w:pPr>
            <w:pStyle w:val="TOC2"/>
            <w:tabs>
              <w:tab w:val="clear" w:pos="8789"/>
              <w:tab w:val="right" w:leader="dot" w:pos="9072"/>
            </w:tabs>
          </w:pPr>
          <w:hyperlink w:anchor="__RefHeading___Toc11026_3324765499">
            <w:r>
              <w:rPr>
                <w:rStyle w:val="IndexLink"/>
                <w:webHidden/>
              </w:rPr>
              <w:t>G.1 Method</w:t>
            </w:r>
            <w:r>
              <w:rPr>
                <w:rStyle w:val="IndexLink"/>
                <w:webHidden/>
              </w:rPr>
              <w:tab/>
              <w:t>104</w:t>
            </w:r>
          </w:hyperlink>
        </w:p>
        <w:p w14:paraId="756C520D" w14:textId="77777777" w:rsidR="00293BDE" w:rsidRDefault="00000000">
          <w:pPr>
            <w:pStyle w:val="TOC2"/>
            <w:tabs>
              <w:tab w:val="clear" w:pos="8789"/>
              <w:tab w:val="right" w:leader="dot" w:pos="9072"/>
            </w:tabs>
          </w:pPr>
          <w:hyperlink w:anchor="__RefHeading___Toc11028_3324765499">
            <w:r>
              <w:rPr>
                <w:rStyle w:val="IndexLink"/>
                <w:webHidden/>
              </w:rPr>
              <w:t>G.2 The sixteen principles</w:t>
            </w:r>
            <w:r>
              <w:rPr>
                <w:rStyle w:val="IndexLink"/>
                <w:webHidden/>
              </w:rPr>
              <w:tab/>
              <w:t>104</w:t>
            </w:r>
          </w:hyperlink>
        </w:p>
        <w:p w14:paraId="5794C29E" w14:textId="77777777" w:rsidR="00293BDE" w:rsidRDefault="00000000">
          <w:pPr>
            <w:pStyle w:val="TOC2"/>
            <w:tabs>
              <w:tab w:val="clear" w:pos="8789"/>
              <w:tab w:val="right" w:leader="dot" w:pos="9072"/>
            </w:tabs>
          </w:pPr>
          <w:hyperlink w:anchor="__RefHeading___Toc11030_3324765499">
            <w:r>
              <w:rPr>
                <w:rStyle w:val="IndexLink"/>
                <w:webHidden/>
              </w:rPr>
              <w:t>G.3 The consultation record</w:t>
            </w:r>
            <w:r>
              <w:rPr>
                <w:rStyle w:val="IndexLink"/>
                <w:webHidden/>
              </w:rPr>
              <w:tab/>
              <w:t>106</w:t>
            </w:r>
          </w:hyperlink>
        </w:p>
        <w:p w14:paraId="00FB1805" w14:textId="77777777" w:rsidR="00293BDE" w:rsidRDefault="00000000">
          <w:pPr>
            <w:pStyle w:val="TOC2"/>
            <w:tabs>
              <w:tab w:val="clear" w:pos="8789"/>
              <w:tab w:val="right" w:leader="dot" w:pos="9072"/>
            </w:tabs>
          </w:pPr>
          <w:hyperlink w:anchor="__RefHeading___Toc11032_3324765499">
            <w:r>
              <w:rPr>
                <w:rStyle w:val="IndexLink"/>
                <w:webHidden/>
              </w:rPr>
              <w:t>G.4 The Register in plain language</w:t>
            </w:r>
            <w:r>
              <w:rPr>
                <w:rStyle w:val="IndexLink"/>
                <w:webHidden/>
              </w:rPr>
              <w:tab/>
              <w:t>106</w:t>
            </w:r>
          </w:hyperlink>
        </w:p>
        <w:p w14:paraId="3BD52B84" w14:textId="77777777" w:rsidR="00293BDE" w:rsidRDefault="00000000">
          <w:pPr>
            <w:pStyle w:val="TOC1"/>
          </w:pPr>
          <w:hyperlink w:anchor="__RefHeading___Toc11034_3324765499">
            <w:r>
              <w:rPr>
                <w:rStyle w:val="IndexLink"/>
                <w:webHidden/>
              </w:rPr>
              <w:t>ANNEX H: VERIFICATION SCHEDULE</w:t>
            </w:r>
            <w:r>
              <w:rPr>
                <w:rStyle w:val="IndexLink"/>
                <w:webHidden/>
              </w:rPr>
              <w:tab/>
              <w:t>107</w:t>
            </w:r>
          </w:hyperlink>
        </w:p>
        <w:p w14:paraId="7BF34D87" w14:textId="77777777" w:rsidR="00293BDE" w:rsidRDefault="00000000">
          <w:pPr>
            <w:pStyle w:val="TOC2"/>
            <w:tabs>
              <w:tab w:val="clear" w:pos="8789"/>
              <w:tab w:val="right" w:leader="dot" w:pos="9072"/>
            </w:tabs>
          </w:pPr>
          <w:hyperlink w:anchor="__RefHeading___Toc11036_3324765499">
            <w:r>
              <w:rPr>
                <w:rStyle w:val="IndexLink"/>
                <w:webHidden/>
              </w:rPr>
              <w:t>H.1 The monitoring systems table</w:t>
            </w:r>
            <w:r>
              <w:rPr>
                <w:rStyle w:val="IndexLink"/>
                <w:webHidden/>
              </w:rPr>
              <w:tab/>
              <w:t>107</w:t>
            </w:r>
          </w:hyperlink>
        </w:p>
        <w:p w14:paraId="3FF232E6" w14:textId="77777777" w:rsidR="00293BDE" w:rsidRDefault="00000000">
          <w:pPr>
            <w:pStyle w:val="TOC2"/>
            <w:tabs>
              <w:tab w:val="clear" w:pos="8789"/>
              <w:tab w:val="right" w:leader="dot" w:pos="9072"/>
            </w:tabs>
          </w:pPr>
          <w:hyperlink w:anchor="__RefHeading___Toc11038_3324765499">
            <w:r>
              <w:rPr>
                <w:rStyle w:val="IndexLink"/>
                <w:webHidden/>
              </w:rPr>
              <w:t>H.2 Data standards</w:t>
            </w:r>
            <w:r>
              <w:rPr>
                <w:rStyle w:val="IndexLink"/>
                <w:webHidden/>
              </w:rPr>
              <w:tab/>
              <w:t>108</w:t>
            </w:r>
          </w:hyperlink>
        </w:p>
        <w:p w14:paraId="499768F6" w14:textId="77777777" w:rsidR="00293BDE" w:rsidRDefault="00000000">
          <w:pPr>
            <w:pStyle w:val="TOC2"/>
            <w:tabs>
              <w:tab w:val="clear" w:pos="8789"/>
              <w:tab w:val="right" w:leader="dot" w:pos="9072"/>
            </w:tabs>
          </w:pPr>
          <w:hyperlink w:anchor="__RefHeading___Toc11040_3324765499">
            <w:r>
              <w:rPr>
                <w:rStyle w:val="IndexLink"/>
                <w:webHidden/>
              </w:rPr>
              <w:t>H.3 The tie-breaker tolerance</w:t>
            </w:r>
            <w:r>
              <w:rPr>
                <w:rStyle w:val="IndexLink"/>
                <w:webHidden/>
              </w:rPr>
              <w:tab/>
              <w:t>108</w:t>
            </w:r>
          </w:hyperlink>
        </w:p>
        <w:p w14:paraId="50A2832D" w14:textId="77777777" w:rsidR="00293BDE" w:rsidRDefault="00000000">
          <w:pPr>
            <w:pStyle w:val="TOC2"/>
            <w:tabs>
              <w:tab w:val="clear" w:pos="8789"/>
              <w:tab w:val="right" w:leader="dot" w:pos="9072"/>
            </w:tabs>
          </w:pPr>
          <w:hyperlink w:anchor="__RefHeading___Toc11042_3324765499">
            <w:r>
              <w:rPr>
                <w:rStyle w:val="IndexLink"/>
                <w:webHidden/>
              </w:rPr>
              <w:t>H.4 The technical truth escalation chain</w:t>
            </w:r>
            <w:r>
              <w:rPr>
                <w:rStyle w:val="IndexLink"/>
                <w:webHidden/>
              </w:rPr>
              <w:tab/>
              <w:t>108</w:t>
            </w:r>
          </w:hyperlink>
        </w:p>
        <w:p w14:paraId="058F3F13" w14:textId="77777777" w:rsidR="00293BDE" w:rsidRDefault="00000000">
          <w:pPr>
            <w:pStyle w:val="TOC2"/>
            <w:tabs>
              <w:tab w:val="clear" w:pos="8789"/>
              <w:tab w:val="right" w:leader="dot" w:pos="9072"/>
            </w:tabs>
          </w:pPr>
          <w:hyperlink w:anchor="__RefHeading___Toc11044_3324765499">
            <w:r>
              <w:rPr>
                <w:rStyle w:val="IndexLink"/>
                <w:webHidden/>
              </w:rPr>
              <w:t>H.5 Alert severity levels</w:t>
            </w:r>
            <w:r>
              <w:rPr>
                <w:rStyle w:val="IndexLink"/>
                <w:webHidden/>
              </w:rPr>
              <w:tab/>
              <w:t>109</w:t>
            </w:r>
          </w:hyperlink>
        </w:p>
        <w:p w14:paraId="63737AB1" w14:textId="77777777" w:rsidR="00293BDE" w:rsidRDefault="00000000">
          <w:pPr>
            <w:pStyle w:val="TOC2"/>
            <w:tabs>
              <w:tab w:val="clear" w:pos="8789"/>
              <w:tab w:val="right" w:leader="dot" w:pos="9072"/>
            </w:tabs>
          </w:pPr>
          <w:hyperlink w:anchor="__RefHeading___Toc11046_3324765499">
            <w:r>
              <w:rPr>
                <w:rStyle w:val="IndexLink"/>
                <w:webHidden/>
              </w:rPr>
              <w:t>H.6 Retention and purge schedule</w:t>
            </w:r>
            <w:r>
              <w:rPr>
                <w:rStyle w:val="IndexLink"/>
                <w:webHidden/>
              </w:rPr>
              <w:tab/>
              <w:t>109</w:t>
            </w:r>
          </w:hyperlink>
        </w:p>
        <w:p w14:paraId="6036BA61" w14:textId="77777777" w:rsidR="00293BDE" w:rsidRDefault="00000000">
          <w:pPr>
            <w:pStyle w:val="TOC2"/>
            <w:tabs>
              <w:tab w:val="clear" w:pos="8789"/>
              <w:tab w:val="right" w:leader="dot" w:pos="9072"/>
            </w:tabs>
          </w:pPr>
          <w:hyperlink w:anchor="__RefHeading___Toc11048_3324765499">
            <w:r>
              <w:rPr>
                <w:rStyle w:val="IndexLink"/>
                <w:webHidden/>
              </w:rPr>
              <w:t>H.7 Incident classification</w:t>
            </w:r>
            <w:r>
              <w:rPr>
                <w:rStyle w:val="IndexLink"/>
                <w:webHidden/>
              </w:rPr>
              <w:tab/>
              <w:t>110</w:t>
            </w:r>
          </w:hyperlink>
        </w:p>
        <w:p w14:paraId="2E991287" w14:textId="77777777" w:rsidR="00293BDE" w:rsidRDefault="00000000">
          <w:pPr>
            <w:pStyle w:val="TOC2"/>
            <w:tabs>
              <w:tab w:val="clear" w:pos="8789"/>
              <w:tab w:val="right" w:leader="dot" w:pos="9072"/>
            </w:tabs>
          </w:pPr>
          <w:hyperlink w:anchor="__RefHeading___Toc11050_3324765499">
            <w:r>
              <w:rPr>
                <w:rStyle w:val="IndexLink"/>
                <w:webHidden/>
              </w:rPr>
              <w:t>H.8 The human-in-the-loop audit</w:t>
            </w:r>
            <w:r>
              <w:rPr>
                <w:rStyle w:val="IndexLink"/>
                <w:webHidden/>
              </w:rPr>
              <w:tab/>
              <w:t>110</w:t>
            </w:r>
          </w:hyperlink>
        </w:p>
        <w:p w14:paraId="41687F1D" w14:textId="77777777" w:rsidR="00293BDE" w:rsidRDefault="00000000">
          <w:pPr>
            <w:pStyle w:val="TOC1"/>
          </w:pPr>
          <w:hyperlink w:anchor="__RefHeading___Toc11052_3324765499">
            <w:r>
              <w:rPr>
                <w:rStyle w:val="IndexLink"/>
                <w:webHidden/>
              </w:rPr>
              <w:t>ANNEX I: ACTIVATION REVIEW</w:t>
            </w:r>
            <w:r>
              <w:rPr>
                <w:rStyle w:val="IndexLink"/>
                <w:webHidden/>
              </w:rPr>
              <w:tab/>
              <w:t>110</w:t>
            </w:r>
          </w:hyperlink>
        </w:p>
        <w:p w14:paraId="60E14C9B" w14:textId="77777777" w:rsidR="00293BDE" w:rsidRDefault="00000000">
          <w:pPr>
            <w:pStyle w:val="TOC2"/>
            <w:tabs>
              <w:tab w:val="clear" w:pos="8789"/>
              <w:tab w:val="right" w:leader="dot" w:pos="9072"/>
            </w:tabs>
          </w:pPr>
          <w:hyperlink w:anchor="__RefHeading___Toc11054_3324765499">
            <w:r>
              <w:rPr>
                <w:rStyle w:val="IndexLink"/>
                <w:webHidden/>
              </w:rPr>
              <w:t>I.1 Purpose and timing</w:t>
            </w:r>
            <w:r>
              <w:rPr>
                <w:rStyle w:val="IndexLink"/>
                <w:webHidden/>
              </w:rPr>
              <w:tab/>
              <w:t>110</w:t>
            </w:r>
          </w:hyperlink>
        </w:p>
        <w:p w14:paraId="3E44C4AE" w14:textId="77777777" w:rsidR="00293BDE" w:rsidRDefault="00000000">
          <w:pPr>
            <w:pStyle w:val="TOC2"/>
            <w:tabs>
              <w:tab w:val="clear" w:pos="8789"/>
              <w:tab w:val="right" w:leader="dot" w:pos="9072"/>
            </w:tabs>
          </w:pPr>
          <w:hyperlink w:anchor="__RefHeading___Toc11056_3324765499">
            <w:r>
              <w:rPr>
                <w:rStyle w:val="IndexLink"/>
                <w:webHidden/>
              </w:rPr>
              <w:t>I.2 Domain One: passage performance</w:t>
            </w:r>
            <w:r>
              <w:rPr>
                <w:rStyle w:val="IndexLink"/>
                <w:webHidden/>
              </w:rPr>
              <w:tab/>
              <w:t>111</w:t>
            </w:r>
          </w:hyperlink>
        </w:p>
        <w:p w14:paraId="6F3A100A" w14:textId="77777777" w:rsidR="00293BDE" w:rsidRDefault="00000000">
          <w:pPr>
            <w:pStyle w:val="TOC2"/>
            <w:tabs>
              <w:tab w:val="clear" w:pos="8789"/>
              <w:tab w:val="right" w:leader="dot" w:pos="9072"/>
            </w:tabs>
          </w:pPr>
          <w:hyperlink w:anchor="__RefHeading___Toc11058_3324765499">
            <w:r>
              <w:rPr>
                <w:rStyle w:val="IndexLink"/>
                <w:webHidden/>
              </w:rPr>
              <w:t>I.3 Domain Two: financial integrity</w:t>
            </w:r>
            <w:r>
              <w:rPr>
                <w:rStyle w:val="IndexLink"/>
                <w:webHidden/>
              </w:rPr>
              <w:tab/>
              <w:t>111</w:t>
            </w:r>
          </w:hyperlink>
        </w:p>
        <w:p w14:paraId="21863EC1" w14:textId="77777777" w:rsidR="00293BDE" w:rsidRDefault="00000000">
          <w:pPr>
            <w:pStyle w:val="TOC2"/>
            <w:tabs>
              <w:tab w:val="clear" w:pos="8789"/>
              <w:tab w:val="right" w:leader="dot" w:pos="9072"/>
            </w:tabs>
          </w:pPr>
          <w:hyperlink w:anchor="__RefHeading___Toc11060_3324765499">
            <w:r>
              <w:rPr>
                <w:rStyle w:val="IndexLink"/>
                <w:webHidden/>
              </w:rPr>
              <w:t>I.4 Domain Three: verification credibility</w:t>
            </w:r>
            <w:r>
              <w:rPr>
                <w:rStyle w:val="IndexLink"/>
                <w:webHidden/>
              </w:rPr>
              <w:tab/>
              <w:t>111</w:t>
            </w:r>
          </w:hyperlink>
        </w:p>
        <w:p w14:paraId="362233FA" w14:textId="77777777" w:rsidR="00293BDE" w:rsidRDefault="00000000">
          <w:pPr>
            <w:pStyle w:val="TOC2"/>
            <w:tabs>
              <w:tab w:val="clear" w:pos="8789"/>
              <w:tab w:val="right" w:leader="dot" w:pos="9072"/>
            </w:tabs>
          </w:pPr>
          <w:hyperlink w:anchor="__RefHeading___Toc11062_3324765499">
            <w:r>
              <w:rPr>
                <w:rStyle w:val="IndexLink"/>
                <w:webHidden/>
              </w:rPr>
              <w:t>I.5 Domain Four: compliance and de-escalation</w:t>
            </w:r>
            <w:r>
              <w:rPr>
                <w:rStyle w:val="IndexLink"/>
                <w:webHidden/>
              </w:rPr>
              <w:tab/>
              <w:t>112</w:t>
            </w:r>
          </w:hyperlink>
        </w:p>
        <w:p w14:paraId="5930CAB2" w14:textId="77777777" w:rsidR="00293BDE" w:rsidRDefault="00000000">
          <w:pPr>
            <w:pStyle w:val="TOC2"/>
            <w:tabs>
              <w:tab w:val="clear" w:pos="8789"/>
              <w:tab w:val="right" w:leader="dot" w:pos="9072"/>
            </w:tabs>
          </w:pPr>
          <w:hyperlink w:anchor="__RefHeading___Toc11064_3324765499">
            <w:r>
              <w:rPr>
                <w:rStyle w:val="IndexLink"/>
                <w:webHidden/>
              </w:rPr>
              <w:t>I.6 Domain Five: acceptance and market response</w:t>
            </w:r>
            <w:r>
              <w:rPr>
                <w:rStyle w:val="IndexLink"/>
                <w:webHidden/>
              </w:rPr>
              <w:tab/>
              <w:t>112</w:t>
            </w:r>
          </w:hyperlink>
        </w:p>
        <w:p w14:paraId="3FDCF671" w14:textId="77777777" w:rsidR="00293BDE" w:rsidRDefault="00000000">
          <w:pPr>
            <w:pStyle w:val="TOC2"/>
            <w:tabs>
              <w:tab w:val="clear" w:pos="8789"/>
              <w:tab w:val="right" w:leader="dot" w:pos="9072"/>
            </w:tabs>
          </w:pPr>
          <w:hyperlink w:anchor="__RefHeading___Toc11066_3324765499">
            <w:r>
              <w:rPr>
                <w:rStyle w:val="IndexLink"/>
                <w:webHidden/>
              </w:rPr>
              <w:t>I.7 The conclusion</w:t>
            </w:r>
            <w:r>
              <w:rPr>
                <w:rStyle w:val="IndexLink"/>
                <w:webHidden/>
              </w:rPr>
              <w:tab/>
              <w:t>112</w:t>
            </w:r>
          </w:hyperlink>
        </w:p>
        <w:p w14:paraId="1AE7167C" w14:textId="77777777" w:rsidR="00293BDE" w:rsidRDefault="00000000">
          <w:pPr>
            <w:pStyle w:val="TOC1"/>
          </w:pPr>
          <w:hyperlink w:anchor="__RefHeading___Toc11068_3324765499">
            <w:r>
              <w:rPr>
                <w:rStyle w:val="IndexLink"/>
                <w:webHidden/>
              </w:rPr>
              <w:t>ANNEX J: ENVIRONMENTAL PROTECTION AND SEARCH AND RESCUE</w:t>
            </w:r>
            <w:r>
              <w:rPr>
                <w:rStyle w:val="IndexLink"/>
                <w:webHidden/>
              </w:rPr>
              <w:tab/>
              <w:t>113</w:t>
            </w:r>
          </w:hyperlink>
        </w:p>
        <w:p w14:paraId="2E5646D3" w14:textId="77777777" w:rsidR="00293BDE" w:rsidRDefault="00000000">
          <w:pPr>
            <w:pStyle w:val="TOC2"/>
            <w:tabs>
              <w:tab w:val="clear" w:pos="8789"/>
              <w:tab w:val="right" w:leader="dot" w:pos="9072"/>
            </w:tabs>
          </w:pPr>
          <w:hyperlink w:anchor="__RefHeading___Toc11070_3324765499">
            <w:r>
              <w:rPr>
                <w:rStyle w:val="IndexLink"/>
                <w:webHidden/>
              </w:rPr>
              <w:t>J.1 The environmental baseline</w:t>
            </w:r>
            <w:r>
              <w:rPr>
                <w:rStyle w:val="IndexLink"/>
                <w:webHidden/>
              </w:rPr>
              <w:tab/>
              <w:t>113</w:t>
            </w:r>
          </w:hyperlink>
        </w:p>
        <w:p w14:paraId="3EE7D3D6" w14:textId="77777777" w:rsidR="00293BDE" w:rsidRDefault="00000000">
          <w:pPr>
            <w:pStyle w:val="TOC2"/>
            <w:tabs>
              <w:tab w:val="clear" w:pos="8789"/>
              <w:tab w:val="right" w:leader="dot" w:pos="9072"/>
            </w:tabs>
          </w:pPr>
          <w:hyperlink w:anchor="__RefHeading___Toc11072_3324765499">
            <w:r>
              <w:rPr>
                <w:rStyle w:val="IndexLink"/>
                <w:webHidden/>
              </w:rPr>
              <w:t>J.2 Spill prevention and response</w:t>
            </w:r>
            <w:r>
              <w:rPr>
                <w:rStyle w:val="IndexLink"/>
                <w:webHidden/>
              </w:rPr>
              <w:tab/>
              <w:t>113</w:t>
            </w:r>
          </w:hyperlink>
        </w:p>
        <w:p w14:paraId="5EB681A5" w14:textId="77777777" w:rsidR="00293BDE" w:rsidRDefault="00000000">
          <w:pPr>
            <w:pStyle w:val="TOC2"/>
            <w:tabs>
              <w:tab w:val="clear" w:pos="8789"/>
              <w:tab w:val="right" w:leader="dot" w:pos="9072"/>
            </w:tabs>
          </w:pPr>
          <w:hyperlink w:anchor="__RefHeading___Toc11074_3324765499">
            <w:r>
              <w:rPr>
                <w:rStyle w:val="IndexLink"/>
                <w:webHidden/>
              </w:rPr>
              <w:t>J.3 Search and rescue coordination</w:t>
            </w:r>
            <w:r>
              <w:rPr>
                <w:rStyle w:val="IndexLink"/>
                <w:webHidden/>
              </w:rPr>
              <w:tab/>
              <w:t>114</w:t>
            </w:r>
          </w:hyperlink>
        </w:p>
        <w:p w14:paraId="1A988D08" w14:textId="77777777" w:rsidR="00293BDE" w:rsidRDefault="00000000">
          <w:pPr>
            <w:pStyle w:val="TOC2"/>
            <w:tabs>
              <w:tab w:val="clear" w:pos="8789"/>
              <w:tab w:val="right" w:leader="dot" w:pos="9072"/>
            </w:tabs>
          </w:pPr>
          <w:hyperlink w:anchor="__RefHeading___Toc11076_3324765499">
            <w:r>
              <w:rPr>
                <w:rStyle w:val="IndexLink"/>
                <w:webHidden/>
              </w:rPr>
              <w:t>J.4 Salvage and wreck</w:t>
            </w:r>
            <w:r>
              <w:rPr>
                <w:rStyle w:val="IndexLink"/>
                <w:webHidden/>
              </w:rPr>
              <w:tab/>
              <w:t>114</w:t>
            </w:r>
          </w:hyperlink>
        </w:p>
        <w:p w14:paraId="69672992" w14:textId="77777777" w:rsidR="00293BDE" w:rsidRDefault="00000000">
          <w:pPr>
            <w:pStyle w:val="TOC2"/>
            <w:tabs>
              <w:tab w:val="clear" w:pos="8789"/>
              <w:tab w:val="right" w:leader="dot" w:pos="9072"/>
            </w:tabs>
          </w:pPr>
          <w:hyperlink w:anchor="__RefHeading___Toc11078_3324765499">
            <w:r>
              <w:rPr>
                <w:rStyle w:val="IndexLink"/>
                <w:webHidden/>
              </w:rPr>
              <w:t>J.5 The annual environmental audit</w:t>
            </w:r>
            <w:r>
              <w:rPr>
                <w:rStyle w:val="IndexLink"/>
                <w:webHidden/>
              </w:rPr>
              <w:tab/>
              <w:t>114</w:t>
            </w:r>
          </w:hyperlink>
        </w:p>
        <w:p w14:paraId="35B2B2B0" w14:textId="77777777" w:rsidR="00293BDE" w:rsidRDefault="00000000">
          <w:pPr>
            <w:pStyle w:val="TOC1"/>
          </w:pPr>
          <w:hyperlink w:anchor="__RefHeading___Toc11080_3324765499">
            <w:r>
              <w:rPr>
                <w:rStyle w:val="IndexLink"/>
                <w:webHidden/>
              </w:rPr>
              <w:t>ANNEX K: DEMAND RECONCILIATION REGISTER</w:t>
            </w:r>
            <w:r>
              <w:rPr>
                <w:rStyle w:val="IndexLink"/>
                <w:webHidden/>
              </w:rPr>
              <w:tab/>
              <w:t>114</w:t>
            </w:r>
          </w:hyperlink>
        </w:p>
        <w:p w14:paraId="237DCBF4" w14:textId="77777777" w:rsidR="00293BDE" w:rsidRDefault="00000000">
          <w:pPr>
            <w:pStyle w:val="TOC2"/>
            <w:tabs>
              <w:tab w:val="clear" w:pos="8789"/>
              <w:tab w:val="right" w:leader="dot" w:pos="9072"/>
            </w:tabs>
          </w:pPr>
          <w:hyperlink w:anchor="__RefHeading___Toc11082_3324765499">
            <w:r>
              <w:rPr>
                <w:rStyle w:val="IndexLink"/>
                <w:webHidden/>
              </w:rPr>
              <w:t>K.1 Purpose and method</w:t>
            </w:r>
            <w:r>
              <w:rPr>
                <w:rStyle w:val="IndexLink"/>
                <w:webHidden/>
              </w:rPr>
              <w:tab/>
              <w:t>114</w:t>
            </w:r>
          </w:hyperlink>
        </w:p>
        <w:p w14:paraId="2C060418" w14:textId="77777777" w:rsidR="00293BDE" w:rsidRDefault="00000000">
          <w:pPr>
            <w:pStyle w:val="TOC2"/>
            <w:tabs>
              <w:tab w:val="clear" w:pos="8789"/>
              <w:tab w:val="right" w:leader="dot" w:pos="9072"/>
            </w:tabs>
          </w:pPr>
          <w:hyperlink w:anchor="__RefHeading___Toc11084_3324765499">
            <w:r>
              <w:rPr>
                <w:rStyle w:val="IndexLink"/>
                <w:webHidden/>
              </w:rPr>
              <w:t>K.2 The United States: fifteen positions</w:t>
            </w:r>
            <w:r>
              <w:rPr>
                <w:rStyle w:val="IndexLink"/>
                <w:webHidden/>
              </w:rPr>
              <w:tab/>
              <w:t>114</w:t>
            </w:r>
          </w:hyperlink>
        </w:p>
        <w:p w14:paraId="7DD7C5E3" w14:textId="77777777" w:rsidR="00293BDE" w:rsidRDefault="00000000">
          <w:pPr>
            <w:pStyle w:val="TOC2"/>
            <w:tabs>
              <w:tab w:val="clear" w:pos="8789"/>
              <w:tab w:val="right" w:leader="dot" w:pos="9072"/>
            </w:tabs>
          </w:pPr>
          <w:hyperlink w:anchor="__RefHeading___Toc11086_3324765499">
            <w:r>
              <w:rPr>
                <w:rStyle w:val="IndexLink"/>
                <w:webHidden/>
              </w:rPr>
              <w:t>K.3 Iran: fifteen positions</w:t>
            </w:r>
            <w:r>
              <w:rPr>
                <w:rStyle w:val="IndexLink"/>
                <w:webHidden/>
              </w:rPr>
              <w:tab/>
              <w:t>115</w:t>
            </w:r>
          </w:hyperlink>
        </w:p>
        <w:p w14:paraId="59CF8602" w14:textId="77777777" w:rsidR="00293BDE" w:rsidRDefault="00000000">
          <w:pPr>
            <w:pStyle w:val="TOC2"/>
            <w:tabs>
              <w:tab w:val="clear" w:pos="8789"/>
              <w:tab w:val="right" w:leader="dot" w:pos="9072"/>
            </w:tabs>
          </w:pPr>
          <w:hyperlink w:anchor="__RefHeading___Toc11088_3324765499">
            <w:r>
              <w:rPr>
                <w:rStyle w:val="IndexLink"/>
                <w:webHidden/>
              </w:rPr>
              <w:t>K.4 Oman: fifteen positions</w:t>
            </w:r>
            <w:r>
              <w:rPr>
                <w:rStyle w:val="IndexLink"/>
                <w:webHidden/>
              </w:rPr>
              <w:tab/>
              <w:t>117</w:t>
            </w:r>
          </w:hyperlink>
        </w:p>
        <w:p w14:paraId="0954CDFA" w14:textId="77777777" w:rsidR="00293BDE" w:rsidRDefault="00000000">
          <w:pPr>
            <w:pStyle w:val="TOC2"/>
            <w:tabs>
              <w:tab w:val="clear" w:pos="8789"/>
              <w:tab w:val="right" w:leader="dot" w:pos="9072"/>
            </w:tabs>
          </w:pPr>
          <w:hyperlink w:anchor="__RefHeading___Toc11090_3324765499">
            <w:r>
              <w:rPr>
                <w:rStyle w:val="IndexLink"/>
                <w:webHidden/>
              </w:rPr>
              <w:t>K.5 The Gulf Cooperation Council states: fifteen positions</w:t>
            </w:r>
            <w:r>
              <w:rPr>
                <w:rStyle w:val="IndexLink"/>
                <w:webHidden/>
              </w:rPr>
              <w:tab/>
              <w:t>118</w:t>
            </w:r>
          </w:hyperlink>
        </w:p>
        <w:p w14:paraId="156E9BBB" w14:textId="77777777" w:rsidR="00293BDE" w:rsidRDefault="00000000">
          <w:pPr>
            <w:pStyle w:val="TOC2"/>
            <w:tabs>
              <w:tab w:val="clear" w:pos="8789"/>
              <w:tab w:val="right" w:leader="dot" w:pos="9072"/>
            </w:tabs>
          </w:pPr>
          <w:hyperlink w:anchor="__RefHeading___Toc11092_3324765499">
            <w:r>
              <w:rPr>
                <w:rStyle w:val="IndexLink"/>
                <w:webHidden/>
              </w:rPr>
              <w:t>K.6 Europe: fifteen positions</w:t>
            </w:r>
            <w:r>
              <w:rPr>
                <w:rStyle w:val="IndexLink"/>
                <w:webHidden/>
              </w:rPr>
              <w:tab/>
              <w:t>118</w:t>
            </w:r>
          </w:hyperlink>
        </w:p>
        <w:p w14:paraId="4F591958" w14:textId="77777777" w:rsidR="00293BDE" w:rsidRDefault="00000000">
          <w:pPr>
            <w:pStyle w:val="TOC2"/>
            <w:tabs>
              <w:tab w:val="clear" w:pos="8789"/>
              <w:tab w:val="right" w:leader="dot" w:pos="9072"/>
            </w:tabs>
          </w:pPr>
          <w:hyperlink w:anchor="__RefHeading___Toc11094_3324765499">
            <w:r>
              <w:rPr>
                <w:rStyle w:val="IndexLink"/>
                <w:webHidden/>
              </w:rPr>
              <w:t>K.7 The insurance market and industry: fifteen positions</w:t>
            </w:r>
            <w:r>
              <w:rPr>
                <w:rStyle w:val="IndexLink"/>
                <w:webHidden/>
              </w:rPr>
              <w:tab/>
              <w:t>119</w:t>
            </w:r>
          </w:hyperlink>
        </w:p>
        <w:p w14:paraId="282E1897" w14:textId="77777777" w:rsidR="00293BDE" w:rsidRDefault="00000000">
          <w:pPr>
            <w:pStyle w:val="TOC2"/>
            <w:tabs>
              <w:tab w:val="clear" w:pos="8789"/>
              <w:tab w:val="right" w:leader="dot" w:pos="9072"/>
            </w:tabs>
          </w:pPr>
          <w:hyperlink w:anchor="__RefHeading___Toc11096_3324765499">
            <w:r>
              <w:rPr>
                <w:rStyle w:val="IndexLink"/>
                <w:webHidden/>
              </w:rPr>
              <w:t>K.8 Reading the Register</w:t>
            </w:r>
            <w:r>
              <w:rPr>
                <w:rStyle w:val="IndexLink"/>
                <w:webHidden/>
              </w:rPr>
              <w:tab/>
              <w:t>120</w:t>
            </w:r>
          </w:hyperlink>
        </w:p>
        <w:p w14:paraId="0B72279C" w14:textId="77777777" w:rsidR="00293BDE" w:rsidRDefault="00000000">
          <w:pPr>
            <w:pStyle w:val="TOC1"/>
          </w:pPr>
          <w:hyperlink w:anchor="__RefHeading___Toc11098_3324765499">
            <w:r>
              <w:rPr>
                <w:rStyle w:val="IndexLink"/>
                <w:webHidden/>
              </w:rPr>
              <w:t>ANNEX L: PHASED DE-ESCALATION AND SYNCHRONIZATION SCHEDULE</w:t>
            </w:r>
            <w:r>
              <w:rPr>
                <w:rStyle w:val="IndexLink"/>
                <w:webHidden/>
              </w:rPr>
              <w:tab/>
              <w:t>121</w:t>
            </w:r>
          </w:hyperlink>
        </w:p>
        <w:p w14:paraId="35663B7A" w14:textId="77777777" w:rsidR="00293BDE" w:rsidRDefault="00000000">
          <w:pPr>
            <w:pStyle w:val="TOC2"/>
            <w:tabs>
              <w:tab w:val="clear" w:pos="8789"/>
              <w:tab w:val="right" w:leader="dot" w:pos="9072"/>
            </w:tabs>
          </w:pPr>
          <w:hyperlink w:anchor="__RefHeading___Toc11100_3324765499">
            <w:r>
              <w:rPr>
                <w:rStyle w:val="IndexLink"/>
                <w:webHidden/>
              </w:rPr>
              <w:t>L.1 The principle of the indivisible event</w:t>
            </w:r>
            <w:r>
              <w:rPr>
                <w:rStyle w:val="IndexLink"/>
                <w:webHidden/>
              </w:rPr>
              <w:tab/>
              <w:t>121</w:t>
            </w:r>
          </w:hyperlink>
        </w:p>
        <w:p w14:paraId="2E048CD1" w14:textId="77777777" w:rsidR="00293BDE" w:rsidRDefault="00000000">
          <w:pPr>
            <w:pStyle w:val="TOC2"/>
            <w:tabs>
              <w:tab w:val="clear" w:pos="8789"/>
              <w:tab w:val="right" w:leader="dot" w:pos="9072"/>
            </w:tabs>
          </w:pPr>
          <w:hyperlink w:anchor="__RefHeading___Toc11102_3324765499">
            <w:r>
              <w:rPr>
                <w:rStyle w:val="IndexLink"/>
                <w:webHidden/>
              </w:rPr>
              <w:t>L.2 The synchronization table</w:t>
            </w:r>
            <w:r>
              <w:rPr>
                <w:rStyle w:val="IndexLink"/>
                <w:webHidden/>
              </w:rPr>
              <w:tab/>
              <w:t>121</w:t>
            </w:r>
          </w:hyperlink>
        </w:p>
        <w:p w14:paraId="7F9AEB10" w14:textId="77777777" w:rsidR="00293BDE" w:rsidRDefault="00000000">
          <w:pPr>
            <w:pStyle w:val="TOC2"/>
            <w:tabs>
              <w:tab w:val="clear" w:pos="8789"/>
              <w:tab w:val="right" w:leader="dot" w:pos="9072"/>
            </w:tabs>
          </w:pPr>
          <w:hyperlink w:anchor="__RefHeading___Toc11104_3324765499">
            <w:r>
              <w:rPr>
                <w:rStyle w:val="IndexLink"/>
                <w:webHidden/>
              </w:rPr>
              <w:t>L.3 Phase one: the water calms (Days 0 to 40)</w:t>
            </w:r>
            <w:r>
              <w:rPr>
                <w:rStyle w:val="IndexLink"/>
                <w:webHidden/>
              </w:rPr>
              <w:tab/>
              <w:t>122</w:t>
            </w:r>
          </w:hyperlink>
        </w:p>
        <w:p w14:paraId="7538CD67" w14:textId="77777777" w:rsidR="00293BDE" w:rsidRDefault="00000000">
          <w:pPr>
            <w:pStyle w:val="TOC2"/>
            <w:tabs>
              <w:tab w:val="clear" w:pos="8789"/>
              <w:tab w:val="right" w:leader="dot" w:pos="9072"/>
            </w:tabs>
          </w:pPr>
          <w:hyperlink w:anchor="__RefHeading___Toc11106_3324765499">
            <w:r>
              <w:rPr>
                <w:rStyle w:val="IndexLink"/>
                <w:webHidden/>
              </w:rPr>
              <w:t>L.4 Phase two: the money moves cleanly (Days 40 to 90)</w:t>
            </w:r>
            <w:r>
              <w:rPr>
                <w:rStyle w:val="IndexLink"/>
                <w:webHidden/>
              </w:rPr>
              <w:tab/>
              <w:t>122</w:t>
            </w:r>
          </w:hyperlink>
        </w:p>
        <w:p w14:paraId="1F2CEDB8" w14:textId="77777777" w:rsidR="00293BDE" w:rsidRDefault="00000000">
          <w:pPr>
            <w:pStyle w:val="TOC2"/>
            <w:tabs>
              <w:tab w:val="clear" w:pos="8789"/>
              <w:tab w:val="right" w:leader="dot" w:pos="9072"/>
            </w:tabs>
          </w:pPr>
          <w:hyperlink w:anchor="__RefHeading___Toc11108_3324765499">
            <w:r>
              <w:rPr>
                <w:rStyle w:val="IndexLink"/>
                <w:webHidden/>
              </w:rPr>
              <w:t>L.5 Phase three: the architecture stands (Days 90 to 365)</w:t>
            </w:r>
            <w:r>
              <w:rPr>
                <w:rStyle w:val="IndexLink"/>
                <w:webHidden/>
              </w:rPr>
              <w:tab/>
              <w:t>122</w:t>
            </w:r>
          </w:hyperlink>
        </w:p>
        <w:p w14:paraId="19A864B8" w14:textId="77777777" w:rsidR="00293BDE" w:rsidRDefault="00000000">
          <w:pPr>
            <w:pStyle w:val="TOC1"/>
          </w:pPr>
          <w:hyperlink w:anchor="__RefHeading___Toc11110_3324765499">
            <w:r>
              <w:rPr>
                <w:rStyle w:val="IndexLink"/>
                <w:webHidden/>
              </w:rPr>
              <w:t>ANNEX M: IMPLEMENTATION MANUAL AND TRAINING FRAMEWORK</w:t>
            </w:r>
            <w:r>
              <w:rPr>
                <w:rStyle w:val="IndexLink"/>
                <w:webHidden/>
              </w:rPr>
              <w:tab/>
              <w:t>122</w:t>
            </w:r>
          </w:hyperlink>
        </w:p>
        <w:p w14:paraId="6C2C9526" w14:textId="77777777" w:rsidR="00293BDE" w:rsidRDefault="00000000">
          <w:pPr>
            <w:pStyle w:val="TOC2"/>
            <w:tabs>
              <w:tab w:val="clear" w:pos="8789"/>
              <w:tab w:val="right" w:leader="dot" w:pos="9072"/>
            </w:tabs>
          </w:pPr>
          <w:hyperlink w:anchor="__RefHeading___Toc11112_3324765499">
            <w:r>
              <w:rPr>
                <w:rStyle w:val="IndexLink"/>
                <w:webHidden/>
              </w:rPr>
              <w:t>M.1 The manual’s five volumes</w:t>
            </w:r>
            <w:r>
              <w:rPr>
                <w:rStyle w:val="IndexLink"/>
                <w:webHidden/>
              </w:rPr>
              <w:tab/>
              <w:t>122</w:t>
            </w:r>
          </w:hyperlink>
        </w:p>
        <w:p w14:paraId="0562B663" w14:textId="77777777" w:rsidR="00293BDE" w:rsidRDefault="00000000">
          <w:pPr>
            <w:pStyle w:val="TOC2"/>
            <w:tabs>
              <w:tab w:val="clear" w:pos="8789"/>
              <w:tab w:val="right" w:leader="dot" w:pos="9072"/>
            </w:tabs>
          </w:pPr>
          <w:hyperlink w:anchor="__RefHeading___Toc11114_3324765499">
            <w:r>
              <w:rPr>
                <w:rStyle w:val="IndexLink"/>
                <w:webHidden/>
              </w:rPr>
              <w:t>M.2 The training ladder</w:t>
            </w:r>
            <w:r>
              <w:rPr>
                <w:rStyle w:val="IndexLink"/>
                <w:webHidden/>
              </w:rPr>
              <w:tab/>
              <w:t>123</w:t>
            </w:r>
          </w:hyperlink>
        </w:p>
        <w:p w14:paraId="36FBB6E0" w14:textId="77777777" w:rsidR="00293BDE" w:rsidRDefault="00000000">
          <w:pPr>
            <w:pStyle w:val="TOC2"/>
            <w:tabs>
              <w:tab w:val="clear" w:pos="8789"/>
              <w:tab w:val="right" w:leader="dot" w:pos="9072"/>
            </w:tabs>
          </w:pPr>
          <w:hyperlink w:anchor="__RefHeading___Toc11116_3324765499">
            <w:r>
              <w:rPr>
                <w:rStyle w:val="IndexLink"/>
                <w:webHidden/>
              </w:rPr>
              <w:t>M.3 The simulation program</w:t>
            </w:r>
            <w:r>
              <w:rPr>
                <w:rStyle w:val="IndexLink"/>
                <w:webHidden/>
              </w:rPr>
              <w:tab/>
              <w:t>123</w:t>
            </w:r>
          </w:hyperlink>
        </w:p>
        <w:p w14:paraId="71A39114" w14:textId="77777777" w:rsidR="00293BDE" w:rsidRDefault="00000000">
          <w:pPr>
            <w:pStyle w:val="TOC2"/>
            <w:tabs>
              <w:tab w:val="clear" w:pos="8789"/>
              <w:tab w:val="right" w:leader="dot" w:pos="9072"/>
            </w:tabs>
          </w:pPr>
          <w:hyperlink w:anchor="__RefHeading___Toc11118_3324765499">
            <w:r>
              <w:rPr>
                <w:rStyle w:val="IndexLink"/>
                <w:webHidden/>
              </w:rPr>
              <w:t>M.4 The first hundred days staff plan</w:t>
            </w:r>
            <w:r>
              <w:rPr>
                <w:rStyle w:val="IndexLink"/>
                <w:webHidden/>
              </w:rPr>
              <w:tab/>
              <w:t>124</w:t>
            </w:r>
          </w:hyperlink>
        </w:p>
        <w:p w14:paraId="2B01A713" w14:textId="77777777" w:rsidR="00293BDE" w:rsidRDefault="00000000">
          <w:pPr>
            <w:pStyle w:val="TOC2"/>
            <w:tabs>
              <w:tab w:val="clear" w:pos="8789"/>
              <w:tab w:val="right" w:leader="dot" w:pos="9072"/>
            </w:tabs>
          </w:pPr>
          <w:hyperlink w:anchor="__RefHeading___Toc11120_3324765499">
            <w:r>
              <w:rPr>
                <w:rStyle w:val="IndexLink"/>
                <w:webHidden/>
              </w:rPr>
              <w:t>M.5 The knowledge base</w:t>
            </w:r>
            <w:r>
              <w:rPr>
                <w:rStyle w:val="IndexLink"/>
                <w:webHidden/>
              </w:rPr>
              <w:tab/>
              <w:t>124</w:t>
            </w:r>
          </w:hyperlink>
        </w:p>
        <w:p w14:paraId="797352A6" w14:textId="77777777" w:rsidR="00293BDE" w:rsidRDefault="00000000">
          <w:pPr>
            <w:pStyle w:val="TOC1"/>
          </w:pPr>
          <w:hyperlink w:anchor="__RefHeading___Toc11122_3324765499">
            <w:r>
              <w:rPr>
                <w:rStyle w:val="IndexLink"/>
                <w:webHidden/>
              </w:rPr>
              <w:t>POLITICAL WRAPPER</w:t>
            </w:r>
            <w:r>
              <w:rPr>
                <w:rStyle w:val="IndexLink"/>
                <w:webHidden/>
              </w:rPr>
              <w:tab/>
              <w:t>124</w:t>
            </w:r>
          </w:hyperlink>
        </w:p>
        <w:p w14:paraId="5836A6D6" w14:textId="77777777" w:rsidR="00293BDE" w:rsidRDefault="00000000">
          <w:pPr>
            <w:pStyle w:val="TOC2"/>
            <w:tabs>
              <w:tab w:val="clear" w:pos="8789"/>
              <w:tab w:val="right" w:leader="dot" w:pos="9072"/>
            </w:tabs>
          </w:pPr>
          <w:hyperlink w:anchor="__RefHeading___Toc11124_3324765499">
            <w:r>
              <w:rPr>
                <w:rStyle w:val="IndexLink"/>
                <w:webHidden/>
              </w:rPr>
              <w:t>The Muscat Horizon Declaration</w:t>
            </w:r>
            <w:r>
              <w:rPr>
                <w:rStyle w:val="IndexLink"/>
                <w:webHidden/>
              </w:rPr>
              <w:tab/>
              <w:t>124</w:t>
            </w:r>
          </w:hyperlink>
        </w:p>
        <w:p w14:paraId="43AB3563" w14:textId="77777777" w:rsidR="00293BDE" w:rsidRDefault="00000000">
          <w:pPr>
            <w:pStyle w:val="TOC2"/>
            <w:tabs>
              <w:tab w:val="clear" w:pos="8789"/>
              <w:tab w:val="right" w:leader="dot" w:pos="9072"/>
            </w:tabs>
          </w:pPr>
          <w:hyperlink w:anchor="__RefHeading___Toc11126_3324765499">
            <w:r>
              <w:rPr>
                <w:rStyle w:val="IndexLink"/>
                <w:webHidden/>
              </w:rPr>
              <w:t>Joint Signature Addresses</w:t>
            </w:r>
            <w:r>
              <w:rPr>
                <w:rStyle w:val="IndexLink"/>
                <w:webHidden/>
              </w:rPr>
              <w:tab/>
              <w:t>125</w:t>
            </w:r>
          </w:hyperlink>
        </w:p>
        <w:p w14:paraId="1A2BE20C" w14:textId="77777777" w:rsidR="00293BDE" w:rsidRDefault="00000000">
          <w:pPr>
            <w:pStyle w:val="TOC2"/>
            <w:tabs>
              <w:tab w:val="clear" w:pos="8789"/>
              <w:tab w:val="right" w:leader="dot" w:pos="9072"/>
            </w:tabs>
          </w:pPr>
          <w:hyperlink w:anchor="__RefHeading___Toc11128_3324765499">
            <w:r>
              <w:rPr>
                <w:rStyle w:val="IndexLink"/>
                <w:webHidden/>
              </w:rPr>
              <w:t>The Closing Act of Signature</w:t>
            </w:r>
            <w:r>
              <w:rPr>
                <w:rStyle w:val="IndexLink"/>
                <w:webHidden/>
              </w:rPr>
              <w:tab/>
              <w:t>126</w:t>
            </w:r>
          </w:hyperlink>
        </w:p>
        <w:p w14:paraId="208B99FD" w14:textId="77777777" w:rsidR="00293BDE" w:rsidRDefault="00000000">
          <w:pPr>
            <w:pStyle w:val="TOC1"/>
          </w:pPr>
          <w:hyperlink w:anchor="__RefHeading___Toc11130_3324765499">
            <w:r>
              <w:rPr>
                <w:rStyle w:val="IndexLink"/>
                <w:webHidden/>
              </w:rPr>
              <w:t>END OF INSTRUMENT</w:t>
            </w:r>
            <w:r>
              <w:rPr>
                <w:rStyle w:val="IndexLink"/>
                <w:webHidden/>
              </w:rPr>
              <w:tab/>
              <w:t>127</w:t>
            </w:r>
          </w:hyperlink>
          <w:r>
            <w:rPr>
              <w:rStyle w:val="IndexLink"/>
            </w:rPr>
            <w:fldChar w:fldCharType="end"/>
          </w:r>
        </w:p>
      </w:sdtContent>
    </w:sdt>
    <w:p w14:paraId="269F3828" w14:textId="77777777" w:rsidR="00293BDE" w:rsidRDefault="00000000">
      <w:r>
        <w:br w:type="page"/>
      </w:r>
    </w:p>
    <w:p w14:paraId="453A27AE" w14:textId="77777777" w:rsidR="00293BDE" w:rsidRDefault="00000000">
      <w:pPr>
        <w:pStyle w:val="Heading1"/>
      </w:pPr>
      <w:bookmarkStart w:id="3" w:name="__RefHeading___Toc10786_3324765499"/>
      <w:bookmarkEnd w:id="3"/>
      <w:r>
        <w:t>Document Control</w:t>
      </w:r>
    </w:p>
    <w:tbl>
      <w:tblPr>
        <w:tblStyle w:val="Table"/>
        <w:tblW w:w="5000" w:type="pct"/>
        <w:tblInd w:w="0" w:type="dxa"/>
        <w:tblLayout w:type="fixed"/>
        <w:tblLook w:val="0020" w:firstRow="1" w:lastRow="0" w:firstColumn="0" w:lastColumn="0" w:noHBand="0" w:noVBand="0"/>
      </w:tblPr>
      <w:tblGrid>
        <w:gridCol w:w="4643"/>
        <w:gridCol w:w="4645"/>
      </w:tblGrid>
      <w:tr w:rsidR="00293BDE" w14:paraId="79D30DEE"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4535" w:type="dxa"/>
            <w:tcBorders>
              <w:bottom w:val="single" w:sz="6" w:space="0" w:color="000000"/>
            </w:tcBorders>
          </w:tcPr>
          <w:p w14:paraId="63110D2F" w14:textId="77777777" w:rsidR="00293BDE" w:rsidRDefault="00000000">
            <w:pPr>
              <w:pStyle w:val="Compact"/>
            </w:pPr>
            <w:r>
              <w:t>Field</w:t>
            </w:r>
          </w:p>
        </w:tc>
        <w:tc>
          <w:tcPr>
            <w:tcW w:w="4536" w:type="dxa"/>
            <w:tcBorders>
              <w:bottom w:val="single" w:sz="6" w:space="0" w:color="000000"/>
            </w:tcBorders>
          </w:tcPr>
          <w:p w14:paraId="2033AF26" w14:textId="77777777" w:rsidR="00293BDE" w:rsidRDefault="00000000">
            <w:pPr>
              <w:pStyle w:val="Compact"/>
            </w:pPr>
            <w:r>
              <w:t>Entry</w:t>
            </w:r>
          </w:p>
        </w:tc>
      </w:tr>
      <w:tr w:rsidR="00293BDE" w14:paraId="45C5BF7A" w14:textId="77777777" w:rsidTr="00293BDE">
        <w:tc>
          <w:tcPr>
            <w:tcW w:w="4535" w:type="dxa"/>
          </w:tcPr>
          <w:p w14:paraId="30CA6E74" w14:textId="77777777" w:rsidR="00293BDE" w:rsidRDefault="00000000">
            <w:pPr>
              <w:pStyle w:val="Compact"/>
            </w:pPr>
            <w:r>
              <w:t>Instrument</w:t>
            </w:r>
          </w:p>
        </w:tc>
        <w:tc>
          <w:tcPr>
            <w:tcW w:w="4536" w:type="dxa"/>
          </w:tcPr>
          <w:p w14:paraId="60FC2FE1" w14:textId="77777777" w:rsidR="00293BDE" w:rsidRDefault="00000000">
            <w:pPr>
              <w:pStyle w:val="Compact"/>
            </w:pPr>
            <w:r>
              <w:t>The Strait Stability Horizon Compact, Version 1.0 (the Compact)</w:t>
            </w:r>
          </w:p>
        </w:tc>
      </w:tr>
      <w:tr w:rsidR="00293BDE" w14:paraId="519D8B48" w14:textId="77777777" w:rsidTr="00293BDE">
        <w:tc>
          <w:tcPr>
            <w:tcW w:w="4535" w:type="dxa"/>
          </w:tcPr>
          <w:p w14:paraId="4E4F8502" w14:textId="77777777" w:rsidR="00293BDE" w:rsidRDefault="00000000">
            <w:pPr>
              <w:pStyle w:val="Compact"/>
            </w:pPr>
            <w:r>
              <w:t>Short title</w:t>
            </w:r>
          </w:p>
        </w:tc>
        <w:tc>
          <w:tcPr>
            <w:tcW w:w="4536" w:type="dxa"/>
          </w:tcPr>
          <w:p w14:paraId="5BAE87D3" w14:textId="77777777" w:rsidR="00293BDE" w:rsidRDefault="00000000">
            <w:pPr>
              <w:pStyle w:val="Compact"/>
            </w:pPr>
            <w:r>
              <w:t>TSSHC v1.0</w:t>
            </w:r>
          </w:p>
        </w:tc>
      </w:tr>
      <w:tr w:rsidR="00293BDE" w14:paraId="1CD5D227" w14:textId="77777777" w:rsidTr="00293BDE">
        <w:tc>
          <w:tcPr>
            <w:tcW w:w="4535" w:type="dxa"/>
          </w:tcPr>
          <w:p w14:paraId="23F53CFF" w14:textId="77777777" w:rsidR="00293BDE" w:rsidRDefault="00000000">
            <w:pPr>
              <w:pStyle w:val="Compact"/>
            </w:pPr>
            <w:r>
              <w:t>Status</w:t>
            </w:r>
          </w:p>
        </w:tc>
        <w:tc>
          <w:tcPr>
            <w:tcW w:w="4536" w:type="dxa"/>
          </w:tcPr>
          <w:p w14:paraId="1231D570" w14:textId="77777777" w:rsidR="00293BDE" w:rsidRDefault="00000000">
            <w:pPr>
              <w:pStyle w:val="Compact"/>
            </w:pPr>
            <w:r>
              <w:t>Final architecture text, ready for signature; every line adheres to the Immutable Present-Tense Matrix</w:t>
            </w:r>
          </w:p>
        </w:tc>
      </w:tr>
      <w:tr w:rsidR="00293BDE" w14:paraId="57EF4F9D" w14:textId="77777777" w:rsidTr="00293BDE">
        <w:tc>
          <w:tcPr>
            <w:tcW w:w="4535" w:type="dxa"/>
          </w:tcPr>
          <w:p w14:paraId="51EBD8F1" w14:textId="77777777" w:rsidR="00293BDE" w:rsidRDefault="00000000">
            <w:pPr>
              <w:pStyle w:val="Compact"/>
            </w:pPr>
            <w:r>
              <w:t>Date</w:t>
            </w:r>
          </w:p>
        </w:tc>
        <w:tc>
          <w:tcPr>
            <w:tcW w:w="4536" w:type="dxa"/>
          </w:tcPr>
          <w:p w14:paraId="5FEE66EC" w14:textId="77777777" w:rsidR="00293BDE" w:rsidRDefault="00000000">
            <w:pPr>
              <w:pStyle w:val="Compact"/>
            </w:pPr>
            <w:r>
              <w:t>August 2026</w:t>
            </w:r>
          </w:p>
        </w:tc>
      </w:tr>
      <w:tr w:rsidR="00293BDE" w14:paraId="724F6AA4" w14:textId="77777777" w:rsidTr="00293BDE">
        <w:tc>
          <w:tcPr>
            <w:tcW w:w="4535" w:type="dxa"/>
          </w:tcPr>
          <w:p w14:paraId="12CE18BF" w14:textId="77777777" w:rsidR="00293BDE" w:rsidRDefault="00000000">
            <w:pPr>
              <w:pStyle w:val="Compact"/>
            </w:pPr>
            <w:r>
              <w:t>Anchor instrument</w:t>
            </w:r>
          </w:p>
        </w:tc>
        <w:tc>
          <w:tcPr>
            <w:tcW w:w="4536" w:type="dxa"/>
          </w:tcPr>
          <w:p w14:paraId="079821A5" w14:textId="77777777" w:rsidR="00293BDE" w:rsidRDefault="00000000">
            <w:pPr>
              <w:pStyle w:val="Compact"/>
            </w:pPr>
            <w:r>
              <w:t>The Memorandum of Understanding between the United States of America and the Islamic Republic of Iran, signed 17 June 2026 (the MOU)</w:t>
            </w:r>
          </w:p>
        </w:tc>
      </w:tr>
      <w:tr w:rsidR="00293BDE" w14:paraId="60F6B83E" w14:textId="77777777" w:rsidTr="00293BDE">
        <w:tc>
          <w:tcPr>
            <w:tcW w:w="4535" w:type="dxa"/>
          </w:tcPr>
          <w:p w14:paraId="6BBAFC27" w14:textId="77777777" w:rsidR="00293BDE" w:rsidRDefault="00000000">
            <w:pPr>
              <w:pStyle w:val="Compact"/>
            </w:pPr>
            <w:r>
              <w:t>Founding Parties (the Coastal Two)</w:t>
            </w:r>
          </w:p>
        </w:tc>
        <w:tc>
          <w:tcPr>
            <w:tcW w:w="4536" w:type="dxa"/>
          </w:tcPr>
          <w:p w14:paraId="7F6857A1" w14:textId="77777777" w:rsidR="00293BDE" w:rsidRDefault="00000000">
            <w:pPr>
              <w:pStyle w:val="Compact"/>
            </w:pPr>
            <w:r>
              <w:t>The Islamic Republic of Iran and the Sultanate of Oman; entry into force upon signature by both</w:t>
            </w:r>
          </w:p>
        </w:tc>
      </w:tr>
      <w:tr w:rsidR="00293BDE" w14:paraId="53142E9F" w14:textId="77777777" w:rsidTr="00293BDE">
        <w:tc>
          <w:tcPr>
            <w:tcW w:w="4535" w:type="dxa"/>
          </w:tcPr>
          <w:p w14:paraId="74070CFE" w14:textId="77777777" w:rsidR="00293BDE" w:rsidRDefault="00000000">
            <w:pPr>
              <w:pStyle w:val="Compact"/>
            </w:pPr>
            <w:r>
              <w:t>Accession path</w:t>
            </w:r>
          </w:p>
        </w:tc>
        <w:tc>
          <w:tcPr>
            <w:tcW w:w="4536" w:type="dxa"/>
          </w:tcPr>
          <w:p w14:paraId="4D8A70BF" w14:textId="77777777" w:rsidR="00293BDE" w:rsidRDefault="00000000">
            <w:pPr>
              <w:pStyle w:val="Compact"/>
            </w:pPr>
            <w:r>
              <w:t>The United Arab Emirates, the State of Qatar, the Kingdom of Bahrain, the State of Kuwait, the Kingdom of Saudi Arabia, and the Republic of Iraq</w:t>
            </w:r>
          </w:p>
        </w:tc>
      </w:tr>
      <w:tr w:rsidR="00293BDE" w14:paraId="560BE855" w14:textId="77777777" w:rsidTr="00293BDE">
        <w:tc>
          <w:tcPr>
            <w:tcW w:w="4535" w:type="dxa"/>
          </w:tcPr>
          <w:p w14:paraId="484D5E6E" w14:textId="77777777" w:rsidR="00293BDE" w:rsidRDefault="00000000">
            <w:pPr>
              <w:pStyle w:val="Compact"/>
            </w:pPr>
            <w:r>
              <w:t>Endorsing Stakeholder</w:t>
            </w:r>
          </w:p>
        </w:tc>
        <w:tc>
          <w:tcPr>
            <w:tcW w:w="4536" w:type="dxa"/>
          </w:tcPr>
          <w:p w14:paraId="5B2C858A" w14:textId="77777777" w:rsidR="00293BDE" w:rsidRDefault="00000000">
            <w:pPr>
              <w:pStyle w:val="Compact"/>
            </w:pPr>
            <w:r>
              <w:t>The United States of America; open endorsement track for the European Union, the United Kingdom, and the French Republic</w:t>
            </w:r>
          </w:p>
        </w:tc>
      </w:tr>
      <w:tr w:rsidR="00293BDE" w14:paraId="6B423A07" w14:textId="77777777" w:rsidTr="00293BDE">
        <w:tc>
          <w:tcPr>
            <w:tcW w:w="4535" w:type="dxa"/>
          </w:tcPr>
          <w:p w14:paraId="21DCDF9F" w14:textId="77777777" w:rsidR="00293BDE" w:rsidRDefault="00000000">
            <w:pPr>
              <w:pStyle w:val="Compact"/>
            </w:pPr>
            <w:r>
              <w:t>Mediator of Record</w:t>
            </w:r>
          </w:p>
        </w:tc>
        <w:tc>
          <w:tcPr>
            <w:tcW w:w="4536" w:type="dxa"/>
          </w:tcPr>
          <w:p w14:paraId="317B88F7" w14:textId="77777777" w:rsidR="00293BDE" w:rsidRDefault="00000000">
            <w:pPr>
              <w:pStyle w:val="Compact"/>
            </w:pPr>
            <w:r>
              <w:t>The Sultanate of Oman</w:t>
            </w:r>
          </w:p>
        </w:tc>
      </w:tr>
      <w:tr w:rsidR="00293BDE" w14:paraId="68406839" w14:textId="77777777" w:rsidTr="00293BDE">
        <w:tc>
          <w:tcPr>
            <w:tcW w:w="4535" w:type="dxa"/>
          </w:tcPr>
          <w:p w14:paraId="66B917A0" w14:textId="77777777" w:rsidR="00293BDE" w:rsidRDefault="00000000">
            <w:pPr>
              <w:pStyle w:val="Compact"/>
            </w:pPr>
            <w:r>
              <w:t>Neutral Administrator</w:t>
            </w:r>
          </w:p>
        </w:tc>
        <w:tc>
          <w:tcPr>
            <w:tcW w:w="4536" w:type="dxa"/>
          </w:tcPr>
          <w:p w14:paraId="65CC4358" w14:textId="77777777" w:rsidR="00293BDE" w:rsidRDefault="00000000">
            <w:pPr>
              <w:pStyle w:val="Compact"/>
            </w:pPr>
            <w:r>
              <w:t>The Swiss Confederation</w:t>
            </w:r>
          </w:p>
        </w:tc>
      </w:tr>
      <w:tr w:rsidR="00293BDE" w14:paraId="7030DBB7" w14:textId="77777777" w:rsidTr="00293BDE">
        <w:tc>
          <w:tcPr>
            <w:tcW w:w="4535" w:type="dxa"/>
          </w:tcPr>
          <w:p w14:paraId="09EB4A12" w14:textId="77777777" w:rsidR="00293BDE" w:rsidRDefault="00000000">
            <w:pPr>
              <w:pStyle w:val="Compact"/>
            </w:pPr>
            <w:r>
              <w:t>Supporting facilitators</w:t>
            </w:r>
          </w:p>
        </w:tc>
        <w:tc>
          <w:tcPr>
            <w:tcW w:w="4536" w:type="dxa"/>
          </w:tcPr>
          <w:p w14:paraId="22855594" w14:textId="77777777" w:rsidR="00293BDE" w:rsidRDefault="00000000">
            <w:pPr>
              <w:pStyle w:val="Compact"/>
            </w:pPr>
            <w:r>
              <w:t>The State of Qatar and the Islamic Republic of Pakistan</w:t>
            </w:r>
          </w:p>
        </w:tc>
      </w:tr>
      <w:tr w:rsidR="00293BDE" w14:paraId="015BBB7F" w14:textId="77777777" w:rsidTr="00293BDE">
        <w:tc>
          <w:tcPr>
            <w:tcW w:w="4535" w:type="dxa"/>
          </w:tcPr>
          <w:p w14:paraId="1D69EA3A" w14:textId="77777777" w:rsidR="00293BDE" w:rsidRDefault="00000000">
            <w:pPr>
              <w:pStyle w:val="Compact"/>
            </w:pPr>
            <w:r>
              <w:t>Technical interface</w:t>
            </w:r>
          </w:p>
        </w:tc>
        <w:tc>
          <w:tcPr>
            <w:tcW w:w="4536" w:type="dxa"/>
          </w:tcPr>
          <w:p w14:paraId="034B7888" w14:textId="77777777" w:rsidR="00293BDE" w:rsidRDefault="00000000">
            <w:pPr>
              <w:pStyle w:val="Compact"/>
            </w:pPr>
            <w:r>
              <w:t>The IMO, the IHO, and UNMAS for the survey sequence of Article 9</w:t>
            </w:r>
          </w:p>
        </w:tc>
      </w:tr>
      <w:tr w:rsidR="00293BDE" w14:paraId="18E18262" w14:textId="77777777" w:rsidTr="00293BDE">
        <w:tc>
          <w:tcPr>
            <w:tcW w:w="4535" w:type="dxa"/>
          </w:tcPr>
          <w:p w14:paraId="3734B28F" w14:textId="77777777" w:rsidR="00293BDE" w:rsidRDefault="00000000">
            <w:pPr>
              <w:pStyle w:val="Compact"/>
            </w:pPr>
            <w:r>
              <w:t>Seat</w:t>
            </w:r>
          </w:p>
        </w:tc>
        <w:tc>
          <w:tcPr>
            <w:tcW w:w="4536" w:type="dxa"/>
          </w:tcPr>
          <w:p w14:paraId="7BB2E3FE" w14:textId="77777777" w:rsidR="00293BDE" w:rsidRDefault="00000000">
            <w:pPr>
              <w:pStyle w:val="Compact"/>
            </w:pPr>
            <w:r>
              <w:t>The Horizon Operations Center, Muscat, with the Mirror Facility of Equal Rank at Bandar Abbas</w:t>
            </w:r>
          </w:p>
        </w:tc>
      </w:tr>
      <w:tr w:rsidR="00293BDE" w14:paraId="73FB4D15" w14:textId="77777777" w:rsidTr="00293BDE">
        <w:tc>
          <w:tcPr>
            <w:tcW w:w="4535" w:type="dxa"/>
          </w:tcPr>
          <w:p w14:paraId="1E53ADDD" w14:textId="77777777" w:rsidR="00293BDE" w:rsidRDefault="00000000">
            <w:pPr>
              <w:pStyle w:val="Compact"/>
            </w:pPr>
            <w:r>
              <w:t>Depositary</w:t>
            </w:r>
          </w:p>
        </w:tc>
        <w:tc>
          <w:tcPr>
            <w:tcW w:w="4536" w:type="dxa"/>
          </w:tcPr>
          <w:p w14:paraId="0B41BCF9" w14:textId="77777777" w:rsidR="00293BDE" w:rsidRDefault="00000000">
            <w:pPr>
              <w:pStyle w:val="Compact"/>
            </w:pPr>
            <w:r>
              <w:t>The Sultanate of Oman, Ministry of Foreign Affairs, Muscat</w:t>
            </w:r>
          </w:p>
        </w:tc>
      </w:tr>
      <w:tr w:rsidR="00293BDE" w14:paraId="09319B91" w14:textId="77777777" w:rsidTr="00293BDE">
        <w:tc>
          <w:tcPr>
            <w:tcW w:w="4535" w:type="dxa"/>
          </w:tcPr>
          <w:p w14:paraId="0AC91A6A" w14:textId="77777777" w:rsidR="00293BDE" w:rsidRDefault="00000000">
            <w:pPr>
              <w:pStyle w:val="Compact"/>
            </w:pPr>
            <w:r>
              <w:t>Languages</w:t>
            </w:r>
          </w:p>
        </w:tc>
        <w:tc>
          <w:tcPr>
            <w:tcW w:w="4536" w:type="dxa"/>
          </w:tcPr>
          <w:p w14:paraId="60070AAE" w14:textId="77777777" w:rsidR="00293BDE" w:rsidRDefault="00000000">
            <w:pPr>
              <w:pStyle w:val="Compact"/>
            </w:pPr>
            <w:r>
              <w:t>Persian, Arabic, and English; the three texts carry equal authority</w:t>
            </w:r>
          </w:p>
        </w:tc>
      </w:tr>
      <w:tr w:rsidR="00293BDE" w14:paraId="666680B7" w14:textId="77777777" w:rsidTr="00293BDE">
        <w:tc>
          <w:tcPr>
            <w:tcW w:w="4535" w:type="dxa"/>
          </w:tcPr>
          <w:p w14:paraId="4F29C1CC" w14:textId="77777777" w:rsidR="00293BDE" w:rsidRDefault="00000000">
            <w:pPr>
              <w:pStyle w:val="Compact"/>
            </w:pPr>
            <w:r>
              <w:t>Continuity rule</w:t>
            </w:r>
          </w:p>
        </w:tc>
        <w:tc>
          <w:tcPr>
            <w:tcW w:w="4536" w:type="dxa"/>
          </w:tcPr>
          <w:p w14:paraId="0FFC8AD3" w14:textId="77777777" w:rsidR="00293BDE" w:rsidRDefault="00000000">
            <w:pPr>
              <w:pStyle w:val="Compact"/>
            </w:pPr>
            <w:r>
              <w:t>The Standing Continuity Guarantee (Article 4): no provision expires, lapses, or dissolves by the passage of time alone</w:t>
            </w:r>
          </w:p>
        </w:tc>
      </w:tr>
    </w:tbl>
    <w:p w14:paraId="0564D1F0" w14:textId="77777777" w:rsidR="00293BDE" w:rsidRDefault="00000000">
      <w:pPr>
        <w:pStyle w:val="BodyText"/>
      </w:pPr>
      <w:r>
        <w:rPr>
          <w:b/>
          <w:bCs/>
        </w:rPr>
        <w:t>Drafting discipline note.</w:t>
      </w:r>
      <w:r>
        <w:t xml:space="preserve"> Every provision of this Compact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no floating background imagery. The Standing Continuity Guarantee of Article 4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p w14:paraId="07D6956B" w14:textId="77777777" w:rsidR="00293BDE" w:rsidRDefault="00000000">
      <w:pPr>
        <w:pStyle w:val="BodyText"/>
      </w:pPr>
      <w:r>
        <w:rPr>
          <w:b/>
          <w:bCs/>
        </w:rPr>
        <w:t>Instrument map.</w:t>
      </w:r>
      <w:r>
        <w:t xml:space="preserve"> This Compact contains a front section (Document Control, the Horizon Declaration of Principles, the Preamble, the Executive Summary, the Situation Assessment, and the Reader’s Guide), a main body of thirty-four Articles organized in seven Parts, thirteen operative Annexes (Annex A through Annex M), and a Political Wrapper containing the Muscat Horizon Declaration and the Joint Signature Addresses. The Annexes form an integral part of this instrument and bind the Parties to the same extent as the Articles. A reference to an Article includes the Annexes that the Article designates as operative for that Article. The Political Wrapper binds the Parties politically and carries the same continuity protection as the Articles.</w:t>
      </w:r>
    </w:p>
    <w:bookmarkStart w:id="4" w:name="document-control"/>
    <w:p w14:paraId="4E2EEA4F" w14:textId="694977A7" w:rsidR="00293BDE" w:rsidRDefault="00622008">
      <w:r>
        <w:rPr>
          <w:noProof/>
        </w:rPr>
      </w:r>
      <w:r>
        <w:pict w14:anchorId="613D0AE7">
          <v:rect id="Rectangle 2" o:spid="_x0000_s1053"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
    </w:p>
    <w:p w14:paraId="78DFBAA1" w14:textId="77777777" w:rsidR="00293BDE" w:rsidRDefault="00000000">
      <w:pPr>
        <w:pStyle w:val="Heading1"/>
      </w:pPr>
      <w:bookmarkStart w:id="5" w:name="__RefHeading___Toc10788_3324765499"/>
      <w:bookmarkEnd w:id="5"/>
      <w:r>
        <w:t>The Horizon Declaration of Principles</w:t>
      </w:r>
    </w:p>
    <w:p w14:paraId="3A079BD7" w14:textId="77777777" w:rsidR="00293BDE" w:rsidRDefault="00000000">
      <w:pPr>
        <w:pStyle w:val="FirstParagraph"/>
      </w:pPr>
      <w:r>
        <w:t>Before the Articles, the Parties state what this Compact protects, in one place and in plain terms. The sixteen lines below constitute the Inviolable Principles Register of Annex G in summary form. Every organ, every officer, and every reader of this Compact holds this page as the measure of the system: a measure that touches one of these lines proceeds only in the exact form the corresponding safeguard permits, and a measure that crosses one of these lines fails.</w:t>
      </w:r>
    </w:p>
    <w:tbl>
      <w:tblPr>
        <w:tblStyle w:val="Table"/>
        <w:tblW w:w="5000" w:type="pct"/>
        <w:tblInd w:w="0" w:type="dxa"/>
        <w:tblLayout w:type="fixed"/>
        <w:tblLook w:val="0020" w:firstRow="1" w:lastRow="0" w:firstColumn="0" w:lastColumn="0" w:noHBand="0" w:noVBand="0"/>
      </w:tblPr>
      <w:tblGrid>
        <w:gridCol w:w="4643"/>
        <w:gridCol w:w="4645"/>
      </w:tblGrid>
      <w:tr w:rsidR="00293BDE" w14:paraId="7E7246FE"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4535" w:type="dxa"/>
            <w:tcBorders>
              <w:bottom w:val="single" w:sz="6" w:space="0" w:color="000000"/>
            </w:tcBorders>
          </w:tcPr>
          <w:p w14:paraId="50F24991" w14:textId="77777777" w:rsidR="00293BDE" w:rsidRDefault="00000000">
            <w:pPr>
              <w:pStyle w:val="Compact"/>
            </w:pPr>
            <w:r>
              <w:t>Ref</w:t>
            </w:r>
          </w:p>
        </w:tc>
        <w:tc>
          <w:tcPr>
            <w:tcW w:w="4536" w:type="dxa"/>
            <w:tcBorders>
              <w:bottom w:val="single" w:sz="6" w:space="0" w:color="000000"/>
            </w:tcBorders>
          </w:tcPr>
          <w:p w14:paraId="79FD1DEF" w14:textId="77777777" w:rsidR="00293BDE" w:rsidRDefault="00000000">
            <w:pPr>
              <w:pStyle w:val="Compact"/>
            </w:pPr>
            <w:r>
              <w:t>Principle</w:t>
            </w:r>
          </w:p>
        </w:tc>
      </w:tr>
      <w:tr w:rsidR="00293BDE" w14:paraId="55152BFF" w14:textId="77777777" w:rsidTr="00293BDE">
        <w:tc>
          <w:tcPr>
            <w:tcW w:w="4535" w:type="dxa"/>
          </w:tcPr>
          <w:p w14:paraId="011A7125" w14:textId="77777777" w:rsidR="00293BDE" w:rsidRDefault="00000000">
            <w:pPr>
              <w:pStyle w:val="Compact"/>
            </w:pPr>
            <w:r>
              <w:t>IPR-1</w:t>
            </w:r>
          </w:p>
        </w:tc>
        <w:tc>
          <w:tcPr>
            <w:tcW w:w="4536" w:type="dxa"/>
          </w:tcPr>
          <w:p w14:paraId="6E733716" w14:textId="77777777" w:rsidR="00293BDE" w:rsidRDefault="00000000">
            <w:pPr>
              <w:pStyle w:val="Compact"/>
            </w:pPr>
            <w:r>
              <w:t>Passage carries no charge, in any corridor, for any vessel, ever.</w:t>
            </w:r>
          </w:p>
        </w:tc>
      </w:tr>
      <w:tr w:rsidR="00293BDE" w14:paraId="4E92A922" w14:textId="77777777" w:rsidTr="00293BDE">
        <w:tc>
          <w:tcPr>
            <w:tcW w:w="4535" w:type="dxa"/>
          </w:tcPr>
          <w:p w14:paraId="2845B552" w14:textId="77777777" w:rsidR="00293BDE" w:rsidRDefault="00000000">
            <w:pPr>
              <w:pStyle w:val="Compact"/>
            </w:pPr>
            <w:r>
              <w:t>IPR-2</w:t>
            </w:r>
          </w:p>
        </w:tc>
        <w:tc>
          <w:tcPr>
            <w:tcW w:w="4536" w:type="dxa"/>
          </w:tcPr>
          <w:p w14:paraId="1549E2E8" w14:textId="77777777" w:rsidR="00293BDE" w:rsidRDefault="00000000">
            <w:pPr>
              <w:pStyle w:val="Compact"/>
            </w:pPr>
            <w:r>
              <w:t>The Southern Outbound Corridor transits unconditionally, without any notification layer.</w:t>
            </w:r>
          </w:p>
        </w:tc>
      </w:tr>
      <w:tr w:rsidR="00293BDE" w14:paraId="20D163BB" w14:textId="77777777" w:rsidTr="00293BDE">
        <w:tc>
          <w:tcPr>
            <w:tcW w:w="4535" w:type="dxa"/>
          </w:tcPr>
          <w:p w14:paraId="6B6F68CC" w14:textId="77777777" w:rsidR="00293BDE" w:rsidRDefault="00000000">
            <w:pPr>
              <w:pStyle w:val="Compact"/>
            </w:pPr>
            <w:r>
              <w:t>IPR-3</w:t>
            </w:r>
          </w:p>
        </w:tc>
        <w:tc>
          <w:tcPr>
            <w:tcW w:w="4536" w:type="dxa"/>
          </w:tcPr>
          <w:p w14:paraId="2C144615" w14:textId="77777777" w:rsidR="00293BDE" w:rsidRDefault="00000000">
            <w:pPr>
              <w:pStyle w:val="Compact"/>
            </w:pPr>
            <w:r>
              <w:t>The northern littoral holds a recognized, formal, continuous service role in the inbound corridor.</w:t>
            </w:r>
          </w:p>
        </w:tc>
      </w:tr>
      <w:tr w:rsidR="00293BDE" w14:paraId="44F16496" w14:textId="77777777" w:rsidTr="00293BDE">
        <w:tc>
          <w:tcPr>
            <w:tcW w:w="4535" w:type="dxa"/>
          </w:tcPr>
          <w:p w14:paraId="1BEBB715" w14:textId="77777777" w:rsidR="00293BDE" w:rsidRDefault="00000000">
            <w:pPr>
              <w:pStyle w:val="Compact"/>
            </w:pPr>
            <w:r>
              <w:t>IPR-4</w:t>
            </w:r>
          </w:p>
        </w:tc>
        <w:tc>
          <w:tcPr>
            <w:tcW w:w="4536" w:type="dxa"/>
          </w:tcPr>
          <w:p w14:paraId="3CDB524F" w14:textId="77777777" w:rsidR="00293BDE" w:rsidRDefault="00000000">
            <w:pPr>
              <w:pStyle w:val="Compact"/>
            </w:pPr>
            <w:r>
              <w:t>No permission regime operates anywhere in this Compact.</w:t>
            </w:r>
          </w:p>
        </w:tc>
      </w:tr>
      <w:tr w:rsidR="00293BDE" w14:paraId="0806A4E3" w14:textId="77777777" w:rsidTr="00293BDE">
        <w:tc>
          <w:tcPr>
            <w:tcW w:w="4535" w:type="dxa"/>
          </w:tcPr>
          <w:p w14:paraId="7BAC97B2" w14:textId="77777777" w:rsidR="00293BDE" w:rsidRDefault="00000000">
            <w:pPr>
              <w:pStyle w:val="Compact"/>
            </w:pPr>
            <w:r>
              <w:t>IPR-5</w:t>
            </w:r>
          </w:p>
        </w:tc>
        <w:tc>
          <w:tcPr>
            <w:tcW w:w="4536" w:type="dxa"/>
          </w:tcPr>
          <w:p w14:paraId="27447343" w14:textId="77777777" w:rsidR="00293BDE" w:rsidRDefault="00000000">
            <w:pPr>
              <w:pStyle w:val="Compact"/>
            </w:pPr>
            <w:r>
              <w:t>No boarding, diversion, seizure, or inspection occurs inside a corridor.</w:t>
            </w:r>
          </w:p>
        </w:tc>
      </w:tr>
      <w:tr w:rsidR="00293BDE" w14:paraId="5DEA3278" w14:textId="77777777" w:rsidTr="00293BDE">
        <w:tc>
          <w:tcPr>
            <w:tcW w:w="4535" w:type="dxa"/>
          </w:tcPr>
          <w:p w14:paraId="01F06040" w14:textId="77777777" w:rsidR="00293BDE" w:rsidRDefault="00000000">
            <w:pPr>
              <w:pStyle w:val="Compact"/>
            </w:pPr>
            <w:r>
              <w:t>IPR-6</w:t>
            </w:r>
          </w:p>
        </w:tc>
        <w:tc>
          <w:tcPr>
            <w:tcW w:w="4536" w:type="dxa"/>
          </w:tcPr>
          <w:p w14:paraId="7DA92B2C" w14:textId="77777777" w:rsidR="00293BDE" w:rsidRDefault="00000000">
            <w:pPr>
              <w:pStyle w:val="Compact"/>
            </w:pPr>
            <w:r>
              <w:t>The Compact’s operational bodies remain civilian, always.</w:t>
            </w:r>
          </w:p>
        </w:tc>
      </w:tr>
      <w:tr w:rsidR="00293BDE" w14:paraId="405D793D" w14:textId="77777777" w:rsidTr="00293BDE">
        <w:tc>
          <w:tcPr>
            <w:tcW w:w="4535" w:type="dxa"/>
          </w:tcPr>
          <w:p w14:paraId="7C9EFD55" w14:textId="77777777" w:rsidR="00293BDE" w:rsidRDefault="00000000">
            <w:pPr>
              <w:pStyle w:val="Compact"/>
            </w:pPr>
            <w:r>
              <w:t>IPR-7</w:t>
            </w:r>
          </w:p>
        </w:tc>
        <w:tc>
          <w:tcPr>
            <w:tcW w:w="4536" w:type="dxa"/>
          </w:tcPr>
          <w:p w14:paraId="7A699A9D" w14:textId="77777777" w:rsidR="00293BDE" w:rsidRDefault="00000000">
            <w:pPr>
              <w:pStyle w:val="Compact"/>
            </w:pPr>
            <w:r>
              <w:t>No shipper or operator pays any Party directly for anything.</w:t>
            </w:r>
          </w:p>
        </w:tc>
      </w:tr>
      <w:tr w:rsidR="00293BDE" w14:paraId="5645ABAE" w14:textId="77777777" w:rsidTr="00293BDE">
        <w:tc>
          <w:tcPr>
            <w:tcW w:w="4535" w:type="dxa"/>
          </w:tcPr>
          <w:p w14:paraId="5D00EAE8" w14:textId="77777777" w:rsidR="00293BDE" w:rsidRDefault="00000000">
            <w:pPr>
              <w:pStyle w:val="Compact"/>
            </w:pPr>
            <w:r>
              <w:t>IPR-8</w:t>
            </w:r>
          </w:p>
        </w:tc>
        <w:tc>
          <w:tcPr>
            <w:tcW w:w="4536" w:type="dxa"/>
          </w:tcPr>
          <w:p w14:paraId="0740A6A5" w14:textId="77777777" w:rsidR="00293BDE" w:rsidRDefault="00000000">
            <w:pPr>
              <w:pStyle w:val="Compact"/>
            </w:pPr>
            <w:r>
              <w:t>Each Party’s sovereignty over its own waters stands intact.</w:t>
            </w:r>
          </w:p>
        </w:tc>
      </w:tr>
      <w:tr w:rsidR="00293BDE" w14:paraId="488CB21C" w14:textId="77777777" w:rsidTr="00293BDE">
        <w:tc>
          <w:tcPr>
            <w:tcW w:w="4535" w:type="dxa"/>
          </w:tcPr>
          <w:p w14:paraId="49D824B3" w14:textId="77777777" w:rsidR="00293BDE" w:rsidRDefault="00000000">
            <w:pPr>
              <w:pStyle w:val="Compact"/>
            </w:pPr>
            <w:r>
              <w:t>IPR-9</w:t>
            </w:r>
          </w:p>
        </w:tc>
        <w:tc>
          <w:tcPr>
            <w:tcW w:w="4536" w:type="dxa"/>
          </w:tcPr>
          <w:p w14:paraId="0404D5DA" w14:textId="77777777" w:rsidR="00293BDE" w:rsidRDefault="00000000">
            <w:pPr>
              <w:pStyle w:val="Compact"/>
            </w:pPr>
            <w:r>
              <w:t>No commitment expires, lapses, or dilutes by time, silence, or routine.</w:t>
            </w:r>
          </w:p>
        </w:tc>
      </w:tr>
      <w:tr w:rsidR="00293BDE" w14:paraId="6C7AA542" w14:textId="77777777" w:rsidTr="00293BDE">
        <w:tc>
          <w:tcPr>
            <w:tcW w:w="4535" w:type="dxa"/>
          </w:tcPr>
          <w:p w14:paraId="5899B290" w14:textId="77777777" w:rsidR="00293BDE" w:rsidRDefault="00000000">
            <w:pPr>
              <w:pStyle w:val="Compact"/>
            </w:pPr>
            <w:r>
              <w:t>IPR-10</w:t>
            </w:r>
          </w:p>
        </w:tc>
        <w:tc>
          <w:tcPr>
            <w:tcW w:w="4536" w:type="dxa"/>
          </w:tcPr>
          <w:p w14:paraId="1B6428B7" w14:textId="77777777" w:rsidR="00293BDE" w:rsidRDefault="00000000">
            <w:pPr>
              <w:pStyle w:val="Compact"/>
            </w:pPr>
            <w:r>
              <w:t>Humanitarian traffic moves in every flow state, dispute, pause, and transition.</w:t>
            </w:r>
          </w:p>
        </w:tc>
      </w:tr>
      <w:tr w:rsidR="00293BDE" w14:paraId="3C0363D4" w14:textId="77777777" w:rsidTr="00293BDE">
        <w:tc>
          <w:tcPr>
            <w:tcW w:w="4535" w:type="dxa"/>
          </w:tcPr>
          <w:p w14:paraId="3822B855" w14:textId="77777777" w:rsidR="00293BDE" w:rsidRDefault="00000000">
            <w:pPr>
              <w:pStyle w:val="Compact"/>
            </w:pPr>
            <w:r>
              <w:t>IPR-11</w:t>
            </w:r>
          </w:p>
        </w:tc>
        <w:tc>
          <w:tcPr>
            <w:tcW w:w="4536" w:type="dxa"/>
          </w:tcPr>
          <w:p w14:paraId="27066953" w14:textId="77777777" w:rsidR="00293BDE" w:rsidRDefault="00000000">
            <w:pPr>
              <w:pStyle w:val="Compact"/>
            </w:pPr>
            <w:r>
              <w:t>No finding of fact rests on a single input.</w:t>
            </w:r>
          </w:p>
        </w:tc>
      </w:tr>
      <w:tr w:rsidR="00293BDE" w14:paraId="28E4285A" w14:textId="77777777" w:rsidTr="00293BDE">
        <w:tc>
          <w:tcPr>
            <w:tcW w:w="4535" w:type="dxa"/>
          </w:tcPr>
          <w:p w14:paraId="69198B36" w14:textId="77777777" w:rsidR="00293BDE" w:rsidRDefault="00000000">
            <w:pPr>
              <w:pStyle w:val="Compact"/>
            </w:pPr>
            <w:r>
              <w:t>IPR-12</w:t>
            </w:r>
          </w:p>
        </w:tc>
        <w:tc>
          <w:tcPr>
            <w:tcW w:w="4536" w:type="dxa"/>
          </w:tcPr>
          <w:p w14:paraId="13FE9699" w14:textId="77777777" w:rsidR="00293BDE" w:rsidRDefault="00000000">
            <w:pPr>
              <w:pStyle w:val="Compact"/>
            </w:pPr>
            <w:r>
              <w:t>Compact assets, data, and channels never support kinetic action by any actor.</w:t>
            </w:r>
          </w:p>
        </w:tc>
      </w:tr>
      <w:tr w:rsidR="00293BDE" w14:paraId="41396809" w14:textId="77777777" w:rsidTr="00293BDE">
        <w:tc>
          <w:tcPr>
            <w:tcW w:w="4535" w:type="dxa"/>
          </w:tcPr>
          <w:p w14:paraId="53ECC415" w14:textId="77777777" w:rsidR="00293BDE" w:rsidRDefault="00000000">
            <w:pPr>
              <w:pStyle w:val="Compact"/>
            </w:pPr>
            <w:r>
              <w:t>IPR-13</w:t>
            </w:r>
          </w:p>
        </w:tc>
        <w:tc>
          <w:tcPr>
            <w:tcW w:w="4536" w:type="dxa"/>
          </w:tcPr>
          <w:p w14:paraId="3D2B4D18" w14:textId="77777777" w:rsidR="00293BDE" w:rsidRDefault="00000000">
            <w:pPr>
              <w:pStyle w:val="Compact"/>
            </w:pPr>
            <w:r>
              <w:t>No single coastal state governs the Strait alone.</w:t>
            </w:r>
          </w:p>
        </w:tc>
      </w:tr>
      <w:tr w:rsidR="00293BDE" w14:paraId="382E53DD" w14:textId="77777777" w:rsidTr="00293BDE">
        <w:tc>
          <w:tcPr>
            <w:tcW w:w="4535" w:type="dxa"/>
          </w:tcPr>
          <w:p w14:paraId="525904B3" w14:textId="77777777" w:rsidR="00293BDE" w:rsidRDefault="00000000">
            <w:pPr>
              <w:pStyle w:val="Compact"/>
            </w:pPr>
            <w:r>
              <w:t>IPR-14</w:t>
            </w:r>
          </w:p>
        </w:tc>
        <w:tc>
          <w:tcPr>
            <w:tcW w:w="4536" w:type="dxa"/>
          </w:tcPr>
          <w:p w14:paraId="3C16224A" w14:textId="77777777" w:rsidR="00293BDE" w:rsidRDefault="00000000">
            <w:pPr>
              <w:pStyle w:val="Compact"/>
            </w:pPr>
            <w:r>
              <w:t>No external state or body commands any element of this Compact.</w:t>
            </w:r>
          </w:p>
        </w:tc>
      </w:tr>
      <w:tr w:rsidR="00293BDE" w14:paraId="6E4E71F3" w14:textId="77777777" w:rsidTr="00293BDE">
        <w:tc>
          <w:tcPr>
            <w:tcW w:w="4535" w:type="dxa"/>
          </w:tcPr>
          <w:p w14:paraId="64541D19" w14:textId="77777777" w:rsidR="00293BDE" w:rsidRDefault="00000000">
            <w:pPr>
              <w:pStyle w:val="Compact"/>
            </w:pPr>
            <w:r>
              <w:t>IPR-15</w:t>
            </w:r>
          </w:p>
        </w:tc>
        <w:tc>
          <w:tcPr>
            <w:tcW w:w="4536" w:type="dxa"/>
          </w:tcPr>
          <w:p w14:paraId="09ED43CB" w14:textId="77777777" w:rsidR="00293BDE" w:rsidRDefault="00000000">
            <w:pPr>
              <w:pStyle w:val="Compact"/>
            </w:pPr>
            <w:r>
              <w:t>No military vessel operates inside a corridor except under the transit and de-confliction geometry of Article 23.</w:t>
            </w:r>
          </w:p>
        </w:tc>
      </w:tr>
      <w:tr w:rsidR="00293BDE" w14:paraId="2B121707" w14:textId="77777777" w:rsidTr="00293BDE">
        <w:tc>
          <w:tcPr>
            <w:tcW w:w="4535" w:type="dxa"/>
          </w:tcPr>
          <w:p w14:paraId="527661C0" w14:textId="77777777" w:rsidR="00293BDE" w:rsidRDefault="00000000">
            <w:pPr>
              <w:pStyle w:val="Compact"/>
            </w:pPr>
            <w:r>
              <w:t>IPR-16</w:t>
            </w:r>
          </w:p>
        </w:tc>
        <w:tc>
          <w:tcPr>
            <w:tcW w:w="4536" w:type="dxa"/>
          </w:tcPr>
          <w:p w14:paraId="2290E0F0" w14:textId="77777777" w:rsidR="00293BDE" w:rsidRDefault="00000000">
            <w:pPr>
              <w:pStyle w:val="Compact"/>
            </w:pPr>
            <w:r>
              <w:t>Corridor activation and the termination of all impediments to commercial traffic synchronize as one indivisible event.</w:t>
            </w:r>
          </w:p>
        </w:tc>
      </w:tr>
    </w:tbl>
    <w:p w14:paraId="700A3817" w14:textId="77777777" w:rsidR="00293BDE" w:rsidRDefault="00000000">
      <w:pPr>
        <w:pStyle w:val="BodyText"/>
      </w:pPr>
      <w:r>
        <w:t>The architecture holds every line simultaneously, at all times, without exception, and the Standing Continuity Guarantee holds this Declaration as permanent as the Compact itself. Annex G carries the full operative text of each line, the Perimeter Test that applies each line to proposed measures, and the consultation procedure that activates whenever a proposed measure approaches a line.</w:t>
      </w:r>
    </w:p>
    <w:bookmarkStart w:id="6" w:name="the-horizon-declaration-of-principles"/>
    <w:p w14:paraId="5316AE4F" w14:textId="3C37EAEF" w:rsidR="00293BDE" w:rsidRDefault="00622008">
      <w:r>
        <w:rPr>
          <w:noProof/>
        </w:rPr>
      </w:r>
      <w:r>
        <w:pict w14:anchorId="77EAE1C6">
          <v:rect id="Rectangle 3" o:spid="_x0000_s1052"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6"/>
    </w:p>
    <w:p w14:paraId="2829F287" w14:textId="77777777" w:rsidR="00293BDE" w:rsidRDefault="00000000">
      <w:pPr>
        <w:pStyle w:val="Heading1"/>
      </w:pPr>
      <w:bookmarkStart w:id="7" w:name="__RefHeading___Toc10790_3324765499"/>
      <w:bookmarkEnd w:id="7"/>
      <w:r>
        <w:t>Preamble: The Moment of August 2026</w:t>
      </w:r>
    </w:p>
    <w:p w14:paraId="6C49F91C" w14:textId="77777777" w:rsidR="00293BDE" w:rsidRDefault="00000000">
      <w:pPr>
        <w:pStyle w:val="FirstParagraph"/>
      </w:pPr>
      <w:r>
        <w:t>The Parties meet at a precise and rare moment. The Memorandum of Understanding of 17 June 2026 ended the war and committed the Islamic Republic of Iran and the United States of America to a sixty-day window of free transit and to a dialogue, hosted by the Sultanate of Oman, on the future administration of the Strait of Hormuz. That dialogue has produced its first harvest: on 5 August 2026 the coastal states announced agreement on the geographical coordinates of a new transit route and confirmed that their joint statement stands in final drafting. The technical shape of the corridor system exists. The governance mechanism does not.</w:t>
      </w:r>
    </w:p>
    <w:p w14:paraId="6CE69FBB" w14:textId="77777777" w:rsidR="00293BDE" w:rsidRDefault="00000000">
      <w:pPr>
        <w:pStyle w:val="BodyText"/>
      </w:pPr>
      <w:r>
        <w:t>The Parties recognize the four gaps that remain open in the current negotiation: the allocation of security functions, the structure of service charges and revenue, the legal trigger and sequence for reopening, and multilateral acceptance. This Compact closes all four gaps in a single, integrated, signable instrument.</w:t>
      </w:r>
    </w:p>
    <w:p w14:paraId="668AACD0" w14:textId="77777777" w:rsidR="00293BDE" w:rsidRDefault="00000000">
      <w:pPr>
        <w:pStyle w:val="BodyText"/>
      </w:pPr>
      <w:r>
        <w:t>The Parties build on foundations already in place. The Iran-Oman corridor understanding supplies the geometry. The MOU supplies the political mandate and the sixty-day transit window. The regional communiqué of 12 July 2026 supplies the non-endangerment standard and the facilitator roles of Oman and Qatar. The monitoring protocol of the neutral guarantors supplies the verification channels. This Compact synchronizes these instruments into one final architecture.</w:t>
      </w:r>
    </w:p>
    <w:p w14:paraId="71148658" w14:textId="77777777" w:rsidR="00293BDE" w:rsidRDefault="00000000">
      <w:pPr>
        <w:pStyle w:val="BodyText"/>
      </w:pPr>
      <w:r>
        <w:t>The Parties acknowledge the position of the United States of America that no single state controls the Strait, that passage carries no tolls, and that the governance mechanism operates under multilateral oversight with published coordinates. The Parties acknowledge the position of the Islamic Republic of Iran that its service role in the inbound corridor stands recognized, that its service charges flow through channels insulated from interruption, and that its sovereignty and dignity remain intact. The Parties acknowledge the position of the Sultanate of Oman that its outbound service role, its neutral coordination function, and its hosting of the shared monitoring picture stand confirmed. The Parties acknowledge the positions of the Gulf Cooperation Council states, the European maritime community, and the international insurance industry that the system operates transparently, predictably, and safely. This Compact satisfies every one of these positions simultaneously, because the architecture assigns functions rather than sovereignty, charges for services rather than passage, and lodges authority in a shared civilian institution rather than in any single flag.</w:t>
      </w:r>
    </w:p>
    <w:p w14:paraId="3B72D58E" w14:textId="77777777" w:rsidR="00293BDE" w:rsidRDefault="00000000">
      <w:pPr>
        <w:pStyle w:val="BodyText"/>
      </w:pPr>
      <w:r>
        <w:t>The Parties affirm the lessons of the months since February 2026. Closure of the Strait serves no state’s interest. Blockade serves no state’s interest. Escalation cycles cost every state more than they return. Predictable, jointly verified, cost-effective governance returns more to every participant than any leverage extracted from uncertainty. The Parties therefore design this Compact to be simpler than the crisis it replaces, cheaper to operate than the forces that guarded the crisis, and more durable than the politics of any single season.</w:t>
      </w:r>
    </w:p>
    <w:p w14:paraId="3F777E87" w14:textId="77777777" w:rsidR="00293BDE" w:rsidRDefault="00000000">
      <w:pPr>
        <w:pStyle w:val="BodyText"/>
      </w:pPr>
      <w:r>
        <w:t>The Parties affirm that this Compact contains no attribution of responsibility for past events, references no specific incident as a trigger, and modifies no sovereign position on any question beyond its functional scope. The Parties frame this instrument as a forward-looking contribution to regional stability, grounded in technical maritime cooperation and the shared interest of all states in safe, open, and affordable navigation.</w:t>
      </w:r>
    </w:p>
    <w:bookmarkStart w:id="8" w:name="preamble-the-moment-of-august-2026"/>
    <w:p w14:paraId="663DE7FE" w14:textId="129C7CAB" w:rsidR="00293BDE" w:rsidRDefault="00622008">
      <w:r>
        <w:rPr>
          <w:noProof/>
        </w:rPr>
      </w:r>
      <w:r>
        <w:pict w14:anchorId="69D837DD">
          <v:rect id="Rectangle 4" o:spid="_x0000_s1051"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8"/>
    </w:p>
    <w:p w14:paraId="6FF9EB24" w14:textId="77777777" w:rsidR="00293BDE" w:rsidRDefault="00000000">
      <w:pPr>
        <w:pStyle w:val="Heading1"/>
      </w:pPr>
      <w:bookmarkStart w:id="9" w:name="__RefHeading___Toc10792_3324765499"/>
      <w:bookmarkEnd w:id="9"/>
      <w:r>
        <w:t>Executive Summary: The Compact in Ten Minutes</w:t>
      </w:r>
    </w:p>
    <w:p w14:paraId="61BEA52F" w14:textId="77777777" w:rsidR="00293BDE" w:rsidRDefault="00000000">
      <w:pPr>
        <w:pStyle w:val="FirstParagraph"/>
      </w:pPr>
      <w:r>
        <w:rPr>
          <w:b/>
          <w:bCs/>
        </w:rPr>
        <w:t>The problem this Compact solves.</w:t>
      </w:r>
      <w:r>
        <w:t xml:space="preserve"> Since February 2026, the Strait of Hormuz has lived through war, dual blockade, wartime routing, mine hazards, and a ceasefire architecture that twice collapsed. The MOU of 17 June 2026 created the political opening; the Iran-Oman corridor understanding of early August 2026 created the technical opening. Four gaps keep the opening from closing into a system: security functions, fees, activation mechanics, and multilateral acceptance. Every day the gaps stay open, the market prices the risk, the escorts burn money, and the region holds its breath.</w:t>
      </w:r>
    </w:p>
    <w:p w14:paraId="69D3E57F" w14:textId="77777777" w:rsidR="00293BDE" w:rsidRDefault="00000000">
      <w:pPr>
        <w:pStyle w:val="BodyText"/>
      </w:pPr>
      <w:r>
        <w:rPr>
          <w:b/>
          <w:bCs/>
        </w:rPr>
        <w:t>The solution in one sentence.</w:t>
      </w:r>
      <w:r>
        <w:t xml:space="preserve"> The Compact converts the contested question of who controls the Strait into a settled schedule of who performs which verified service in which corridor, inside a three-corridor system that every party monitors, a neutral fund administers, and no party commands.</w:t>
      </w:r>
    </w:p>
    <w:p w14:paraId="011828C9" w14:textId="77777777" w:rsidR="00293BDE" w:rsidRDefault="00000000">
      <w:pPr>
        <w:pStyle w:val="BodyText"/>
      </w:pPr>
      <w:r>
        <w:rPr>
          <w:b/>
          <w:bCs/>
        </w:rPr>
        <w:t>The corridor system.</w:t>
      </w:r>
      <w:r>
        <w:t xml:space="preserve"> Three corridors structure the water: the Northern Inbound Corridor, where the Islamic Republic of Iran performs the service functions for Gulf-bound traffic; the Southern Outbound Corridor, where the Sultanate of Oman performs the service functions for outbound traffic and where passage is unconditional with no notification layer; and the Central Buffer Corridor, jointly administered, reserved for separation, emergency diversion, rescue routing, and naval de-confliction. The geometry already agreed between the coastal states supplies the coordinates; the Compact supplies everything else.</w:t>
      </w:r>
    </w:p>
    <w:p w14:paraId="16E14CDC" w14:textId="77777777" w:rsidR="00293BDE" w:rsidRDefault="00000000">
      <w:pPr>
        <w:pStyle w:val="BodyText"/>
      </w:pPr>
      <w:r>
        <w:rPr>
          <w:b/>
          <w:bCs/>
        </w:rPr>
        <w:t>The settlement of the toll question.</w:t>
      </w:r>
      <w:r>
        <w:t xml:space="preserve"> Passage is free, always, for every vessel, under every flag (the Open Passage Rule, IPR-1). Services carry charges: traffic management, pilotage on request, tug assistance on request, environmental monitoring, emergency-response readiness, survey amortization, and data services, all from a closed Verified Services Catalog, all verified before invoicing, all invoiced by the neutral Strait Services Fund and never by any state, all at cost-based published rates. Iran earns inbound revenue; Oman earns outbound revenue; the market gets transparency; the American position on tolls holds intact; the Iranian position on service revenue holds intact. Architecture, not concession, reconciles the two.</w:t>
      </w:r>
    </w:p>
    <w:p w14:paraId="5C4E6358" w14:textId="77777777" w:rsidR="00293BDE" w:rsidRDefault="00000000">
      <w:pPr>
        <w:pStyle w:val="BodyText"/>
      </w:pPr>
      <w:r>
        <w:rPr>
          <w:b/>
          <w:bCs/>
        </w:rPr>
        <w:t>The security settlement.</w:t>
      </w:r>
      <w:r>
        <w:t xml:space="preserve"> The framework excludes interdiction as a function: no boarding, diversion, seizure, or inspection occurs inside any corridor, ever, by anyone (the Non-Interdiction Protocol, IPR-5). Consequential operational actions require two concurrences, never one (the Dual-Concurrence Rule). Military movement follows published standoff geometry, crossing gates, notification windows, and a continuously tested hotline. Verification rests on the Human Anchor Method: sensors inform, people verify, and no finding of fact rests on a single input (IPR-11).</w:t>
      </w:r>
    </w:p>
    <w:p w14:paraId="464620FD" w14:textId="77777777" w:rsidR="00293BDE" w:rsidRDefault="00000000">
      <w:pPr>
        <w:pStyle w:val="BodyText"/>
      </w:pPr>
      <w:r>
        <w:rPr>
          <w:b/>
          <w:bCs/>
        </w:rPr>
        <w:t>The compliance settlement.</w:t>
      </w:r>
      <w:r>
        <w:t xml:space="preserve"> The Compact replaces snapback with a graduated, reversible, proportionate engine: three categories of events, a published point schedule, a Graduated Pause Ladder that pauses discretionary benefits in defined sequence and never touches passage, humanitarian flows, safety, or verification, and an automatic Restoration Pathway that returns any party to full standing on verified compliance without admission of fault. The system breathes; it never collapses by its own hand.</w:t>
      </w:r>
    </w:p>
    <w:p w14:paraId="0B6C6F5E" w14:textId="77777777" w:rsidR="00293BDE" w:rsidRDefault="00000000">
      <w:pPr>
        <w:pStyle w:val="BodyText"/>
      </w:pPr>
      <w:r>
        <w:rPr>
          <w:b/>
          <w:bCs/>
        </w:rPr>
        <w:t>The activation plan.</w:t>
      </w:r>
      <w:r>
        <w:t xml:space="preserve"> Ninety to one hundred twenty days from signature to Full Activation: monitoring on at once; Buffer, Outbound, then Inbound corridors activated sequentially behind survey certificates; impediments to commercial traffic terminating in the same indivisible event as corridor activation (IPR-16); a five-domain Activation Review; then IMO registration of final coordinates, the standard rate card, and the Joint Openness Declaration.</w:t>
      </w:r>
    </w:p>
    <w:p w14:paraId="59F91A60" w14:textId="77777777" w:rsidR="00293BDE" w:rsidRDefault="00000000">
      <w:pPr>
        <w:pStyle w:val="BodyText"/>
      </w:pPr>
      <w:r>
        <w:rPr>
          <w:b/>
          <w:bCs/>
        </w:rPr>
        <w:t>The institutional settlement.</w:t>
      </w:r>
      <w:r>
        <w:t xml:space="preserve"> A small, cheap, civilian Horizon Maritime Authority seats in Muscat with a Mirror Facility of Equal Rank at Bandar Abbas, staffs on parity, and spends less in a year than a single week of crisis-era naval deployment. Oman mediates and administers the escrow; Switzerland administers the clearing and the audit; Qatar and Pakistan facilitate; the GCC states hold observer seats with a fast accession track to full seats; the United States endorses with a standing observer seat and naval liaison; Europe and the IMO observe; insurers and shipowners advise through the Stakeholder Panel.</w:t>
      </w:r>
    </w:p>
    <w:p w14:paraId="4475BBAD" w14:textId="77777777" w:rsidR="00293BDE" w:rsidRDefault="00000000">
      <w:pPr>
        <w:pStyle w:val="BodyText"/>
      </w:pPr>
      <w:r>
        <w:rPr>
          <w:b/>
          <w:bCs/>
        </w:rPr>
        <w:t>Why every side signs.</w:t>
      </w:r>
      <w:r>
        <w:t xml:space="preserve"> Annex K maps every declared position of the United States, Iran, Oman, the GCC, Europe, and the insurers to the provisions that carry it. Nothing in the Compact asks any party to concede a position it has declared fundamental; the design satisfies positions by structure. The Inviolable Principles Register (Annex G) states the sixteen lines the architecture never crosses, and the Standing Continuity Guarantee (Article 4) ensures that nothing signed today fades tomorrow.</w:t>
      </w:r>
    </w:p>
    <w:bookmarkStart w:id="10" w:name="X28ddac9cd513a4fae80c59850588dd5819e8910"/>
    <w:p w14:paraId="73ADBDC7" w14:textId="2EA469D8" w:rsidR="00293BDE" w:rsidRDefault="00622008">
      <w:r>
        <w:rPr>
          <w:noProof/>
        </w:rPr>
      </w:r>
      <w:r>
        <w:pict w14:anchorId="7140A5F8">
          <v:rect id="Rectangle 5" o:spid="_x0000_s1050"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10"/>
    </w:p>
    <w:p w14:paraId="6B5664A4" w14:textId="77777777" w:rsidR="00293BDE" w:rsidRDefault="00000000">
      <w:pPr>
        <w:pStyle w:val="Heading1"/>
      </w:pPr>
      <w:bookmarkStart w:id="11" w:name="__RefHeading___Toc10794_3324765499"/>
      <w:bookmarkEnd w:id="11"/>
      <w:r>
        <w:t>Situation Assessment: The Strait as of August 2026</w:t>
      </w:r>
    </w:p>
    <w:p w14:paraId="6C5FD067" w14:textId="77777777" w:rsidR="00293BDE" w:rsidRDefault="00000000">
      <w:pPr>
        <w:pStyle w:val="Heading2"/>
      </w:pPr>
      <w:bookmarkStart w:id="12" w:name="__RefHeading___Toc10796_3324765499"/>
      <w:bookmarkEnd w:id="12"/>
      <w:r>
        <w:t>The war and the ceasefires</w:t>
      </w:r>
    </w:p>
    <w:p w14:paraId="32CADDC1" w14:textId="77777777" w:rsidR="00293BDE" w:rsidRDefault="00000000">
      <w:pPr>
        <w:pStyle w:val="FirstParagraph"/>
      </w:pPr>
      <w:bookmarkStart w:id="13" w:name="the-war-and-the-ceasefires"/>
      <w:r>
        <w:t>Major combat operations between the United States, Israel, and Iran began on 28 February 2026. Commercial traffic through the Strait collapsed within days, first under attack risk, then under insurance withdrawal, then under formal restrictions. A two-week ceasefire in April failed at the Islamabad talks; the United States then imposed a naval blockade on Iranian ports while Iran restricted Gulf transit, producing the dual blockade that defined the spring. The memorandum signed on 17 June 2026 lifted the blockade, restored transit for a sixty-day window, and mandated the Iran-Oman dialogue on future administration. The truce broke down on 8 July after strikes on commercial ships; the blockade reinstated on 14 July; two weeks of renewed fighting followed before the current ceasefire took hold. As of the first week of August 2026, the ceasefire holds, negotiations run on multiple tracks, and the parties describe a settlement as imminent.</w:t>
      </w:r>
      <w:bookmarkEnd w:id="13"/>
    </w:p>
    <w:p w14:paraId="2BAA02F7" w14:textId="77777777" w:rsidR="00293BDE" w:rsidRDefault="00000000">
      <w:pPr>
        <w:pStyle w:val="Heading2"/>
      </w:pPr>
      <w:bookmarkStart w:id="14" w:name="__RefHeading___Toc10798_3324765499"/>
      <w:bookmarkEnd w:id="14"/>
      <w:r>
        <w:t>The corridor breakthrough</w:t>
      </w:r>
    </w:p>
    <w:p w14:paraId="34408D01" w14:textId="77777777" w:rsidR="00293BDE" w:rsidRDefault="00000000">
      <w:pPr>
        <w:pStyle w:val="FirstParagraph"/>
      </w:pPr>
      <w:bookmarkStart w:id="15" w:name="the-corridor-breakthrough"/>
      <w:r>
        <w:t>On 5 August 2026, Tehran announced that Iran and Oman have agreed the geographical coordinates of a new transit route and that their joint statement stands in final drafting. The emerging model: inbound traffic through a route coordinated by Iran, outbound traffic through a route managed by Oman, with service fees for security and environmental functions and a revenue split between the coastal states. The American position, restated publicly the same week, rejects any Iranian unilateral control of the Strait and any tolls on passage. The Iranian position insists that reopening synchronizes with the end of the blockade of Iranian ports. The Omani position offers neutral administration and joint management. These positions define the design space of this Compact, and the Compact fits inside every one of them.</w:t>
      </w:r>
      <w:bookmarkEnd w:id="15"/>
    </w:p>
    <w:p w14:paraId="2B6E3FF3" w14:textId="77777777" w:rsidR="00293BDE" w:rsidRDefault="00000000">
      <w:pPr>
        <w:pStyle w:val="Heading2"/>
      </w:pPr>
      <w:bookmarkStart w:id="16" w:name="__RefHeading___Toc10800_3324765499"/>
      <w:bookmarkEnd w:id="16"/>
      <w:r>
        <w:t>The four gaps</w:t>
      </w:r>
    </w:p>
    <w:p w14:paraId="3F9805EC" w14:textId="77777777" w:rsidR="00293BDE" w:rsidRDefault="00000000">
      <w:pPr>
        <w:pStyle w:val="FirstParagraph"/>
      </w:pPr>
      <w:bookmarkStart w:id="17" w:name="the-four-gaps"/>
      <w:r>
        <w:t>First gap, security authority: who performs which functions, under what concurrence rules, with what verification. The Compact answers with the functional service model (Article 3.2), the Dual-Concurrence Rule (Article 15.2), the Non-Interdiction Protocol (Article 11), and the de-confliction geometry (Article 23). Second gap, fees and revenue: the Compact answers with the Open Passage Rule plus the Verified Services Catalog, the Strait Services Fund, and the Sanctions-Compliance Firewall (Articles 17 to 21). Third gap, the reopening mechanism: the Compact answers with the phased activation of Article 30, the survey sequence of Article 9, and the synchronization rule of IPR-16. Fourth gap, multilateral acceptance: the Compact answers with the participation architecture of Article 6, the observer and accession tracks of Articles 16 and 31, and the Demand Reconciliation Register of Annex K.</w:t>
      </w:r>
      <w:bookmarkEnd w:id="17"/>
    </w:p>
    <w:p w14:paraId="462814DD" w14:textId="77777777" w:rsidR="00293BDE" w:rsidRDefault="00000000">
      <w:pPr>
        <w:pStyle w:val="Heading2"/>
      </w:pPr>
      <w:bookmarkStart w:id="18" w:name="__RefHeading___Toc10802_3324765499"/>
      <w:bookmarkEnd w:id="18"/>
      <w:r>
        <w:t>The cost of the status quo</w:t>
      </w:r>
    </w:p>
    <w:p w14:paraId="0AB52BDE" w14:textId="77777777" w:rsidR="00293BDE" w:rsidRDefault="00000000">
      <w:pPr>
        <w:pStyle w:val="FirstParagraph"/>
      </w:pPr>
      <w:bookmarkStart w:id="19" w:name="the-cost-of-the-status-quo"/>
      <w:r>
        <w:t>Crisis-era economics punish everyone. War-risk premiums multiply freight costs on every Gulf voyage; rerouting and delay add days and demurrage; naval escort operations consume standing military budgets at rates that dwarf the entire annual budget of the Authority this Compact creates; energy price volatility taxes every importing economy; and the region’s diversification strategies stall against the perceived risk of the waterway. The Compact’s total annual cost, capped in Annex B, sits below the cost of a single week of crisis-era carrier operations. Cost-effectiveness is not a slogan in this instrument; it is a budget framework with an audit behind it.</w:t>
      </w:r>
      <w:bookmarkEnd w:id="19"/>
    </w:p>
    <w:p w14:paraId="6360A55C" w14:textId="77777777" w:rsidR="00293BDE" w:rsidRDefault="00000000">
      <w:pPr>
        <w:pStyle w:val="Heading2"/>
      </w:pPr>
      <w:bookmarkStart w:id="20" w:name="__RefHeading___Toc10804_3324765499"/>
      <w:bookmarkEnd w:id="20"/>
      <w:r>
        <w:t>The risk tiers of inaction</w:t>
      </w:r>
    </w:p>
    <w:p w14:paraId="0DB49FBA" w14:textId="77777777" w:rsidR="00293BDE" w:rsidRDefault="00000000">
      <w:pPr>
        <w:pStyle w:val="FirstParagraph"/>
      </w:pPr>
      <w:r>
        <w:t>Tier one risk, market: insurers keep the Strait effectively closed by price, whatever governments declare. Tier two risk, incident: an uncoordinated encounter between military vessels or between a service craft and a merchantman restarts the escalation cycle. Tier three risk, spoiler: an actor outside every framework attacks shipping to reignite conflict. Tier four risk, political: the MOU window closes without a governance mechanism, and the Strait reverts to leverage politics. The Compact addresses each tier: the Route Assurance Data Service for the market tier; the de-confliction geometry for the incident tier; the proxy-event pathway of Article 24.2 for the spoiler tier; and the Standing Continuity Guarantee for the political tier.</w:t>
      </w:r>
    </w:p>
    <w:bookmarkStart w:id="21" w:name="X7bf4aae5279d7262fee928a87ba4572c7abece7"/>
    <w:bookmarkStart w:id="22" w:name="the-risk-tiers-of-inaction"/>
    <w:p w14:paraId="65606C39" w14:textId="2E0BC788" w:rsidR="00293BDE" w:rsidRDefault="00622008">
      <w:r>
        <w:rPr>
          <w:noProof/>
        </w:rPr>
      </w:r>
      <w:r>
        <w:pict w14:anchorId="424B91AA">
          <v:rect id="Rectangle 6" o:spid="_x0000_s1049"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21"/>
      <w:bookmarkEnd w:id="22"/>
    </w:p>
    <w:p w14:paraId="3F24B5C0" w14:textId="77777777" w:rsidR="00293BDE" w:rsidRDefault="00000000">
      <w:pPr>
        <w:pStyle w:val="Heading1"/>
      </w:pPr>
      <w:bookmarkStart w:id="23" w:name="__RefHeading___Toc10806_3324765499"/>
      <w:bookmarkEnd w:id="23"/>
      <w:r>
        <w:t>Reader’s Guide: How This Compact Works</w:t>
      </w:r>
    </w:p>
    <w:p w14:paraId="7E5D67EE" w14:textId="77777777" w:rsidR="00293BDE" w:rsidRDefault="00000000">
      <w:pPr>
        <w:pStyle w:val="FirstParagraph"/>
      </w:pPr>
      <w:r>
        <w:rPr>
          <w:b/>
          <w:bCs/>
        </w:rPr>
        <w:t>The one-page principle.</w:t>
      </w:r>
      <w:r>
        <w:t xml:space="preserve"> Every operational procedure in this Compact resolves to a single page for the mariner, the watch officer, the banker, or the insurer who uses it. The full legal text stands behind each page; the user meets only the page. Annex D carries the one-page cards.</w:t>
      </w:r>
    </w:p>
    <w:p w14:paraId="606905DA" w14:textId="77777777" w:rsidR="00293BDE" w:rsidRDefault="00000000">
      <w:pPr>
        <w:pStyle w:val="BodyText"/>
      </w:pPr>
      <w:r>
        <w:rPr>
          <w:b/>
          <w:bCs/>
        </w:rPr>
        <w:t>The Six-Step Rule.</w:t>
      </w:r>
      <w:r>
        <w:t xml:space="preserve"> No procedure in this Compact exceeds six steps for the user. If a procedure grows beyond six steps, the Technical and Standards Committee rewrites it into two linked procedures of six steps or fewer. The Rule applies to transit notices, service invoicing, incident reporting, dispute filing, observer accreditation, and every other recurring interaction with the system.</w:t>
      </w:r>
    </w:p>
    <w:p w14:paraId="381267B8" w14:textId="77777777" w:rsidR="00293BDE" w:rsidRDefault="00000000">
      <w:pPr>
        <w:pStyle w:val="BodyText"/>
      </w:pPr>
      <w:r>
        <w:rPr>
          <w:b/>
          <w:bCs/>
        </w:rPr>
        <w:t>The complexity audit.</w:t>
      </w:r>
      <w:r>
        <w:t xml:space="preserve"> Once each year, the Technical and Standards Committee counts the steps, forms, data fields, and approvals in every procedure, publishes the count, and removes the ten percent of steps that contribute least to safety or verification. Simplicity is a maintained asset, not a founding intention.</w:t>
      </w:r>
    </w:p>
    <w:p w14:paraId="3521CA6C" w14:textId="77777777" w:rsidR="00293BDE" w:rsidRDefault="00000000">
      <w:pPr>
        <w:pStyle w:val="BodyText"/>
      </w:pPr>
      <w:r>
        <w:rPr>
          <w:b/>
          <w:bCs/>
        </w:rPr>
        <w:t>The cost discipline rule.</w:t>
      </w:r>
      <w:r>
        <w:t xml:space="preserve"> Every organ of this Compact operates inside the budget of Annex B. No organ creates a subsidiary body, a new seat, or a new program without a budget line that the Horizon Council approves through the ordinary decision track. The architecture prefers shared facilities, seconded national staff, commercial off-the-shelf technology, and existing international bodies over new construction, new bureaucracy, and bespoke systems.</w:t>
      </w:r>
    </w:p>
    <w:p w14:paraId="6C5F5D22" w14:textId="77777777" w:rsidR="00293BDE" w:rsidRDefault="00000000">
      <w:pPr>
        <w:pStyle w:val="BodyText"/>
      </w:pPr>
      <w:r>
        <w:rPr>
          <w:b/>
          <w:bCs/>
        </w:rPr>
        <w:t>The synchronization rule.</w:t>
      </w:r>
      <w:r>
        <w:t xml:space="preserve"> Wherever this Compact sequences events, the events synchronize: corridor activation synchronizes with the termination of impediments; service charges synchronize with verified service delivery; benefit phases synchronize with verified performance; the Activation Review synchronizes all domains before full activation. No Party waits on another Party’s discretion; the calendar and the verified facts move the system.</w:t>
      </w:r>
    </w:p>
    <w:p w14:paraId="2184E1A2" w14:textId="77777777" w:rsidR="00293BDE" w:rsidRDefault="00000000">
      <w:pPr>
        <w:pStyle w:val="BodyText"/>
      </w:pPr>
      <w:r>
        <w:rPr>
          <w:b/>
          <w:bCs/>
        </w:rPr>
        <w:t>The reading order.</w:t>
      </w:r>
      <w:r>
        <w:t xml:space="preserve"> A reader who wants the system in one hour reads the Horizon Declaration, the Executive Summary, Articles 1 through 3, Article 8, Article 11, and Annex D. A reader who wants the full architecture reads the Articles in order. A reader who operates a vessel reads Annex D and Annex A only. A reader who operates a bank or an insurer reads Annex B and Annex I only. A reader who verifies compliance reads Articles 22 through 29 and Annexes C, H, and I. A reader who carries the Compact home to a parliament reads Annex K and the Political Wrapper.</w:t>
      </w:r>
    </w:p>
    <w:p w14:paraId="01D0B622" w14:textId="77777777" w:rsidR="00293BDE" w:rsidRDefault="00000000">
      <w:pPr>
        <w:pStyle w:val="BodyText"/>
      </w:pPr>
      <w:r>
        <w:rPr>
          <w:b/>
          <w:bCs/>
        </w:rPr>
        <w:t>The naming convention.</w:t>
      </w:r>
      <w:r>
        <w:t xml:space="preserve"> Every mechanism in this Compact carries a neutral, functional name: corridors by direction, institutions by task, safeguards by effect. The instrument uses the descriptor the Strait in operative clauses, and each capital retains its own designation for the waterway in its own public communications. Neutral naming is policy, not style: names that no side owns are names no side has to defeat.</w:t>
      </w:r>
    </w:p>
    <w:bookmarkStart w:id="24" w:name="readers-guide-how-this-compact-works"/>
    <w:p w14:paraId="3EE7E542" w14:textId="580CA6F2" w:rsidR="00293BDE" w:rsidRDefault="00622008">
      <w:r>
        <w:rPr>
          <w:noProof/>
        </w:rPr>
      </w:r>
      <w:r>
        <w:pict w14:anchorId="7D8BC17A">
          <v:rect id="Rectangle 7" o:spid="_x0000_s1048"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24"/>
    </w:p>
    <w:p w14:paraId="6152E394" w14:textId="77777777" w:rsidR="00293BDE" w:rsidRDefault="00000000">
      <w:pPr>
        <w:pStyle w:val="Heading1"/>
      </w:pPr>
      <w:bookmarkStart w:id="25" w:name="__RefHeading___Toc10808_3324765499"/>
      <w:bookmarkEnd w:id="25"/>
      <w:r>
        <w:t>PART I: FOUNDATIONS</w:t>
      </w:r>
    </w:p>
    <w:p w14:paraId="43F18400" w14:textId="77777777" w:rsidR="00293BDE" w:rsidRDefault="00000000">
      <w:pPr>
        <w:pStyle w:val="Heading2"/>
      </w:pPr>
      <w:bookmarkStart w:id="26" w:name="__RefHeading___Toc10810_3324765499"/>
      <w:bookmarkEnd w:id="26"/>
      <w:r>
        <w:t>Article 1: Establishment, Purpose, and Scope</w:t>
      </w:r>
    </w:p>
    <w:p w14:paraId="2361C8AC" w14:textId="77777777" w:rsidR="00293BDE" w:rsidRDefault="00000000">
      <w:pPr>
        <w:pStyle w:val="Heading3"/>
      </w:pPr>
      <w:r>
        <w:t>1.1 Establishment</w:t>
      </w:r>
    </w:p>
    <w:p w14:paraId="795C2BB3" w14:textId="77777777" w:rsidR="00293BDE" w:rsidRDefault="00000000">
      <w:pPr>
        <w:pStyle w:val="FirstParagraph"/>
      </w:pPr>
      <w:bookmarkStart w:id="27" w:name="establishment"/>
      <w:r>
        <w:t>The Parties establish the Strait Stability Horizon Compact as the standing governance architecture for commercial navigation, maritime safety, environmental protection, and de-confliction in the Strait of Hormuz. The Compact establishes the Horizon Maritime Authority (the Authority) as its institutional core, seated at the Horizon Operations Center in Muscat, with the Mirror Facility of Equal Rank at Bandar Abbas.</w:t>
      </w:r>
      <w:bookmarkEnd w:id="27"/>
    </w:p>
    <w:p w14:paraId="60055B3A" w14:textId="77777777" w:rsidR="00293BDE" w:rsidRDefault="00000000">
      <w:pPr>
        <w:pStyle w:val="Heading3"/>
      </w:pPr>
      <w:r>
        <w:t>1.2 Purpose</w:t>
      </w:r>
    </w:p>
    <w:p w14:paraId="48899ACF" w14:textId="77777777" w:rsidR="00293BDE" w:rsidRDefault="00000000">
      <w:pPr>
        <w:pStyle w:val="FirstParagraph"/>
      </w:pPr>
      <w:r>
        <w:t>The Compact serves five purposes, in equal rank:</w:t>
      </w:r>
    </w:p>
    <w:p w14:paraId="6204CFC3" w14:textId="77777777" w:rsidR="00293BDE" w:rsidRDefault="00000000">
      <w:pPr>
        <w:pStyle w:val="Compact"/>
        <w:numPr>
          <w:ilvl w:val="0"/>
          <w:numId w:val="2"/>
        </w:numPr>
      </w:pPr>
      <w:r>
        <w:t>Open passage: commercial vessels transit the Strait continuously, safely, and without charge for passage.</w:t>
      </w:r>
    </w:p>
    <w:p w14:paraId="6DA36080" w14:textId="77777777" w:rsidR="00293BDE" w:rsidRDefault="00000000">
      <w:pPr>
        <w:pStyle w:val="Compact"/>
        <w:numPr>
          <w:ilvl w:val="0"/>
          <w:numId w:val="1"/>
        </w:numPr>
      </w:pPr>
      <w:r>
        <w:t>Shared stewardship: the coastal states perform the navigation, safety, environmental, and traffic services of the corridor system as defined functions, jointly verified and jointly overseen.</w:t>
      </w:r>
    </w:p>
    <w:p w14:paraId="2FBA0796" w14:textId="77777777" w:rsidR="00293BDE" w:rsidRDefault="00000000">
      <w:pPr>
        <w:pStyle w:val="Compact"/>
        <w:numPr>
          <w:ilvl w:val="0"/>
          <w:numId w:val="1"/>
        </w:numPr>
      </w:pPr>
      <w:r>
        <w:t>Predictable economics: verified services carry transparent, audited, cost-based charges administered through a neutral fund, insulated from political interruption.</w:t>
      </w:r>
    </w:p>
    <w:p w14:paraId="0EC1CD5A" w14:textId="77777777" w:rsidR="00293BDE" w:rsidRDefault="00000000">
      <w:pPr>
        <w:pStyle w:val="Compact"/>
        <w:numPr>
          <w:ilvl w:val="0"/>
          <w:numId w:val="1"/>
        </w:numPr>
      </w:pPr>
      <w:r>
        <w:t>Durable de-escalation: military activity in and near the Strait proceeds inside published geometry, notification windows, and standing communication channels that prevent incident and misreading.</w:t>
      </w:r>
    </w:p>
    <w:p w14:paraId="3BEFB097" w14:textId="77777777" w:rsidR="00293BDE" w:rsidRDefault="00000000">
      <w:pPr>
        <w:pStyle w:val="Compact"/>
        <w:numPr>
          <w:ilvl w:val="0"/>
          <w:numId w:val="1"/>
        </w:numPr>
      </w:pPr>
      <w:bookmarkStart w:id="28" w:name="purpose"/>
      <w:r>
        <w:t>Permanent stability: the architecture operates without sunset, renews by silence, and survives political cycles, leadership changes, and regional shocks.</w:t>
      </w:r>
      <w:bookmarkEnd w:id="28"/>
    </w:p>
    <w:p w14:paraId="755661DA" w14:textId="77777777" w:rsidR="00293BDE" w:rsidRDefault="00000000">
      <w:pPr>
        <w:pStyle w:val="Heading3"/>
      </w:pPr>
      <w:r>
        <w:t>1.3 Geographic scope</w:t>
      </w:r>
    </w:p>
    <w:p w14:paraId="0DF4CF9A" w14:textId="77777777" w:rsidR="00293BDE" w:rsidRDefault="00000000">
      <w:pPr>
        <w:pStyle w:val="FirstParagraph"/>
      </w:pPr>
      <w:bookmarkStart w:id="29" w:name="geographic-scope"/>
      <w:r>
        <w:t>The Compact applies to the Governance Area defined in Article 7 and Annex A: the waters of the Strait of Hormuz between the outer boundary lines, together with the precautionary zones, holding anchorages, crossing gates, and inshore bands that Annex A registers. The Compact governs no other waters. Nothing in this Compact prejudices the legal status of any waters, the position of any Party on any maritime claim, or the regime of any other strait.</w:t>
      </w:r>
      <w:bookmarkEnd w:id="29"/>
    </w:p>
    <w:p w14:paraId="03CCED8A" w14:textId="77777777" w:rsidR="00293BDE" w:rsidRDefault="00000000">
      <w:pPr>
        <w:pStyle w:val="Heading3"/>
      </w:pPr>
      <w:r>
        <w:t>1.4 Functional scope</w:t>
      </w:r>
    </w:p>
    <w:p w14:paraId="67C16926" w14:textId="77777777" w:rsidR="00293BDE" w:rsidRDefault="00000000">
      <w:pPr>
        <w:pStyle w:val="FirstParagraph"/>
      </w:pPr>
      <w:bookmarkStart w:id="30" w:name="functional-scope"/>
      <w:r>
        <w:t>The Compact governs: corridor geometry and traffic management; navigation, safety, environmental, and emergency services and their charges; monitoring, verification, and incident management; naval de-confliction geometry and notification; the financial architecture that funds and audits the system; compliance, claims, and dispute resolution; and the institutions that operate the foregoing. The Compact governs nothing else. Fisheries, customs, immigration, criminal jurisdiction, resource rights, and the political status of any territory remain with the respective sovereigns, untouched by this instrument.</w:t>
      </w:r>
      <w:bookmarkEnd w:id="30"/>
    </w:p>
    <w:p w14:paraId="01EBC27B" w14:textId="77777777" w:rsidR="00293BDE" w:rsidRDefault="00000000">
      <w:pPr>
        <w:pStyle w:val="Heading3"/>
      </w:pPr>
      <w:r>
        <w:t>1.5 What this Compact does and does not do</w:t>
      </w:r>
    </w:p>
    <w:p w14:paraId="4C909CD5" w14:textId="77777777" w:rsidR="00293BDE" w:rsidRDefault="00000000">
      <w:pPr>
        <w:pStyle w:val="FirstParagraph"/>
      </w:pPr>
      <w:r>
        <w:t>The Compact does: create standing civilian machinery; assign defined service functions; guarantee open passage; charge only for verified services through a neutral fund; publish geometry, incidents, and accounts; and de-conflict military movement by geometry and notification.</w:t>
      </w:r>
    </w:p>
    <w:p w14:paraId="62DD8167" w14:textId="77777777" w:rsidR="00293BDE" w:rsidRDefault="00000000">
      <w:pPr>
        <w:pStyle w:val="BodyText"/>
      </w:pPr>
      <w:bookmarkStart w:id="31" w:name="what-this-compact-does-and-does-not-do"/>
      <w:r>
        <w:t>The Compact does not: adjudicate sovereignty; create a permission regime for transit; authorize boarding, diversion, seizure, or inspection inside a corridor; command any state’s armed forces; settle any nuclear, missile, sanctions, or regional political question; or create precedent for any other waterway. Parallel sovereign tracks address those questions on their own calendars, and Article 33 keeps those tracks separate from this Compact’s operation.</w:t>
      </w:r>
      <w:bookmarkEnd w:id="31"/>
    </w:p>
    <w:p w14:paraId="66BA3E15" w14:textId="77777777" w:rsidR="00293BDE" w:rsidRDefault="00000000">
      <w:pPr>
        <w:pStyle w:val="Heading3"/>
      </w:pPr>
      <w:r>
        <w:t>1.6 Jurisdictional layers</w:t>
      </w:r>
    </w:p>
    <w:p w14:paraId="11EC9A87" w14:textId="77777777" w:rsidR="00293BDE" w:rsidRDefault="00000000">
      <w:pPr>
        <w:pStyle w:val="FirstParagraph"/>
      </w:pPr>
      <w:bookmarkStart w:id="32" w:name="jurisdictional-layers"/>
      <w:r>
        <w:t>The Compact operates in three jurisdictional layers. The first layer is the law each coastal state applies in its own waters, unchanged by this instrument. The second layer is international law, including the United Nations Convention on the Law of the Sea as reflected in customary practice, the Safety of Life at Sea Convention, the Collision Regulations, and the conventions and resolutions of the IMO. The third layer is this Compact, which coordinates the first two layers into one operational system. Where the layers touch, the Compact defers to international law and preserves the first layer intact.</w:t>
      </w:r>
      <w:bookmarkEnd w:id="32"/>
    </w:p>
    <w:p w14:paraId="3CF0D9ED" w14:textId="77777777" w:rsidR="00293BDE" w:rsidRDefault="00000000">
      <w:pPr>
        <w:pStyle w:val="Heading3"/>
      </w:pPr>
      <w:r>
        <w:t>1.7 The finality clause</w:t>
      </w:r>
    </w:p>
    <w:p w14:paraId="7EE52B5E" w14:textId="77777777" w:rsidR="00293BDE" w:rsidRDefault="00000000">
      <w:pPr>
        <w:pStyle w:val="FirstParagraph"/>
      </w:pPr>
      <w:bookmarkStart w:id="33" w:name="X78d9e4c0b852b1f7127b9522c0f6af8953a8f8b"/>
      <w:bookmarkStart w:id="34" w:name="the-finality-clause"/>
      <w:r>
        <w:t>This Compact constitutes the final governance architecture for the Strait within its functional scope. It absorbs and supersedes the interim arrangements of the crisis period, executes the maritime administration clause of the MOU, and stands as the complete and sufficient mechanism for the functions it assigns. No further framework instrument is contemplated for those functions; amendment under Article 32, not replacement, carries every future improvement.</w:t>
      </w:r>
      <w:bookmarkEnd w:id="33"/>
      <w:bookmarkEnd w:id="34"/>
    </w:p>
    <w:p w14:paraId="38BD9FEC" w14:textId="77777777" w:rsidR="00293BDE" w:rsidRDefault="00000000">
      <w:pPr>
        <w:pStyle w:val="Heading2"/>
      </w:pPr>
      <w:bookmarkStart w:id="35" w:name="__RefHeading___Toc10812_3324765499"/>
      <w:bookmarkEnd w:id="35"/>
      <w:r>
        <w:t>Article 2: Legal Foundations</w:t>
      </w:r>
    </w:p>
    <w:p w14:paraId="5DACF46E" w14:textId="77777777" w:rsidR="00293BDE" w:rsidRDefault="00000000">
      <w:pPr>
        <w:pStyle w:val="Heading3"/>
      </w:pPr>
      <w:r>
        <w:t>2.1 Sovereign basis</w:t>
      </w:r>
    </w:p>
    <w:p w14:paraId="4F29F5AE" w14:textId="77777777" w:rsidR="00293BDE" w:rsidRDefault="00000000">
      <w:pPr>
        <w:pStyle w:val="FirstParagraph"/>
      </w:pPr>
      <w:bookmarkStart w:id="36" w:name="sovereign-basis"/>
      <w:r>
        <w:t>Each coastal state enters this Compact as a sovereign act. The Compact derives its authority from the concurrent wills of the Parties, expressed in signature and maintained in the Standing Continuity Guarantee. No Party subordinates its sovereignty to the Authority, to another Party, or to any external body. The Authority exercises only the functions the Parties jointly assign to it, inside the geometry the Parties jointly register, under the decision rules the Parties jointly adopt.</w:t>
      </w:r>
      <w:bookmarkEnd w:id="36"/>
    </w:p>
    <w:p w14:paraId="17C2E643" w14:textId="77777777" w:rsidR="00293BDE" w:rsidRDefault="00000000">
      <w:pPr>
        <w:pStyle w:val="Heading3"/>
      </w:pPr>
      <w:r>
        <w:t>2.2 Transit passage preserved</w:t>
      </w:r>
    </w:p>
    <w:p w14:paraId="2B0847D9" w14:textId="77777777" w:rsidR="00293BDE" w:rsidRDefault="00000000">
      <w:pPr>
        <w:pStyle w:val="FirstParagraph"/>
      </w:pPr>
      <w:bookmarkStart w:id="37" w:name="transit-passage-preserved"/>
      <w:r>
        <w:t>The framework architecture preserves transit passage through the Strait in accordance with international law. The corridor system organizes, services, and verifies that passage; it never conditions, licenses, or charges it. The Compact treats the suspension of transit passage as outside the architecture entirely: no organ of this Compact possesses the function of closing, suspending, or rationing passage, and no decision track of Article 15 reaches that outcome.</w:t>
      </w:r>
      <w:bookmarkEnd w:id="37"/>
    </w:p>
    <w:p w14:paraId="77B90973" w14:textId="77777777" w:rsidR="00293BDE" w:rsidRDefault="00000000">
      <w:pPr>
        <w:pStyle w:val="Heading3"/>
      </w:pPr>
      <w:r>
        <w:t>2.3 The service-charge distinction</w:t>
      </w:r>
    </w:p>
    <w:p w14:paraId="10AC74C5" w14:textId="77777777" w:rsidR="00293BDE" w:rsidRDefault="00000000">
      <w:pPr>
        <w:pStyle w:val="FirstParagraph"/>
      </w:pPr>
      <w:bookmarkStart w:id="38" w:name="the-service-charge-distinction"/>
      <w:r>
        <w:t>The Compact rests on one legal distinction, stated once and applied everywhere: passage is free; services carry charges. A vessel pays nothing for transiting a corridor. A vessel operator pays the Strait Services Fund only for specific, verified, delivered services drawn from the Verified Services Catalog of Article 18: traffic management, pilotage on request, tug assistance on request, environmental monitoring, emergency-response readiness, and data services. Every charge traces to a delivered service; every delivered service traces to a published unit rate; every unit rate traces to cost benchmarks that Annex B publishes. No charge attaches to the act of passage itself, under any name, in any corridor, at any time.</w:t>
      </w:r>
      <w:bookmarkEnd w:id="38"/>
    </w:p>
    <w:p w14:paraId="430863F0" w14:textId="77777777" w:rsidR="00293BDE" w:rsidRDefault="00000000">
      <w:pPr>
        <w:pStyle w:val="Heading3"/>
      </w:pPr>
      <w:r>
        <w:t>2.4 Relationship to the MOU</w:t>
      </w:r>
    </w:p>
    <w:p w14:paraId="33EEB4C5" w14:textId="77777777" w:rsidR="00293BDE" w:rsidRDefault="00000000">
      <w:pPr>
        <w:pStyle w:val="FirstParagraph"/>
      </w:pPr>
      <w:bookmarkStart w:id="39" w:name="relationship-to-the-mou"/>
      <w:r>
        <w:t>This Compact executes the maritime administration clause of the MOU of 17 June 2026, under which the Islamic Republic of Iran conducts dialogue with the Sultanate of Oman, in discussion with other Persian Gulf littoral states, to define the future administration and maritime services of the Strait in line with applicable international law and the sovereign rights of the coastal states. The Compact fulfils that clause completely. Upon entry into force, the Compact constitutes the future administration the MOU contemplates, and the sixty-day free-transit window of the MOU merges into the permanent Open Passage Rule of Article 17 without interruption, gap, or renegotiation.</w:t>
      </w:r>
      <w:bookmarkEnd w:id="39"/>
    </w:p>
    <w:p w14:paraId="6799C773" w14:textId="77777777" w:rsidR="00293BDE" w:rsidRDefault="00000000">
      <w:pPr>
        <w:pStyle w:val="Heading3"/>
      </w:pPr>
      <w:r>
        <w:t>2.5 Relationship to the International Maritime Organization</w:t>
      </w:r>
    </w:p>
    <w:p w14:paraId="11857779" w14:textId="77777777" w:rsidR="00293BDE" w:rsidRDefault="00000000">
      <w:pPr>
        <w:pStyle w:val="FirstParagraph"/>
      </w:pPr>
      <w:bookmarkStart w:id="40" w:name="X043e577b0f34d9c512a1c81cf13b5af282a4260"/>
      <w:r>
        <w:t>The Parties lodge this Compact, the corridor geometry of Annex A, and every subsequent geometric amendment with the IMO. The Parties request the IMO to recognize the corridor system as the traffic separation scheme for the Strait under the Safety of Life at Sea Convention, replacing the superseded wartime routing. The Authority maintains a standing technical channel to the IMO and the IHO, transmits the data products of Article 22 to the IMO’s recognized repositories, and aligns every charted element with IHO publication standards. IMO registration of final coordinates completes at Full Activation under Article 30; provisional guidance circulates during the Assurance Phase through Notices to Mariners.</w:t>
      </w:r>
      <w:bookmarkEnd w:id="40"/>
    </w:p>
    <w:p w14:paraId="484517A0" w14:textId="77777777" w:rsidR="00293BDE" w:rsidRDefault="00000000">
      <w:pPr>
        <w:pStyle w:val="Heading3"/>
      </w:pPr>
      <w:r>
        <w:t>2.6 Non-prejudice and no precedent</w:t>
      </w:r>
    </w:p>
    <w:p w14:paraId="1DA83795" w14:textId="77777777" w:rsidR="00293BDE" w:rsidRDefault="00000000">
      <w:pPr>
        <w:pStyle w:val="FirstParagraph"/>
      </w:pPr>
      <w:bookmarkStart w:id="41" w:name="non-prejudice-and-no-precedent"/>
      <w:r>
        <w:t>No provision of this Compact, and no act performed under it, prejudices the position of any state on: the legal regime of the Strait; the breadth or status of any territorial sea; any boundary delimitation; any island or feature; or any other strait, canal, or waterway anywhere in the world. Participation in monitoring, payment of service charges, receipt of service revenue, and endorsement of this instrument carry no legal implication beyond their technical content. The Strait Services Fund records this non-prejudice statement on every invoice, and the Shared Data Registry records it on every data product.</w:t>
      </w:r>
      <w:bookmarkEnd w:id="41"/>
    </w:p>
    <w:p w14:paraId="59691C87" w14:textId="77777777" w:rsidR="00293BDE" w:rsidRDefault="00000000">
      <w:pPr>
        <w:pStyle w:val="Heading3"/>
      </w:pPr>
      <w:r>
        <w:t>2.7 Relationship to prior routing schemes</w:t>
      </w:r>
    </w:p>
    <w:p w14:paraId="3078593C" w14:textId="77777777" w:rsidR="00293BDE" w:rsidRDefault="00000000">
      <w:pPr>
        <w:pStyle w:val="FirstParagraph"/>
      </w:pPr>
      <w:bookmarkStart w:id="42" w:name="relationship-to-prior-routing-schemes"/>
      <w:r>
        <w:t>The corridor system of Article 8 supersedes the temporary wartime lanes in effect since February 2026 and modernizes the traffic separation arrangements that preceded them. The Parties register the supersession with the IMO as a single, coherent amendment rather than a patchwork, so that mariners receive one chart, one scheme, and one set of rules.</w:t>
      </w:r>
      <w:bookmarkEnd w:id="42"/>
    </w:p>
    <w:p w14:paraId="140425BF" w14:textId="77777777" w:rsidR="00293BDE" w:rsidRDefault="00000000">
      <w:pPr>
        <w:pStyle w:val="Heading3"/>
      </w:pPr>
      <w:r>
        <w:t>2.8 Relationship to the regional instruments of 2026</w:t>
      </w:r>
    </w:p>
    <w:p w14:paraId="7E28C6C8" w14:textId="77777777" w:rsidR="00293BDE" w:rsidRDefault="00000000">
      <w:pPr>
        <w:pStyle w:val="FirstParagraph"/>
      </w:pPr>
      <w:bookmarkStart w:id="43" w:name="article-2-legal-foundations"/>
      <w:bookmarkStart w:id="44" w:name="X12c5d499f0c84d48b96b0f904cda45050cb6e08"/>
      <w:r>
        <w:t>The Compact absorbs the operative content of the regional maritime stability communiqué of 12 July 2026 (the non-endangerment standard, the facilitator roles, the consultation channels) and of the neutral guarantors’ monitoring protocol (the verification channels, the reporting discipline, the sovereignty protections). Where those instruments and this Compact touch, this Compact governs, and the depositary records the absorption so that no participant answers to two frameworks for the same act.</w:t>
      </w:r>
      <w:bookmarkEnd w:id="43"/>
      <w:bookmarkEnd w:id="44"/>
    </w:p>
    <w:p w14:paraId="7D5EE1E9" w14:textId="77777777" w:rsidR="00293BDE" w:rsidRDefault="00000000">
      <w:pPr>
        <w:pStyle w:val="Heading2"/>
      </w:pPr>
      <w:bookmarkStart w:id="45" w:name="__RefHeading___Toc10814_3324765499"/>
      <w:bookmarkEnd w:id="45"/>
      <w:r>
        <w:t>Article 3: Core Operating Principles</w:t>
      </w:r>
    </w:p>
    <w:p w14:paraId="3C0DA034" w14:textId="77777777" w:rsidR="00293BDE" w:rsidRDefault="00000000">
      <w:pPr>
        <w:pStyle w:val="Heading3"/>
      </w:pPr>
      <w:r>
        <w:t>3.1 The political acceptability rule</w:t>
      </w:r>
    </w:p>
    <w:p w14:paraId="71C7CEC4" w14:textId="77777777" w:rsidR="00293BDE" w:rsidRDefault="00000000">
      <w:pPr>
        <w:pStyle w:val="FirstParagraph"/>
      </w:pPr>
      <w:bookmarkStart w:id="46" w:name="the-political-acceptability-rule"/>
      <w:r>
        <w:t>Every provision of this Compact passes one test before adoption: each Party defends the provision at home as a gain, and no Party reads the provision as its own concession. The architecture achieves this by assigning functions rather than sovereignty, by framing every constraint as a feature of the shared design rather than one Party’s restraint, by giving every participant a named and visible role, and by lodging every sensitive mechanism in a neutral institution. The Horizon Council applies this rule to every amendment under Article 32, and the Perimeter Test of Article 5 enforces it against the Inviolable Principles Register.</w:t>
      </w:r>
      <w:bookmarkEnd w:id="46"/>
    </w:p>
    <w:p w14:paraId="19543A47" w14:textId="77777777" w:rsidR="00293BDE" w:rsidRDefault="00000000">
      <w:pPr>
        <w:pStyle w:val="Heading3"/>
      </w:pPr>
      <w:r>
        <w:t>3.2 Functions, not sovereignty</w:t>
      </w:r>
    </w:p>
    <w:p w14:paraId="4F4C800C" w14:textId="77777777" w:rsidR="00293BDE" w:rsidRDefault="00000000">
      <w:pPr>
        <w:pStyle w:val="FirstParagraph"/>
      </w:pPr>
      <w:bookmarkStart w:id="47" w:name="functions-not-sovereignty"/>
      <w:r>
        <w:t>The Compact allocates work, not rights over water. The Islamic Republic of Iran performs the inbound corridor service functions. The Sultanate of Oman performs the outbound corridor service functions. The Coastal Two jointly administer the Central Buffer Corridor. The Authority operates the shared monitoring picture, the fund administration, and the incident system. Every function carries a definition, a verification method, a charge or budget line, and an oversight channel. No function implies sovereignty, recognition of sovereignty, or limitation of sovereignty.</w:t>
      </w:r>
      <w:bookmarkEnd w:id="47"/>
    </w:p>
    <w:p w14:paraId="44D9266C" w14:textId="77777777" w:rsidR="00293BDE" w:rsidRDefault="00000000">
      <w:pPr>
        <w:pStyle w:val="Heading3"/>
      </w:pPr>
      <w:r>
        <w:t>3.3 Symmetry of dignity</w:t>
      </w:r>
    </w:p>
    <w:p w14:paraId="59A3E3CF" w14:textId="77777777" w:rsidR="00293BDE" w:rsidRDefault="00000000">
      <w:pPr>
        <w:pStyle w:val="FirstParagraph"/>
      </w:pPr>
      <w:bookmarkStart w:id="48" w:name="symmetry-of-dignity"/>
      <w:r>
        <w:t>The architecture treats the Coastal Two as equal founders with equal procedural weight, equal staffing parity, equal access to all data, and equal visibility in every ceremony, publication, and organ. The Mirror Facility of Equal Rank at Bandar Abbas embodies this symmetry physically: every capability present in Muscat exists in Bandar Abbas, every datum visible in one seat is visible in the other, and every officer of one seat holds counterpart access to the other.</w:t>
      </w:r>
      <w:bookmarkEnd w:id="48"/>
    </w:p>
    <w:p w14:paraId="7F676F96" w14:textId="77777777" w:rsidR="00293BDE" w:rsidRDefault="00000000">
      <w:pPr>
        <w:pStyle w:val="Heading3"/>
      </w:pPr>
      <w:r>
        <w:t>3.4 Civilian character</w:t>
      </w:r>
    </w:p>
    <w:p w14:paraId="3E30C334" w14:textId="77777777" w:rsidR="00293BDE" w:rsidRDefault="00000000">
      <w:pPr>
        <w:pStyle w:val="FirstParagraph"/>
      </w:pPr>
      <w:bookmarkStart w:id="49" w:name="civilian-character"/>
      <w:r>
        <w:t>Every organ of this Compact is civilian in composition, mandate, and conduct. Military liaison occurs only through the de-confliction channel of Article 23, which connects the Authority to naval commands without placing any military officer in command of any Compact function and without placing any Compact asset at the service of any military operation.</w:t>
      </w:r>
      <w:bookmarkEnd w:id="49"/>
    </w:p>
    <w:p w14:paraId="6FBD8984" w14:textId="77777777" w:rsidR="00293BDE" w:rsidRDefault="00000000">
      <w:pPr>
        <w:pStyle w:val="Heading3"/>
      </w:pPr>
      <w:r>
        <w:t>3.5 Transparency by default</w:t>
      </w:r>
    </w:p>
    <w:p w14:paraId="55516ECF" w14:textId="77777777" w:rsidR="00293BDE" w:rsidRDefault="00000000">
      <w:pPr>
        <w:pStyle w:val="FirstParagraph"/>
      </w:pPr>
      <w:bookmarkStart w:id="50" w:name="transparency-by-default"/>
      <w:r>
        <w:t>The architecture publishes corridor geometry, traffic rules, service rates, incident logs, audit results, budgets, and accounts. Publication is automatic, timely, and permanent. The exceptions are narrow and enumerated: vessel-specific commercial data, security-sensitive military notifications, and personal data of seafarers. Every exception carries a defined custodian, a defined access list, and a defined review date.</w:t>
      </w:r>
      <w:bookmarkEnd w:id="50"/>
    </w:p>
    <w:p w14:paraId="3014DDBB" w14:textId="77777777" w:rsidR="00293BDE" w:rsidRDefault="00000000">
      <w:pPr>
        <w:pStyle w:val="Heading3"/>
      </w:pPr>
      <w:r>
        <w:t>3.6 Cost-effectiveness</w:t>
      </w:r>
    </w:p>
    <w:p w14:paraId="2B8B234E" w14:textId="77777777" w:rsidR="00293BDE" w:rsidRDefault="00000000">
      <w:pPr>
        <w:pStyle w:val="FirstParagraph"/>
      </w:pPr>
      <w:bookmarkStart w:id="51" w:name="cost-effectiveness"/>
      <w:r>
        <w:t>The architecture minimizes standing cost by: using existing coastal-state assets (radar, patrol craft, pilots, tugs, survey vessels) under service contracts rather than building parallel Authority assets; seating the Authority in existing facilities in Muscat and Bandar Abbas; using commercial satellite data under framework contracts rather than dedicated systems; seconding national experts rather than maintaining a large permanent secretariat; and automating routine verification through the Shared Data Registry. Annex B fixes the annual budget and the staffing table, and the annual integrity review of Article 28.5 tests whether the system still spends less than the value it protects by several orders of magnitude.</w:t>
      </w:r>
      <w:bookmarkEnd w:id="51"/>
    </w:p>
    <w:p w14:paraId="13D62F0C" w14:textId="77777777" w:rsidR="00293BDE" w:rsidRDefault="00000000">
      <w:pPr>
        <w:pStyle w:val="Heading3"/>
      </w:pPr>
      <w:r>
        <w:t>3.7 Synchronization</w:t>
      </w:r>
    </w:p>
    <w:p w14:paraId="1AD78C52" w14:textId="77777777" w:rsidR="00293BDE" w:rsidRDefault="00000000">
      <w:pPr>
        <w:pStyle w:val="FirstParagraph"/>
      </w:pPr>
      <w:bookmarkStart w:id="52" w:name="synchronization"/>
      <w:r>
        <w:t>The architecture synchronizes dependent events so that no Party waits on another’s discretion. Activation of the corridor system synchronizes with the termination of all impediments to commercial traffic to and from the ports of every littoral state, as one indivisible event under IPR-16. Service charges synchronize with verified service delivery. Benefit phases synchronize with verified performance. The calendar and the Shared Data Registry, not political decision, move each synchronized event.</w:t>
      </w:r>
      <w:bookmarkEnd w:id="52"/>
    </w:p>
    <w:p w14:paraId="5A2ED8AA" w14:textId="77777777" w:rsidR="00293BDE" w:rsidRDefault="00000000">
      <w:pPr>
        <w:pStyle w:val="Heading3"/>
      </w:pPr>
      <w:r>
        <w:t>3.8 Simplicity as a security feature</w:t>
      </w:r>
    </w:p>
    <w:p w14:paraId="523AD869" w14:textId="77777777" w:rsidR="00293BDE" w:rsidRDefault="00000000">
      <w:pPr>
        <w:pStyle w:val="FirstParagraph"/>
      </w:pPr>
      <w:bookmarkStart w:id="53" w:name="article-3-core-operating-principles"/>
      <w:bookmarkStart w:id="54" w:name="simplicity-as-a-security-feature"/>
      <w:r>
        <w:t>The architecture treats simplicity as protection: a rule a watch officer recites at 03:00 survives stress that a forty-page procedure does not. The Six-Step Rule, the one-page cards, the published geometry, and the annual complexity audit keep the whole system legible to the people who run it and the people who rely on it. Complexity, wherever it appears, is treated as a defect with an owner and a fix date.</w:t>
      </w:r>
      <w:bookmarkEnd w:id="53"/>
      <w:bookmarkEnd w:id="54"/>
    </w:p>
    <w:p w14:paraId="368D0824" w14:textId="77777777" w:rsidR="00293BDE" w:rsidRDefault="00000000">
      <w:pPr>
        <w:pStyle w:val="Heading2"/>
      </w:pPr>
      <w:bookmarkStart w:id="55" w:name="__RefHeading___Toc10816_3324765499"/>
      <w:bookmarkEnd w:id="55"/>
      <w:r>
        <w:t>Article 4: The Standing Continuity Guarantee</w:t>
      </w:r>
    </w:p>
    <w:p w14:paraId="5B7E184E" w14:textId="77777777" w:rsidR="00293BDE" w:rsidRDefault="00000000">
      <w:pPr>
        <w:pStyle w:val="Heading3"/>
      </w:pPr>
      <w:r>
        <w:t>4.1 No sunset</w:t>
      </w:r>
    </w:p>
    <w:p w14:paraId="0F775044" w14:textId="77777777" w:rsidR="00293BDE" w:rsidRDefault="00000000">
      <w:pPr>
        <w:pStyle w:val="FirstParagraph"/>
      </w:pPr>
      <w:bookmarkStart w:id="56" w:name="no-sunset"/>
      <w:r>
        <w:t>This Compact contains no sunset clause, no review-or-expire mechanism, and no renewal deadline. The Compact operates from entry into force without time limit. The absence of a sunset reflects a deliberate design choice: predictability of the waterway outranks the negotiating leverage that expiry dates create.</w:t>
      </w:r>
      <w:bookmarkEnd w:id="56"/>
    </w:p>
    <w:p w14:paraId="6F4EF1B4" w14:textId="77777777" w:rsidR="00293BDE" w:rsidRDefault="00000000">
      <w:pPr>
        <w:pStyle w:val="Heading3"/>
      </w:pPr>
      <w:r>
        <w:t>4.2 No fade of commitments</w:t>
      </w:r>
    </w:p>
    <w:p w14:paraId="429B7EA7" w14:textId="77777777" w:rsidR="00293BDE" w:rsidRDefault="00000000">
      <w:pPr>
        <w:pStyle w:val="FirstParagraph"/>
      </w:pPr>
      <w:bookmarkStart w:id="57" w:name="no-fade-of-commitments"/>
      <w:r>
        <w:t>Every commitment in this Compact remains in force at full strength until changed by joint written instrument under Article 32. No commitment dilutes through disuse, through silence, through changes of government, or through the passage of time. A commitment unexercised for years retains full force on the day it is exercised.</w:t>
      </w:r>
      <w:bookmarkEnd w:id="57"/>
    </w:p>
    <w:p w14:paraId="625694AC" w14:textId="77777777" w:rsidR="00293BDE" w:rsidRDefault="00000000">
      <w:pPr>
        <w:pStyle w:val="Heading3"/>
      </w:pPr>
      <w:r>
        <w:t>4.3 No fade of earned benefits</w:t>
      </w:r>
    </w:p>
    <w:p w14:paraId="2E9279AE" w14:textId="77777777" w:rsidR="00293BDE" w:rsidRDefault="00000000">
      <w:pPr>
        <w:pStyle w:val="FirstParagraph"/>
      </w:pPr>
      <w:bookmarkStart w:id="58" w:name="no-fade-of-earned-benefits"/>
      <w:r>
        <w:t>Verified performance banks permanently. A Party that completes a phase, passes an Activation Review, or accrues restoration credit retains that status without re-verification, re-negotiation, or re-earning. The Shared Data Registry records every banked status with a permanent, tamper-evident entry.</w:t>
      </w:r>
      <w:bookmarkEnd w:id="58"/>
    </w:p>
    <w:p w14:paraId="4452D0F7" w14:textId="77777777" w:rsidR="00293BDE" w:rsidRDefault="00000000">
      <w:pPr>
        <w:pStyle w:val="Heading3"/>
      </w:pPr>
      <w:r>
        <w:t>4.4 No fade of verification</w:t>
      </w:r>
    </w:p>
    <w:p w14:paraId="38277BE2" w14:textId="77777777" w:rsidR="00293BDE" w:rsidRDefault="00000000">
      <w:pPr>
        <w:pStyle w:val="FirstParagraph"/>
      </w:pPr>
      <w:bookmarkStart w:id="59" w:name="no-fade-of-verification"/>
      <w:r>
        <w:t>The verification architecture of Article 22 operates continuously, in every flow state, in every dispute, and during every Horizon Pause. Verification never suspends as a consequence, a penalty, or a bargaining position. The only events that interrupt a specific verification feed are equipment failure and documented maintenance, and each interruption activates the degraded-mode protocol of Article 22.6.</w:t>
      </w:r>
      <w:bookmarkEnd w:id="59"/>
    </w:p>
    <w:p w14:paraId="5DC85302" w14:textId="77777777" w:rsidR="00293BDE" w:rsidRDefault="00000000">
      <w:pPr>
        <w:pStyle w:val="Heading3"/>
      </w:pPr>
      <w:r>
        <w:t>4.5 No fade of the Open Passage Rule</w:t>
      </w:r>
    </w:p>
    <w:p w14:paraId="69255F9F" w14:textId="77777777" w:rsidR="00293BDE" w:rsidRDefault="00000000">
      <w:pPr>
        <w:pStyle w:val="FirstParagraph"/>
      </w:pPr>
      <w:bookmarkStart w:id="60" w:name="no-fade-of-the-open-passage-rule"/>
      <w:r>
        <w:t>The Open Passage Rule of Article 17 stands permanently. No compliance event, no dispute, no pause, no accession, no withdrawal, and no amendment touches it. The Graduated Pause Ladder of Article 25 pauses discretionary benefits only; it never pauses passage, humanitarian traffic, safety services, or verification.</w:t>
      </w:r>
      <w:bookmarkEnd w:id="60"/>
    </w:p>
    <w:p w14:paraId="59D2462E" w14:textId="77777777" w:rsidR="00293BDE" w:rsidRDefault="00000000">
      <w:pPr>
        <w:pStyle w:val="Heading3"/>
      </w:pPr>
      <w:r>
        <w:t>4.6 No fade of institutional memory</w:t>
      </w:r>
    </w:p>
    <w:p w14:paraId="72DB305E" w14:textId="77777777" w:rsidR="00293BDE" w:rsidRDefault="00000000">
      <w:pPr>
        <w:pStyle w:val="FirstParagraph"/>
      </w:pPr>
      <w:bookmarkStart w:id="61" w:name="no-fade-of-institutional-memory"/>
      <w:r>
        <w:t>The Authority maintains a permanent archive of decisions, determinations, incident records, audit reports, and lessons learned. Every officer inherits the full record. The Lessons Learned process of Article 34 converts every incident and every audit into a documented institutional improvement, so the system grows more capable with age rather than less.</w:t>
      </w:r>
      <w:bookmarkEnd w:id="61"/>
    </w:p>
    <w:p w14:paraId="5DDB884C" w14:textId="77777777" w:rsidR="00293BDE" w:rsidRDefault="00000000">
      <w:pPr>
        <w:pStyle w:val="Heading3"/>
      </w:pPr>
      <w:r>
        <w:t>4.7 Renewal by silence and default continuity</w:t>
      </w:r>
    </w:p>
    <w:p w14:paraId="4A08B914" w14:textId="77777777" w:rsidR="00293BDE" w:rsidRDefault="00000000">
      <w:pPr>
        <w:pStyle w:val="FirstParagraph"/>
      </w:pPr>
      <w:bookmarkStart w:id="62" w:name="X0b7112a445e376104bc3322301c35d47e75954d"/>
      <w:r>
        <w:t>Where this Compact schedules a recurring decision (budget adoption, rate review, observer re-accreditation, work-program approval), silence continues the existing state. A deadline passes without a decision, and the prior budget, rate, accreditation, or program continues unchanged at its existing level. Decision tracks open only through an active proposal; they never open through the calendar alone. Default continuity protects the system from hostage-taking by inaction.</w:t>
      </w:r>
      <w:bookmarkEnd w:id="62"/>
    </w:p>
    <w:p w14:paraId="4BB11C91" w14:textId="77777777" w:rsidR="00293BDE" w:rsidRDefault="00000000">
      <w:pPr>
        <w:pStyle w:val="Heading3"/>
      </w:pPr>
      <w:r>
        <w:t>4.8 Exit is an act, not a fade</w:t>
      </w:r>
    </w:p>
    <w:p w14:paraId="64A1BA85" w14:textId="77777777" w:rsidR="00293BDE" w:rsidRDefault="00000000">
      <w:pPr>
        <w:pStyle w:val="FirstParagraph"/>
      </w:pPr>
      <w:bookmarkStart w:id="63" w:name="exit-is-an-act-not-a-fade"/>
      <w:r>
        <w:t>A Party leaves this Compact only through the deliberate, notified, time-buffered procedure of Article 33. No Party drifts out through inattention, and no Party’s obligations erode through neglect. Exit carries a notice period, a wind-down protocol, and the Essential Functions Protocol, so that even departure cannot destabilize the waterway.</w:t>
      </w:r>
      <w:bookmarkEnd w:id="63"/>
    </w:p>
    <w:p w14:paraId="2B7D63F9" w14:textId="77777777" w:rsidR="00293BDE" w:rsidRDefault="00000000">
      <w:pPr>
        <w:pStyle w:val="Heading3"/>
      </w:pPr>
      <w:r>
        <w:t>4.9 The Guarantee as mutual insurance</w:t>
      </w:r>
    </w:p>
    <w:p w14:paraId="04711144" w14:textId="77777777" w:rsidR="00293BDE" w:rsidRDefault="00000000">
      <w:pPr>
        <w:pStyle w:val="FirstParagraph"/>
      </w:pPr>
      <w:bookmarkStart w:id="64" w:name="X31ce18565960446bb2088758ac763c2c3e4fb77"/>
      <w:bookmarkStart w:id="65" w:name="the-guarantee-as-mutual-insurance"/>
      <w:r>
        <w:t>The Standing Continuity Guarantee insures every Party against every other Party’s future politics. A government that signs today binds its successors; a government that succeeds today inherits intact protections. The Guarantee converts the Compact from a deal between incumbents into a structure between states, and that conversion is the deepest guarantee the instrument offers: the water stays governed when the news cycle moves on.</w:t>
      </w:r>
      <w:bookmarkEnd w:id="64"/>
      <w:bookmarkEnd w:id="65"/>
    </w:p>
    <w:p w14:paraId="00B00DF6" w14:textId="77777777" w:rsidR="00293BDE" w:rsidRDefault="00000000">
      <w:pPr>
        <w:pStyle w:val="Heading2"/>
      </w:pPr>
      <w:bookmarkStart w:id="66" w:name="__RefHeading___Toc10818_3324765499"/>
      <w:bookmarkEnd w:id="66"/>
      <w:r>
        <w:t>Article 5: The Inviolable Principles Register and the Perimeter Test</w:t>
      </w:r>
    </w:p>
    <w:p w14:paraId="7D1448F1" w14:textId="77777777" w:rsidR="00293BDE" w:rsidRDefault="00000000">
      <w:pPr>
        <w:pStyle w:val="Heading3"/>
      </w:pPr>
      <w:r>
        <w:t>5.1 Purpose and method</w:t>
      </w:r>
    </w:p>
    <w:p w14:paraId="0E3F36B2" w14:textId="77777777" w:rsidR="00293BDE" w:rsidRDefault="00000000">
      <w:pPr>
        <w:pStyle w:val="FirstParagraph"/>
      </w:pPr>
      <w:bookmarkStart w:id="67" w:name="purpose-and-method"/>
      <w:r>
        <w:t>Annex G carries the Inviolable Principles Register in full operative text. Each principle states the protected line, the reason the line exists, the safeguard that holds the line, and the procedure that governs any measure approaching the line. The Register exists so that every participant, domestic audience, and successor government verifies in one reading that the architecture respects every Party’s fundamental positions.</w:t>
      </w:r>
      <w:bookmarkEnd w:id="67"/>
    </w:p>
    <w:p w14:paraId="2A221452" w14:textId="77777777" w:rsidR="00293BDE" w:rsidRDefault="00000000">
      <w:pPr>
        <w:pStyle w:val="Heading3"/>
      </w:pPr>
      <w:r>
        <w:t>5.2 The Perimeter Test</w:t>
      </w:r>
    </w:p>
    <w:p w14:paraId="78725677" w14:textId="77777777" w:rsidR="00293BDE" w:rsidRDefault="00000000">
      <w:pPr>
        <w:pStyle w:val="FirstParagraph"/>
      </w:pPr>
      <w:bookmarkStart w:id="68" w:name="the-perimeter-test"/>
      <w:r>
        <w:t>Before the Horizon Council, the Technical and Standards Committee, or any officer adopts any measure, the measure passes the Perimeter Test: the measure is checked against all sixteen principles of the Register, in writing, by the officer proposing it. A measure that touches a principle proceeds only in the exact form the corresponding safeguard permits. A measure that crosses a principle fails at origin and never enters a decision track. The Registry logs every Perimeter Test with its measure, its result, and its reasoning.</w:t>
      </w:r>
      <w:bookmarkEnd w:id="68"/>
    </w:p>
    <w:p w14:paraId="556C1AC6" w14:textId="77777777" w:rsidR="00293BDE" w:rsidRDefault="00000000">
      <w:pPr>
        <w:pStyle w:val="Heading3"/>
      </w:pPr>
      <w:r>
        <w:t>5.3 No trading of principles</w:t>
      </w:r>
    </w:p>
    <w:p w14:paraId="2F4C0E66" w14:textId="77777777" w:rsidR="00293BDE" w:rsidRDefault="00000000">
      <w:pPr>
        <w:pStyle w:val="FirstParagraph"/>
      </w:pPr>
      <w:bookmarkStart w:id="69" w:name="no-trading-of-principles"/>
      <w:r>
        <w:t>The principles do not trade against each other. No organ balances one principle against another, and no package deal strengthens one line by weakening another. The architecture holds all sixteen lines simultaneously or holds nothing. This rule prevents the gradual erosion that package bargaining produces.</w:t>
      </w:r>
      <w:bookmarkEnd w:id="69"/>
    </w:p>
    <w:p w14:paraId="13D12B2F" w14:textId="77777777" w:rsidR="00293BDE" w:rsidRDefault="00000000">
      <w:pPr>
        <w:pStyle w:val="Heading3"/>
      </w:pPr>
      <w:r>
        <w:t>5.4 Principle consultation</w:t>
      </w:r>
    </w:p>
    <w:p w14:paraId="5A727287" w14:textId="77777777" w:rsidR="00293BDE" w:rsidRDefault="00000000">
      <w:pPr>
        <w:pStyle w:val="FirstParagraph"/>
      </w:pPr>
      <w:bookmarkStart w:id="70" w:name="principle-consultation"/>
      <w:r>
        <w:t>Any Party, any Endorsing Stakeholder, or the Neutral Administrator triggers a Principle Consultation by written notice that a proposed or operating measure approaches a principle. The Horizon Council convenes within seventy-two hours, hears the Neutral Administrator’s assessment, and resolves the approach under the Consensus Minus the Concerned Party rule of Article 15. During the consultation, the measure in question holds in its current state; nothing changes by the mere filing of the notice.</w:t>
      </w:r>
      <w:bookmarkEnd w:id="70"/>
    </w:p>
    <w:p w14:paraId="73A097AE" w14:textId="77777777" w:rsidR="00293BDE" w:rsidRDefault="00000000">
      <w:pPr>
        <w:pStyle w:val="Heading3"/>
      </w:pPr>
      <w:r>
        <w:t>5.5 Standing examples</w:t>
      </w:r>
    </w:p>
    <w:p w14:paraId="72E7EAF7" w14:textId="77777777" w:rsidR="00293BDE" w:rsidRDefault="00000000">
      <w:pPr>
        <w:pStyle w:val="FirstParagraph"/>
      </w:pPr>
      <w:bookmarkStart w:id="71" w:name="standing-examples"/>
      <w:r>
        <w:t>The Register’s standing examples illustrate the lines in operation. A proposal to condition transit on prior approval fails IPR-4 at origin. A proposal to invoice a vessel for passage rather than for a delivered service fails IPR-1. A proposal to staff the watch floor with military personnel fails IPR-6. A proposal to route Authority radar data to a weapons system fails IPR-12. A proposal to alter a corridor boundary by one coastal state’s act alone fails IPR-13. A proposal to split corridor activation from the termination of impediments fails IPR-16. These examples guide the Perimeter Test; they do not exhaust it.</w:t>
      </w:r>
      <w:bookmarkEnd w:id="71"/>
    </w:p>
    <w:p w14:paraId="462DF034" w14:textId="77777777" w:rsidR="00293BDE" w:rsidRDefault="00000000">
      <w:pPr>
        <w:pStyle w:val="Heading3"/>
      </w:pPr>
      <w:r>
        <w:t>5.6 The Register as domestic assurance</w:t>
      </w:r>
    </w:p>
    <w:p w14:paraId="6B64D913" w14:textId="77777777" w:rsidR="00293BDE" w:rsidRDefault="00000000">
      <w:pPr>
        <w:pStyle w:val="FirstParagraph"/>
      </w:pPr>
      <w:bookmarkStart w:id="72" w:name="Xe0f87098abe3c21f14be2929d72f3cfdae41a57"/>
      <w:bookmarkStart w:id="73" w:name="the-register-as-domestic-assurance"/>
      <w:r>
        <w:t>Each Party’s declaration of intent under Article 28.3 cites the principles that Party holds most fundamental. The Register thereby doubles as each government’s public assurance to its own people: the lines it drew are in the text, in the architecture, and in the Perimeter Test that guards every future measure. The Register makes ratification defensible in every capital, because every capital reads its own red lines in black letters.</w:t>
      </w:r>
      <w:bookmarkEnd w:id="72"/>
      <w:bookmarkEnd w:id="73"/>
    </w:p>
    <w:p w14:paraId="16E8941B" w14:textId="77777777" w:rsidR="00293BDE" w:rsidRDefault="00000000">
      <w:pPr>
        <w:pStyle w:val="Heading2"/>
      </w:pPr>
      <w:bookmarkStart w:id="74" w:name="__RefHeading___Toc10820_3324765499"/>
      <w:bookmarkEnd w:id="74"/>
      <w:r>
        <w:t>Article 6: Parties, Roles, and Participation Architecture</w:t>
      </w:r>
    </w:p>
    <w:p w14:paraId="7386A05B" w14:textId="77777777" w:rsidR="00293BDE" w:rsidRDefault="00000000">
      <w:pPr>
        <w:pStyle w:val="Heading3"/>
      </w:pPr>
      <w:r>
        <w:t>6.1 The participation layers</w:t>
      </w:r>
    </w:p>
    <w:p w14:paraId="0EC2A704" w14:textId="77777777" w:rsidR="00293BDE" w:rsidRDefault="00000000">
      <w:pPr>
        <w:pStyle w:val="FirstParagraph"/>
      </w:pPr>
      <w:r>
        <w:t>The Compact operates through five participation layers, each with defined rights and no implied hierarchy beyond what the layer definitions state:</w:t>
      </w:r>
    </w:p>
    <w:p w14:paraId="5C8E03EA" w14:textId="77777777" w:rsidR="00293BDE" w:rsidRDefault="00000000">
      <w:pPr>
        <w:pStyle w:val="Compact"/>
        <w:numPr>
          <w:ilvl w:val="0"/>
          <w:numId w:val="3"/>
        </w:numPr>
      </w:pPr>
      <w:r>
        <w:t>The Coastal Two: the Islamic Republic of Iran and the Sultanate of Oman, the Founding Parties, who perform the corridor service functions, co-chair the Horizon Council, and hold the functions of Article 13.</w:t>
      </w:r>
    </w:p>
    <w:p w14:paraId="4F392271" w14:textId="77777777" w:rsidR="00293BDE" w:rsidRDefault="00000000">
      <w:pPr>
        <w:pStyle w:val="Compact"/>
        <w:numPr>
          <w:ilvl w:val="0"/>
          <w:numId w:val="4"/>
        </w:numPr>
      </w:pPr>
      <w:r>
        <w:t>The Littoral Parties: the United Arab Emirates, the State of Qatar, the Kingdom of Bahrain, the State of Kuwait, the Kingdom of Saudi Arabia, and the Republic of Iraq, upon accession under Article 31, who hold Council seats, monitoring access, and the functional roles of Article 24.</w:t>
      </w:r>
    </w:p>
    <w:p w14:paraId="5DEB1B3F" w14:textId="77777777" w:rsidR="00293BDE" w:rsidRDefault="00000000">
      <w:pPr>
        <w:pStyle w:val="Compact"/>
        <w:numPr>
          <w:ilvl w:val="0"/>
          <w:numId w:val="5"/>
        </w:numPr>
      </w:pPr>
      <w:r>
        <w:t>The Endorsing Stakeholders: the United States of America, and upon endorsement the European Union, the United Kingdom, and the French Republic, who hold monitoring access, observer seats, and the endorsement functions of Article 14.</w:t>
      </w:r>
    </w:p>
    <w:p w14:paraId="1F8123B2" w14:textId="77777777" w:rsidR="00293BDE" w:rsidRDefault="00000000">
      <w:pPr>
        <w:pStyle w:val="Compact"/>
        <w:numPr>
          <w:ilvl w:val="0"/>
          <w:numId w:val="6"/>
        </w:numPr>
      </w:pPr>
      <w:r>
        <w:t>The Neutral Institutions: the Swiss Confederation as Neutral Administrator; the State of Qatar and the Islamic Republic of Pakistan as Facilitators; the IMO, the IHO, and UNMAS as Technical Interfaces.</w:t>
      </w:r>
    </w:p>
    <w:p w14:paraId="3843150B" w14:textId="77777777" w:rsidR="00293BDE" w:rsidRDefault="00000000">
      <w:pPr>
        <w:pStyle w:val="Compact"/>
        <w:numPr>
          <w:ilvl w:val="0"/>
          <w:numId w:val="7"/>
        </w:numPr>
      </w:pPr>
      <w:bookmarkStart w:id="75" w:name="the-participation-layers"/>
      <w:r>
        <w:t>The Stakeholder Panel: shipowners, cargo owners, insurers, classification societies, and seafarer organizations, accredited under Article 14.6, who hold advisory voice and user feedback functions.</w:t>
      </w:r>
      <w:bookmarkEnd w:id="75"/>
    </w:p>
    <w:p w14:paraId="008B1560" w14:textId="77777777" w:rsidR="00293BDE" w:rsidRDefault="00000000">
      <w:pPr>
        <w:pStyle w:val="Heading3"/>
      </w:pPr>
      <w:r>
        <w:t>6.2 The Coastal Two</w:t>
      </w:r>
    </w:p>
    <w:p w14:paraId="72BFB733" w14:textId="77777777" w:rsidR="00293BDE" w:rsidRDefault="00000000">
      <w:pPr>
        <w:pStyle w:val="FirstParagraph"/>
      </w:pPr>
      <w:bookmarkStart w:id="76" w:name="the-coastal-two"/>
      <w:r>
        <w:t>The Islamic Republic of Iran and the Sultanate of Oman found this Compact as equals. Each holds: one co-chairmanship of the Horizon Council, exercised in alternation by calendar quarter; parity staffing rights under Annex E; full access to all data products; the service functions of its corridor under Article 8; and the joint functions of the Central Buffer Corridor. Neither holds authority over the other’s corridor, staff, data, or decisions.</w:t>
      </w:r>
      <w:bookmarkEnd w:id="76"/>
    </w:p>
    <w:p w14:paraId="3FE409A1" w14:textId="77777777" w:rsidR="00293BDE" w:rsidRDefault="00000000">
      <w:pPr>
        <w:pStyle w:val="Heading3"/>
      </w:pPr>
      <w:r>
        <w:t>6.3 The United States as Endorsing Stakeholder</w:t>
      </w:r>
    </w:p>
    <w:p w14:paraId="2A522C4C" w14:textId="77777777" w:rsidR="00293BDE" w:rsidRDefault="00000000">
      <w:pPr>
        <w:pStyle w:val="FirstParagraph"/>
      </w:pPr>
      <w:bookmarkStart w:id="77" w:name="Xf4a0e4316418ee8ba7df2223bf6534fdc617b26"/>
      <w:r>
        <w:t>The United States of America participates as Endorsing Stakeholder: it endorses the Compact, holds a standing observer seat on the Horizon Council, receives the full monitoring picture under Annex B access rules, designates a naval liaison to the de-confliction channel of Article 23, and participates in the Activation Review of Article 30. The endorsement carries no command function, no veto, and no enforcement role inside the architecture, and the architecture assigns no such function to any external state under IPR-14. The United States’ observer seat carries voice without vote on Council decision tracks, and carries full voice on the Stakeholder Panel.</w:t>
      </w:r>
      <w:bookmarkEnd w:id="77"/>
    </w:p>
    <w:p w14:paraId="2D7A2C0A" w14:textId="77777777" w:rsidR="00293BDE" w:rsidRDefault="00000000">
      <w:pPr>
        <w:pStyle w:val="Heading3"/>
      </w:pPr>
      <w:r>
        <w:t>6.4 The Littoral Parties and the GCC observer track</w:t>
      </w:r>
    </w:p>
    <w:p w14:paraId="42F83999" w14:textId="77777777" w:rsidR="00293BDE" w:rsidRDefault="00000000">
      <w:pPr>
        <w:pStyle w:val="FirstParagraph"/>
      </w:pPr>
      <w:bookmarkStart w:id="78" w:name="Xac5c39f7c4c45b717b7a84fbd652da7c5c14397"/>
      <w:r>
        <w:t>Each acceding Littoral Party holds a Council seat with vote on the tracks defined in Article 15, monitoring access, and the emergency-response roles of Article 24. Pending accession, the Gulf Cooperation Council Secretariat holds a collective observer seat, so that the Gulf states participate from the first day of the Assurance Phase without waiting for national ratification calendars. Accession converts the observer seat into full seats without interrupting continuity.</w:t>
      </w:r>
      <w:bookmarkEnd w:id="78"/>
    </w:p>
    <w:p w14:paraId="47C684BD" w14:textId="77777777" w:rsidR="00293BDE" w:rsidRDefault="00000000">
      <w:pPr>
        <w:pStyle w:val="Heading3"/>
      </w:pPr>
      <w:r>
        <w:t>6.5 The European and international observer track</w:t>
      </w:r>
    </w:p>
    <w:p w14:paraId="25DF1E8E" w14:textId="77777777" w:rsidR="00293BDE" w:rsidRDefault="00000000">
      <w:pPr>
        <w:pStyle w:val="FirstParagraph"/>
      </w:pPr>
      <w:bookmarkStart w:id="79" w:name="X767f3e6c5952375df6ca2dc6b2f4d9c70f51ed4"/>
      <w:r>
        <w:t>The European Union, acting through its maritime safety structures, and the IMO hold observer seats with full monitoring access. The European track carries the functions of Annex K: environmental audit participation, incident-log access, and safety-standards review. Additional maritime states and international bodies accede to observer status through the silence procedure of Article 15.4.</w:t>
      </w:r>
      <w:bookmarkEnd w:id="79"/>
    </w:p>
    <w:p w14:paraId="7BA3E388" w14:textId="77777777" w:rsidR="00293BDE" w:rsidRDefault="00000000">
      <w:pPr>
        <w:pStyle w:val="Heading3"/>
      </w:pPr>
      <w:r>
        <w:t>6.6 The Stakeholder Panel</w:t>
      </w:r>
    </w:p>
    <w:p w14:paraId="595CD037" w14:textId="77777777" w:rsidR="00293BDE" w:rsidRDefault="00000000">
      <w:pPr>
        <w:pStyle w:val="FirstParagraph"/>
      </w:pPr>
      <w:bookmarkStart w:id="80" w:name="the-stakeholder-panel"/>
      <w:r>
        <w:t>The Stakeholder Panel assembles the users of the waterway: shipowners and operators, charterers and cargo owners, protection and indemnity clubs, war-risk underwriters, classification societies, pilot associations, and seafarer unions. The Panel meets quarterly, receives every data product of Article 22, advises the Horizon Council on operational practicality, and files the User Feedback Reports that feed the Lessons Learned process. The Panel holds no vote; its power is accurate information and the market’s response to it.</w:t>
      </w:r>
      <w:bookmarkEnd w:id="80"/>
    </w:p>
    <w:p w14:paraId="58ACB8E7" w14:textId="77777777" w:rsidR="00293BDE" w:rsidRDefault="00000000">
      <w:pPr>
        <w:pStyle w:val="Heading3"/>
      </w:pPr>
      <w:r>
        <w:t>6.7 The Neutral Administrator</w:t>
      </w:r>
    </w:p>
    <w:p w14:paraId="753E5779" w14:textId="77777777" w:rsidR="00293BDE" w:rsidRDefault="00000000">
      <w:pPr>
        <w:pStyle w:val="FirstParagraph"/>
      </w:pPr>
      <w:bookmarkStart w:id="81" w:name="the-neutral-administrator"/>
      <w:r>
        <w:t>The Swiss Confederation serves as Neutral Administrator. It administers the principal clearing account of the Strait Services Fund under Article 19, hosts the independent audit function of Article 20, maintains the Shared Data Registry’s cryptographic custody jointly with the Authority, chairs the Neutral Facilitation Troika, and convenes the Guarantor and Facilitation Panel under Article 15.6. The Neutral Administrator commands no Party and no organ; it operates machinery that the Parties own jointly.</w:t>
      </w:r>
      <w:bookmarkEnd w:id="81"/>
    </w:p>
    <w:p w14:paraId="73AEA9D3" w14:textId="77777777" w:rsidR="00293BDE" w:rsidRDefault="00000000">
      <w:pPr>
        <w:pStyle w:val="Heading3"/>
      </w:pPr>
      <w:r>
        <w:t>6.8 The Facilitators</w:t>
      </w:r>
    </w:p>
    <w:p w14:paraId="0EB60103" w14:textId="77777777" w:rsidR="00293BDE" w:rsidRDefault="00000000">
      <w:pPr>
        <w:pStyle w:val="FirstParagraph"/>
      </w:pPr>
      <w:bookmarkStart w:id="82" w:name="the-facilitators"/>
      <w:r>
        <w:t>The State of Qatar and the Islamic Republic of Pakistan serve as Facilitators. They maintain the diplomatic channels between participants that maintain no direct relations, carry communications that the architecture requires to move without direct contact, host consultations under Article 26, and sit on the Guarantor and Facilitation Panel. The facilitator function continues the roles both states performed through the negotiations of 2026.</w:t>
      </w:r>
      <w:bookmarkEnd w:id="82"/>
    </w:p>
    <w:p w14:paraId="77517F37" w14:textId="77777777" w:rsidR="00293BDE" w:rsidRDefault="00000000">
      <w:pPr>
        <w:pStyle w:val="Heading3"/>
      </w:pPr>
      <w:r>
        <w:t>6.9 No external command; no internal command</w:t>
      </w:r>
    </w:p>
    <w:p w14:paraId="0C8A6ADA" w14:textId="77777777" w:rsidR="00293BDE" w:rsidRDefault="00000000">
      <w:pPr>
        <w:pStyle w:val="FirstParagraph"/>
      </w:pPr>
      <w:bookmarkStart w:id="83" w:name="no-external-command-no-internal-command"/>
      <w:r>
        <w:t>No layer commands another. The Coastal Two do not command the Littoral Parties. No Endorsing Stakeholder commands any organ. The Authority commands no Party. The architecture coordinates sovereign equals through geometry, verification, and fund mechanics, and it possesses no command function at all.</w:t>
      </w:r>
      <w:bookmarkEnd w:id="83"/>
    </w:p>
    <w:p w14:paraId="3531E910" w14:textId="77777777" w:rsidR="00293BDE" w:rsidRDefault="00000000">
      <w:pPr>
        <w:pStyle w:val="Heading3"/>
      </w:pPr>
      <w:r>
        <w:t>6.10 Participation without recognition</w:t>
      </w:r>
    </w:p>
    <w:p w14:paraId="56C6E9AC" w14:textId="77777777" w:rsidR="00293BDE" w:rsidRDefault="00000000">
      <w:pPr>
        <w:pStyle w:val="FirstParagraph"/>
      </w:pPr>
      <w:r>
        <w:t>Participation in any layer, by any state or body, implies no recognition of any other participant’s government, claims, or positions. The architecture serves states that maintain full relations and states that maintain none, in the same rooms, on the same data, under the same rules. The Compact’s rooms are workplaces, not salons: presence is functional, and function carries no political signature.</w:t>
      </w:r>
    </w:p>
    <w:bookmarkStart w:id="84" w:name="part-i-foundations"/>
    <w:bookmarkStart w:id="85" w:name="X89e0d16b0b0ffb38573a6fe80d4f98fbd01d22d"/>
    <w:bookmarkStart w:id="86" w:name="participation-without-recognition"/>
    <w:p w14:paraId="27FF43AD" w14:textId="7924C851" w:rsidR="00293BDE" w:rsidRDefault="00622008">
      <w:r>
        <w:rPr>
          <w:noProof/>
        </w:rPr>
      </w:r>
      <w:r>
        <w:pict w14:anchorId="305B96A2">
          <v:rect id="Rectangle 8" o:spid="_x0000_s1047"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84"/>
      <w:bookmarkEnd w:id="85"/>
      <w:bookmarkEnd w:id="86"/>
    </w:p>
    <w:p w14:paraId="06D415AC" w14:textId="77777777" w:rsidR="00293BDE" w:rsidRDefault="00000000">
      <w:pPr>
        <w:pStyle w:val="Heading1"/>
      </w:pPr>
      <w:bookmarkStart w:id="87" w:name="__RefHeading___Toc10822_3324765499"/>
      <w:bookmarkEnd w:id="87"/>
      <w:r>
        <w:t>PART II: THE THREE-CORRIDOR NAVIGATION SYSTEM</w:t>
      </w:r>
    </w:p>
    <w:p w14:paraId="11502873" w14:textId="77777777" w:rsidR="00293BDE" w:rsidRDefault="00000000">
      <w:pPr>
        <w:pStyle w:val="Heading2"/>
      </w:pPr>
      <w:bookmarkStart w:id="88" w:name="__RefHeading___Toc10824_3324765499"/>
      <w:bookmarkEnd w:id="88"/>
      <w:r>
        <w:t>Article 7: The Governance Area and Boundary Coordinates</w:t>
      </w:r>
    </w:p>
    <w:p w14:paraId="4B2C89C3" w14:textId="77777777" w:rsidR="00293BDE" w:rsidRDefault="00000000">
      <w:pPr>
        <w:pStyle w:val="Heading3"/>
      </w:pPr>
      <w:r>
        <w:t>7.1 Establishment</w:t>
      </w:r>
    </w:p>
    <w:p w14:paraId="06ADCA58" w14:textId="77777777" w:rsidR="00293BDE" w:rsidRDefault="00000000">
      <w:pPr>
        <w:pStyle w:val="FirstParagraph"/>
      </w:pPr>
      <w:bookmarkStart w:id="89" w:name="establishment-1"/>
      <w:r>
        <w:t>The Parties establish the Governance Area as the waters enclosed by the outer boundary lines of Annex A, Section A.1. The Governance Area spans the Strait from the approach lines east of the main turning basin to the exit lines west of the traffic scheme, encompassing the full corridor system and its precautionary zones.</w:t>
      </w:r>
      <w:bookmarkEnd w:id="89"/>
    </w:p>
    <w:p w14:paraId="543856E7" w14:textId="77777777" w:rsidR="00293BDE" w:rsidRDefault="00000000">
      <w:pPr>
        <w:pStyle w:val="Heading3"/>
      </w:pPr>
      <w:r>
        <w:t>7.2 Outer boundary</w:t>
      </w:r>
    </w:p>
    <w:p w14:paraId="106AB9F5" w14:textId="77777777" w:rsidR="00293BDE" w:rsidRDefault="00000000">
      <w:pPr>
        <w:pStyle w:val="FirstParagraph"/>
      </w:pPr>
      <w:bookmarkStart w:id="90" w:name="outer-boundary"/>
      <w:r>
        <w:t>The outer boundary follows the polyline that Annex A, Section A.1 registers, drawn to enclose the corridor system, the separation belts, the precautionary zones, and the holding anchorages, and drawn to exclude, to the maximum practicable extent, waters outside the operational needs of the scheme. The boundary is an administrative line for Compact functions only; it delimits nothing and prejudices nothing.</w:t>
      </w:r>
      <w:bookmarkEnd w:id="90"/>
    </w:p>
    <w:p w14:paraId="696C9DE7" w14:textId="77777777" w:rsidR="00293BDE" w:rsidRDefault="00000000">
      <w:pPr>
        <w:pStyle w:val="Heading3"/>
      </w:pPr>
      <w:r>
        <w:t>7.3 Internal reference lines</w:t>
      </w:r>
    </w:p>
    <w:p w14:paraId="06F2A613" w14:textId="77777777" w:rsidR="00293BDE" w:rsidRDefault="00000000">
      <w:pPr>
        <w:pStyle w:val="FirstParagraph"/>
      </w:pPr>
      <w:bookmarkStart w:id="91" w:name="internal-reference-lines"/>
      <w:r>
        <w:t>Annex A registers the internal reference lines: the corridor centrelines and edges, the separation belts, the precautionary zones at the principal turning points, the holding anchorages east and west, the crossing gates for traffic joining or leaving the scheme, the inshore bands reserved for coastal traffic, and the reporting points at which vessels make the position reports of Annex D.</w:t>
      </w:r>
      <w:bookmarkEnd w:id="91"/>
    </w:p>
    <w:p w14:paraId="25D9E3BF" w14:textId="77777777" w:rsidR="00293BDE" w:rsidRDefault="00000000">
      <w:pPr>
        <w:pStyle w:val="Heading3"/>
      </w:pPr>
      <w:r>
        <w:t>7.4 Chart custody and amendment</w:t>
      </w:r>
    </w:p>
    <w:p w14:paraId="3302DCBF" w14:textId="77777777" w:rsidR="00293BDE" w:rsidRDefault="00000000">
      <w:pPr>
        <w:pStyle w:val="FirstParagraph"/>
      </w:pPr>
      <w:bookmarkStart w:id="92" w:name="chart-custody-and-amendment"/>
      <w:r>
        <w:t>The IHO-recognized chart produced from Annex A constitutes the single authoritative chart of the scheme. The Coastal Two hold joint custody of the geometric registry, and the Authority holds the working copy. Geometric amendment follows the elevated track of Article 32.2: proposal by either Coastal Party or by the Technical and Standards Committee, joint survey verification, Dual-Concurrence of the Coastal Two, IMO notification, and publication by Notice to Mariners not fewer than ninety days before the amendment takes effect, except emergency safety amendments, which take effect on publication and confirm through the same track within thirty days.</w:t>
      </w:r>
      <w:bookmarkEnd w:id="92"/>
    </w:p>
    <w:p w14:paraId="0FDB545F" w14:textId="77777777" w:rsidR="00293BDE" w:rsidRDefault="00000000">
      <w:pPr>
        <w:pStyle w:val="Heading3"/>
      </w:pPr>
      <w:r>
        <w:t>7.5 Provisional and final coordinates</w:t>
      </w:r>
    </w:p>
    <w:p w14:paraId="6C4070D7" w14:textId="77777777" w:rsidR="00293BDE" w:rsidRDefault="00000000">
      <w:pPr>
        <w:pStyle w:val="FirstParagraph"/>
      </w:pPr>
      <w:bookmarkStart w:id="93" w:name="provisional-and-final-coordinates"/>
      <w:r>
        <w:t>The coordinates in force at signature are the provisional coordinates of Annex A, drawn from the coastal states’ agreed survey of 2026. During the Assurance Phase, the joint survey of Article 9 verifies and refines them. At Full Activation, the final coordinates register with the IMO and the IHO and publish worldwide. From Full Activation onward, the published coordinates constitute the only operative geometry, and Annex A carries them in full.</w:t>
      </w:r>
      <w:bookmarkEnd w:id="93"/>
    </w:p>
    <w:p w14:paraId="7F35C803" w14:textId="77777777" w:rsidR="00293BDE" w:rsidRDefault="00000000">
      <w:pPr>
        <w:pStyle w:val="Heading3"/>
      </w:pPr>
      <w:r>
        <w:t>7.6 The geometry publication rule</w:t>
      </w:r>
    </w:p>
    <w:p w14:paraId="4D47081C" w14:textId="77777777" w:rsidR="00293BDE" w:rsidRDefault="00000000">
      <w:pPr>
        <w:pStyle w:val="FirstParagraph"/>
      </w:pPr>
      <w:bookmarkStart w:id="94" w:name="X285e111b137817a4b3841b27caebb2382fb8cb2"/>
      <w:bookmarkStart w:id="95" w:name="the-geometry-publication-rule"/>
      <w:r>
        <w:t>Every geometric fact of the system is public: boundaries, corridors, belts, zones, anchorages, gates, bands, and reporting points. The architecture holds no secret geometry, because secret lines create suspicion and published lines create compliance. The only restricted operational data are the security-sensitive military notifications of Article 23.4, and those restrictions carry the defined custodians and review dates of Article 3.5.</w:t>
      </w:r>
      <w:bookmarkEnd w:id="94"/>
      <w:bookmarkEnd w:id="95"/>
    </w:p>
    <w:p w14:paraId="390EFF1A" w14:textId="77777777" w:rsidR="00293BDE" w:rsidRDefault="00000000">
      <w:pPr>
        <w:pStyle w:val="Heading2"/>
      </w:pPr>
      <w:bookmarkStart w:id="96" w:name="__RefHeading___Toc10826_3324765499"/>
      <w:bookmarkEnd w:id="96"/>
      <w:r>
        <w:t>Article 8: The Three Corridors</w:t>
      </w:r>
    </w:p>
    <w:p w14:paraId="0F5D55A0" w14:textId="77777777" w:rsidR="00293BDE" w:rsidRDefault="00000000">
      <w:pPr>
        <w:pStyle w:val="Heading3"/>
      </w:pPr>
      <w:r>
        <w:t>8.1 The three-corridor system</w:t>
      </w:r>
    </w:p>
    <w:p w14:paraId="0AAA920D" w14:textId="77777777" w:rsidR="00293BDE" w:rsidRDefault="00000000">
      <w:pPr>
        <w:pStyle w:val="FirstParagraph"/>
      </w:pPr>
      <w:bookmarkStart w:id="97" w:name="the-three-corridor-system"/>
      <w:r>
        <w:t>The Governance Area operates a three-corridor system: the Northern Inbound Corridor for traffic bound into the Gulf, the Southern Outbound Corridor for traffic bound out of the Gulf, and the Central Buffer Corridor between them for separation, emergency routing, and de-confliction. The system geometry follows the settled principle that inbound traffic uses the northern lane group and outbound traffic uses the southern lane group, with the buffer holding the space between. The three-corridor model reflects the architecture the coastal states mapped in their 2026 understanding: two traffic lanes and a third, central safety corridor that keeps the whole system stable.</w:t>
      </w:r>
      <w:bookmarkEnd w:id="97"/>
    </w:p>
    <w:p w14:paraId="4CB1B5AB" w14:textId="77777777" w:rsidR="00293BDE" w:rsidRDefault="00000000">
      <w:pPr>
        <w:pStyle w:val="Heading3"/>
      </w:pPr>
      <w:r>
        <w:t>8.2 The Northern Inbound Corridor</w:t>
      </w:r>
    </w:p>
    <w:p w14:paraId="58933CC2" w14:textId="77777777" w:rsidR="00293BDE" w:rsidRDefault="00000000">
      <w:pPr>
        <w:pStyle w:val="FirstParagraph"/>
      </w:pPr>
      <w:bookmarkStart w:id="98" w:name="the-northern-inbound-corridor"/>
      <w:r>
        <w:t>The Northern Inbound Corridor carries all commercial traffic entering the Gulf along the northern lane group registered in Annex A, Section A.3. The Islamic Republic of Iran performs the corridor service functions: traffic management, vessel traffic information, navigation assistance, pilotage on request, tug assistance on request, environmental monitoring, and emergency-response readiness. The corridor transits continuously. A vessel using it files the twelve-field transit notice of Annex D no later than six hours before entering the Governance Area; the notice informs the system and conditions nothing. The corridor charges no fee for transit; the Strait Services Fund invoices only the Verified Services Catalog items the vessel actually receives, under Article 18.</w:t>
      </w:r>
      <w:bookmarkEnd w:id="98"/>
    </w:p>
    <w:p w14:paraId="238EBDF0" w14:textId="77777777" w:rsidR="00293BDE" w:rsidRDefault="00000000">
      <w:pPr>
        <w:pStyle w:val="Heading3"/>
      </w:pPr>
      <w:r>
        <w:t>8.3 The Southern Outbound Corridor</w:t>
      </w:r>
    </w:p>
    <w:p w14:paraId="36196366" w14:textId="77777777" w:rsidR="00293BDE" w:rsidRDefault="00000000">
      <w:pPr>
        <w:pStyle w:val="FirstParagraph"/>
      </w:pPr>
      <w:bookmarkStart w:id="99" w:name="the-southern-outbound-corridor"/>
      <w:r>
        <w:t>The Southern Outbound Corridor carries all commercial traffic leaving the Gulf along the southern lane group registered in Annex A, Section A.2. The Sultanate of Oman performs the corridor service functions on the same catalog terms. The corridor transits unconditionally and without any notification layer, under IPR-2: a vessel using it files nothing, asks nothing, and pays nothing for passage. Outbound vessels receive traffic information broadcasts on the published working channel and freely file the voluntary transit notice of Annex D to receive routing information and data services, but no obligation attaches to the choice.</w:t>
      </w:r>
      <w:bookmarkEnd w:id="99"/>
    </w:p>
    <w:p w14:paraId="07071746" w14:textId="77777777" w:rsidR="00293BDE" w:rsidRDefault="00000000">
      <w:pPr>
        <w:pStyle w:val="Heading3"/>
      </w:pPr>
      <w:r>
        <w:t>8.4 The Central Buffer Corridor</w:t>
      </w:r>
    </w:p>
    <w:p w14:paraId="36149C64" w14:textId="77777777" w:rsidR="00293BDE" w:rsidRDefault="00000000">
      <w:pPr>
        <w:pStyle w:val="FirstParagraph"/>
      </w:pPr>
      <w:bookmarkStart w:id="100" w:name="the-central-buffer-corridor"/>
      <w:r>
        <w:t>The Central Buffer Corridor holds the separation space between the inbound and outbound lane groups, registered in Annex A, Section A.4. The Coastal Two jointly administer it. The Buffer Corridor serves four functions: physical separation of opposing traffic flows; emergency diversion routing when either traffic corridor closes temporarily for safety; search-and-rescue routing under Article 24; and naval de-confliction geometry under Article 23. Routine commercial traffic does not use the Buffer Corridor. A vessel enters it only on diversion instruction from the Authority’s watch floor, on its own master’s distress decision, or as a naval de-confliction measure. The Buffer Corridor carries no charge of any kind, ever, and its use never evidences fault, consent, or claim.</w:t>
      </w:r>
      <w:bookmarkEnd w:id="100"/>
    </w:p>
    <w:p w14:paraId="4FC07880" w14:textId="77777777" w:rsidR="00293BDE" w:rsidRDefault="00000000">
      <w:pPr>
        <w:pStyle w:val="Heading3"/>
      </w:pPr>
      <w:r>
        <w:t>8.5 Management arrangement and the Corridor Management Council</w:t>
      </w:r>
    </w:p>
    <w:p w14:paraId="25DBADFA" w14:textId="77777777" w:rsidR="00293BDE" w:rsidRDefault="00000000">
      <w:pPr>
        <w:pStyle w:val="FirstParagraph"/>
      </w:pPr>
      <w:bookmarkStart w:id="101" w:name="Xa0413ae44c555809916d1a92bd49d4980a47fbd"/>
      <w:r>
        <w:t>The Corridor Management Council, composed of the two corridor function managers and the Authority’s Director of Operations, meets weekly and on any incident. It reviews traffic density, service delivery, near-miss data, and survey results; it tunes traffic management measures inside the registered geometry; and it publishes the weekly corridor performance summary. The Council never alters geometry, never conditions passage, and never acts outside the registered scheme.</w:t>
      </w:r>
      <w:bookmarkEnd w:id="101"/>
    </w:p>
    <w:p w14:paraId="77AE23BD" w14:textId="77777777" w:rsidR="00293BDE" w:rsidRDefault="00000000">
      <w:pPr>
        <w:pStyle w:val="Heading3"/>
      </w:pPr>
      <w:r>
        <w:t>8.6 Flow States</w:t>
      </w:r>
    </w:p>
    <w:p w14:paraId="6E9DF448" w14:textId="77777777" w:rsidR="00293BDE" w:rsidRDefault="00000000">
      <w:pPr>
        <w:pStyle w:val="FirstParagraph"/>
      </w:pPr>
      <w:r>
        <w:t>The corridor system operates in three Flow States, declared by the Authority’s watch floor and broadcast on the Open Water Bulletin:</w:t>
      </w:r>
    </w:p>
    <w:p w14:paraId="3CB15A47" w14:textId="77777777" w:rsidR="00293BDE" w:rsidRDefault="00000000">
      <w:pPr>
        <w:pStyle w:val="Compact"/>
        <w:numPr>
          <w:ilvl w:val="0"/>
          <w:numId w:val="8"/>
        </w:numPr>
      </w:pPr>
      <w:r>
        <w:t>Flow State Green: normal operations. All corridors open; full service catalog available.</w:t>
      </w:r>
    </w:p>
    <w:p w14:paraId="7AE133D3" w14:textId="77777777" w:rsidR="00293BDE" w:rsidRDefault="00000000">
      <w:pPr>
        <w:pStyle w:val="Compact"/>
        <w:numPr>
          <w:ilvl w:val="0"/>
          <w:numId w:val="9"/>
        </w:numPr>
      </w:pPr>
      <w:r>
        <w:t>Flow State Amber: degraded operations in a defined segment, triggered by weather, survey hazard, traffic congestion, or incident response. The Bulletin identifies the segment, the constraint, and the expected duration. Passage continues; routing guidance adjusts.</w:t>
      </w:r>
    </w:p>
    <w:p w14:paraId="2C8E2448" w14:textId="77777777" w:rsidR="00293BDE" w:rsidRDefault="00000000">
      <w:pPr>
        <w:pStyle w:val="Compact"/>
        <w:numPr>
          <w:ilvl w:val="0"/>
          <w:numId w:val="10"/>
        </w:numPr>
      </w:pPr>
      <w:r>
        <w:t>Flow State Red: temporary safety suspension of a defined segment, triggered only by an immediate physical hazard (mine suspicion, obstruction, casualty, or spill). The Buffer Corridor absorbs diverted traffic. The Authority declares Red for the minimum segment and the minimum time the hazard requires, and the declaration carries automatic review by the Corridor Management Council within six hours and by the Horizon Council within twenty-four.</w:t>
      </w:r>
    </w:p>
    <w:p w14:paraId="6412B718" w14:textId="77777777" w:rsidR="00293BDE" w:rsidRDefault="00000000">
      <w:pPr>
        <w:pStyle w:val="FirstParagraph"/>
      </w:pPr>
      <w:bookmarkStart w:id="102" w:name="flow-states"/>
      <w:r>
        <w:t>No Flow State closes the Strait. No Flow State suspends passage as such; Red suspends use of one segment while the Buffer Corridor carries the flow. Humanitarian traffic moves in every Flow State under IPR-10.</w:t>
      </w:r>
      <w:bookmarkEnd w:id="102"/>
    </w:p>
    <w:p w14:paraId="3D0704DC" w14:textId="77777777" w:rsidR="00293BDE" w:rsidRDefault="00000000">
      <w:pPr>
        <w:pStyle w:val="Heading3"/>
      </w:pPr>
      <w:r>
        <w:t>8.7 The Open Water Bulletin</w:t>
      </w:r>
    </w:p>
    <w:p w14:paraId="51525066" w14:textId="77777777" w:rsidR="00293BDE" w:rsidRDefault="00000000">
      <w:pPr>
        <w:pStyle w:val="FirstParagraph"/>
      </w:pPr>
      <w:bookmarkStart w:id="103" w:name="the-open-water-bulletin"/>
      <w:r>
        <w:t>The Authority publishes the Open Water Bulletin continuously on the published working channel, on the public website, and through the satellite safety broadcast service. The Bulletin carries: the Flow State of each segment; hazard notices; survey progress; routing guidance; exercise notifications inside Quiet Water Windows; and service-availability notices. The Bulletin is the single authoritative operational voice of the system. Mariners who follow the Bulletin receive the system’s full service and the presumption of good standing under Article 11.</w:t>
      </w:r>
      <w:bookmarkEnd w:id="103"/>
    </w:p>
    <w:p w14:paraId="5DE34925" w14:textId="77777777" w:rsidR="00293BDE" w:rsidRDefault="00000000">
      <w:pPr>
        <w:pStyle w:val="Heading3"/>
      </w:pPr>
      <w:r>
        <w:t>8.8 Traffic capacity and scheduling</w:t>
      </w:r>
    </w:p>
    <w:p w14:paraId="737A0673" w14:textId="77777777" w:rsidR="00293BDE" w:rsidRDefault="00000000">
      <w:pPr>
        <w:pStyle w:val="FirstParagraph"/>
      </w:pPr>
      <w:bookmarkStart w:id="104" w:name="traffic-capacity-and-scheduling"/>
      <w:r>
        <w:t>The corridor system handles the full restored traffic volume of the Strait, on the order of one hundred corridor transits per day, without scheduling windows for ordinary traffic. Where density or a Flow State requires sequencing, the watch floor assigns crossing sequences on a first-noticed, first-scheduled basis, with Class F and humanitarian traffic holding priority. Sequencing decisions log in the registry with their reasons, and the weekly performance summary publishes the statistics, so that sequencing stays a traffic tool and never becomes a gate.</w:t>
      </w:r>
      <w:bookmarkEnd w:id="104"/>
    </w:p>
    <w:p w14:paraId="2B566D34" w14:textId="77777777" w:rsidR="00293BDE" w:rsidRDefault="00000000">
      <w:pPr>
        <w:pStyle w:val="Heading3"/>
      </w:pPr>
      <w:r>
        <w:t>8.9 Aids to navigation</w:t>
      </w:r>
    </w:p>
    <w:p w14:paraId="2DA82E72" w14:textId="77777777" w:rsidR="00293BDE" w:rsidRDefault="00000000">
      <w:pPr>
        <w:pStyle w:val="FirstParagraph"/>
      </w:pPr>
      <w:bookmarkStart w:id="105" w:name="article-8-the-three-corridors"/>
      <w:bookmarkStart w:id="106" w:name="aids-to-navigation"/>
      <w:r>
        <w:t>The Coastal Two maintain the aids to navigation of the corridor system (lights, buoys, racons, and the virtual aids of the electronic chart) to IALA standards inside their respective waters, funded from the system-cost line of Annex B. The ground-truth patrols of Article 10.6 verify the aids on a published cycle; discrepancies correct within seventy-two hours; the Bulletin carries every change.</w:t>
      </w:r>
      <w:bookmarkEnd w:id="105"/>
      <w:bookmarkEnd w:id="106"/>
    </w:p>
    <w:p w14:paraId="280A9AFD" w14:textId="77777777" w:rsidR="00293BDE" w:rsidRDefault="00000000">
      <w:pPr>
        <w:pStyle w:val="Heading2"/>
      </w:pPr>
      <w:bookmarkStart w:id="107" w:name="__RefHeading___Toc10828_3324765499"/>
      <w:bookmarkEnd w:id="107"/>
      <w:r>
        <w:t>Article 9: Hazard Survey, Mines, and the Reopening Sequence</w:t>
      </w:r>
    </w:p>
    <w:p w14:paraId="39E8B201" w14:textId="77777777" w:rsidR="00293BDE" w:rsidRDefault="00000000">
      <w:pPr>
        <w:pStyle w:val="Heading3"/>
      </w:pPr>
      <w:r>
        <w:t>9.1 The mine exclusion</w:t>
      </w:r>
    </w:p>
    <w:p w14:paraId="2F019EE4" w14:textId="77777777" w:rsidR="00293BDE" w:rsidRDefault="00000000">
      <w:pPr>
        <w:pStyle w:val="FirstParagraph"/>
      </w:pPr>
      <w:bookmarkStart w:id="108" w:name="the-mine-exclusion"/>
      <w:r>
        <w:t>The framework architecture excludes naval mines from the Governance Area absolutely. No Party, and no actor under any Party’s influence, emplaces, maintains, or tolerates mines in the Governance Area. The exclusion covers every flow state, every dispute, and every contingency, and it carries no exception.</w:t>
      </w:r>
      <w:bookmarkEnd w:id="108"/>
    </w:p>
    <w:p w14:paraId="6C395217" w14:textId="77777777" w:rsidR="00293BDE" w:rsidRDefault="00000000">
      <w:pPr>
        <w:pStyle w:val="Heading3"/>
      </w:pPr>
      <w:r>
        <w:t>9.2 The Day One hazard declaration</w:t>
      </w:r>
    </w:p>
    <w:p w14:paraId="6E0F1E36" w14:textId="77777777" w:rsidR="00293BDE" w:rsidRDefault="00000000">
      <w:pPr>
        <w:pStyle w:val="FirstParagraph"/>
      </w:pPr>
      <w:bookmarkStart w:id="109" w:name="the-day-one-hazard-declaration"/>
      <w:r>
        <w:t>On the day of signature, each Coastal Party issues its hazard declaration: a formal statement of every mine, mine-like object, or ordnance hazard it knows or assesses in the Governance Area, including the wartime track-keeping gaps reported during 2026. The declarations go to the Authority, the Neutral Administrator, and UNMAS simultaneously. A declaration of ignorance is a valid declaration; it triggers the full-sweep survey of Section 9.3 rather than any presumption of safety.</w:t>
      </w:r>
      <w:bookmarkEnd w:id="109"/>
    </w:p>
    <w:p w14:paraId="5506E026" w14:textId="77777777" w:rsidR="00293BDE" w:rsidRDefault="00000000">
      <w:pPr>
        <w:pStyle w:val="Heading3"/>
      </w:pPr>
      <w:r>
        <w:t>9.3 Hazard declaration and joint survey</w:t>
      </w:r>
    </w:p>
    <w:p w14:paraId="03D1E641" w14:textId="77777777" w:rsidR="00293BDE" w:rsidRDefault="00000000">
      <w:pPr>
        <w:pStyle w:val="FirstParagraph"/>
      </w:pPr>
      <w:bookmarkStart w:id="110" w:name="hazard-declaration-and-joint-survey"/>
      <w:r>
        <w:t>UNMAS coordinates, and the Coastal Two execute with international technical support, a full-sweep hazard survey of the corridor system, beginning in the Buffer Corridor, proceeding to the Southern Outbound Corridor, and completing in the Northern Inbound Corridor, in the same sequence as corridor activation under Article 30. The survey uses the coastal states’ mine countermeasure vessels under civilian tasking, commercial survey assets under contract, and the verification presence of Article 22. Each surveyed segment receives a Survey Certificate signed by the survey commander, the Authority’s verification officer, and the UNMAS technical lead. A segment opens to traffic only behind a Survey Certificate.</w:t>
      </w:r>
      <w:bookmarkEnd w:id="110"/>
    </w:p>
    <w:p w14:paraId="267AF3ED" w14:textId="77777777" w:rsidR="00293BDE" w:rsidRDefault="00000000">
      <w:pPr>
        <w:pStyle w:val="Heading3"/>
      </w:pPr>
      <w:r>
        <w:t>9.4 Disposal and the cost rule</w:t>
      </w:r>
    </w:p>
    <w:p w14:paraId="55EC9A4C" w14:textId="77777777" w:rsidR="00293BDE" w:rsidRDefault="00000000">
      <w:pPr>
        <w:pStyle w:val="FirstParagraph"/>
      </w:pPr>
      <w:bookmarkStart w:id="111" w:name="disposal-and-the-cost-rule"/>
      <w:r>
        <w:t>The coastal state’s own assets neutralize identified hazards inside its waters, with UNMAS technical oversight and Authority verification, or by contracted international mine countermeasure capacity where the coastal state requests it. The Strait Services Fund bears survey and disposal costs as a system cost under Annex B, because safe water is the system’s first product. No disposal cost falls on any vessel, shipper, or insurer.</w:t>
      </w:r>
      <w:bookmarkEnd w:id="111"/>
    </w:p>
    <w:p w14:paraId="70E82F39" w14:textId="77777777" w:rsidR="00293BDE" w:rsidRDefault="00000000">
      <w:pPr>
        <w:pStyle w:val="Heading3"/>
      </w:pPr>
      <w:r>
        <w:t>9.5 The reopening sequence</w:t>
      </w:r>
    </w:p>
    <w:p w14:paraId="166880D7" w14:textId="77777777" w:rsidR="00293BDE" w:rsidRDefault="00000000">
      <w:pPr>
        <w:pStyle w:val="FirstParagraph"/>
      </w:pPr>
      <w:bookmarkStart w:id="112" w:name="the-reopening-sequence"/>
      <w:r>
        <w:t>The reopening sequence follows the phased activation of Article 30: Buffer Corridor certification first, Southern Outbound Corridor second, Northern Inbound Corridor third, Full Activation after the Activation Review. The sequence synchronizes, under IPR-16, with the termination of all impediments to commercial traffic to and from the ports of every littoral state, so that the system opens as one indivisible event: corridors certified, impediments terminated, escort and blockade measures absorbed into the ordinary geometry of the Compact.</w:t>
      </w:r>
      <w:bookmarkEnd w:id="112"/>
    </w:p>
    <w:p w14:paraId="42237792" w14:textId="77777777" w:rsidR="00293BDE" w:rsidRDefault="00000000">
      <w:pPr>
        <w:pStyle w:val="Heading3"/>
      </w:pPr>
      <w:r>
        <w:t>9.6 Insurance normalization</w:t>
      </w:r>
    </w:p>
    <w:p w14:paraId="65AEF01B" w14:textId="77777777" w:rsidR="00293BDE" w:rsidRDefault="00000000">
      <w:pPr>
        <w:pStyle w:val="FirstParagraph"/>
      </w:pPr>
      <w:bookmarkStart w:id="113" w:name="insurance-normalization"/>
      <w:r>
        <w:t>The Authority maintains the Route Assurance Data Service of Article 18.6, which delivers the survey certificates, incident logs, compliance scores, and Flow State history to the insurance market in machine-readable form. On the basis of that data, the Stakeholder Panel’s underwriter members publish a rolling risk classification per segment. The system’s target, adopted as a budget objective in Annex B, is the withdrawal of war-risk surcharges within one hundred eighty days of Full Activation and the return of Hormuz transits to ordinary market rating. Premium normalization is a measured outcome, not a promise: the data earns it.</w:t>
      </w:r>
      <w:bookmarkEnd w:id="113"/>
    </w:p>
    <w:p w14:paraId="033E345F" w14:textId="77777777" w:rsidR="00293BDE" w:rsidRDefault="00000000">
      <w:pPr>
        <w:pStyle w:val="Heading3"/>
      </w:pPr>
      <w:r>
        <w:t>9.7 The standing survey cycle</w:t>
      </w:r>
    </w:p>
    <w:p w14:paraId="046BDDF5" w14:textId="77777777" w:rsidR="00293BDE" w:rsidRDefault="00000000">
      <w:pPr>
        <w:pStyle w:val="FirstParagraph"/>
      </w:pPr>
      <w:bookmarkStart w:id="114" w:name="Xe27606252201bd76cd1bc3d0dd886587261bf77"/>
      <w:bookmarkStart w:id="115" w:name="the-standing-survey-cycle"/>
      <w:r>
        <w:t>After the reopening survey, the architecture maintains a standing survey cycle: side-scan coverage of the full corridor system every twelve months, targeted re-survey after every seabed-disturbing incident, and continuous mine-risk watch through the fused picture’s anomaly detection. The cycle publishes its schedule on the Bulletin, and its results feed the rolling Survey Certificates that keep every segment’s assurance current.</w:t>
      </w:r>
      <w:bookmarkEnd w:id="114"/>
      <w:bookmarkEnd w:id="115"/>
    </w:p>
    <w:p w14:paraId="392EB162" w14:textId="77777777" w:rsidR="00293BDE" w:rsidRDefault="00000000">
      <w:pPr>
        <w:pStyle w:val="Heading2"/>
      </w:pPr>
      <w:bookmarkStart w:id="116" w:name="__RefHeading___Toc10830_3324765499"/>
      <w:bookmarkEnd w:id="116"/>
      <w:r>
        <w:t>Article 10: Vessel Classification and Differentiated Treatment</w:t>
      </w:r>
    </w:p>
    <w:p w14:paraId="4F57E1F8" w14:textId="77777777" w:rsidR="00293BDE" w:rsidRDefault="00000000">
      <w:pPr>
        <w:pStyle w:val="Heading3"/>
      </w:pPr>
      <w:r>
        <w:t>10.1 The classification principle</w:t>
      </w:r>
    </w:p>
    <w:p w14:paraId="7984CECB" w14:textId="77777777" w:rsidR="00293BDE" w:rsidRDefault="00000000">
      <w:pPr>
        <w:pStyle w:val="FirstParagraph"/>
      </w:pPr>
      <w:bookmarkStart w:id="117" w:name="the-classification-principle"/>
      <w:r>
        <w:t>The system treats vessels by function and risk, never by flag, ownership, cargo origin, cargo destination, or political relationship. Classification exists to allocate services and attention, never to condition passage.</w:t>
      </w:r>
      <w:bookmarkEnd w:id="117"/>
    </w:p>
    <w:p w14:paraId="76FE2A91" w14:textId="77777777" w:rsidR="00293BDE" w:rsidRDefault="00000000">
      <w:pPr>
        <w:pStyle w:val="Heading3"/>
      </w:pPr>
      <w:r>
        <w:t>10.2 The eight classes</w:t>
      </w:r>
    </w:p>
    <w:p w14:paraId="0FB40161" w14:textId="77777777" w:rsidR="00293BDE" w:rsidRDefault="00000000">
      <w:pPr>
        <w:pStyle w:val="FirstParagraph"/>
      </w:pPr>
      <w:r>
        <w:t>The system recognizes eight vessel classes:</w:t>
      </w:r>
    </w:p>
    <w:p w14:paraId="07A58DBB" w14:textId="77777777" w:rsidR="00293BDE" w:rsidRDefault="00000000">
      <w:pPr>
        <w:pStyle w:val="Compact"/>
        <w:numPr>
          <w:ilvl w:val="0"/>
          <w:numId w:val="11"/>
        </w:numPr>
      </w:pPr>
      <w:r>
        <w:t>Class A: deep-draft tankers (crude, product, chemical) above 60,000 deadweight tonnes.</w:t>
      </w:r>
    </w:p>
    <w:p w14:paraId="753AE7D7" w14:textId="77777777" w:rsidR="00293BDE" w:rsidRDefault="00000000">
      <w:pPr>
        <w:pStyle w:val="Compact"/>
        <w:numPr>
          <w:ilvl w:val="0"/>
          <w:numId w:val="12"/>
        </w:numPr>
      </w:pPr>
      <w:r>
        <w:t>Class B: liquefied gas carriers (LNG and LPG).</w:t>
      </w:r>
    </w:p>
    <w:p w14:paraId="6FDD2A0C" w14:textId="77777777" w:rsidR="00293BDE" w:rsidRDefault="00000000">
      <w:pPr>
        <w:pStyle w:val="Compact"/>
        <w:numPr>
          <w:ilvl w:val="0"/>
          <w:numId w:val="13"/>
        </w:numPr>
      </w:pPr>
      <w:r>
        <w:t>Class C: bulk carriers and ore carriers.</w:t>
      </w:r>
    </w:p>
    <w:p w14:paraId="12A313CF" w14:textId="77777777" w:rsidR="00293BDE" w:rsidRDefault="00000000">
      <w:pPr>
        <w:pStyle w:val="Compact"/>
        <w:numPr>
          <w:ilvl w:val="0"/>
          <w:numId w:val="14"/>
        </w:numPr>
      </w:pPr>
      <w:r>
        <w:t>Class D: container ships and vehicle carriers.</w:t>
      </w:r>
    </w:p>
    <w:p w14:paraId="153BB302" w14:textId="77777777" w:rsidR="00293BDE" w:rsidRDefault="00000000">
      <w:pPr>
        <w:pStyle w:val="Compact"/>
        <w:numPr>
          <w:ilvl w:val="0"/>
          <w:numId w:val="15"/>
        </w:numPr>
      </w:pPr>
      <w:r>
        <w:t>Class E: general cargo, ro-ro, and breakbulk vessels.</w:t>
      </w:r>
    </w:p>
    <w:p w14:paraId="2E4F2028" w14:textId="77777777" w:rsidR="00293BDE" w:rsidRDefault="00000000">
      <w:pPr>
        <w:pStyle w:val="Compact"/>
        <w:numPr>
          <w:ilvl w:val="0"/>
          <w:numId w:val="16"/>
        </w:numPr>
      </w:pPr>
      <w:r>
        <w:t>Class F: passenger vessels.</w:t>
      </w:r>
    </w:p>
    <w:p w14:paraId="2C915C80" w14:textId="77777777" w:rsidR="00293BDE" w:rsidRDefault="00000000">
      <w:pPr>
        <w:pStyle w:val="Compact"/>
        <w:numPr>
          <w:ilvl w:val="0"/>
          <w:numId w:val="17"/>
        </w:numPr>
      </w:pPr>
      <w:r>
        <w:t>Class G: fishing vessels, offshore service vessels, and small coastal craft.</w:t>
      </w:r>
    </w:p>
    <w:p w14:paraId="5F96564B" w14:textId="77777777" w:rsidR="00293BDE" w:rsidRDefault="00000000">
      <w:pPr>
        <w:pStyle w:val="Compact"/>
        <w:numPr>
          <w:ilvl w:val="0"/>
          <w:numId w:val="18"/>
        </w:numPr>
      </w:pPr>
      <w:bookmarkStart w:id="118" w:name="the-eight-classes"/>
      <w:r>
        <w:t>Class H: vessels carrying hazardous or sensitive cargoes requiring the Anchor-and-Verify Protocol.</w:t>
      </w:r>
      <w:bookmarkEnd w:id="118"/>
    </w:p>
    <w:p w14:paraId="25795324" w14:textId="77777777" w:rsidR="00293BDE" w:rsidRDefault="00000000">
      <w:pPr>
        <w:pStyle w:val="Heading3"/>
      </w:pPr>
      <w:r>
        <w:t>10.3 Treatment principles</w:t>
      </w:r>
    </w:p>
    <w:p w14:paraId="3A774207" w14:textId="77777777" w:rsidR="00293BDE" w:rsidRDefault="00000000">
      <w:pPr>
        <w:pStyle w:val="FirstParagraph"/>
      </w:pPr>
      <w:bookmarkStart w:id="119" w:name="treatment-principles"/>
      <w:r>
        <w:t>Classes A and B receive the full service catalog by default: traffic management, pilotage on request, tug assistance on request, and priority data services, because their consequence profile justifies the attention. Classes C, D, and E receive traffic management and data services by default and other catalog items on request. Class F receives priority routing windows and the highest emergency-response priority. Class G receives the inshore bands of Annex A and simplified procedures scaled to craft size. Class H follows Section 10.4. Every class transits free of charge for passage; charges attach only to delivered services at the published rates of Annex B.</w:t>
      </w:r>
      <w:bookmarkEnd w:id="119"/>
    </w:p>
    <w:p w14:paraId="0C2CD7FE" w14:textId="77777777" w:rsidR="00293BDE" w:rsidRDefault="00000000">
      <w:pPr>
        <w:pStyle w:val="Heading3"/>
      </w:pPr>
      <w:r>
        <w:t>10.4 Class H and the Anchor-and-Verify Protocol</w:t>
      </w:r>
    </w:p>
    <w:p w14:paraId="2F66EFC2" w14:textId="77777777" w:rsidR="00293BDE" w:rsidRDefault="00000000">
      <w:pPr>
        <w:pStyle w:val="FirstParagraph"/>
      </w:pPr>
      <w:bookmarkStart w:id="120" w:name="Xcc9ae543e986a0b7343c5ca8ba82ded05cdc4bb"/>
      <w:r>
        <w:t>A Class H vessel (certain bulk chemicals, radioactive materials, and other cargoes the Technical and Standards Committee lists) follows the Anchor-and-Verify Protocol: the vessel anchors at a holding anchorage of Annex A; a joint verification team of the Authority confirms documentation, packaging certification, and vessel condition at the anchorage; and the vessel then transits in a scheduled window with tug escort if the team recommends it. The Protocol verifies safety documentation only; it inspects no cargo for any other purpose, it conditions no passage on anything beyond international safety documentation, and it completes within six hours of the vessel’s arrival at the anchorage as a matter of standing service standard.</w:t>
      </w:r>
      <w:bookmarkEnd w:id="120"/>
    </w:p>
    <w:p w14:paraId="1B08C011" w14:textId="77777777" w:rsidR="00293BDE" w:rsidRDefault="00000000">
      <w:pPr>
        <w:pStyle w:val="Heading3"/>
      </w:pPr>
      <w:r>
        <w:t>10.5 Non-discrimination</w:t>
      </w:r>
    </w:p>
    <w:p w14:paraId="39BD16CE" w14:textId="77777777" w:rsidR="00293BDE" w:rsidRDefault="00000000">
      <w:pPr>
        <w:pStyle w:val="FirstParagraph"/>
      </w:pPr>
      <w:bookmarkStart w:id="121" w:name="non-discrimination"/>
      <w:r>
        <w:t>The system applies the same rules, rates, and services to all vessels within a class. No vessel receives preferential routing, earlier windows, or reduced charges on account of flag, ownership, or cargo relationships. The audit function of Article 20 tests every quarter for discriminatory patterns in routing, service delivery, and invoicing, and publishes the test results.</w:t>
      </w:r>
      <w:bookmarkEnd w:id="121"/>
    </w:p>
    <w:p w14:paraId="2620B361" w14:textId="77777777" w:rsidR="00293BDE" w:rsidRDefault="00000000">
      <w:pPr>
        <w:pStyle w:val="Heading3"/>
      </w:pPr>
      <w:r>
        <w:t>10.6 The ground-truth patrol program</w:t>
      </w:r>
    </w:p>
    <w:p w14:paraId="4F8E6236" w14:textId="77777777" w:rsidR="00293BDE" w:rsidRDefault="00000000">
      <w:pPr>
        <w:pStyle w:val="FirstParagraph"/>
      </w:pPr>
      <w:bookmarkStart w:id="122" w:name="the-ground-truth-patrol-program"/>
      <w:r>
        <w:t>The Coastal Two operate ground-truth patrols: routine, civilian-manned service patrols in each corridor that verify aids to navigation, observe traffic behavior, render assistance, and sample the difference between the sensor picture and the water. Patrols carry no law-enforcement function inside the corridors. Patrol schedules publish in advance on the Open Water Bulletin, and patrol craft identify themselves on the working channel on entering each segment.</w:t>
      </w:r>
      <w:bookmarkEnd w:id="122"/>
    </w:p>
    <w:p w14:paraId="245A8085" w14:textId="77777777" w:rsidR="00293BDE" w:rsidRDefault="00000000">
      <w:pPr>
        <w:pStyle w:val="Heading3"/>
      </w:pPr>
      <w:r>
        <w:t>10.7 The small-craft regime</w:t>
      </w:r>
    </w:p>
    <w:p w14:paraId="3F012C0F" w14:textId="77777777" w:rsidR="00293BDE" w:rsidRDefault="00000000">
      <w:pPr>
        <w:pStyle w:val="FirstParagraph"/>
      </w:pPr>
      <w:bookmarkStart w:id="123" w:name="Xccbfadfb4cd0c80e1fc8557d471151bb47b1ef2"/>
      <w:bookmarkStart w:id="124" w:name="the-small-craft-regime"/>
      <w:r>
        <w:t>Class G traffic operates under a deliberately light regime: the inshore bands, a simplified advisory broadcast twice daily, no charges of any kind under Article 21.6, and a voluntary identification scheme that improves their visibility on the fused picture. The regime respects the reality that small craft are the waterway’s oldest users and its least resourced; the system serves them without burying them in procedure.</w:t>
      </w:r>
      <w:bookmarkEnd w:id="123"/>
      <w:bookmarkEnd w:id="124"/>
    </w:p>
    <w:p w14:paraId="2B0408B4" w14:textId="77777777" w:rsidR="00293BDE" w:rsidRDefault="00000000">
      <w:pPr>
        <w:pStyle w:val="Heading2"/>
      </w:pPr>
      <w:bookmarkStart w:id="125" w:name="__RefHeading___Toc10832_3324765499"/>
      <w:bookmarkEnd w:id="125"/>
      <w:r>
        <w:t>Article 11: Safe Passage and the Non-Interdiction Protocol</w:t>
      </w:r>
    </w:p>
    <w:p w14:paraId="54CE9F48" w14:textId="77777777" w:rsidR="00293BDE" w:rsidRDefault="00000000">
      <w:pPr>
        <w:pStyle w:val="Heading3"/>
      </w:pPr>
      <w:r>
        <w:t>11.1 The guarantee of safe passage</w:t>
      </w:r>
    </w:p>
    <w:p w14:paraId="15C16859" w14:textId="77777777" w:rsidR="00293BDE" w:rsidRDefault="00000000">
      <w:pPr>
        <w:pStyle w:val="FirstParagraph"/>
      </w:pPr>
      <w:bookmarkStart w:id="126" w:name="the-guarantee-of-safe-passage"/>
      <w:r>
        <w:t>Commercial transit operates under an absolute non-interdiction protocol within the framework. Every vessel in every class transits every corridor without boarding, diversion, seizure, inspection, delay, or harassment by any Party, in every Flow State, in every political condition, at all times. The guarantee binds all Parties equally as a feature of the shared architecture, not as any Party’s restraint for another’s benefit.</w:t>
      </w:r>
      <w:bookmarkEnd w:id="126"/>
    </w:p>
    <w:p w14:paraId="37CCD3FB" w14:textId="77777777" w:rsidR="00293BDE" w:rsidRDefault="00000000">
      <w:pPr>
        <w:pStyle w:val="Heading3"/>
      </w:pPr>
      <w:r>
        <w:t>11.2 The Non-Interdiction Protocol</w:t>
      </w:r>
    </w:p>
    <w:p w14:paraId="47ED201F" w14:textId="77777777" w:rsidR="00293BDE" w:rsidRDefault="00000000">
      <w:pPr>
        <w:pStyle w:val="FirstParagraph"/>
      </w:pPr>
      <w:bookmarkStart w:id="127" w:name="the-non-interdiction-protocol"/>
      <w:r>
        <w:t>The Protocol has three operational elements. First, the exclusion: the framework architecture excludes interdiction as a function; no organ, officer, patrol, or unit of this Compact possesses it. Second, the geometry: corridor service craft hold the standoff distances of Article 23.2 from transiting vessels except when rendering requested assistance. Third, the verification: the Shared Data Registry records every approach within the standoff distance, and each such approach generates an automatic incident entry under Article 24 unless the vessel requested the approach or distress required it.</w:t>
      </w:r>
      <w:bookmarkEnd w:id="127"/>
    </w:p>
    <w:p w14:paraId="6EF61A3A" w14:textId="77777777" w:rsidR="00293BDE" w:rsidRDefault="00000000">
      <w:pPr>
        <w:pStyle w:val="Heading3"/>
      </w:pPr>
      <w:r>
        <w:t>11.3 Excluded measures</w:t>
      </w:r>
    </w:p>
    <w:p w14:paraId="72592285" w14:textId="77777777" w:rsidR="00293BDE" w:rsidRDefault="00000000">
      <w:pPr>
        <w:pStyle w:val="FirstParagraph"/>
      </w:pPr>
      <w:bookmarkStart w:id="128" w:name="excluded-measures"/>
      <w:r>
        <w:t>The framework architecture excludes from the Governance Area, for all Parties and all actors: boarding of commercial vessels; diversion of commercial vessels from their declared route; seizure, detention, or arrest of commercial vessels or crews; inspection regimes of any kind inside the corridors; harassment by close approach, by illumination, by weapons direction, or by threatening communication; and the imposition of tolls, levies, or charges on passage under any name. Each exclusion operates continuously and admits no exception for any security rationale; security concerns move through the de-confliction channel of Article 23 and the incident system of Article 24, never through interference with commercial traffic.</w:t>
      </w:r>
      <w:bookmarkEnd w:id="128"/>
    </w:p>
    <w:p w14:paraId="608E4778" w14:textId="77777777" w:rsidR="00293BDE" w:rsidRDefault="00000000">
      <w:pPr>
        <w:pStyle w:val="Heading3"/>
      </w:pPr>
      <w:r>
        <w:t>11.4 The joint openness declaration</w:t>
      </w:r>
    </w:p>
    <w:p w14:paraId="4D58A9E0" w14:textId="77777777" w:rsidR="00293BDE" w:rsidRDefault="00000000">
      <w:pPr>
        <w:pStyle w:val="FirstParagraph"/>
      </w:pPr>
      <w:bookmarkStart w:id="129" w:name="the-joint-openness-declaration"/>
      <w:r>
        <w:t>At Full Activation, and on each anniversary, the Coastal Two issue the Joint Openness Declaration: a public statement, countersigned by the Neutral Administrator, that the Strait stands open, that the Non-Interdiction Protocol holds, and that the service system operates at its published standard. The Declaration anchors market confidence to a dated, verified fact rather than to political mood.</w:t>
      </w:r>
      <w:bookmarkEnd w:id="129"/>
    </w:p>
    <w:p w14:paraId="5D79C3B3" w14:textId="77777777" w:rsidR="00293BDE" w:rsidRDefault="00000000">
      <w:pPr>
        <w:pStyle w:val="Heading3"/>
      </w:pPr>
      <w:r>
        <w:t>11.5 Safe passage services</w:t>
      </w:r>
    </w:p>
    <w:p w14:paraId="23559540" w14:textId="77777777" w:rsidR="00293BDE" w:rsidRDefault="00000000">
      <w:pPr>
        <w:pStyle w:val="FirstParagraph"/>
      </w:pPr>
      <w:bookmarkStart w:id="130" w:name="safe-passage-services"/>
      <w:r>
        <w:t>Safe passage rests on services, not forbearance. The system maintains: continuous traffic information on the working channel; pilotage and tug assistance on request; twenty-four-hour emergency response under Article 24; the survey and mine-clearance guarantee of Article 9; aids to navigation maintained to IALA standards; and the Route Assurance Data Service of Article 18.6. These services constitute the positive content of safe passage, and the Strait Services Fund carries their cost under Annex B.</w:t>
      </w:r>
      <w:bookmarkEnd w:id="130"/>
    </w:p>
    <w:p w14:paraId="254B8F52" w14:textId="77777777" w:rsidR="00293BDE" w:rsidRDefault="00000000">
      <w:pPr>
        <w:pStyle w:val="Heading3"/>
      </w:pPr>
      <w:r>
        <w:t>11.6 The good standing presumption</w:t>
      </w:r>
    </w:p>
    <w:p w14:paraId="5EC5F2D0" w14:textId="77777777" w:rsidR="00293BDE" w:rsidRDefault="00000000">
      <w:pPr>
        <w:pStyle w:val="FirstParagraph"/>
      </w:pPr>
      <w:bookmarkStart w:id="131" w:name="X80b1d929e314f3027c0b36c99396682454c48d4"/>
      <w:bookmarkStart w:id="132" w:name="the-good-standing-presumption"/>
      <w:r>
        <w:t>A vessel that follows the Bulletin, maintains its AIS, and files its notices holds the presumption of good standing: the system treats it as compliant without further act, its transits process without scrutiny beyond the automated record, and its operators hold a clean assurance file in the Route Assurance Data Service. The presumption rewards cooperation with invisibility, which is what professional mariners want from any traffic system.</w:t>
      </w:r>
      <w:bookmarkEnd w:id="131"/>
      <w:bookmarkEnd w:id="132"/>
    </w:p>
    <w:p w14:paraId="6B00EDFA" w14:textId="77777777" w:rsidR="00293BDE" w:rsidRDefault="00000000">
      <w:pPr>
        <w:pStyle w:val="Heading2"/>
      </w:pPr>
      <w:bookmarkStart w:id="133" w:name="__RefHeading___Toc10834_3324765499"/>
      <w:bookmarkEnd w:id="133"/>
      <w:r>
        <w:t>Article 12: The Shipping Liaison and Transit Notice System</w:t>
      </w:r>
    </w:p>
    <w:p w14:paraId="1DB6768D" w14:textId="77777777" w:rsidR="00293BDE" w:rsidRDefault="00000000">
      <w:pPr>
        <w:pStyle w:val="Heading3"/>
      </w:pPr>
      <w:r>
        <w:t>12.1 Purpose</w:t>
      </w:r>
    </w:p>
    <w:p w14:paraId="7BEEB3E5" w14:textId="77777777" w:rsidR="00293BDE" w:rsidRDefault="00000000">
      <w:pPr>
        <w:pStyle w:val="FirstParagraph"/>
      </w:pPr>
      <w:bookmarkStart w:id="134" w:name="purpose-1"/>
      <w:r>
        <w:t>The shipping liaison system formalizes, simplifies, and de-politicizes the pre-transit coordination that mariners practiced through the crisis period. It converts an opaque, bilateral, and fear-laden practice into a transparent, system-level, six-step routine that any vessel of any flag executes identically.</w:t>
      </w:r>
      <w:bookmarkEnd w:id="134"/>
    </w:p>
    <w:p w14:paraId="0F784CA2" w14:textId="77777777" w:rsidR="00293BDE" w:rsidRDefault="00000000">
      <w:pPr>
        <w:pStyle w:val="Heading3"/>
      </w:pPr>
      <w:r>
        <w:t>12.2 The twelve-field transit notice</w:t>
      </w:r>
    </w:p>
    <w:p w14:paraId="1520A0D2" w14:textId="77777777" w:rsidR="00293BDE" w:rsidRDefault="00000000">
      <w:pPr>
        <w:pStyle w:val="FirstParagraph"/>
      </w:pPr>
      <w:bookmarkStart w:id="135" w:name="the-twelve-field-transit-notice"/>
      <w:r>
        <w:t>A vessel entering the Northern Inbound Corridor files the twelve-field transit notice of Annex D: vessel identity, flag, class, dimensions, draft, cargo category (not cargo detail), last port, next port, persons on board, AIS identifier, contact channel, and requested services. The notice files electronically through the Authority’s portal, through the vessel’s agent, or by the working channel voice procedure for craft without data links. The Authority acknowledges automatically within fifteen minutes. The notice informs traffic management; it requests no permission and receives none, because none is needed.</w:t>
      </w:r>
      <w:bookmarkEnd w:id="135"/>
    </w:p>
    <w:p w14:paraId="1FC65416" w14:textId="77777777" w:rsidR="00293BDE" w:rsidRDefault="00000000">
      <w:pPr>
        <w:pStyle w:val="Heading3"/>
      </w:pPr>
      <w:r>
        <w:t>12.3 Voluntary notice outbound</w:t>
      </w:r>
    </w:p>
    <w:p w14:paraId="16948186" w14:textId="77777777" w:rsidR="00293BDE" w:rsidRDefault="00000000">
      <w:pPr>
        <w:pStyle w:val="FirstParagraph"/>
      </w:pPr>
      <w:bookmarkStart w:id="136" w:name="voluntary-notice-outbound"/>
      <w:r>
        <w:t>Outbound vessels file the same notice on a purely voluntary basis. The system offers incentives for filing: earlier routing information, data services, and the standing pre-authorization for service clearance of Annex D.4. Non-filing carries no consequence of any kind, consistent with IPR-2.</w:t>
      </w:r>
      <w:bookmarkEnd w:id="136"/>
    </w:p>
    <w:p w14:paraId="5A39A7A0" w14:textId="77777777" w:rsidR="00293BDE" w:rsidRDefault="00000000">
      <w:pPr>
        <w:pStyle w:val="Heading3"/>
      </w:pPr>
      <w:r>
        <w:t>12.4 The standing pre-authorization</w:t>
      </w:r>
    </w:p>
    <w:p w14:paraId="70E09CEF" w14:textId="77777777" w:rsidR="00293BDE" w:rsidRDefault="00000000">
      <w:pPr>
        <w:pStyle w:val="FirstParagraph"/>
      </w:pPr>
      <w:bookmarkStart w:id="137" w:name="the-standing-pre-authorization"/>
      <w:r>
        <w:t>A vessel that has filed once and transited in compliance registers in the standing pre-authorization list. Listed vessels file subsequent notices in three fields (identity, voyage reference, requested services) and receive automatic acknowledgment. The list is a convenience mechanism, never a permission mechanism; removal from it affects convenience only and never passage.</w:t>
      </w:r>
      <w:bookmarkEnd w:id="137"/>
    </w:p>
    <w:p w14:paraId="73F167AB" w14:textId="77777777" w:rsidR="00293BDE" w:rsidRDefault="00000000">
      <w:pPr>
        <w:pStyle w:val="Heading3"/>
      </w:pPr>
      <w:r>
        <w:t>12.5 Agent and flag-state channels</w:t>
      </w:r>
    </w:p>
    <w:p w14:paraId="0F230C3A" w14:textId="77777777" w:rsidR="00293BDE" w:rsidRDefault="00000000">
      <w:pPr>
        <w:pStyle w:val="FirstParagraph"/>
      </w:pPr>
      <w:bookmarkStart w:id="138" w:name="agent-and-flag-state-channels"/>
      <w:r>
        <w:t>The Authority maintains standing liaison with ship agents at all regional load and discharge ports and with flag-state administrations through the IMO’s recognized contact points. Liaison carries traffic information, service coordination, and incident communication. Liaison never carries political content, and the liaison channel never substitutes for the de-confliction channel of Article 23, which serves military movement exclusively.</w:t>
      </w:r>
      <w:bookmarkEnd w:id="138"/>
    </w:p>
    <w:p w14:paraId="4E98BF59" w14:textId="77777777" w:rsidR="00293BDE" w:rsidRDefault="00000000">
      <w:pPr>
        <w:pStyle w:val="Heading3"/>
      </w:pPr>
      <w:r>
        <w:t>12.6 Data protection</w:t>
      </w:r>
    </w:p>
    <w:p w14:paraId="54F18E99" w14:textId="77777777" w:rsidR="00293BDE" w:rsidRDefault="00000000">
      <w:pPr>
        <w:pStyle w:val="FirstParagraph"/>
      </w:pPr>
      <w:bookmarkStart w:id="139" w:name="data-protection"/>
      <w:r>
        <w:t>Transit notice data serves traffic management and safety only. The Authority holds vessel-specific data for the rolling retention period of Annex D, shares it with no third party except the safety and verification functions of this Compact, and never releases it for commercial, intelligence, or enforcement use. IPR-12 applies to this data with full force.</w:t>
      </w:r>
      <w:bookmarkEnd w:id="139"/>
    </w:p>
    <w:p w14:paraId="51F8788B" w14:textId="77777777" w:rsidR="00293BDE" w:rsidRDefault="00000000">
      <w:pPr>
        <w:pStyle w:val="Heading3"/>
      </w:pPr>
      <w:r>
        <w:t>12.7 The mariner feedback loop</w:t>
      </w:r>
    </w:p>
    <w:p w14:paraId="44355B17" w14:textId="77777777" w:rsidR="00293BDE" w:rsidRDefault="00000000">
      <w:pPr>
        <w:pStyle w:val="FirstParagraph"/>
      </w:pPr>
      <w:r>
        <w:t>The Authority runs a standing feedback channel for masters and operators: a one-page report form on every transit experience, reviewed monthly by the Technical and Standards Committee, answered within thirty days, and aggregated into the Lessons Learned register. The people who drive the ships see the system’s flaws first; the architecture builds their sightings into the maintenance cycle.</w:t>
      </w:r>
    </w:p>
    <w:bookmarkStart w:id="140" w:name="X6796f4f3f4b567670774858a913222bbab547e2"/>
    <w:bookmarkStart w:id="141" w:name="X96ec430c05100d24bb80227132bbbf226330241"/>
    <w:bookmarkStart w:id="142" w:name="the-mariner-feedback-loop"/>
    <w:p w14:paraId="4DF45F17" w14:textId="239C9A3D" w:rsidR="00293BDE" w:rsidRDefault="00622008">
      <w:r>
        <w:rPr>
          <w:noProof/>
        </w:rPr>
      </w:r>
      <w:r>
        <w:pict w14:anchorId="02703C4F">
          <v:rect id="Rectangle 9" o:spid="_x0000_s104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140"/>
      <w:bookmarkEnd w:id="141"/>
      <w:bookmarkEnd w:id="142"/>
    </w:p>
    <w:p w14:paraId="32F0D81D" w14:textId="77777777" w:rsidR="00293BDE" w:rsidRDefault="00000000">
      <w:pPr>
        <w:pStyle w:val="Heading1"/>
      </w:pPr>
      <w:bookmarkStart w:id="143" w:name="__RefHeading___Toc10836_3324765499"/>
      <w:bookmarkEnd w:id="143"/>
      <w:r>
        <w:t>PART III: INSTITUTIONAL ARCHITECTURE</w:t>
      </w:r>
    </w:p>
    <w:p w14:paraId="5C9F9372" w14:textId="77777777" w:rsidR="00293BDE" w:rsidRDefault="00000000">
      <w:pPr>
        <w:pStyle w:val="Heading2"/>
      </w:pPr>
      <w:bookmarkStart w:id="144" w:name="__RefHeading___Toc10838_3324765499"/>
      <w:bookmarkEnd w:id="144"/>
      <w:r>
        <w:t>Article 13: The Horizon Maritime Authority</w:t>
      </w:r>
    </w:p>
    <w:p w14:paraId="70E85E1E" w14:textId="77777777" w:rsidR="00293BDE" w:rsidRDefault="00000000">
      <w:pPr>
        <w:pStyle w:val="Heading3"/>
      </w:pPr>
      <w:r>
        <w:t>13.1 Composition</w:t>
      </w:r>
    </w:p>
    <w:p w14:paraId="1D6F9FB5" w14:textId="77777777" w:rsidR="00293BDE" w:rsidRDefault="00000000">
      <w:pPr>
        <w:pStyle w:val="FirstParagraph"/>
      </w:pPr>
      <w:bookmarkStart w:id="145" w:name="composition"/>
      <w:r>
        <w:t>The Horizon Maritime Authority consists of: the Horizon Council; the Horizon Operations Center with its Mirror Facility; the Technical and Standards Committee; the Corridor Management Council; the Neutral Watch Office; and the administrative secretariat. The Authority’s total establishment, including both seats, holds within the staffing table of Annex E.</w:t>
      </w:r>
      <w:bookmarkEnd w:id="145"/>
    </w:p>
    <w:p w14:paraId="5E4EB181" w14:textId="77777777" w:rsidR="00293BDE" w:rsidRDefault="00000000">
      <w:pPr>
        <w:pStyle w:val="Heading3"/>
      </w:pPr>
      <w:r>
        <w:t>13.2 The Horizon Council</w:t>
      </w:r>
    </w:p>
    <w:p w14:paraId="0BFC7809" w14:textId="77777777" w:rsidR="00293BDE" w:rsidRDefault="00000000">
      <w:pPr>
        <w:pStyle w:val="FirstParagraph"/>
      </w:pPr>
      <w:bookmarkStart w:id="146" w:name="the-horizon-council"/>
      <w:r>
        <w:t>The Horizon Council is the governing body. Its voting members are the Coastal Two and, upon accession, the Littoral Parties. Its observer members are the Endorsing Stakeholders, the Gulf Cooperation Council Secretariat (pending littoral accessions), the European Union, and the IMO. The Neutral Administrator attends every session without vote. The Council’s functions are: adopting the budget and work program; appointing the Director of Operations and the senior officers; adopting and amending annexes under Article 32; overseeing the fund, the audit, and the compliance engine; conducting the Activation Review; and issuing the annual State of the Strait report.</w:t>
      </w:r>
      <w:bookmarkEnd w:id="146"/>
    </w:p>
    <w:p w14:paraId="6F95A066" w14:textId="77777777" w:rsidR="00293BDE" w:rsidRDefault="00000000">
      <w:pPr>
        <w:pStyle w:val="Heading3"/>
      </w:pPr>
      <w:r>
        <w:t>13.3 Meetings and cadence</w:t>
      </w:r>
    </w:p>
    <w:p w14:paraId="5A374C8F" w14:textId="77777777" w:rsidR="00293BDE" w:rsidRDefault="00000000">
      <w:pPr>
        <w:pStyle w:val="FirstParagraph"/>
      </w:pPr>
      <w:bookmarkStart w:id="147" w:name="meetings-and-cadence"/>
      <w:r>
        <w:t>The Council meets monthly in ordinary session, alternating between Muscat and Bandar Abbas, with the co-chairmanship alternating by calendar quarter. Either Coastal Party convenes an extraordinary session on twenty-four hours’ notice; the Neutral Administrator convenes one on any Principle Consultation under Article 5.4. Quorum is both Coastal Parties; decisions follow the tracks of Article 15. All sessions produce published minutes within seventy-two hours, with only the narrow annex-confidential items of Article 3.5 held back.</w:t>
      </w:r>
      <w:bookmarkEnd w:id="147"/>
    </w:p>
    <w:p w14:paraId="1680EC2F" w14:textId="77777777" w:rsidR="00293BDE" w:rsidRDefault="00000000">
      <w:pPr>
        <w:pStyle w:val="Heading3"/>
      </w:pPr>
      <w:r>
        <w:t>13.4 The Corridor Management Council</w:t>
      </w:r>
    </w:p>
    <w:p w14:paraId="6AF17F91" w14:textId="77777777" w:rsidR="00293BDE" w:rsidRDefault="00000000">
      <w:pPr>
        <w:pStyle w:val="FirstParagraph"/>
      </w:pPr>
      <w:bookmarkStart w:id="148" w:name="the-corridor-management-council"/>
      <w:r>
        <w:t>The Corridor Management Council executes the operational management of Article 8.5. It comprises the inbound corridor function manager (designated by Iran), the outbound corridor function manager (designated by Oman), and the Director of Operations (chair). It meets weekly and on incident. Its remit is operational tuning inside the registered geometry; it possesses no policy, geometry, fee, or compliance function.</w:t>
      </w:r>
      <w:bookmarkEnd w:id="148"/>
    </w:p>
    <w:p w14:paraId="4DB7DC3B" w14:textId="77777777" w:rsidR="00293BDE" w:rsidRDefault="00000000">
      <w:pPr>
        <w:pStyle w:val="Heading3"/>
      </w:pPr>
      <w:r>
        <w:t>13.5 The Director of Operations</w:t>
      </w:r>
    </w:p>
    <w:p w14:paraId="21889555" w14:textId="77777777" w:rsidR="00293BDE" w:rsidRDefault="00000000">
      <w:pPr>
        <w:pStyle w:val="FirstParagraph"/>
      </w:pPr>
      <w:bookmarkStart w:id="149" w:name="the-director-of-operations"/>
      <w:r>
        <w:t>The Director of Operations heads the professional secretariat. The Council appoints the Director through the elevated track from a roster of internationally recognized maritime administrators, on a five-year term renewable once by silence. The Director executes the budget, manages the staff, chairs the Corridor Management Council, and answers to the Council through the monthly management report. The Director holds no discretion over passage, rates, geometry, or compliance classification; those belong to the architecture, not to any officeholder.</w:t>
      </w:r>
      <w:bookmarkEnd w:id="149"/>
    </w:p>
    <w:p w14:paraId="0FD5A5D0" w14:textId="77777777" w:rsidR="00293BDE" w:rsidRDefault="00000000">
      <w:pPr>
        <w:pStyle w:val="Heading3"/>
      </w:pPr>
      <w:r>
        <w:t>13.6 Institutional economy</w:t>
      </w:r>
    </w:p>
    <w:p w14:paraId="1246DE6D" w14:textId="77777777" w:rsidR="00293BDE" w:rsidRDefault="00000000">
      <w:pPr>
        <w:pStyle w:val="FirstParagraph"/>
      </w:pPr>
      <w:bookmarkStart w:id="150" w:name="X0613978fcd28a2862a580bfdfbf7ad855b2c8a4"/>
      <w:bookmarkStart w:id="151" w:name="institutional-economy"/>
      <w:r>
        <w:t>The Authority’s whole establishment, two seats included, numbers one hundred four positions under Annex E. The architecture forbids mission creep by design: functions not listed in this Compact do not attach to the Authority, and bodies not created by this Compact do not arise inside it. The annual integrity review measures the institution against its charter and publishes the variance, so that the system stays the lean instrument the Parties signed rather than the bureaucracy institutions drift toward.</w:t>
      </w:r>
      <w:bookmarkEnd w:id="150"/>
      <w:bookmarkEnd w:id="151"/>
    </w:p>
    <w:p w14:paraId="43CFC879" w14:textId="77777777" w:rsidR="00293BDE" w:rsidRDefault="00000000">
      <w:pPr>
        <w:pStyle w:val="Heading2"/>
      </w:pPr>
      <w:bookmarkStart w:id="152" w:name="__RefHeading___Toc10840_3324765499"/>
      <w:bookmarkEnd w:id="152"/>
      <w:r>
        <w:t>Article 14: The Horizon Operations Center, the Mirror Facility, and Participation Functions</w:t>
      </w:r>
    </w:p>
    <w:p w14:paraId="154AB1BC" w14:textId="77777777" w:rsidR="00293BDE" w:rsidRDefault="00000000">
      <w:pPr>
        <w:pStyle w:val="Heading3"/>
      </w:pPr>
      <w:r>
        <w:t>14.1 Seat and mirror facility</w:t>
      </w:r>
    </w:p>
    <w:p w14:paraId="6D9142B9" w14:textId="77777777" w:rsidR="00293BDE" w:rsidRDefault="00000000">
      <w:pPr>
        <w:pStyle w:val="FirstParagraph"/>
      </w:pPr>
      <w:bookmarkStart w:id="153" w:name="seat-and-mirror-facility"/>
      <w:r>
        <w:t>The Horizon Operations Center seats in Muscat in existing facilities provided by the Sultanate of Oman. The Mirror Facility of Equal Rank seats in Bandar Abbas in existing facilities provided by the Islamic Republic of Iran. The two sites hold identical data, identical displays, identical communications, and identical access rights. Either site operates the entire system alone during any outage of the other, and the architecture treats the sites as one Center with two rooms.</w:t>
      </w:r>
      <w:bookmarkEnd w:id="153"/>
    </w:p>
    <w:p w14:paraId="78B9B3B5" w14:textId="77777777" w:rsidR="00293BDE" w:rsidRDefault="00000000">
      <w:pPr>
        <w:pStyle w:val="Heading3"/>
      </w:pPr>
      <w:r>
        <w:t>14.2 Co-equal staffing</w:t>
      </w:r>
    </w:p>
    <w:p w14:paraId="07301461" w14:textId="77777777" w:rsidR="00293BDE" w:rsidRDefault="00000000">
      <w:pPr>
        <w:pStyle w:val="FirstParagraph"/>
      </w:pPr>
      <w:bookmarkStart w:id="154" w:name="co-equal-staffing"/>
      <w:r>
        <w:t>The Center staffs on the parity band of Annex E: each Coastal Party supplies between forty and sixty percent of the watch officers and technical staff, with the balance principle applied to every shift, every grade, and every function. The Neutral Administrator seconds the audit and registry custody staff. Littoral Parties and Endorsing Stakeholders second liaison officers within the same establishment. The annual cost of the Center holds within the budget of Annex B.</w:t>
      </w:r>
      <w:bookmarkEnd w:id="154"/>
    </w:p>
    <w:p w14:paraId="5A8A76D2" w14:textId="77777777" w:rsidR="00293BDE" w:rsidRDefault="00000000">
      <w:pPr>
        <w:pStyle w:val="Heading3"/>
      </w:pPr>
      <w:r>
        <w:t>14.3 The watch floor</w:t>
      </w:r>
    </w:p>
    <w:p w14:paraId="0CFD4F3A" w14:textId="77777777" w:rsidR="00293BDE" w:rsidRDefault="00000000">
      <w:pPr>
        <w:pStyle w:val="FirstParagraph"/>
      </w:pPr>
      <w:bookmarkStart w:id="155" w:name="the-watch-floor"/>
      <w:r>
        <w:t>The watch floor operates continuously, in three watches, with a minimum manning of: one watch director, one inbound desk officer, one outbound desk officer, one buffer and de-confliction desk officer, one environmental and incident desk officer, and one registry and data officer. The watch floor declares Flow States, issues the Open Water Bulletin, coordinates emergency response, operates the de-confliction channel, and maintains the Shared Data Registry. The watch floor commands no vessel and no unit; it informs, coordinates, and records.</w:t>
      </w:r>
      <w:bookmarkEnd w:id="155"/>
    </w:p>
    <w:p w14:paraId="6CD51DFD" w14:textId="77777777" w:rsidR="00293BDE" w:rsidRDefault="00000000">
      <w:pPr>
        <w:pStyle w:val="Heading3"/>
      </w:pPr>
      <w:r>
        <w:t>14.4 Functions and limits</w:t>
      </w:r>
    </w:p>
    <w:p w14:paraId="46EC5C69" w14:textId="77777777" w:rsidR="00293BDE" w:rsidRDefault="00000000">
      <w:pPr>
        <w:pStyle w:val="FirstParagraph"/>
      </w:pPr>
      <w:bookmarkStart w:id="156" w:name="functions-and-limits"/>
      <w:r>
        <w:t>The Center’s functions are: monitoring and the fused traffic picture; traffic information and coordination; service verification under Article 18; incident management under Article 24; the de-confliction channel under Article 23; registry custody; and publication. The Center’s limits are absolute: no law-enforcement function; no military function; no intelligence function; no permission function over transit; and no data use beyond the Compact’s purposes. IPR-6 and IPR-12 hold these limits.</w:t>
      </w:r>
      <w:bookmarkEnd w:id="156"/>
    </w:p>
    <w:p w14:paraId="74A1F864" w14:textId="77777777" w:rsidR="00293BDE" w:rsidRDefault="00000000">
      <w:pPr>
        <w:pStyle w:val="Heading3"/>
      </w:pPr>
      <w:r>
        <w:t>14.5 Data custody and the two-key rule</w:t>
      </w:r>
    </w:p>
    <w:p w14:paraId="04C302C7" w14:textId="77777777" w:rsidR="00293BDE" w:rsidRDefault="00000000">
      <w:pPr>
        <w:pStyle w:val="FirstParagraph"/>
      </w:pPr>
      <w:bookmarkStart w:id="157" w:name="data-custody-and-the-two-key-rule"/>
      <w:r>
        <w:t>The Shared Data Registry holds all system data under cryptographic chain-of-custody. Custody operates on the two-key rule: one key held by the Authority’s registry officer on duty, one key held by the Neutral Administrator’s custodian. Access to protected data classes requires both keys. No single Party, and no single institution, reads protected data alone. Raw telemetry retains for five years; the rolling purge of aggregated, anonymized statistics follows the schedule of Annex H.</w:t>
      </w:r>
      <w:bookmarkEnd w:id="157"/>
    </w:p>
    <w:p w14:paraId="484E35E1" w14:textId="77777777" w:rsidR="00293BDE" w:rsidRDefault="00000000">
      <w:pPr>
        <w:pStyle w:val="Heading3"/>
      </w:pPr>
      <w:r>
        <w:t>14.6 The Stakeholder Panel and observer accreditation</w:t>
      </w:r>
    </w:p>
    <w:p w14:paraId="7B75CB4E" w14:textId="77777777" w:rsidR="00293BDE" w:rsidRDefault="00000000">
      <w:pPr>
        <w:pStyle w:val="FirstParagraph"/>
      </w:pPr>
      <w:bookmarkStart w:id="158" w:name="X3d5b781e002fe8096b031f95adc16a15c7ca284"/>
      <w:r>
        <w:t>The Center accredits Stakeholder Panel members and observer-state liaison officers through a standing, published accreditation procedure of six steps. Accreditation grants defined data access, defined facility access, and defined consultation rights. Accreditation renews by silence annually and withdraws only for documented misuse, through the ordinary dispute track.</w:t>
      </w:r>
      <w:bookmarkEnd w:id="158"/>
    </w:p>
    <w:p w14:paraId="710575FB" w14:textId="77777777" w:rsidR="00293BDE" w:rsidRDefault="00000000">
      <w:pPr>
        <w:pStyle w:val="Heading3"/>
      </w:pPr>
      <w:r>
        <w:t>14.7 The Civilian Character Clause</w:t>
      </w:r>
    </w:p>
    <w:p w14:paraId="798C07C1" w14:textId="77777777" w:rsidR="00293BDE" w:rsidRDefault="00000000">
      <w:pPr>
        <w:pStyle w:val="FirstParagraph"/>
      </w:pPr>
      <w:bookmarkStart w:id="159" w:name="the-civilian-character-clause"/>
      <w:r>
        <w:t>Every Center position is a civilian position. Seconded personnel serve in civilian capacity regardless of their home service. Military liaison officers of the de-confliction channel work in a physically separate liaison suite, hold no watch-floor position, and access only the de-confliction data class. This separation is architectural, permanent, and audited annually.</w:t>
      </w:r>
      <w:bookmarkEnd w:id="159"/>
    </w:p>
    <w:p w14:paraId="0C1274C6" w14:textId="77777777" w:rsidR="00293BDE" w:rsidRDefault="00000000">
      <w:pPr>
        <w:pStyle w:val="Heading3"/>
      </w:pPr>
      <w:r>
        <w:t>14.8 The Technical and Standards Committee</w:t>
      </w:r>
    </w:p>
    <w:p w14:paraId="3B167492" w14:textId="77777777" w:rsidR="00293BDE" w:rsidRDefault="00000000">
      <w:pPr>
        <w:pStyle w:val="FirstParagraph"/>
      </w:pPr>
      <w:bookmarkStart w:id="160" w:name="the-technical-and-standards-committee"/>
      <w:r>
        <w:t>The Technical and Standards Committee comprises maritime, hydrographic, environmental, and data-systems experts nominated by the Coastal Two, the IMO, and the IHO, with the Neutral Administrator’s technical delegate as chair. It maintains the service standards, the data standards, the chart standards, the one-page cards of Annex D, the Six-Step Rule audits, and the annual complexity audit of the Reader’s Guide. Its determinations adopt through the silence procedure of Article 15.4.</w:t>
      </w:r>
      <w:bookmarkEnd w:id="160"/>
    </w:p>
    <w:p w14:paraId="6782D80F" w14:textId="77777777" w:rsidR="00293BDE" w:rsidRDefault="00000000">
      <w:pPr>
        <w:pStyle w:val="Heading3"/>
      </w:pPr>
      <w:r>
        <w:t>14.9 Working language and interpretation</w:t>
      </w:r>
    </w:p>
    <w:p w14:paraId="21A79B2E" w14:textId="77777777" w:rsidR="00293BDE" w:rsidRDefault="00000000">
      <w:pPr>
        <w:pStyle w:val="FirstParagraph"/>
      </w:pPr>
      <w:bookmarkStart w:id="161" w:name="working-language-and-interpretation"/>
      <w:r>
        <w:t>The Center works in English operationally, with all formal instruments in Persian, Arabic, and English equally authoritative. The watch floor uses the Standard Marine Communication Phrases. Interpretation between the three authoritative languages resolves through the depositary’s reconciliation procedure of Article 34.</w:t>
      </w:r>
      <w:bookmarkEnd w:id="161"/>
    </w:p>
    <w:p w14:paraId="35F9047C" w14:textId="77777777" w:rsidR="00293BDE" w:rsidRDefault="00000000">
      <w:pPr>
        <w:pStyle w:val="Heading3"/>
      </w:pPr>
      <w:r>
        <w:t>14.10 System integrity and whistleblower protection</w:t>
      </w:r>
    </w:p>
    <w:p w14:paraId="2D2DDB8B" w14:textId="77777777" w:rsidR="00293BDE" w:rsidRDefault="00000000">
      <w:pPr>
        <w:pStyle w:val="FirstParagraph"/>
      </w:pPr>
      <w:bookmarkStart w:id="162" w:name="Xb77a459639af787b6ba9fbdebb42779fa8fcfb9"/>
      <w:r>
        <w:t>The architecture protects any officer, of any nationality, who reports data manipulation, discrimination, safety falsification, or diversion of funds. Reports go to the Neutral Administrator directly, bypassing all chain of command. The reporting officer’s position, secondment, and career stand protected by the joint undertaking of the Coastal Two, and retaliation against a reporting officer constitutes a Governance-domain compliance event under Annex C.</w:t>
      </w:r>
      <w:bookmarkEnd w:id="162"/>
    </w:p>
    <w:p w14:paraId="534C3CCF" w14:textId="77777777" w:rsidR="00293BDE" w:rsidRDefault="00000000">
      <w:pPr>
        <w:pStyle w:val="Heading3"/>
      </w:pPr>
      <w:r>
        <w:t>14.11 Physical security and supply chain integrity</w:t>
      </w:r>
    </w:p>
    <w:p w14:paraId="2EC5BED2" w14:textId="77777777" w:rsidR="00293BDE" w:rsidRDefault="00000000">
      <w:pPr>
        <w:pStyle w:val="FirstParagraph"/>
      </w:pPr>
      <w:bookmarkStart w:id="163" w:name="Xb0d61c18be96e5d90b298e1380cc7f8ebf83549"/>
      <w:r>
        <w:t>The host states provide physical security for the two sites under their own law, outside the Center’s operational chain. The Center’s hardware and software procure through open tender under Annex B rules, with the Neutral Administrator verifying supply-chain integrity and the Technical and Standards Committee certifying that no system contains undisclosed access paths. Certification repeats annually and publishes.</w:t>
      </w:r>
      <w:bookmarkEnd w:id="163"/>
    </w:p>
    <w:p w14:paraId="73364E29" w14:textId="77777777" w:rsidR="00293BDE" w:rsidRDefault="00000000">
      <w:pPr>
        <w:pStyle w:val="Heading3"/>
      </w:pPr>
      <w:r>
        <w:t>14.12 Public accountability</w:t>
      </w:r>
    </w:p>
    <w:p w14:paraId="05616CDD" w14:textId="77777777" w:rsidR="00293BDE" w:rsidRDefault="00000000">
      <w:pPr>
        <w:pStyle w:val="FirstParagraph"/>
      </w:pPr>
      <w:bookmarkStart w:id="164" w:name="public-accountability"/>
      <w:r>
        <w:t>The Authority publishes the annual State of the Strait report: traffic volumes, incident statistics, service performance, audit results, budget execution, compliance standing, and the Lessons Learned register. The report goes to every participant, the IMO, and the public on the same day. The Authority answers to the Parties collectively and to the mariners who trust its Bulletin; the annual report is the instrument of that answer.</w:t>
      </w:r>
      <w:bookmarkEnd w:id="164"/>
    </w:p>
    <w:p w14:paraId="059A1868" w14:textId="77777777" w:rsidR="00293BDE" w:rsidRDefault="00000000">
      <w:pPr>
        <w:pStyle w:val="Heading3"/>
      </w:pPr>
      <w:r>
        <w:t>14.13 Business continuity</w:t>
      </w:r>
    </w:p>
    <w:p w14:paraId="03A6F127" w14:textId="77777777" w:rsidR="00293BDE" w:rsidRDefault="00000000">
      <w:pPr>
        <w:pStyle w:val="FirstParagraph"/>
      </w:pPr>
      <w:bookmarkStart w:id="165" w:name="Xf5f02172f0c8586bd8a4717d6a49b990342bd74"/>
      <w:bookmarkStart w:id="166" w:name="business-continuity"/>
      <w:r>
        <w:t>The Center maintains the continuity-of-operations plan of Annex E.5: either seat assumes full function within fifteen minutes of the other’s loss; a tertiary fallback operates through the Neutral Administrator’s facilities for registry custody and Bulletin publication; and the plan tests live once a year in the simulation of Annex M.4. The system’s promise to the market (the Bulletin never stops) rests on this plan, and the plan’s test results publish like everything else.</w:t>
      </w:r>
      <w:bookmarkEnd w:id="165"/>
      <w:bookmarkEnd w:id="166"/>
    </w:p>
    <w:p w14:paraId="367E0E74" w14:textId="77777777" w:rsidR="00293BDE" w:rsidRDefault="00000000">
      <w:pPr>
        <w:pStyle w:val="Heading2"/>
      </w:pPr>
      <w:bookmarkStart w:id="167" w:name="__RefHeading___Toc10842_3324765499"/>
      <w:bookmarkEnd w:id="167"/>
      <w:r>
        <w:t>Article 15: Decision Rules</w:t>
      </w:r>
    </w:p>
    <w:p w14:paraId="1CFD5534" w14:textId="77777777" w:rsidR="00293BDE" w:rsidRDefault="00000000">
      <w:pPr>
        <w:pStyle w:val="Heading3"/>
      </w:pPr>
      <w:r>
        <w:t>15.1 The three tracks</w:t>
      </w:r>
    </w:p>
    <w:p w14:paraId="3DBA764B" w14:textId="77777777" w:rsidR="00293BDE" w:rsidRDefault="00000000">
      <w:pPr>
        <w:pStyle w:val="FirstParagraph"/>
      </w:pPr>
      <w:r>
        <w:t>Every Council decision travels one of three tracks:</w:t>
      </w:r>
    </w:p>
    <w:p w14:paraId="3559033F" w14:textId="77777777" w:rsidR="00293BDE" w:rsidRDefault="00000000">
      <w:pPr>
        <w:pStyle w:val="Compact"/>
        <w:numPr>
          <w:ilvl w:val="0"/>
          <w:numId w:val="19"/>
        </w:numPr>
      </w:pPr>
      <w:r>
        <w:t>The ordinary track: budget lines within the approved framework, work programs, appointments below Director level, accreditation matters, and annex updates of a technical character. Ordinary decisions adopt by consensus; failing consensus, by a two-thirds vote of voting members with the concurrence of both Coastal Parties.</w:t>
      </w:r>
    </w:p>
    <w:p w14:paraId="32DE6639" w14:textId="77777777" w:rsidR="00293BDE" w:rsidRDefault="00000000">
      <w:pPr>
        <w:pStyle w:val="Compact"/>
        <w:numPr>
          <w:ilvl w:val="0"/>
          <w:numId w:val="20"/>
        </w:numPr>
      </w:pPr>
      <w:r>
        <w:t>The elevated track: geometry, rate structure, budget framework, staffing table, annex adoption, and observer-state admission. Elevated decisions adopt by consensus of all voting members.</w:t>
      </w:r>
    </w:p>
    <w:p w14:paraId="1904667C" w14:textId="77777777" w:rsidR="00293BDE" w:rsidRDefault="00000000">
      <w:pPr>
        <w:pStyle w:val="Compact"/>
        <w:numPr>
          <w:ilvl w:val="0"/>
          <w:numId w:val="21"/>
        </w:numPr>
      </w:pPr>
      <w:bookmarkStart w:id="168" w:name="the-three-tracks"/>
      <w:r>
        <w:t>The protected track: any measure touching the Inviolable Principles Register. Protected measures adopt only in the exact form the Register’s safeguard permits, under the Perimeter Test of Article 5.</w:t>
      </w:r>
      <w:bookmarkEnd w:id="168"/>
    </w:p>
    <w:p w14:paraId="58DC6B5A" w14:textId="77777777" w:rsidR="00293BDE" w:rsidRDefault="00000000">
      <w:pPr>
        <w:pStyle w:val="Heading3"/>
      </w:pPr>
      <w:r>
        <w:t>15.2 The Dual-Concurrence Rule</w:t>
      </w:r>
    </w:p>
    <w:p w14:paraId="1B0F4067" w14:textId="77777777" w:rsidR="00293BDE" w:rsidRDefault="00000000">
      <w:pPr>
        <w:pStyle w:val="FirstParagraph"/>
      </w:pPr>
      <w:bookmarkStart w:id="169" w:name="the-dual-concurrence-rule"/>
      <w:r>
        <w:t>Operational actions of consequence require two concurrences, never one. The Dual-Concurrence Rule assigns the keys: inbound-corridor consequential actions require the inbound function manager and the watch director; outbound-corridor consequential actions require the outbound function manager and the watch director; Buffer Corridor actions and any cross-corridor action require both function managers; mine-risk and hazard declarations require the survey commander, the verification officer, and the UNMAS technical lead. No consequential action executes on a single signature. The rule replaces unilateral authority with shared operational authority, function by function, without touching any state’s sovereignty.</w:t>
      </w:r>
      <w:bookmarkEnd w:id="169"/>
    </w:p>
    <w:p w14:paraId="332667B1" w14:textId="77777777" w:rsidR="00293BDE" w:rsidRDefault="00000000">
      <w:pPr>
        <w:pStyle w:val="Heading3"/>
      </w:pPr>
      <w:r>
        <w:t>15.3 Consensus and Consensus Minus the Concerned Party</w:t>
      </w:r>
    </w:p>
    <w:p w14:paraId="6364B496" w14:textId="77777777" w:rsidR="00293BDE" w:rsidRDefault="00000000">
      <w:pPr>
        <w:pStyle w:val="FirstParagraph"/>
      </w:pPr>
      <w:bookmarkStart w:id="170" w:name="X424a058b1ffcc2df691584318194bc3715b31e3"/>
      <w:r>
        <w:t>Consensus means the absence of stated objection by any voting member present. Where a determination concerns the conduct of a specific Party (a compliance determination, a claims determination, a principle-consultation resolution), the concerned Party’s objection does not block consensus: the determination adopts by Consensus Minus the Concerned Party, meaning the agreement of every other voting member. This rule prevents self-judging and self-blocking in equal measure.</w:t>
      </w:r>
      <w:bookmarkEnd w:id="170"/>
    </w:p>
    <w:p w14:paraId="2970BCAE" w14:textId="77777777" w:rsidR="00293BDE" w:rsidRDefault="00000000">
      <w:pPr>
        <w:pStyle w:val="Heading3"/>
      </w:pPr>
      <w:r>
        <w:t>15.4 Technical determinations and the silence procedure</w:t>
      </w:r>
    </w:p>
    <w:p w14:paraId="65031F0C" w14:textId="77777777" w:rsidR="00293BDE" w:rsidRDefault="00000000">
      <w:pPr>
        <w:pStyle w:val="FirstParagraph"/>
      </w:pPr>
      <w:bookmarkStart w:id="171" w:name="X66b75ddcf012ae769f8edb379415202d63ac9fd"/>
      <w:r>
        <w:t>Technical determinations of the Technical and Standards Committee circulate to the Council with a fourteen-day silence window. Silence adopts. A stated objection sends the determination to the ordinary track with the Committee’s technical record attached. The silence procedure keeps expert work moving at expert speed while preserving political oversight.</w:t>
      </w:r>
      <w:bookmarkEnd w:id="171"/>
    </w:p>
    <w:p w14:paraId="43CB0645" w14:textId="77777777" w:rsidR="00293BDE" w:rsidRDefault="00000000">
      <w:pPr>
        <w:pStyle w:val="Heading3"/>
      </w:pPr>
      <w:r>
        <w:t>15.5 Default continuity</w:t>
      </w:r>
    </w:p>
    <w:p w14:paraId="5EBC6905" w14:textId="77777777" w:rsidR="00293BDE" w:rsidRDefault="00000000">
      <w:pPr>
        <w:pStyle w:val="FirstParagraph"/>
      </w:pPr>
      <w:bookmarkStart w:id="172" w:name="default-continuity"/>
      <w:r>
        <w:t>Where a decision deadline passes without adoption, the prior state continues at its existing level: the prior budget, the prior rates, the prior program, the prior accreditation. Deadlines never create vacuums, and inaction never creates leverage.</w:t>
      </w:r>
      <w:bookmarkEnd w:id="172"/>
    </w:p>
    <w:p w14:paraId="7D15CA7E" w14:textId="77777777" w:rsidR="00293BDE" w:rsidRDefault="00000000">
      <w:pPr>
        <w:pStyle w:val="Heading3"/>
      </w:pPr>
      <w:r>
        <w:t>15.6 The Guarantor and Facilitation Panel</w:t>
      </w:r>
    </w:p>
    <w:p w14:paraId="48063045" w14:textId="77777777" w:rsidR="00293BDE" w:rsidRDefault="00000000">
      <w:pPr>
        <w:pStyle w:val="FirstParagraph"/>
      </w:pPr>
      <w:bookmarkStart w:id="173" w:name="the-guarantor-and-facilitation-panel"/>
      <w:r>
        <w:t>The Guarantor and Facilitation Panel comprises the Neutral Administrator (chair), the two Facilitators, and two rotating neutral states drawn from a standing list of three maintained by the Council (the standing list at signature: Singapore, Switzerland’s alternate delegate, and one regional state nominated by the Council and confirmed by both Coastal Parties). The Panel convenes when: a Consensus Minus the Concerned Party attempt fails; a principle consultation deadlocks; a Tier 3 compliance event remains unresolved for thirty days; or any two voting members jointly request it. The Panel’s determinations on referred questions are final within the Compact’s functional scope. The Panel commands no Party; it completes the decision architecture where the Parties’ own tracks exhaust.</w:t>
      </w:r>
      <w:bookmarkEnd w:id="173"/>
    </w:p>
    <w:p w14:paraId="3076A182" w14:textId="77777777" w:rsidR="00293BDE" w:rsidRDefault="00000000">
      <w:pPr>
        <w:pStyle w:val="Heading3"/>
      </w:pPr>
      <w:r>
        <w:t>15.7 The cooling-off architecture</w:t>
      </w:r>
    </w:p>
    <w:p w14:paraId="521EB4EB" w14:textId="77777777" w:rsidR="00293BDE" w:rsidRDefault="00000000">
      <w:pPr>
        <w:pStyle w:val="FirstParagraph"/>
      </w:pPr>
      <w:bookmarkStart w:id="174" w:name="article-15-decision-rules"/>
      <w:bookmarkStart w:id="175" w:name="the-cooling-off-architecture"/>
      <w:r>
        <w:t>Before any determination with material consequence executes (a Category Two or Three classification, a Ladder engagement, a claims determination against a Party), a forty-eight-hour cooling-off window opens: senior officials of the affected Parties confer directly; the Neutral Administrator or a Facilitator attends at either Party’s request; the window extends to seventy-two hours by joint notice. The cooling-off converts heat-of-moment reactions into considered ones, and the registry logs the consultation’s occurrence (never its content) as part of the determination record.</w:t>
      </w:r>
      <w:bookmarkEnd w:id="174"/>
      <w:bookmarkEnd w:id="175"/>
    </w:p>
    <w:p w14:paraId="7F0F7A27" w14:textId="77777777" w:rsidR="00293BDE" w:rsidRDefault="00000000">
      <w:pPr>
        <w:pStyle w:val="Heading2"/>
      </w:pPr>
      <w:bookmarkStart w:id="176" w:name="__RefHeading___Toc10844_3324765499"/>
      <w:bookmarkEnd w:id="176"/>
      <w:r>
        <w:t>Article 16: External Participation and the Endorsement Framework</w:t>
      </w:r>
    </w:p>
    <w:p w14:paraId="0FCE21C2" w14:textId="77777777" w:rsidR="00293BDE" w:rsidRDefault="00000000">
      <w:pPr>
        <w:pStyle w:val="Heading3"/>
      </w:pPr>
      <w:r>
        <w:t>16.1 The endorsement instrument</w:t>
      </w:r>
    </w:p>
    <w:p w14:paraId="71F1BF0E" w14:textId="77777777" w:rsidR="00293BDE" w:rsidRDefault="00000000">
      <w:pPr>
        <w:pStyle w:val="FirstParagraph"/>
      </w:pPr>
      <w:bookmarkStart w:id="177" w:name="the-endorsement-instrument"/>
      <w:r>
        <w:t>Endorsing Stakeholders join by the endorsement instrument of Annex F: a short, standard text recording endorsement of the Compact, acceptance of the monitoring access rules, designation of liaisons, and the non-prejudice statement of Article 2.6. Endorsement creates no obligation to fund, no command role, and no entitlement to condition the system’s operation.</w:t>
      </w:r>
      <w:bookmarkEnd w:id="177"/>
    </w:p>
    <w:p w14:paraId="623B6309" w14:textId="77777777" w:rsidR="00293BDE" w:rsidRDefault="00000000">
      <w:pPr>
        <w:pStyle w:val="Heading3"/>
      </w:pPr>
      <w:r>
        <w:t>16.2 Monitoring access</w:t>
      </w:r>
    </w:p>
    <w:p w14:paraId="1B53404A" w14:textId="77777777" w:rsidR="00293BDE" w:rsidRDefault="00000000">
      <w:pPr>
        <w:pStyle w:val="FirstParagraph"/>
      </w:pPr>
      <w:bookmarkStart w:id="178" w:name="monitoring-access"/>
      <w:r>
        <w:t>Endorsing Stakeholders, observer states, and accredited international bodies receive the monitoring picture at the access classes of Annex B: the fused traffic picture, the incident log, the Flow State history, the audit reports, and the compliance scores. Access is simultaneous and identical for all holders of a class; no participant receives earlier, fuller, or exclusive feeds.</w:t>
      </w:r>
      <w:bookmarkEnd w:id="178"/>
    </w:p>
    <w:p w14:paraId="63D61F90" w14:textId="77777777" w:rsidR="00293BDE" w:rsidRDefault="00000000">
      <w:pPr>
        <w:pStyle w:val="Heading3"/>
      </w:pPr>
      <w:r>
        <w:t>16.3 Naval liaison</w:t>
      </w:r>
    </w:p>
    <w:p w14:paraId="2885B87F" w14:textId="77777777" w:rsidR="00293BDE" w:rsidRDefault="00000000">
      <w:pPr>
        <w:pStyle w:val="FirstParagraph"/>
      </w:pPr>
      <w:bookmarkStart w:id="179" w:name="naval-liaison"/>
      <w:r>
        <w:t>Each Endorsing Stakeholder with naval forces operating in the region designates a naval liaison to the de-confliction channel of Article 23. The liaison receives the military-transit notifications of that Article and the Quiet Water Window schedule. The liaison function carries information both directions and authority in neither.</w:t>
      </w:r>
      <w:bookmarkEnd w:id="179"/>
    </w:p>
    <w:p w14:paraId="2D03AA2B" w14:textId="77777777" w:rsidR="00293BDE" w:rsidRDefault="00000000">
      <w:pPr>
        <w:pStyle w:val="Heading3"/>
      </w:pPr>
      <w:r>
        <w:t>16.4 The insurance and market channel</w:t>
      </w:r>
    </w:p>
    <w:p w14:paraId="00A3F8C9" w14:textId="77777777" w:rsidR="00293BDE" w:rsidRDefault="00000000">
      <w:pPr>
        <w:pStyle w:val="FirstParagraph"/>
      </w:pPr>
      <w:bookmarkStart w:id="180" w:name="the-insurance-and-market-channel"/>
      <w:r>
        <w:t>The Route Assurance Data Service maintains a standing data channel to the insurance market’s recognized bodies and to the classification societies. The channel delivers the data that prices risk: survey certificates, incident rates, compliance scores, and Flow State history. The channel operates in machine-readable form, updates daily, and publishes simultaneously to all subscribers.</w:t>
      </w:r>
      <w:bookmarkEnd w:id="180"/>
    </w:p>
    <w:p w14:paraId="2D8BDD3C" w14:textId="77777777" w:rsidR="00293BDE" w:rsidRDefault="00000000">
      <w:pPr>
        <w:pStyle w:val="Heading3"/>
      </w:pPr>
      <w:r>
        <w:t>16.5 No conditioning</w:t>
      </w:r>
    </w:p>
    <w:p w14:paraId="69B312B3" w14:textId="77777777" w:rsidR="00293BDE" w:rsidRDefault="00000000">
      <w:pPr>
        <w:pStyle w:val="FirstParagraph"/>
      </w:pPr>
      <w:bookmarkStart w:id="181" w:name="no-conditioning"/>
      <w:r>
        <w:t>No external participation conditions the system’s operation. The architecture functions with the observers it has; observer absence never suspends a function, delays a phase, or weakens a guarantee. This rule protects the system from external politics and protects observers from instrumentalization in equal measure.</w:t>
      </w:r>
      <w:bookmarkEnd w:id="181"/>
    </w:p>
    <w:p w14:paraId="15E14272" w14:textId="77777777" w:rsidR="00293BDE" w:rsidRDefault="00000000">
      <w:pPr>
        <w:pStyle w:val="Heading3"/>
      </w:pPr>
      <w:r>
        <w:t>16.6 Regional dialogue</w:t>
      </w:r>
    </w:p>
    <w:p w14:paraId="7DBED04C" w14:textId="77777777" w:rsidR="00293BDE" w:rsidRDefault="00000000">
      <w:pPr>
        <w:pStyle w:val="FirstParagraph"/>
      </w:pPr>
      <w:bookmarkStart w:id="182" w:name="regional-dialogue"/>
      <w:r>
        <w:t>The Authority convenes the annual Gulf Navigation Dialogue: a standing conference of the littoral states, the Endorsing Stakeholders, the technical interfaces, and the Stakeholder Panel, reviewing the State of the Strait report and the year’s Lessons Learned. The Dialogue recommends; the Council decides. The Dialogue anchors the Compact in the region’s collective maritime interest.</w:t>
      </w:r>
      <w:bookmarkEnd w:id="182"/>
    </w:p>
    <w:p w14:paraId="1C49FF5A" w14:textId="77777777" w:rsidR="00293BDE" w:rsidRDefault="00000000">
      <w:pPr>
        <w:pStyle w:val="Heading3"/>
      </w:pPr>
      <w:r>
        <w:t>16.7 The user feedback channel</w:t>
      </w:r>
    </w:p>
    <w:p w14:paraId="5DD5F064" w14:textId="77777777" w:rsidR="00293BDE" w:rsidRDefault="00000000">
      <w:pPr>
        <w:pStyle w:val="FirstParagraph"/>
      </w:pPr>
      <w:r>
        <w:t>Any shipowner, operator, charterer, insurer, or seafarer body, accredited or not, files operational feedback through the published user channel. The Technical and Standards Committee reviews every filing, answers within thirty days, and routes systemic items into the Lessons Learned register. The channel keeps the system honest at the point of use, where abstraction meets water.</w:t>
      </w:r>
    </w:p>
    <w:bookmarkStart w:id="183" w:name="part-iii-institutional-architecture"/>
    <w:bookmarkStart w:id="184" w:name="X372334bb9557e81fc3558172691fe68894506c3"/>
    <w:bookmarkStart w:id="185" w:name="the-user-feedback-channel"/>
    <w:p w14:paraId="73741E37" w14:textId="10012239" w:rsidR="00293BDE" w:rsidRDefault="00622008">
      <w:r>
        <w:rPr>
          <w:noProof/>
        </w:rPr>
      </w:r>
      <w:r>
        <w:pict w14:anchorId="0804B540">
          <v:rect id="Rectangle 10" o:spid="_x0000_s1045"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183"/>
      <w:bookmarkEnd w:id="184"/>
      <w:bookmarkEnd w:id="185"/>
    </w:p>
    <w:p w14:paraId="48B827C7" w14:textId="77777777" w:rsidR="00293BDE" w:rsidRDefault="00000000">
      <w:pPr>
        <w:pStyle w:val="Heading1"/>
      </w:pPr>
      <w:bookmarkStart w:id="186" w:name="__RefHeading___Toc10846_3324765499"/>
      <w:bookmarkEnd w:id="186"/>
      <w:r>
        <w:t>PART IV: THE FINANCIAL ARCHITECTURE: THE SETTLEMENT OF THE TOLL QUESTION</w:t>
      </w:r>
    </w:p>
    <w:p w14:paraId="5BDAEA9D" w14:textId="77777777" w:rsidR="00293BDE" w:rsidRDefault="00000000">
      <w:pPr>
        <w:pStyle w:val="Heading2"/>
      </w:pPr>
      <w:bookmarkStart w:id="187" w:name="__RefHeading___Toc10848_3324765499"/>
      <w:bookmarkEnd w:id="187"/>
      <w:r>
        <w:t>Article 17: The Open Passage Rule</w:t>
      </w:r>
    </w:p>
    <w:p w14:paraId="78676365" w14:textId="77777777" w:rsidR="00293BDE" w:rsidRDefault="00000000">
      <w:pPr>
        <w:pStyle w:val="Heading3"/>
      </w:pPr>
      <w:r>
        <w:t>17.1 The rule</w:t>
      </w:r>
    </w:p>
    <w:p w14:paraId="315D1C25" w14:textId="77777777" w:rsidR="00293BDE" w:rsidRDefault="00000000">
      <w:pPr>
        <w:pStyle w:val="FirstParagraph"/>
      </w:pPr>
      <w:bookmarkStart w:id="188" w:name="the-rule"/>
      <w:r>
        <w:t>Passage through the Strait, in any corridor, by any vessel, carries no charge, toll, levy, due, or fee of any kind, at any time, under any name, in any political condition. The rule admits no exception, no suspension, and no emergency override. IPR-1 states the rule in the Register; this Article makes it operational.</w:t>
      </w:r>
      <w:bookmarkEnd w:id="188"/>
    </w:p>
    <w:p w14:paraId="5C0D740F" w14:textId="77777777" w:rsidR="00293BDE" w:rsidRDefault="00000000">
      <w:pPr>
        <w:pStyle w:val="Heading3"/>
      </w:pPr>
      <w:r>
        <w:t>17.2 Mandatory insurance excluded</w:t>
      </w:r>
    </w:p>
    <w:p w14:paraId="0B2A3B45" w14:textId="77777777" w:rsidR="00293BDE" w:rsidRDefault="00000000">
      <w:pPr>
        <w:pStyle w:val="FirstParagraph"/>
      </w:pPr>
      <w:bookmarkStart w:id="189" w:name="mandatory-insurance-excluded"/>
      <w:r>
        <w:t>The architecture excludes any mandatory insurance, bond, or financial guarantee as a condition of transit. Insurance remains a market matter between vessel and underwriter, informed by the Route Assurance Data Service.</w:t>
      </w:r>
      <w:bookmarkEnd w:id="189"/>
    </w:p>
    <w:p w14:paraId="6E30750B" w14:textId="77777777" w:rsidR="00293BDE" w:rsidRDefault="00000000">
      <w:pPr>
        <w:pStyle w:val="Heading3"/>
      </w:pPr>
      <w:r>
        <w:t>17.3 Scope</w:t>
      </w:r>
    </w:p>
    <w:p w14:paraId="540722ED" w14:textId="77777777" w:rsidR="00293BDE" w:rsidRDefault="00000000">
      <w:pPr>
        <w:pStyle w:val="FirstParagraph"/>
      </w:pPr>
      <w:bookmarkStart w:id="190" w:name="scope"/>
      <w:r>
        <w:t>The rule covers transit passage and the ordinary use of the corridors, the Buffer Corridor, the reporting points, and the holding anchorages. The rule does not cover, and does not need to cover, the delivered services of the Verified Services Catalog, because those are services, not passage.</w:t>
      </w:r>
      <w:bookmarkEnd w:id="190"/>
    </w:p>
    <w:p w14:paraId="30D3C8B9" w14:textId="77777777" w:rsidR="00293BDE" w:rsidRDefault="00000000">
      <w:pPr>
        <w:pStyle w:val="Heading3"/>
      </w:pPr>
      <w:r>
        <w:t>17.4 The service-charge distinction reaffirmed</w:t>
      </w:r>
    </w:p>
    <w:p w14:paraId="47C826E4" w14:textId="77777777" w:rsidR="00293BDE" w:rsidRDefault="00000000">
      <w:pPr>
        <w:pStyle w:val="FirstParagraph"/>
      </w:pPr>
      <w:bookmarkStart w:id="191" w:name="Xfd9718b2630cf5aa73ba1154ca0b0c1a437c815"/>
      <w:r>
        <w:t>The Compact settles the toll question by dividing it: passage is free, always; services are charged, transparently, at cost-based rates, through a neutral fund, for delivered and verified service only. This division satisfies every position on record: the position that no state tolls an international strait; the position that states performing real services receive real revenue; and the position that charges remain transparent, audited, and sanctions-compatible. The division is permanent and stands in the Register as IPR-1 and IPR-7.</w:t>
      </w:r>
      <w:bookmarkEnd w:id="191"/>
    </w:p>
    <w:p w14:paraId="6488CFD1" w14:textId="77777777" w:rsidR="00293BDE" w:rsidRDefault="00000000">
      <w:pPr>
        <w:pStyle w:val="Heading3"/>
      </w:pPr>
      <w:r>
        <w:t>17.5 What the Fund pays for instead</w:t>
      </w:r>
    </w:p>
    <w:p w14:paraId="6F9980B4" w14:textId="77777777" w:rsidR="00293BDE" w:rsidRDefault="00000000">
      <w:pPr>
        <w:pStyle w:val="FirstParagraph"/>
      </w:pPr>
      <w:bookmarkStart w:id="192" w:name="what-the-fund-pays-for-instead"/>
      <w:r>
        <w:t>The Strait Services Fund, not any vessel and not any political sponsor, carries the standing costs of safe passage: traffic management, monitoring, survey amortization, aids to navigation, the Bulletin, the registry, and the watch floor. Article 19 defines the Fund’s resources. The effect for the market: the Strait operates like open water with a serviced corridor, and the cost of the service layer socializes across the system’s users and beneficiaries at published, audited, cost-based rates.</w:t>
      </w:r>
      <w:bookmarkEnd w:id="192"/>
    </w:p>
    <w:p w14:paraId="6EEB7C4A" w14:textId="77777777" w:rsidR="00293BDE" w:rsidRDefault="00000000">
      <w:pPr>
        <w:pStyle w:val="Heading3"/>
      </w:pPr>
      <w:r>
        <w:t>17.6 Domestic law reconciliation</w:t>
      </w:r>
    </w:p>
    <w:p w14:paraId="5B0C094F" w14:textId="77777777" w:rsidR="00293BDE" w:rsidRDefault="00000000">
      <w:pPr>
        <w:pStyle w:val="FirstParagraph"/>
      </w:pPr>
      <w:bookmarkStart w:id="193" w:name="domestic-law-reconciliation"/>
      <w:r>
        <w:t>Each Party reconciles its domestic law with this Article by the instrument of Annex F: passage-charging instruments stand disapplied within the Governance Area from entry into force, and service-charging instruments align to the Verified Services Catalog. The reconciliation is a legislative housekeeping act, completed within each Party’s own constitutional procedures, and the depositary records its completion.</w:t>
      </w:r>
      <w:bookmarkEnd w:id="193"/>
    </w:p>
    <w:p w14:paraId="77CE0139" w14:textId="77777777" w:rsidR="00293BDE" w:rsidRDefault="00000000">
      <w:pPr>
        <w:pStyle w:val="Heading3"/>
      </w:pPr>
      <w:r>
        <w:t>17.7 The anti-relabeling rule</w:t>
      </w:r>
    </w:p>
    <w:p w14:paraId="3511ECA1" w14:textId="77777777" w:rsidR="00293BDE" w:rsidRDefault="00000000">
      <w:pPr>
        <w:pStyle w:val="FirstParagraph"/>
      </w:pPr>
      <w:bookmarkStart w:id="194" w:name="article-17-the-open-passage-rule"/>
      <w:bookmarkStart w:id="195" w:name="the-anti-relabeling-rule"/>
      <w:r>
        <w:t>The architecture defeats relabeling: a charge is what it does, not what it is called. Any exaction that attaches to the act of transit, whatever its title, constitutes a charge on passage and fails IPR-1. Any exaction that traces to a delivered, verified, catalog service at a published cost-based rate constitutes a service charge and stands. The audit tests every revenue line against this rule annually, and the Perimeter Test applies it to every new financial measure at origin.</w:t>
      </w:r>
      <w:bookmarkEnd w:id="194"/>
      <w:bookmarkEnd w:id="195"/>
    </w:p>
    <w:p w14:paraId="0BAFBF52" w14:textId="77777777" w:rsidR="00293BDE" w:rsidRDefault="00000000">
      <w:pPr>
        <w:pStyle w:val="Heading2"/>
      </w:pPr>
      <w:bookmarkStart w:id="196" w:name="__RefHeading___Toc10850_3324765499"/>
      <w:bookmarkEnd w:id="196"/>
      <w:r>
        <w:t>Article 18: The Verified Services Catalog and the Route Assurance Data Service</w:t>
      </w:r>
    </w:p>
    <w:p w14:paraId="704B76AA" w14:textId="77777777" w:rsidR="00293BDE" w:rsidRDefault="00000000">
      <w:pPr>
        <w:pStyle w:val="Heading3"/>
      </w:pPr>
      <w:r>
        <w:t>18.1 The Catalog</w:t>
      </w:r>
    </w:p>
    <w:p w14:paraId="1A145BB6" w14:textId="77777777" w:rsidR="00293BDE" w:rsidRDefault="00000000">
      <w:pPr>
        <w:pStyle w:val="FirstParagraph"/>
      </w:pPr>
      <w:r>
        <w:t>The Verified Services Catalog lists every chargeable service in the system. At signature the Catalog contains eight items:</w:t>
      </w:r>
    </w:p>
    <w:p w14:paraId="1A0F03A6" w14:textId="77777777" w:rsidR="00293BDE" w:rsidRDefault="00000000">
      <w:pPr>
        <w:pStyle w:val="Compact"/>
        <w:numPr>
          <w:ilvl w:val="0"/>
          <w:numId w:val="22"/>
        </w:numPr>
      </w:pPr>
      <w:r>
        <w:t>Traffic management and vessel traffic information, inbound corridor (performed by Iran).</w:t>
      </w:r>
    </w:p>
    <w:p w14:paraId="4D0BC96D" w14:textId="77777777" w:rsidR="00293BDE" w:rsidRDefault="00000000">
      <w:pPr>
        <w:pStyle w:val="Compact"/>
        <w:numPr>
          <w:ilvl w:val="0"/>
          <w:numId w:val="23"/>
        </w:numPr>
      </w:pPr>
      <w:r>
        <w:t>Traffic management and vessel traffic information, outbound corridor (performed by Oman).</w:t>
      </w:r>
    </w:p>
    <w:p w14:paraId="583B376F" w14:textId="77777777" w:rsidR="00293BDE" w:rsidRDefault="00000000">
      <w:pPr>
        <w:pStyle w:val="Compact"/>
        <w:numPr>
          <w:ilvl w:val="0"/>
          <w:numId w:val="24"/>
        </w:numPr>
      </w:pPr>
      <w:r>
        <w:t>Pilotage, on request, in either corridor (performed by the respective coastal state’s licensed pilots).</w:t>
      </w:r>
    </w:p>
    <w:p w14:paraId="72CA792F" w14:textId="77777777" w:rsidR="00293BDE" w:rsidRDefault="00000000">
      <w:pPr>
        <w:pStyle w:val="Compact"/>
        <w:numPr>
          <w:ilvl w:val="0"/>
          <w:numId w:val="25"/>
        </w:numPr>
      </w:pPr>
      <w:r>
        <w:t>Tug assistance and escort, on request or on Class H recommendation (performed by the respective coastal state’s tug operators).</w:t>
      </w:r>
    </w:p>
    <w:p w14:paraId="5C97F470" w14:textId="77777777" w:rsidR="00293BDE" w:rsidRDefault="00000000">
      <w:pPr>
        <w:pStyle w:val="Compact"/>
        <w:numPr>
          <w:ilvl w:val="0"/>
          <w:numId w:val="26"/>
        </w:numPr>
      </w:pPr>
      <w:r>
        <w:t>Environmental monitoring of the corridor system (performed jointly; apportioned by formula).</w:t>
      </w:r>
    </w:p>
    <w:p w14:paraId="4C8949F9" w14:textId="77777777" w:rsidR="00293BDE" w:rsidRDefault="00000000">
      <w:pPr>
        <w:pStyle w:val="Compact"/>
        <w:numPr>
          <w:ilvl w:val="0"/>
          <w:numId w:val="27"/>
        </w:numPr>
      </w:pPr>
      <w:r>
        <w:t>Emergency-response readiness: the standing search-and-rescue, firefighting, and spill-response capability of Article 24 (performed jointly; charged as a readiness retainer, not per incident).</w:t>
      </w:r>
    </w:p>
    <w:p w14:paraId="49E7B4C4" w14:textId="77777777" w:rsidR="00293BDE" w:rsidRDefault="00000000">
      <w:pPr>
        <w:pStyle w:val="Compact"/>
        <w:numPr>
          <w:ilvl w:val="0"/>
          <w:numId w:val="28"/>
        </w:numPr>
      </w:pPr>
      <w:r>
        <w:t>Mine-hazard survey and clearance, amortized (performed per Article 9; charged to the Fund as a system cost, never to vessels).</w:t>
      </w:r>
    </w:p>
    <w:p w14:paraId="590E9ED7" w14:textId="77777777" w:rsidR="00293BDE" w:rsidRDefault="00000000">
      <w:pPr>
        <w:pStyle w:val="Compact"/>
        <w:numPr>
          <w:ilvl w:val="0"/>
          <w:numId w:val="29"/>
        </w:numPr>
      </w:pPr>
      <w:r>
        <w:t>Data services: the Route Assurance Data Service subscriptions of Article 18.6 (performed by the Authority).</w:t>
      </w:r>
    </w:p>
    <w:p w14:paraId="20F07D91" w14:textId="77777777" w:rsidR="00293BDE" w:rsidRDefault="00000000">
      <w:pPr>
        <w:pStyle w:val="FirstParagraph"/>
      </w:pPr>
      <w:bookmarkStart w:id="197" w:name="the-catalog"/>
      <w:r>
        <w:t>The Catalog changes only through the elevated track of Article 15.1, with a published cost basis for every addition. No service outside the Catalog carries a charge.</w:t>
      </w:r>
      <w:bookmarkEnd w:id="197"/>
    </w:p>
    <w:p w14:paraId="450DE6E3" w14:textId="77777777" w:rsidR="00293BDE" w:rsidRDefault="00000000">
      <w:pPr>
        <w:pStyle w:val="Heading3"/>
      </w:pPr>
      <w:r>
        <w:t>18.2 Verification of services</w:t>
      </w:r>
    </w:p>
    <w:p w14:paraId="415F69AE" w14:textId="77777777" w:rsidR="00293BDE" w:rsidRDefault="00000000">
      <w:pPr>
        <w:pStyle w:val="FirstParagraph"/>
      </w:pPr>
      <w:bookmarkStart w:id="198" w:name="verification-of-services"/>
      <w:r>
        <w:t>Every chargeable service verifies before it invoices. Traffic management verifies through the Shared Data Registry’s record of the vessel’s corridor transit under active information service. Pilotage and tug assistance verify through the service completion report of Annex D and the registry’s position record. Environmental monitoring and emergency readiness verify through the monthly service attestation of the performing party, countersigned by the Neutral Watch Office. Survey and clearance verify through the Survey Certificates of Article 9. Data services verify through subscription records. No unverified service invoices; no invoiced service lacks a verification record.</w:t>
      </w:r>
      <w:bookmarkEnd w:id="198"/>
    </w:p>
    <w:p w14:paraId="0466228A" w14:textId="77777777" w:rsidR="00293BDE" w:rsidRDefault="00000000">
      <w:pPr>
        <w:pStyle w:val="Heading3"/>
      </w:pPr>
      <w:r>
        <w:t>18.3 Delivery states</w:t>
      </w:r>
    </w:p>
    <w:p w14:paraId="5D47B1F1" w14:textId="77777777" w:rsidR="00293BDE" w:rsidRDefault="00000000">
      <w:pPr>
        <w:pStyle w:val="FirstParagraph"/>
      </w:pPr>
      <w:bookmarkStart w:id="199" w:name="delivery-states"/>
      <w:r>
        <w:t>Each Catalog service operates in one of three delivery states: standard (delivered at the published service standard), degraded (delivered below standard; invoiced at fifty percent of rate), and unavailable (not delivered; not invoiced; the outage publishes on the Bulletin). Delivery states attach automatically from the registry’s service record; no party declares them by discretion.</w:t>
      </w:r>
      <w:bookmarkEnd w:id="199"/>
    </w:p>
    <w:p w14:paraId="22825207" w14:textId="77777777" w:rsidR="00293BDE" w:rsidRDefault="00000000">
      <w:pPr>
        <w:pStyle w:val="Heading3"/>
      </w:pPr>
      <w:r>
        <w:t>18.4 The apportionment band</w:t>
      </w:r>
    </w:p>
    <w:p w14:paraId="7C91AA76" w14:textId="77777777" w:rsidR="00293BDE" w:rsidRDefault="00000000">
      <w:pPr>
        <w:pStyle w:val="FirstParagraph"/>
      </w:pPr>
      <w:bookmarkStart w:id="200" w:name="the-apportionment-band"/>
      <w:r>
        <w:t>Service revenue apportions monthly: each performing party receives the revenue its verified services earned, less the Fund’s administration share of eight percent, which funds the Authority’s budget under Annex B. The joint services (items 5, 6, and 7) apportion to the Coastal Two on the formula of Annex B: fifty percent equally, fifty percent in proportion to verified workload. The apportionment publishes monthly in full.</w:t>
      </w:r>
      <w:bookmarkEnd w:id="200"/>
    </w:p>
    <w:p w14:paraId="7B455B7D" w14:textId="77777777" w:rsidR="00293BDE" w:rsidRDefault="00000000">
      <w:pPr>
        <w:pStyle w:val="Heading3"/>
      </w:pPr>
      <w:r>
        <w:t>18.5 The Assurance Registry</w:t>
      </w:r>
    </w:p>
    <w:p w14:paraId="2ED3B688" w14:textId="77777777" w:rsidR="00293BDE" w:rsidRDefault="00000000">
      <w:pPr>
        <w:pStyle w:val="FirstParagraph"/>
      </w:pPr>
      <w:bookmarkStart w:id="201" w:name="the-assurance-registry"/>
      <w:r>
        <w:t>The Authority maintains the Assurance Registry: the public, permanent record of every Survey Certificate, every service attestation, every delivery-state period, every incident, every audit, and every compliance score. The Assurance Registry is the system’s memory and the market’s evidence base.</w:t>
      </w:r>
      <w:bookmarkEnd w:id="201"/>
    </w:p>
    <w:p w14:paraId="0B0E5D72" w14:textId="77777777" w:rsidR="00293BDE" w:rsidRDefault="00000000">
      <w:pPr>
        <w:pStyle w:val="Heading3"/>
      </w:pPr>
      <w:r>
        <w:t>18.6 The Route Assurance Data Service</w:t>
      </w:r>
    </w:p>
    <w:p w14:paraId="41239051" w14:textId="77777777" w:rsidR="00293BDE" w:rsidRDefault="00000000">
      <w:pPr>
        <w:pStyle w:val="FirstParagraph"/>
      </w:pPr>
      <w:bookmarkStart w:id="202" w:name="the-route-assurance-data-service"/>
      <w:r>
        <w:t>The Route Assurance Data Service packages the Assurance Registry into subscription products for shipowners, charterers, insurers, flag states, and ports: daily corridor status, rolling incident rates, compliance scores, survey status, and Flow State history, delivered in machine-readable form. Subscription revenue flows to the Fund. The service operates on equal terms for all subscribers and publishes its base layer free of charge, because basic safety information belongs to everyone on the water.</w:t>
      </w:r>
      <w:bookmarkEnd w:id="202"/>
    </w:p>
    <w:p w14:paraId="0C644C38" w14:textId="77777777" w:rsidR="00293BDE" w:rsidRDefault="00000000">
      <w:pPr>
        <w:pStyle w:val="Heading3"/>
      </w:pPr>
      <w:r>
        <w:t>18.7 Premium normalization</w:t>
      </w:r>
    </w:p>
    <w:p w14:paraId="7ECCBD2F" w14:textId="77777777" w:rsidR="00293BDE" w:rsidRDefault="00000000">
      <w:pPr>
        <w:pStyle w:val="FirstParagraph"/>
      </w:pPr>
      <w:bookmarkStart w:id="203" w:name="premium-normalization"/>
      <w:r>
        <w:t>The system’s data earns the market’s confidence or fails to. The Authority targets, as a published budget objective, the withdrawal of war-risk surcharges within one hundred eighty days of Full Activation. The underwriter members of the Stakeholder Panel review the data quarterly and publish their risk classifications independently. The Authority never asks the market for confidence; it supplies the data from which confidence follows.</w:t>
      </w:r>
      <w:bookmarkEnd w:id="203"/>
    </w:p>
    <w:p w14:paraId="0F82A0CC" w14:textId="77777777" w:rsidR="00293BDE" w:rsidRDefault="00000000">
      <w:pPr>
        <w:pStyle w:val="Heading3"/>
      </w:pPr>
      <w:r>
        <w:t>18.8 The service standard schedule</w:t>
      </w:r>
    </w:p>
    <w:p w14:paraId="215F7B2B" w14:textId="77777777" w:rsidR="00293BDE" w:rsidRDefault="00000000">
      <w:pPr>
        <w:pStyle w:val="FirstParagraph"/>
      </w:pPr>
      <w:bookmarkStart w:id="204" w:name="Xcde728ce36fcbb8e27cbcdb2a3f95b992c76bb6"/>
      <w:bookmarkStart w:id="205" w:name="the-service-standard-schedule"/>
      <w:r>
        <w:t>Each Catalog service carries a published service standard in the Implementation Manual: response times, availability targets, and quality measures. The standards bind the performing parties as operational commitments, verify through the registry, and feed the delivery states of Section 18.3. A service that misses its standard invoices less, automatically; a service that misses chronically enters the Lessons Learned register with a corrective plan and a date.</w:t>
      </w:r>
      <w:bookmarkEnd w:id="204"/>
      <w:bookmarkEnd w:id="205"/>
    </w:p>
    <w:p w14:paraId="6704D7EB" w14:textId="77777777" w:rsidR="00293BDE" w:rsidRDefault="00000000">
      <w:pPr>
        <w:pStyle w:val="Heading2"/>
      </w:pPr>
      <w:bookmarkStart w:id="206" w:name="__RefHeading___Toc10852_3324765499"/>
      <w:bookmarkEnd w:id="206"/>
      <w:r>
        <w:t>Article 19: The Strait Services Fund</w:t>
      </w:r>
    </w:p>
    <w:p w14:paraId="3FDC2E29" w14:textId="77777777" w:rsidR="00293BDE" w:rsidRDefault="00000000">
      <w:pPr>
        <w:pStyle w:val="Heading3"/>
      </w:pPr>
      <w:r>
        <w:t>19.1 Establishment and legal form</w:t>
      </w:r>
    </w:p>
    <w:p w14:paraId="7CE3A1EC" w14:textId="77777777" w:rsidR="00293BDE" w:rsidRDefault="00000000">
      <w:pPr>
        <w:pStyle w:val="FirstParagraph"/>
      </w:pPr>
      <w:bookmarkStart w:id="207" w:name="establishment-and-legal-form"/>
      <w:r>
        <w:t>The Parties establish the Strait Services Fund (the Fund) as a purpose-bound fund administered by the Neutral Administrator under a charter at Annex B. The Fund holds its principal clearing account with the Swiss-administered clearing arrangement and its operating escrow with the Omani-administered escrow arrangement, linked by the payment mechanics of Annex B. The Fund possesses no political function and no personality beyond its charter.</w:t>
      </w:r>
      <w:bookmarkEnd w:id="207"/>
    </w:p>
    <w:p w14:paraId="43C7E26E" w14:textId="77777777" w:rsidR="00293BDE" w:rsidRDefault="00000000">
      <w:pPr>
        <w:pStyle w:val="Heading3"/>
      </w:pPr>
      <w:r>
        <w:t>19.2 Purpose and the humanitarian lock</w:t>
      </w:r>
    </w:p>
    <w:p w14:paraId="66466E00" w14:textId="77777777" w:rsidR="00293BDE" w:rsidRDefault="00000000">
      <w:pPr>
        <w:pStyle w:val="FirstParagraph"/>
      </w:pPr>
      <w:bookmarkStart w:id="208" w:name="purpose-and-the-humanitarian-lock"/>
      <w:r>
        <w:t>The Fund exists to pay for the corridor system’s services and standing costs, to receive the system’s revenues and contributions, and to apportion service revenue to the performing parties. Within the Fund, a Humanitarian Window finances the movement of food, medicine, and humanitarian cargo services through the Strait, including service-charge relief for humanitarian voyages and priority emergency response for humanitarian shipping. The Humanitarian Window stands locked: no compliance event, no dispute, no pause, and no budget pressure touches it. IPR-10 holds the lock.</w:t>
      </w:r>
      <w:bookmarkEnd w:id="208"/>
    </w:p>
    <w:p w14:paraId="36F6E040" w14:textId="77777777" w:rsidR="00293BDE" w:rsidRDefault="00000000">
      <w:pPr>
        <w:pStyle w:val="Heading3"/>
      </w:pPr>
      <w:r>
        <w:t>19.3 Resources</w:t>
      </w:r>
    </w:p>
    <w:p w14:paraId="3805C075" w14:textId="77777777" w:rsidR="00293BDE" w:rsidRDefault="00000000">
      <w:pPr>
        <w:pStyle w:val="FirstParagraph"/>
      </w:pPr>
      <w:r>
        <w:t>The Fund’s resources are, in order of first call:</w:t>
      </w:r>
    </w:p>
    <w:p w14:paraId="4FB50DBD" w14:textId="77777777" w:rsidR="00293BDE" w:rsidRDefault="00000000">
      <w:pPr>
        <w:pStyle w:val="Compact"/>
        <w:numPr>
          <w:ilvl w:val="0"/>
          <w:numId w:val="30"/>
        </w:numPr>
      </w:pPr>
      <w:r>
        <w:t>Verified service charges invoiced under Article 18.</w:t>
      </w:r>
    </w:p>
    <w:p w14:paraId="6FDCDF34" w14:textId="77777777" w:rsidR="00293BDE" w:rsidRDefault="00000000">
      <w:pPr>
        <w:pStyle w:val="Compact"/>
        <w:numPr>
          <w:ilvl w:val="0"/>
          <w:numId w:val="31"/>
        </w:numPr>
      </w:pPr>
      <w:r>
        <w:t>Data service subscriptions under Article 18.6.</w:t>
      </w:r>
    </w:p>
    <w:p w14:paraId="076BBC0A" w14:textId="77777777" w:rsidR="00293BDE" w:rsidRDefault="00000000">
      <w:pPr>
        <w:pStyle w:val="Compact"/>
        <w:numPr>
          <w:ilvl w:val="0"/>
          <w:numId w:val="32"/>
        </w:numPr>
      </w:pPr>
      <w:r>
        <w:t>Voluntary contributions under the Voluntary Contribution Facility of Annex B, open to user states, cargo interests, and the shipping industry on the cooperative-mechanism principle that users of a shared waterway contribute to its upkeep by choice, at published suggested scales, with publication of contributors.</w:t>
      </w:r>
    </w:p>
    <w:p w14:paraId="4B197FB5" w14:textId="77777777" w:rsidR="00293BDE" w:rsidRDefault="00000000">
      <w:pPr>
        <w:pStyle w:val="Compact"/>
        <w:numPr>
          <w:ilvl w:val="0"/>
          <w:numId w:val="33"/>
        </w:numPr>
      </w:pPr>
      <w:r>
        <w:t>Endowment contributions: one-time or scheduled contributions by the Parties, Endorsing Stakeholders, and other states, including the reconstruction-linked contributions contemplated by the MOU’s economic architecture, accepted always without condition on the Fund’s governance.</w:t>
      </w:r>
    </w:p>
    <w:p w14:paraId="2C4525D0" w14:textId="77777777" w:rsidR="00293BDE" w:rsidRDefault="00000000">
      <w:pPr>
        <w:pStyle w:val="Compact"/>
        <w:numPr>
          <w:ilvl w:val="0"/>
          <w:numId w:val="34"/>
        </w:numPr>
      </w:pPr>
      <w:bookmarkStart w:id="209" w:name="resources"/>
      <w:r>
        <w:t>Audit-recovered sums and the earnings of the Fund’s own balances.</w:t>
      </w:r>
      <w:bookmarkEnd w:id="209"/>
    </w:p>
    <w:p w14:paraId="73C854FB" w14:textId="77777777" w:rsidR="00293BDE" w:rsidRDefault="00000000">
      <w:pPr>
        <w:pStyle w:val="Heading3"/>
      </w:pPr>
      <w:r>
        <w:t>19.4 Administration</w:t>
      </w:r>
    </w:p>
    <w:p w14:paraId="677118C4" w14:textId="77777777" w:rsidR="00293BDE" w:rsidRDefault="00000000">
      <w:pPr>
        <w:pStyle w:val="FirstParagraph"/>
      </w:pPr>
      <w:bookmarkStart w:id="210" w:name="administration"/>
      <w:r>
        <w:t>The Neutral Administrator administers the Fund: it operates the clearing account, executes apportionments, instructs the escrow, contracts the auditors, and reports monthly. The administration is mechanical: the charter’s formulas, the registry’s verifications, and the published rates determine every payment. The Administrator exercises no discretion over amounts; it certifies and executes.</w:t>
      </w:r>
      <w:bookmarkEnd w:id="210"/>
    </w:p>
    <w:p w14:paraId="78D01382" w14:textId="77777777" w:rsidR="00293BDE" w:rsidRDefault="00000000">
      <w:pPr>
        <w:pStyle w:val="Heading3"/>
      </w:pPr>
      <w:r>
        <w:t>19.5 Governance</w:t>
      </w:r>
    </w:p>
    <w:p w14:paraId="6189492D" w14:textId="77777777" w:rsidR="00293BDE" w:rsidRDefault="00000000">
      <w:pPr>
        <w:pStyle w:val="FirstParagraph"/>
      </w:pPr>
      <w:bookmarkStart w:id="211" w:name="governance"/>
      <w:r>
        <w:t>The Fund answers to the Horizon Council through the annual budget and the quarterly finance report. The Fund’s charter, its rate card, and its apportionment formulas change only through the elevated track. The Fund’s accounts, less the narrow confidentiality of individual commercial invoices, publish quarterly in full.</w:t>
      </w:r>
      <w:bookmarkEnd w:id="211"/>
    </w:p>
    <w:p w14:paraId="6AC9335D" w14:textId="77777777" w:rsidR="00293BDE" w:rsidRDefault="00000000">
      <w:pPr>
        <w:pStyle w:val="Heading3"/>
      </w:pPr>
      <w:r>
        <w:t>19.6 No double recovery</w:t>
      </w:r>
    </w:p>
    <w:p w14:paraId="43C465D4" w14:textId="77777777" w:rsidR="00293BDE" w:rsidRDefault="00000000">
      <w:pPr>
        <w:pStyle w:val="FirstParagraph"/>
      </w:pPr>
      <w:bookmarkStart w:id="212" w:name="no-double-recovery"/>
      <w:r>
        <w:t>A cost recovered through a service charge does not appear in any contribution request, and a cost covered by contribution does not appear in any rate. The annual audit tests for double recovery specifically and publishes the test.</w:t>
      </w:r>
      <w:bookmarkEnd w:id="212"/>
    </w:p>
    <w:p w14:paraId="60835759" w14:textId="77777777" w:rsidR="00293BDE" w:rsidRDefault="00000000">
      <w:pPr>
        <w:pStyle w:val="Heading3"/>
      </w:pPr>
      <w:r>
        <w:t>19.7 The compensation window</w:t>
      </w:r>
    </w:p>
    <w:p w14:paraId="29BAC94D" w14:textId="77777777" w:rsidR="00293BDE" w:rsidRDefault="00000000">
      <w:pPr>
        <w:pStyle w:val="FirstParagraph"/>
      </w:pPr>
      <w:bookmarkStart w:id="213" w:name="the-compensation-window"/>
      <w:r>
        <w:t>The Fund maintains a Compensation Window for the prompt settlement of substantiated claims under Article 27: physical damage from system failures, wrongful delay losses within defined caps, and salvage or response costs borne by third parties in system incidents. The Window holds a standing reserve set in Annex B, replenishes from the Fund’s resources, and pays determinations within thirty days.</w:t>
      </w:r>
      <w:bookmarkEnd w:id="213"/>
    </w:p>
    <w:p w14:paraId="7DC94BE3" w14:textId="77777777" w:rsidR="00293BDE" w:rsidRDefault="00000000">
      <w:pPr>
        <w:pStyle w:val="Heading3"/>
      </w:pPr>
      <w:r>
        <w:t>19.8 The security-reimbursement link</w:t>
      </w:r>
    </w:p>
    <w:p w14:paraId="2E713728" w14:textId="77777777" w:rsidR="00293BDE" w:rsidRDefault="00000000">
      <w:pPr>
        <w:pStyle w:val="FirstParagraph"/>
      </w:pPr>
      <w:bookmarkStart w:id="214" w:name="the-security-reimbursement-link"/>
      <w:r>
        <w:t>Where a Party performs an extraordinary security-related service the Council certifies as system-benefiting (an unscheduled mine-sweep, a major salvage, a mass rescue), the Fund reimburses the verified cost at audited rates from the system-cost line. The link keeps extraordinary effort inside the civilian, verified, cost-based frame, and keeps such effort from ever becoming a charge on passage or a political debt.</w:t>
      </w:r>
      <w:bookmarkEnd w:id="214"/>
    </w:p>
    <w:p w14:paraId="485DBE64" w14:textId="77777777" w:rsidR="00293BDE" w:rsidRDefault="00000000">
      <w:pPr>
        <w:pStyle w:val="Heading3"/>
      </w:pPr>
      <w:r>
        <w:t>19.9 The Fund as political insulation</w:t>
      </w:r>
    </w:p>
    <w:p w14:paraId="4F5DD965" w14:textId="77777777" w:rsidR="00293BDE" w:rsidRDefault="00000000">
      <w:pPr>
        <w:pStyle w:val="FirstParagraph"/>
      </w:pPr>
      <w:bookmarkStart w:id="215" w:name="article-19-the-strait-services-fund"/>
      <w:bookmarkStart w:id="216" w:name="the-fund-as-political-insulation"/>
      <w:r>
        <w:t>The Fund’s deepest function is insulation: it places every payment between two neutral doors. A shipper pays the Fund, not a state; a state receives an apportionment from the Fund, not a payment from a shipper or from another state. No participant holds a financial lever over any other, because no participant’s money passes through any other participant’s hands. The architecture spends effort on plumbing precisely so that politics finds nothing to grab.</w:t>
      </w:r>
      <w:bookmarkEnd w:id="215"/>
      <w:bookmarkEnd w:id="216"/>
    </w:p>
    <w:p w14:paraId="5E69D414" w14:textId="77777777" w:rsidR="00293BDE" w:rsidRDefault="00000000">
      <w:pPr>
        <w:pStyle w:val="Heading2"/>
      </w:pPr>
      <w:bookmarkStart w:id="217" w:name="__RefHeading___Toc10854_3324765499"/>
      <w:bookmarkEnd w:id="217"/>
      <w:r>
        <w:t>Article 20: Budget, Audit, and the Sanctions-Compliance Firewall</w:t>
      </w:r>
    </w:p>
    <w:p w14:paraId="1CF9DBAF" w14:textId="77777777" w:rsidR="00293BDE" w:rsidRDefault="00000000">
      <w:pPr>
        <w:pStyle w:val="Heading3"/>
      </w:pPr>
      <w:r>
        <w:t>20.1 The annual budget</w:t>
      </w:r>
    </w:p>
    <w:p w14:paraId="386D88F0" w14:textId="77777777" w:rsidR="00293BDE" w:rsidRDefault="00000000">
      <w:pPr>
        <w:pStyle w:val="FirstParagraph"/>
      </w:pPr>
      <w:bookmarkStart w:id="218" w:name="the-annual-budget"/>
      <w:r>
        <w:t>The Council adopts the annual budget through the ordinary track, inside the budget framework of Annex B. The budget covers: the two seats and their staffing; the monitoring and registry systems; survey amortization; the audit function; publications and data services; and the Compensation Window reserve. The budget framework caps total annual cost at the figure in Annex B and indexes it to published cost benchmarks. Default continuity applies: a missed budget decision continues the prior budget at its real level.</w:t>
      </w:r>
      <w:bookmarkEnd w:id="218"/>
    </w:p>
    <w:p w14:paraId="5D2B3A26" w14:textId="77777777" w:rsidR="00293BDE" w:rsidRDefault="00000000">
      <w:pPr>
        <w:pStyle w:val="Heading3"/>
      </w:pPr>
      <w:r>
        <w:t>20.2 Audit</w:t>
      </w:r>
    </w:p>
    <w:p w14:paraId="5E62B146" w14:textId="77777777" w:rsidR="00293BDE" w:rsidRDefault="00000000">
      <w:pPr>
        <w:pStyle w:val="FirstParagraph"/>
      </w:pPr>
      <w:bookmarkStart w:id="219" w:name="audit"/>
      <w:r>
        <w:t>The Neutral Administrator contracts an independent international audit firm through open tender on a five-year rotation. The audit covers: every Fund account; every service verification chain; the no-double-recovery test; the non-discrimination test of Article 10.5; the sanctions-compliance test of Article 20.4; and the data-custody test of Article 14.5. The audit publishes in full each year, and its management letter publishes with the Council’s response.</w:t>
      </w:r>
      <w:bookmarkEnd w:id="219"/>
    </w:p>
    <w:p w14:paraId="0B37B2BC" w14:textId="77777777" w:rsidR="00293BDE" w:rsidRDefault="00000000">
      <w:pPr>
        <w:pStyle w:val="Heading3"/>
      </w:pPr>
      <w:r>
        <w:t>20.3 Anti-diversion</w:t>
      </w:r>
    </w:p>
    <w:p w14:paraId="72D083C7" w14:textId="77777777" w:rsidR="00293BDE" w:rsidRDefault="00000000">
      <w:pPr>
        <w:pStyle w:val="FirstParagraph"/>
      </w:pPr>
      <w:bookmarkStart w:id="220" w:name="anti-diversion"/>
      <w:r>
        <w:t>Fund resources serve the charter’s purposes only. Any diversion, of any amount, by any person, constitutes a Governance-domain compliance event under Annex C, triggers the immediate suspension of the responsible officer’s authorities by operation of the registry’s access rules, and engages the claims mechanism of Article 27 for recovery. The audit’s continuous sampling, not any annual discovery, provides the detection layer.</w:t>
      </w:r>
      <w:bookmarkEnd w:id="220"/>
    </w:p>
    <w:p w14:paraId="445C4CF3" w14:textId="77777777" w:rsidR="00293BDE" w:rsidRDefault="00000000">
      <w:pPr>
        <w:pStyle w:val="Heading3"/>
      </w:pPr>
      <w:r>
        <w:t>20.4 The Sanctions-Compliance Firewall</w:t>
      </w:r>
    </w:p>
    <w:p w14:paraId="2400D03C" w14:textId="77777777" w:rsidR="00293BDE" w:rsidRDefault="00000000">
      <w:pPr>
        <w:pStyle w:val="FirstParagraph"/>
      </w:pPr>
      <w:r>
        <w:t>The Fund’s payment mechanics operate so that the system functions under every participant’s sanctions framework simultaneously. The Firewall has five elements:</w:t>
      </w:r>
    </w:p>
    <w:p w14:paraId="4E414BFD" w14:textId="77777777" w:rsidR="00293BDE" w:rsidRDefault="00000000">
      <w:pPr>
        <w:pStyle w:val="Compact"/>
        <w:numPr>
          <w:ilvl w:val="0"/>
          <w:numId w:val="35"/>
        </w:numPr>
      </w:pPr>
      <w:r>
        <w:t>Service charges invoice from the Fund, a neutral purpose-bound vehicle, never from any Party; payers pay the Fund, never a Party, under IPR-7.</w:t>
      </w:r>
    </w:p>
    <w:p w14:paraId="3A0CF99C" w14:textId="77777777" w:rsidR="00293BDE" w:rsidRDefault="00000000">
      <w:pPr>
        <w:pStyle w:val="Compact"/>
        <w:numPr>
          <w:ilvl w:val="0"/>
          <w:numId w:val="36"/>
        </w:numPr>
      </w:pPr>
      <w:r>
        <w:t>The principal clearing account operates under the Neutral Administrator’s arrangements, with the documentation each major jurisdiction’s sanctions framework recognizes for service payments in international navigation.</w:t>
      </w:r>
    </w:p>
    <w:p w14:paraId="1ED0A134" w14:textId="77777777" w:rsidR="00293BDE" w:rsidRDefault="00000000">
      <w:pPr>
        <w:pStyle w:val="Compact"/>
        <w:numPr>
          <w:ilvl w:val="0"/>
          <w:numId w:val="37"/>
        </w:numPr>
      </w:pPr>
      <w:r>
        <w:t>Apportionments to performing parties pay for verified services rendered, itemized, with the non-precedent statement of Article 2.6 recorded on every transaction.</w:t>
      </w:r>
    </w:p>
    <w:p w14:paraId="44C4FEF7" w14:textId="77777777" w:rsidR="00293BDE" w:rsidRDefault="00000000">
      <w:pPr>
        <w:pStyle w:val="Compact"/>
        <w:numPr>
          <w:ilvl w:val="0"/>
          <w:numId w:val="38"/>
        </w:numPr>
      </w:pPr>
      <w:r>
        <w:t>The Fund maintains, with the Neutral Administrator’s legal function, standing licenses, exemptions, and comfort documentation in the relevant jurisdictions, renewed on the calendar of Annex B, so that no payment depends on ad hoc political clearance.</w:t>
      </w:r>
    </w:p>
    <w:p w14:paraId="5476109D" w14:textId="77777777" w:rsidR="00293BDE" w:rsidRDefault="00000000">
      <w:pPr>
        <w:pStyle w:val="Compact"/>
        <w:numPr>
          <w:ilvl w:val="0"/>
          <w:numId w:val="39"/>
        </w:numPr>
      </w:pPr>
      <w:r>
        <w:t>A Sanctions Compliance Officer within the Neutral Administrator’s staff pre-clears every payment channel change, publishes an annual compliance opinion, and maintains the contingency routing of Annex B so that a channel interruption in one jurisdiction reroutes payments through the standing alternates within seventy-two hours.</w:t>
      </w:r>
    </w:p>
    <w:p w14:paraId="50682A6E" w14:textId="77777777" w:rsidR="00293BDE" w:rsidRDefault="00000000">
      <w:pPr>
        <w:pStyle w:val="FirstParagraph"/>
      </w:pPr>
      <w:bookmarkStart w:id="221" w:name="the-sanctions-compliance-firewall"/>
      <w:r>
        <w:t>The Firewall’s design goal is operational continuity through political weather: the system’s money moves because its structure is sound, not because relations are warm.</w:t>
      </w:r>
      <w:bookmarkEnd w:id="221"/>
    </w:p>
    <w:p w14:paraId="47309E2B" w14:textId="77777777" w:rsidR="00293BDE" w:rsidRDefault="00000000">
      <w:pPr>
        <w:pStyle w:val="Heading3"/>
      </w:pPr>
      <w:r>
        <w:t>20.5 Anti-circumvention</w:t>
      </w:r>
    </w:p>
    <w:p w14:paraId="2F30BA27" w14:textId="77777777" w:rsidR="00293BDE" w:rsidRDefault="00000000">
      <w:pPr>
        <w:pStyle w:val="FirstParagraph"/>
      </w:pPr>
      <w:bookmarkStart w:id="222" w:name="anti-circumvention"/>
      <w:r>
        <w:t>The architecture excludes the use of the Fund, the Catalog, or the data services to circumvent any participant’s lawful sanctions. The Firewall’s documentation records purpose, service, and verification for every payment, and the audit tests annually for circumvention patterns. Circumvention, where found, constitutes a Governance-domain compliance event and a charter breach by the responsible officer, with the remedies of Article 20.3.</w:t>
      </w:r>
      <w:bookmarkEnd w:id="222"/>
    </w:p>
    <w:p w14:paraId="7B623E89" w14:textId="77777777" w:rsidR="00293BDE" w:rsidRDefault="00000000">
      <w:pPr>
        <w:pStyle w:val="Heading3"/>
      </w:pPr>
      <w:r>
        <w:t>20.6 Financial transparency cadence</w:t>
      </w:r>
    </w:p>
    <w:p w14:paraId="0305FBD8" w14:textId="77777777" w:rsidR="00293BDE" w:rsidRDefault="00000000">
      <w:pPr>
        <w:pStyle w:val="FirstParagraph"/>
      </w:pPr>
      <w:bookmarkStart w:id="223" w:name="X5de53b4da5e83836209a7a02f1c4d86938538a3"/>
      <w:bookmarkStart w:id="224" w:name="financial-transparency-cadence"/>
      <w:r>
        <w:t>The Fund publishes: monthly, the apportionment statement and the invoice summary; quarterly, the full accounts and the Firewall status; annually, the audited statements and the compliance opinion. Every publication lands on the registry and the public site on the same day. Money in this system works in daylight, because daylight is cheaper than reassurance.</w:t>
      </w:r>
      <w:bookmarkEnd w:id="223"/>
      <w:bookmarkEnd w:id="224"/>
    </w:p>
    <w:p w14:paraId="179B3A81" w14:textId="77777777" w:rsidR="00293BDE" w:rsidRDefault="00000000">
      <w:pPr>
        <w:pStyle w:val="Heading2"/>
      </w:pPr>
      <w:bookmarkStart w:id="225" w:name="__RefHeading___Toc10856_3324765499"/>
      <w:bookmarkEnd w:id="225"/>
      <w:r>
        <w:t>Article 21: Rates, Apportionment, and the Voluntary Contribution Facility</w:t>
      </w:r>
    </w:p>
    <w:p w14:paraId="392020B6" w14:textId="77777777" w:rsidR="00293BDE" w:rsidRDefault="00000000">
      <w:pPr>
        <w:pStyle w:val="Heading3"/>
      </w:pPr>
      <w:r>
        <w:t>21.1 The rate card</w:t>
      </w:r>
    </w:p>
    <w:p w14:paraId="2093B94A" w14:textId="77777777" w:rsidR="00293BDE" w:rsidRDefault="00000000">
      <w:pPr>
        <w:pStyle w:val="FirstParagraph"/>
      </w:pPr>
      <w:bookmarkStart w:id="226" w:name="the-rate-card"/>
      <w:r>
        <w:t>Annex B publishes the initial rate card: the unit rate for each Catalog service, set at regional cost benchmarks verified by the Neutral Administrator against published market data. Rates change annually by the indexed adjustment of Annex B, or out of cycle by the elevated track when benchmarks move more than ten percent. Every rate carries its published cost basis; no rate carries a margin beyond the cost-recovery band of Annex B.</w:t>
      </w:r>
      <w:bookmarkEnd w:id="226"/>
    </w:p>
    <w:p w14:paraId="5E38172F" w14:textId="77777777" w:rsidR="00293BDE" w:rsidRDefault="00000000">
      <w:pPr>
        <w:pStyle w:val="Heading3"/>
      </w:pPr>
      <w:r>
        <w:t>21.2 The invoicing cycle</w:t>
      </w:r>
    </w:p>
    <w:p w14:paraId="28DE54F8" w14:textId="77777777" w:rsidR="00293BDE" w:rsidRDefault="00000000">
      <w:pPr>
        <w:pStyle w:val="FirstParagraph"/>
      </w:pPr>
      <w:bookmarkStart w:id="227" w:name="the-invoicing-cycle"/>
      <w:r>
        <w:t>The Fund invoices monthly in arrears, per vessel per service, through the vessel’s registered agent or operator account. Payment terms are thirty days. The Fund accepts payment in the currencies of Annex B through the Firewall’s channels. Late payment accrues the published carrying charge and, at sixty days, suspension of data-service subscriptions and pre-authorization convenience; passage itself never conditions on payment, under IPR-1.</w:t>
      </w:r>
      <w:bookmarkEnd w:id="227"/>
    </w:p>
    <w:p w14:paraId="746E8156" w14:textId="77777777" w:rsidR="00293BDE" w:rsidRDefault="00000000">
      <w:pPr>
        <w:pStyle w:val="Heading3"/>
      </w:pPr>
      <w:r>
        <w:t>21.3 The Voluntary Contribution Facility</w:t>
      </w:r>
    </w:p>
    <w:p w14:paraId="4E64B8E0" w14:textId="77777777" w:rsidR="00293BDE" w:rsidRDefault="00000000">
      <w:pPr>
        <w:pStyle w:val="FirstParagraph"/>
      </w:pPr>
      <w:bookmarkStart w:id="228" w:name="the-voluntary-contribution-facility"/>
      <w:r>
        <w:t>The Facility receives voluntary contributions from user states, cargo interests, and industry, on published suggested scales per tonne or per voyage, in the manner of cooperative mechanisms for other international straits. Contribution is a choice, publishes by contributor, and buys nothing but the shared upkeep of a waterway the contributor uses. The Facility’s suggested scales sit in Annex B; the Facility never invoices, never conditions, and never publishes non-contributors.</w:t>
      </w:r>
      <w:bookmarkEnd w:id="228"/>
    </w:p>
    <w:p w14:paraId="0915544D" w14:textId="77777777" w:rsidR="00293BDE" w:rsidRDefault="00000000">
      <w:pPr>
        <w:pStyle w:val="Heading3"/>
      </w:pPr>
      <w:r>
        <w:t>21.4 Apportionment mechanics</w:t>
      </w:r>
    </w:p>
    <w:p w14:paraId="124FC92B" w14:textId="77777777" w:rsidR="00293BDE" w:rsidRDefault="00000000">
      <w:pPr>
        <w:pStyle w:val="FirstParagraph"/>
      </w:pPr>
      <w:bookmarkStart w:id="229" w:name="apportionment-mechanics"/>
      <w:r>
        <w:t>Apportionment executes monthly on the registry’s verified service records, through the formula of Article 18.4 and Annex B. The Neutral Administrator certifies each apportionment; the escrow releases it within five banking days; the registry logs it permanently. Apportionment is arithmetic, not politics: the verified work determines the money.</w:t>
      </w:r>
      <w:bookmarkEnd w:id="229"/>
    </w:p>
    <w:p w14:paraId="19E53D22" w14:textId="77777777" w:rsidR="00293BDE" w:rsidRDefault="00000000">
      <w:pPr>
        <w:pStyle w:val="Heading3"/>
      </w:pPr>
      <w:r>
        <w:t>21.5 The startup period and the Assurance-Phase schedule</w:t>
      </w:r>
    </w:p>
    <w:p w14:paraId="0A66F1E9" w14:textId="77777777" w:rsidR="00293BDE" w:rsidRDefault="00000000">
      <w:pPr>
        <w:pStyle w:val="FirstParagraph"/>
      </w:pPr>
      <w:bookmarkStart w:id="230" w:name="Xee0a1d9e578c3f961c265ad7474e6611e61dd55"/>
      <w:r>
        <w:t>During the Assurance Phase of Article 30, the system operates the reduced pilot rate card of Annex B: Catalog rates at fifty percent, data services without charge, and the Voluntary Contribution Facility open. The pilot schedule gives the market a low-friction entry and gives the verification systems a full-data shakedown. At Full Activation, the standard rate card succeeds automatically; no decision event intervenes.</w:t>
      </w:r>
      <w:bookmarkEnd w:id="230"/>
    </w:p>
    <w:p w14:paraId="2A5B1FBC" w14:textId="77777777" w:rsidR="00293BDE" w:rsidRDefault="00000000">
      <w:pPr>
        <w:pStyle w:val="Heading3"/>
      </w:pPr>
      <w:r>
        <w:t>21.6 The small-vessel exemption</w:t>
      </w:r>
    </w:p>
    <w:p w14:paraId="04DD2998" w14:textId="77777777" w:rsidR="00293BDE" w:rsidRDefault="00000000">
      <w:pPr>
        <w:pStyle w:val="FirstParagraph"/>
      </w:pPr>
      <w:bookmarkStart w:id="231" w:name="the-small-vessel-exemption"/>
      <w:r>
        <w:t>Class G vessels and vessels below five hundred gross tonnes transact no charges of any kind and file no invoices; their services carry the Fund’s system-cost line. The exemption keeps the system’s administrative cost proportionate and keeps small coastal traffic, the life of the littoral economies, entirely friction-free.</w:t>
      </w:r>
      <w:bookmarkEnd w:id="231"/>
    </w:p>
    <w:p w14:paraId="33916BD5" w14:textId="77777777" w:rsidR="00293BDE" w:rsidRDefault="00000000">
      <w:pPr>
        <w:pStyle w:val="Heading3"/>
      </w:pPr>
      <w:r>
        <w:t>21.7 The heavy-user cap</w:t>
      </w:r>
    </w:p>
    <w:p w14:paraId="6CE2AC62" w14:textId="77777777" w:rsidR="00293BDE" w:rsidRDefault="00000000">
      <w:pPr>
        <w:pStyle w:val="FirstParagraph"/>
      </w:pPr>
      <w:r>
        <w:t>No single operator’s annual service charges exceed the cap of Annex B: a multiple of the average operator’s annual charges, designed so that the system’s heaviest users (the large tanker and gas fleets) hold predictable cost ceilings. The cap publishes, indexes with the rate card, and reconciles annually. Predictable ceilings, like predictable rates, are what CFOs and charterers actually buy.</w:t>
      </w:r>
    </w:p>
    <w:bookmarkStart w:id="232" w:name="X4dc7616cb186d3a06f9e9ad9bcd9cdad8c6207c"/>
    <w:bookmarkStart w:id="233" w:name="Xfe91970c5cd277d37737224d7b7da5fa960add5"/>
    <w:bookmarkStart w:id="234" w:name="the-heavy-user-cap"/>
    <w:p w14:paraId="4EFC1BEB" w14:textId="0BCB03D1" w:rsidR="00293BDE" w:rsidRDefault="00622008">
      <w:r>
        <w:rPr>
          <w:noProof/>
        </w:rPr>
      </w:r>
      <w:r>
        <w:pict w14:anchorId="33C979CA">
          <v:rect id="Rectangle 11" o:spid="_x0000_s1044"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232"/>
      <w:bookmarkEnd w:id="233"/>
      <w:bookmarkEnd w:id="234"/>
    </w:p>
    <w:p w14:paraId="38C7EB00" w14:textId="77777777" w:rsidR="00293BDE" w:rsidRDefault="00000000">
      <w:pPr>
        <w:pStyle w:val="Heading1"/>
      </w:pPr>
      <w:bookmarkStart w:id="235" w:name="__RefHeading___Toc10858_3324765499"/>
      <w:bookmarkEnd w:id="235"/>
      <w:r>
        <w:t>PART V: VERIFICATION, DE-CONFLICTION, AND INCIDENT MANAGEMENT</w:t>
      </w:r>
    </w:p>
    <w:p w14:paraId="688F36AA" w14:textId="77777777" w:rsidR="00293BDE" w:rsidRDefault="00000000">
      <w:pPr>
        <w:pStyle w:val="Heading2"/>
      </w:pPr>
      <w:bookmarkStart w:id="236" w:name="__RefHeading___Toc10860_3324765499"/>
      <w:bookmarkEnd w:id="236"/>
      <w:r>
        <w:t>Article 22: Verification: The Human Anchor Method</w:t>
      </w:r>
    </w:p>
    <w:p w14:paraId="59310587" w14:textId="77777777" w:rsidR="00293BDE" w:rsidRDefault="00000000">
      <w:pPr>
        <w:pStyle w:val="Heading3"/>
      </w:pPr>
      <w:r>
        <w:t>22.1 People over telemetry</w:t>
      </w:r>
    </w:p>
    <w:p w14:paraId="48ADE9DA" w14:textId="77777777" w:rsidR="00293BDE" w:rsidRDefault="00000000">
      <w:pPr>
        <w:pStyle w:val="FirstParagraph"/>
      </w:pPr>
      <w:bookmarkStart w:id="237" w:name="people-over-telemetry"/>
      <w:r>
        <w:t>The verification architecture rests on the Human Anchor Method: sensors inform, people verify, and convergent human judgment decides. Automated systems collect, flag, and correlate; accredited human officers confirm every consequential finding. No compliance finding, no Flow State Red, no incident attribution, and no Activation Review conclusion rests on machine output alone. The method reflects a deliberate choice: in a waterway where a false positive once priced a war, verification survives both sensor failure and sensor manipulation.</w:t>
      </w:r>
      <w:bookmarkEnd w:id="237"/>
    </w:p>
    <w:p w14:paraId="52F139EB" w14:textId="77777777" w:rsidR="00293BDE" w:rsidRDefault="00000000">
      <w:pPr>
        <w:pStyle w:val="Heading3"/>
      </w:pPr>
      <w:r>
        <w:t>22.2 The Convergence Standard</w:t>
      </w:r>
    </w:p>
    <w:p w14:paraId="0B47D187" w14:textId="77777777" w:rsidR="00293BDE" w:rsidRDefault="00000000">
      <w:pPr>
        <w:pStyle w:val="FirstParagraph"/>
      </w:pPr>
      <w:bookmarkStart w:id="238" w:name="the-convergence-standard"/>
      <w:r>
        <w:t>No finding of fact rests on a single input, under IPR-11. The Convergence Standard requires, for every consequential finding, the convergence of at least two independent inputs from different layers: the coastal radar picture, the satellite AIS layer, the fused traffic picture, the embarked observer report, the patrol ground-truth, the commercial satellite tie-breaker, or the vessel’s own record. Layers stand independent in ownership and in failure mode. The registry logs the converging inputs for every finding.</w:t>
      </w:r>
      <w:bookmarkEnd w:id="238"/>
    </w:p>
    <w:p w14:paraId="5D3DE3C2" w14:textId="77777777" w:rsidR="00293BDE" w:rsidRDefault="00000000">
      <w:pPr>
        <w:pStyle w:val="Heading3"/>
      </w:pPr>
      <w:r>
        <w:t>22.3 The Neutral Watch Office</w:t>
      </w:r>
    </w:p>
    <w:p w14:paraId="2A5780C4" w14:textId="77777777" w:rsidR="00293BDE" w:rsidRDefault="00000000">
      <w:pPr>
        <w:pStyle w:val="FirstParagraph"/>
      </w:pPr>
      <w:bookmarkStart w:id="239" w:name="the-neutral-watch-office"/>
      <w:r>
        <w:t>The Neutral Watch Office staffs the verification function: verification officers seconded by the Neutral Administrator and the Facilitators, working inside the Center and the Mirror Facility, with standing access to all data layers. The Office confirms service delivery for invoicing, confirms survey certificates, countersigns incident findings, operates the technical truth escalation chain of Annex H, and reports monthly to the Council and simultaneously to all participants. The Office belongs to no Party and answers to the Convergence Standard alone.</w:t>
      </w:r>
      <w:bookmarkEnd w:id="239"/>
    </w:p>
    <w:p w14:paraId="79F39945" w14:textId="77777777" w:rsidR="00293BDE" w:rsidRDefault="00000000">
      <w:pPr>
        <w:pStyle w:val="Heading3"/>
      </w:pPr>
      <w:r>
        <w:t>22.4 Embarked observers</w:t>
      </w:r>
    </w:p>
    <w:p w14:paraId="114BE381" w14:textId="77777777" w:rsidR="00293BDE" w:rsidRDefault="00000000">
      <w:pPr>
        <w:pStyle w:val="FirstParagraph"/>
      </w:pPr>
      <w:bookmarkStart w:id="240" w:name="embarked-observers"/>
      <w:r>
        <w:t>The system maintains a standing embarked observer program: accredited civilian observers embarked, by standing invitation, on a rotating sample of corridor service craft and survey vessels, and available to embark on any transiting vessel at the operator’s request. Observers report to the Neutral Watch Office. The program’s sample sizes, rotation rules, and reporting formats sit in Annex H. Embarked observation is a service to confidence, never an inspection of vessels.</w:t>
      </w:r>
      <w:bookmarkEnd w:id="240"/>
    </w:p>
    <w:p w14:paraId="27639405" w14:textId="77777777" w:rsidR="00293BDE" w:rsidRDefault="00000000">
      <w:pPr>
        <w:pStyle w:val="Heading3"/>
      </w:pPr>
      <w:r>
        <w:t>22.5 Data sovereignty and the two-key access rule</w:t>
      </w:r>
    </w:p>
    <w:p w14:paraId="32325A96" w14:textId="77777777" w:rsidR="00293BDE" w:rsidRDefault="00000000">
      <w:pPr>
        <w:pStyle w:val="FirstParagraph"/>
      </w:pPr>
      <w:bookmarkStart w:id="241" w:name="Xf10dabf9737192a04dcc2b8f50b10abbca32133"/>
      <w:r>
        <w:t>Each Party owns the data its own sensors originate. The Shared Data Registry holds the fused product under the two-key custody of Article 14.5. Access to raw national feeds remains with the originating Party plus the Neutral Watch Office for verification purposes; access to the fused product follows the published access classes. No Party extracts another Party’s raw feed, and no participant uses any layer for purposes outside the Compact, under IPR-12.</w:t>
      </w:r>
      <w:bookmarkEnd w:id="241"/>
    </w:p>
    <w:p w14:paraId="50C9ED01" w14:textId="77777777" w:rsidR="00293BDE" w:rsidRDefault="00000000">
      <w:pPr>
        <w:pStyle w:val="Heading3"/>
      </w:pPr>
      <w:r>
        <w:t>22.6 Degraded-mode operation</w:t>
      </w:r>
    </w:p>
    <w:p w14:paraId="6D962843" w14:textId="77777777" w:rsidR="00293BDE" w:rsidRDefault="00000000">
      <w:pPr>
        <w:pStyle w:val="FirstParagraph"/>
      </w:pPr>
      <w:bookmarkStart w:id="242" w:name="degraded-mode-operation"/>
      <w:r>
        <w:t>Where a data layer fails, the system declares the layer degraded on the Bulletin, continues on the remaining layers under adjusted Convergence Standard rules of Annex H, and restores the layer within the repair standard of seventy-two hours for coastal systems and the contract standard for commercial systems. Degradation publishes; concealment of degradation constitutes a Governance-domain compliance event. The system is designed to run honest at reduced fidelity rather than silent at false confidence.</w:t>
      </w:r>
      <w:bookmarkEnd w:id="242"/>
    </w:p>
    <w:p w14:paraId="34937792" w14:textId="77777777" w:rsidR="00293BDE" w:rsidRDefault="00000000">
      <w:pPr>
        <w:pStyle w:val="Heading3"/>
      </w:pPr>
      <w:r>
        <w:t>22.7 Enhanced monitoring of the Central Buffer Corridor</w:t>
      </w:r>
    </w:p>
    <w:p w14:paraId="185EDECE" w14:textId="77777777" w:rsidR="00293BDE" w:rsidRDefault="00000000">
      <w:pPr>
        <w:pStyle w:val="FirstParagraph"/>
      </w:pPr>
      <w:bookmarkStart w:id="243" w:name="Xb8f4946990d3b15721752ddf8586dbb8756f73a"/>
      <w:r>
        <w:t>The Buffer Corridor carries the densest monitoring: continuous fused coverage, the highest patrol sampling rate, and the embarked observer program’s priority rotation. The density reflects the Buffer’s role as the system’s safety valve: the space that works perfectly on the worst day.</w:t>
      </w:r>
      <w:bookmarkEnd w:id="243"/>
    </w:p>
    <w:p w14:paraId="0A96323F" w14:textId="77777777" w:rsidR="00293BDE" w:rsidRDefault="00000000">
      <w:pPr>
        <w:pStyle w:val="Heading3"/>
      </w:pPr>
      <w:r>
        <w:t>22.8 Third-party verification of the corridor system</w:t>
      </w:r>
    </w:p>
    <w:p w14:paraId="3F125136" w14:textId="77777777" w:rsidR="00293BDE" w:rsidRDefault="00000000">
      <w:pPr>
        <w:pStyle w:val="FirstParagraph"/>
      </w:pPr>
      <w:bookmarkStart w:id="244" w:name="X4426c1a262f1a3275d9a28380423e72fa896bbd"/>
      <w:r>
        <w:t>A commercial satellite provider under framework contract to the Neutral Administrator supplies the independent tie-breaker layer, activating automatically whenever the two primary coastal feeds diverge beyond the tolerance of Annex H. The tie-breaker’s appointment, and all critical telemetry actions, adopt by two-of-three vote of the Neutral Facilitation Troika. The tie-breaker layer answers the standing question of 2026: whose picture is true. Its answer is technical, simultaneous to all, and final for operational purposes.</w:t>
      </w:r>
      <w:bookmarkEnd w:id="244"/>
    </w:p>
    <w:p w14:paraId="3CC2528B" w14:textId="77777777" w:rsidR="00293BDE" w:rsidRDefault="00000000">
      <w:pPr>
        <w:pStyle w:val="Heading3"/>
      </w:pPr>
      <w:r>
        <w:t>22.9 The Transit Assurance Certificate</w:t>
      </w:r>
    </w:p>
    <w:p w14:paraId="05E574BE" w14:textId="77777777" w:rsidR="00293BDE" w:rsidRDefault="00000000">
      <w:pPr>
        <w:pStyle w:val="FirstParagraph"/>
      </w:pPr>
      <w:bookmarkStart w:id="245" w:name="the-transit-assurance-certificate"/>
      <w:r>
        <w:t>The Authority issues the Transit Assurance Certificate for each corridor segment each month: a one-page public attestation, countersigned by the Neutral Watch Office, that the segment transited at the published standard, with its incident count, its service delivery state, and its survey status attached. The Certificates feed the Route Assurance Data Service and the Activation Review. The market reads one page; the evidence sits behind it.</w:t>
      </w:r>
      <w:bookmarkEnd w:id="245"/>
    </w:p>
    <w:p w14:paraId="4EBC531F" w14:textId="77777777" w:rsidR="00293BDE" w:rsidRDefault="00000000">
      <w:pPr>
        <w:pStyle w:val="Heading3"/>
      </w:pPr>
      <w:r>
        <w:t>22.10 Verification of the verifiers</w:t>
      </w:r>
    </w:p>
    <w:p w14:paraId="29CDABA6" w14:textId="77777777" w:rsidR="00293BDE" w:rsidRDefault="00000000">
      <w:pPr>
        <w:pStyle w:val="FirstParagraph"/>
      </w:pPr>
      <w:bookmarkStart w:id="246" w:name="Xf510a468b490dd76c8359279708dca8a3c77b61"/>
      <w:bookmarkStart w:id="247" w:name="verification-of-the-verifiers"/>
      <w:r>
        <w:t>The Neutral Watch Office itself stands under review: the annual audit tests its findings against the registry record, the integrity review of Article 28.5 examines its methods, and the human-in-the-loop audit of Annex H.8 confirms that no consequential determination bypassed human judgment. A system that distrusts single sources extends that distrust to its own machinery, and publishes the results.</w:t>
      </w:r>
      <w:bookmarkEnd w:id="246"/>
      <w:bookmarkEnd w:id="247"/>
    </w:p>
    <w:p w14:paraId="523EBB8C" w14:textId="77777777" w:rsidR="00293BDE" w:rsidRDefault="00000000">
      <w:pPr>
        <w:pStyle w:val="Heading2"/>
      </w:pPr>
      <w:bookmarkStart w:id="248" w:name="__RefHeading___Toc10862_3324765499"/>
      <w:bookmarkEnd w:id="248"/>
      <w:r>
        <w:t>Article 23: Naval De-confliction and the Standoff Geometry</w:t>
      </w:r>
    </w:p>
    <w:p w14:paraId="4BADC532" w14:textId="77777777" w:rsidR="00293BDE" w:rsidRDefault="00000000">
      <w:pPr>
        <w:pStyle w:val="Heading3"/>
      </w:pPr>
      <w:r>
        <w:t>23.1 Purpose</w:t>
      </w:r>
    </w:p>
    <w:p w14:paraId="6472F91C" w14:textId="77777777" w:rsidR="00293BDE" w:rsidRDefault="00000000">
      <w:pPr>
        <w:pStyle w:val="FirstParagraph"/>
      </w:pPr>
      <w:bookmarkStart w:id="249" w:name="purpose-2"/>
      <w:r>
        <w:t>This Article keeps military movement in and near the Governance Area predictable, notified, and geometrically separated from commercial traffic and from opposing forces. It commands no force, positions no ship, and touches no state’s freedom of action; it supplies the geometry and the channels through which freedom of action proceeds without incident.</w:t>
      </w:r>
      <w:bookmarkEnd w:id="249"/>
    </w:p>
    <w:p w14:paraId="29CBA13B" w14:textId="77777777" w:rsidR="00293BDE" w:rsidRDefault="00000000">
      <w:pPr>
        <w:pStyle w:val="Heading3"/>
      </w:pPr>
      <w:r>
        <w:t>23.2 Standoff distances</w:t>
      </w:r>
    </w:p>
    <w:p w14:paraId="03F52A28" w14:textId="77777777" w:rsidR="00293BDE" w:rsidRDefault="00000000">
      <w:pPr>
        <w:pStyle w:val="FirstParagraph"/>
      </w:pPr>
      <w:r>
        <w:t>The architecture operates the following standing geometry inside the Governance Area:</w:t>
      </w:r>
    </w:p>
    <w:p w14:paraId="6F5EEC36" w14:textId="77777777" w:rsidR="00293BDE" w:rsidRDefault="00000000">
      <w:pPr>
        <w:pStyle w:val="Compact"/>
        <w:numPr>
          <w:ilvl w:val="0"/>
          <w:numId w:val="40"/>
        </w:numPr>
      </w:pPr>
      <w:r>
        <w:t>Military vessels of any state hold outside the traffic corridors’ edges by the standoff belt of Annex A, transiting corridors only under Section 23.5.</w:t>
      </w:r>
    </w:p>
    <w:p w14:paraId="2798CFDA" w14:textId="77777777" w:rsidR="00293BDE" w:rsidRDefault="00000000">
      <w:pPr>
        <w:pStyle w:val="Compact"/>
        <w:numPr>
          <w:ilvl w:val="0"/>
          <w:numId w:val="41"/>
        </w:numPr>
      </w:pPr>
      <w:r>
        <w:t>Corridor service craft hold two nautical miles from transiting commercial vessels except when rendering requested or distress assistance.</w:t>
      </w:r>
    </w:p>
    <w:p w14:paraId="2C6A97F7" w14:textId="77777777" w:rsidR="00293BDE" w:rsidRDefault="00000000">
      <w:pPr>
        <w:pStyle w:val="Compact"/>
        <w:numPr>
          <w:ilvl w:val="0"/>
          <w:numId w:val="42"/>
        </w:numPr>
      </w:pPr>
      <w:r>
        <w:t>Military vessels of different states hold the notification distances of Annex A when operating in the same segment.</w:t>
      </w:r>
    </w:p>
    <w:p w14:paraId="1054BA4C" w14:textId="77777777" w:rsidR="00293BDE" w:rsidRDefault="00000000">
      <w:pPr>
        <w:pStyle w:val="Compact"/>
        <w:numPr>
          <w:ilvl w:val="0"/>
          <w:numId w:val="43"/>
        </w:numPr>
      </w:pPr>
      <w:r>
        <w:t>Aircraft follow the altitude and routing bands of Annex A over the corridor system.</w:t>
      </w:r>
    </w:p>
    <w:p w14:paraId="1D7BA7BD" w14:textId="77777777" w:rsidR="00293BDE" w:rsidRDefault="00000000">
      <w:pPr>
        <w:pStyle w:val="FirstParagraph"/>
      </w:pPr>
      <w:bookmarkStart w:id="250" w:name="standoff-distances"/>
      <w:r>
        <w:t>The geometry publishes in Annex A and on the Bulletin. Deviations inside the standoff belts generate automatic registry entries and, where convergence confirms them, incident records under Article 24.</w:t>
      </w:r>
      <w:bookmarkEnd w:id="250"/>
    </w:p>
    <w:p w14:paraId="2BDEC4FE" w14:textId="77777777" w:rsidR="00293BDE" w:rsidRDefault="00000000">
      <w:pPr>
        <w:pStyle w:val="Heading3"/>
      </w:pPr>
      <w:r>
        <w:t>23.3 Exercise notification and Quiet Water Windows</w:t>
      </w:r>
    </w:p>
    <w:p w14:paraId="1C381B1E" w14:textId="77777777" w:rsidR="00293BDE" w:rsidRDefault="00000000">
      <w:pPr>
        <w:pStyle w:val="FirstParagraph"/>
      </w:pPr>
      <w:bookmarkStart w:id="251" w:name="Xdd80558b24ee298a8bf69d58650095865f281e1"/>
      <w:r>
        <w:t>Military exercises inside or adjacent to the Governance Area notify through the de-confliction channel not fewer than seventy-two hours in advance, with area, duration, and activity type. The architecture designates Quiet Water Windows: standing published periods (weekly windows in Annex A) during which the framework excludes live-fire activity in and over the Governance Area entirely, so that commercial traffic holds predictable quiet time. Notifications publish on the Bulletin in the form mariners need: where, when, and what to expect.</w:t>
      </w:r>
      <w:bookmarkEnd w:id="251"/>
    </w:p>
    <w:p w14:paraId="2F751562" w14:textId="77777777" w:rsidR="00293BDE" w:rsidRDefault="00000000">
      <w:pPr>
        <w:pStyle w:val="Heading3"/>
      </w:pPr>
      <w:r>
        <w:t>23.4 The military de-confliction channel</w:t>
      </w:r>
    </w:p>
    <w:p w14:paraId="39C20F04" w14:textId="77777777" w:rsidR="00293BDE" w:rsidRDefault="00000000">
      <w:pPr>
        <w:pStyle w:val="FirstParagraph"/>
      </w:pPr>
      <w:bookmarkStart w:id="252" w:name="the-military-de-confliction-channel"/>
      <w:r>
        <w:t>The de-confliction channel operates continuously between the Center’s liaison suite and the designated liaisons of the Parties’ and Endorsing Stakeholders’ naval commands. The channel carries: exercise notifications; military transit notifications; incident prevention traffic; and the incident hotline of Article 24. The channel tests daily at 06:00 UTC by standing drill; a failed test constitutes a Category D-1 event under Annex C. The channel’s traffic remains in the security-sensitive data class of Article 3.5: operational need-to-know, with the Neutral Watch Office holding custody.</w:t>
      </w:r>
      <w:bookmarkEnd w:id="252"/>
    </w:p>
    <w:p w14:paraId="64C6F20E" w14:textId="77777777" w:rsidR="00293BDE" w:rsidRDefault="00000000">
      <w:pPr>
        <w:pStyle w:val="Heading3"/>
      </w:pPr>
      <w:r>
        <w:t>23.5 Military transit</w:t>
      </w:r>
    </w:p>
    <w:p w14:paraId="3F40E89D" w14:textId="77777777" w:rsidR="00293BDE" w:rsidRDefault="00000000">
      <w:pPr>
        <w:pStyle w:val="FirstParagraph"/>
      </w:pPr>
      <w:bookmarkStart w:id="253" w:name="military-transit"/>
      <w:r>
        <w:t>Military vessels transit the Strait through the corridors’ designated crossing gates or along the military transit bands of Annex A, with notification to the de-confliction channel not fewer than twelve hours in advance, in the format of Annex D. Transit proceeds unconditioned; the notification informs traffic management and de-confliction only. Submarines transit surfaced inside the Governance Area, consistent with long-standing international practice in confined straits.</w:t>
      </w:r>
      <w:bookmarkEnd w:id="253"/>
    </w:p>
    <w:p w14:paraId="3828AD98" w14:textId="77777777" w:rsidR="00293BDE" w:rsidRDefault="00000000">
      <w:pPr>
        <w:pStyle w:val="Heading3"/>
      </w:pPr>
      <w:r>
        <w:t>23.6 Exclusion of force</w:t>
      </w:r>
    </w:p>
    <w:p w14:paraId="0B9882E7" w14:textId="77777777" w:rsidR="00293BDE" w:rsidRDefault="00000000">
      <w:pPr>
        <w:pStyle w:val="FirstParagraph"/>
      </w:pPr>
      <w:bookmarkStart w:id="254" w:name="exclusion-of-force"/>
      <w:r>
        <w:t>The framework architecture excludes the use of force, the threat of force, weapons direction, and kinetic action of every kind inside the Governance Area, and it excludes the use of any Compact asset, datum, or channel in support of kinetic action anywhere, under IPR-12. This exclusion binds all Parties and all Endorsing Stakeholders as architecture, symmetrically, in every flow state, without exception. Military disputes move to the hotline, the guarantor channels, and the political tracks outside this Compact; they never move through the waterway’s commercial traffic.</w:t>
      </w:r>
      <w:bookmarkEnd w:id="254"/>
    </w:p>
    <w:p w14:paraId="74E293DC" w14:textId="77777777" w:rsidR="00293BDE" w:rsidRDefault="00000000">
      <w:pPr>
        <w:pStyle w:val="Heading3"/>
      </w:pPr>
      <w:r>
        <w:t>23.7 The graduated presence principle</w:t>
      </w:r>
    </w:p>
    <w:p w14:paraId="334F44C0" w14:textId="77777777" w:rsidR="00293BDE" w:rsidRDefault="00000000">
      <w:pPr>
        <w:pStyle w:val="FirstParagraph"/>
      </w:pPr>
      <w:bookmarkStart w:id="255" w:name="the-graduated-presence-principle"/>
      <w:r>
        <w:t>As the system proves itself, military presence in and near the Governance Area normalizes downward by each state’s sovereign decision, informed by the published incident data. The architecture supports this through predictability rather than prescription: the Bulletin’s stability record, the Activation Review’s scores, and the annual State of the Strait give every capital the evidence to reduce presence on its own calendar. The Compact neither demands nor schedules any state’s force posture; it makes de-escalation safe to choose.</w:t>
      </w:r>
      <w:bookmarkEnd w:id="255"/>
    </w:p>
    <w:p w14:paraId="030D4DE6" w14:textId="77777777" w:rsidR="00293BDE" w:rsidRDefault="00000000">
      <w:pPr>
        <w:pStyle w:val="Heading3"/>
      </w:pPr>
      <w:r>
        <w:t>23.8 The incident-prevention drill</w:t>
      </w:r>
    </w:p>
    <w:p w14:paraId="3072235B" w14:textId="77777777" w:rsidR="00293BDE" w:rsidRDefault="00000000">
      <w:pPr>
        <w:pStyle w:val="FirstParagraph"/>
      </w:pPr>
      <w:bookmarkStart w:id="256" w:name="Xf67279d6c036523e3a22d933cd46a42f9520209"/>
      <w:bookmarkStart w:id="257" w:name="the-incident-prevention-drill"/>
      <w:r>
        <w:t>Once each quarter, the liaison suite runs an incident-prevention drill: a scripted unplanned-encounter scenario worked end to end through the channel, from first sighting to mutual withdrawal, timed and logged. Drill results publish in the de-confliction data class. The drill keeps the channel’s human layer practiced, because a hotline that rings for the first time in a crisis is a decoration, not a safeguard.</w:t>
      </w:r>
      <w:bookmarkEnd w:id="256"/>
      <w:bookmarkEnd w:id="257"/>
    </w:p>
    <w:p w14:paraId="25C339BF" w14:textId="77777777" w:rsidR="00293BDE" w:rsidRDefault="00000000">
      <w:pPr>
        <w:pStyle w:val="Heading2"/>
      </w:pPr>
      <w:bookmarkStart w:id="258" w:name="__RefHeading___Toc10864_3324765499"/>
      <w:bookmarkEnd w:id="258"/>
      <w:r>
        <w:t>Article 24: Incidents, Proxy Events, and Emergency Response</w:t>
      </w:r>
    </w:p>
    <w:p w14:paraId="4D8B1D24" w14:textId="77777777" w:rsidR="00293BDE" w:rsidRDefault="00000000">
      <w:pPr>
        <w:pStyle w:val="Heading3"/>
      </w:pPr>
      <w:r>
        <w:t>24.1 The Mishap Protocol</w:t>
      </w:r>
    </w:p>
    <w:p w14:paraId="6CE9D63A" w14:textId="77777777" w:rsidR="00293BDE" w:rsidRDefault="00000000">
      <w:pPr>
        <w:pStyle w:val="FirstParagraph"/>
      </w:pPr>
      <w:bookmarkStart w:id="259" w:name="the-mishap-protocol"/>
      <w:r>
        <w:t>Every contact, near-miss, approach inside standoff, pollution event, casualty, or unexplained event in the Governance Area enters the Mishap Protocol: automatic registry entry at detection; convergence verification within six hours; a joint factual record countersigned by the Neutral Watch Office within twenty-four hours; publication of the factual record within forty-eight hours. The Protocol produces facts before narratives. Attribution, where the facts support it, follows the technical truth escalation chain of Annex H; where the facts do not support it, the record says so, and the incident closes as unattributed with the evidence preserved.</w:t>
      </w:r>
      <w:bookmarkEnd w:id="259"/>
    </w:p>
    <w:p w14:paraId="61CC5B57" w14:textId="77777777" w:rsidR="00293BDE" w:rsidRDefault="00000000">
      <w:pPr>
        <w:pStyle w:val="Heading3"/>
      </w:pPr>
      <w:r>
        <w:t>24.2 The rogue-actor and proxy-event pathway</w:t>
      </w:r>
    </w:p>
    <w:p w14:paraId="77D90493" w14:textId="77777777" w:rsidR="00293BDE" w:rsidRDefault="00000000">
      <w:pPr>
        <w:pStyle w:val="FirstParagraph"/>
      </w:pPr>
      <w:bookmarkStart w:id="260" w:name="the-rogue-actor-and-proxy-event-pathway"/>
      <w:r>
        <w:t>Where an event suggests action by an actor outside any Party’s control, the architecture applies the proxy-event pathway: a forty-eight-hour attribution deferral before any compliance classification; a joint forensic review by the Neutral Watch Office with the affected Parties’ technical delegates; a presumption of good faith among the Parties during the review; and explicit exclusion of rogue-actor events from the compliance engine’s point schedule. The pathway exists because the region holds actors who profit from others’ collisions, and because the Compact’s design denies them that profit.</w:t>
      </w:r>
      <w:bookmarkEnd w:id="260"/>
    </w:p>
    <w:p w14:paraId="5B9171CA" w14:textId="77777777" w:rsidR="00293BDE" w:rsidRDefault="00000000">
      <w:pPr>
        <w:pStyle w:val="Heading3"/>
      </w:pPr>
      <w:r>
        <w:t>24.3 Interference events</w:t>
      </w:r>
    </w:p>
    <w:p w14:paraId="75C72BEB" w14:textId="77777777" w:rsidR="00293BDE" w:rsidRDefault="00000000">
      <w:pPr>
        <w:pStyle w:val="FirstParagraph"/>
      </w:pPr>
      <w:bookmarkStart w:id="261" w:name="interference-events"/>
      <w:r>
        <w:t>Where convergence verifies an interference event against commercial traffic by any Party’s organs (an approach, a diversion attempt, a harassment pattern), the event classifies under Annex C in the Maritime domain, the Graduated Pause Ladder of Article 25 engages its defined response, and the vessel receives the Compensation Window’s fast track under Article 19.7. The system’s answer to interference is documented, proportionate, and financial, never escalatory.</w:t>
      </w:r>
      <w:bookmarkEnd w:id="261"/>
    </w:p>
    <w:p w14:paraId="74ECD8E5" w14:textId="77777777" w:rsidR="00293BDE" w:rsidRDefault="00000000">
      <w:pPr>
        <w:pStyle w:val="Heading3"/>
      </w:pPr>
      <w:r>
        <w:t>24.4 Search and rescue and the distress priority</w:t>
      </w:r>
    </w:p>
    <w:p w14:paraId="3D49B337" w14:textId="77777777" w:rsidR="00293BDE" w:rsidRDefault="00000000">
      <w:pPr>
        <w:pStyle w:val="FirstParagraph"/>
      </w:pPr>
      <w:bookmarkStart w:id="262" w:name="X70406f8deeb3afbca30596c8ee012dac2fbb4a7"/>
      <w:r>
        <w:t>Distress outranks everything. Any vessel in distress in the Governance Area receives immediate response from the nearest capable asset of any Party, coordinated by the watch floor under the global distress framework, with the Buffer Corridor available for casualty routing. Response to distress incurs no charge, no notification requirement, and no political content. The Coastal Two co-lead the standing search-and-rescue plan of Annex J, with the Littoral Parties’ rescue resources integrated under regional arrangements, and the plan exercises twice yearly with published results.</w:t>
      </w:r>
      <w:bookmarkEnd w:id="262"/>
    </w:p>
    <w:p w14:paraId="4F6D1FB8" w14:textId="77777777" w:rsidR="00293BDE" w:rsidRDefault="00000000">
      <w:pPr>
        <w:pStyle w:val="Heading3"/>
      </w:pPr>
      <w:r>
        <w:t>24.5 Environmental protection</w:t>
      </w:r>
    </w:p>
    <w:p w14:paraId="2866AE69" w14:textId="77777777" w:rsidR="00293BDE" w:rsidRDefault="00000000">
      <w:pPr>
        <w:pStyle w:val="FirstParagraph"/>
      </w:pPr>
      <w:bookmarkStart w:id="263" w:name="environmental-protection"/>
      <w:r>
        <w:t>The environmental regime of Annex J governs: continuous monitoring of the corridor system’s water quality and emissions; the standing spill-response capability with pre-positioned equipment at Muscat, Bandar Abbas, and the forward staging points of Annex J; the polluter-pays cost recovery through the Compensation Window; and the annual environmental audit with publication. The environmental baseline survey completes during the Assurance Phase, so that every later measurement reads against a documented starting point.</w:t>
      </w:r>
      <w:bookmarkEnd w:id="263"/>
    </w:p>
    <w:p w14:paraId="063DC073" w14:textId="77777777" w:rsidR="00293BDE" w:rsidRDefault="00000000">
      <w:pPr>
        <w:pStyle w:val="Heading3"/>
      </w:pPr>
      <w:r>
        <w:t>24.6 Crew protections</w:t>
      </w:r>
    </w:p>
    <w:p w14:paraId="0A0CA823" w14:textId="77777777" w:rsidR="00293BDE" w:rsidRDefault="00000000">
      <w:pPr>
        <w:pStyle w:val="FirstParagraph"/>
      </w:pPr>
      <w:bookmarkStart w:id="264" w:name="crew-protections"/>
      <w:r>
        <w:t>The architecture protects seafarers specifically: no detention of crews in the Governance Area; no criminalization of mariners for system incidents; humane treatment and consular access in any investigation outside the Governance Area; and the seafarer organizations’ standing seat on the Stakeholder Panel. The people who sail the Strait are the system’s first constituency, and the Compact says so in operative text.</w:t>
      </w:r>
      <w:bookmarkEnd w:id="264"/>
    </w:p>
    <w:p w14:paraId="229B0E93" w14:textId="77777777" w:rsidR="00293BDE" w:rsidRDefault="00000000">
      <w:pPr>
        <w:pStyle w:val="Heading3"/>
      </w:pPr>
      <w:r>
        <w:t>24.7 The 72-hour incident review</w:t>
      </w:r>
    </w:p>
    <w:p w14:paraId="318AD84C" w14:textId="77777777" w:rsidR="00293BDE" w:rsidRDefault="00000000">
      <w:pPr>
        <w:pStyle w:val="FirstParagraph"/>
      </w:pPr>
      <w:bookmarkStart w:id="265" w:name="the-72-hour-incident-review"/>
      <w:r>
        <w:t>Every Level 3 or Level 4 incident of Annex H receives a joint incident review within seventy-two hours: the Neutral Watch Office, the relevant function managers, and the affected vessel’s representative produce the corrective record, and the Technical and Standards Committee converts it into a procedure amendment, an aid-to-navigation fix, or a training item within thirty days. Incidents end in improvements, published.</w:t>
      </w:r>
      <w:bookmarkEnd w:id="265"/>
    </w:p>
    <w:p w14:paraId="3698AC9C" w14:textId="77777777" w:rsidR="00293BDE" w:rsidRDefault="00000000">
      <w:pPr>
        <w:pStyle w:val="Heading3"/>
      </w:pPr>
      <w:r>
        <w:t>24.8 The mass-casualty protocol</w:t>
      </w:r>
    </w:p>
    <w:p w14:paraId="1A229DB6" w14:textId="77777777" w:rsidR="00293BDE" w:rsidRDefault="00000000">
      <w:pPr>
        <w:pStyle w:val="FirstParagraph"/>
      </w:pPr>
      <w:r>
        <w:t>For an event exceeding any single Party’s response capacity (a multiple-vessel casualty, a major fire, a large spill), the watch floor activates the mass-casualty protocol: all littoral response resources pool under the on-scene coordination of the nearest capable commander, the Buffer Corridor opens fully to casualty and response traffic, the Littoral Parties’ assets integrate through the regional arrangements, and the Fund’s system-cost line carries the response cost pending attribution. The protocol exercises in the annual simulation of Annex M.4, because the day it is needed is not the day to draft it.</w:t>
      </w:r>
    </w:p>
    <w:bookmarkStart w:id="266" w:name="X7b7fabf8b0c96ad40ac6c8c20702fa5eaf8100c"/>
    <w:bookmarkStart w:id="267" w:name="X1629ea927ca786d159b4ef08f51b92fb6f55407"/>
    <w:bookmarkStart w:id="268" w:name="the-mass-casualty-protocol"/>
    <w:p w14:paraId="3D091C12" w14:textId="54F24501" w:rsidR="00293BDE" w:rsidRDefault="00622008">
      <w:r>
        <w:rPr>
          <w:noProof/>
        </w:rPr>
      </w:r>
      <w:r>
        <w:pict w14:anchorId="4987CA50">
          <v:rect id="Rectangle 12" o:spid="_x0000_s1043"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266"/>
      <w:bookmarkEnd w:id="267"/>
      <w:bookmarkEnd w:id="268"/>
    </w:p>
    <w:p w14:paraId="2186A6EC" w14:textId="77777777" w:rsidR="00293BDE" w:rsidRDefault="00000000">
      <w:pPr>
        <w:pStyle w:val="Heading1"/>
      </w:pPr>
      <w:bookmarkStart w:id="269" w:name="__RefHeading___Toc10866_3324765499"/>
      <w:bookmarkEnd w:id="269"/>
      <w:r>
        <w:t>PART VI: COMPLIANCE, ACCOUNTABILITY, AND DISPUTE RESOLUTION</w:t>
      </w:r>
    </w:p>
    <w:p w14:paraId="45BE710B" w14:textId="77777777" w:rsidR="00293BDE" w:rsidRDefault="00000000">
      <w:pPr>
        <w:pStyle w:val="Heading2"/>
      </w:pPr>
      <w:bookmarkStart w:id="270" w:name="__RefHeading___Toc10868_3324765499"/>
      <w:bookmarkEnd w:id="270"/>
      <w:r>
        <w:t>Article 25: The Compliance Engine</w:t>
      </w:r>
    </w:p>
    <w:p w14:paraId="36038D83" w14:textId="77777777" w:rsidR="00293BDE" w:rsidRDefault="00000000">
      <w:pPr>
        <w:pStyle w:val="Heading3"/>
      </w:pPr>
      <w:r>
        <w:t>25.1 Three categories of events</w:t>
      </w:r>
    </w:p>
    <w:p w14:paraId="41589E40" w14:textId="77777777" w:rsidR="00293BDE" w:rsidRDefault="00000000">
      <w:pPr>
        <w:pStyle w:val="FirstParagraph"/>
      </w:pPr>
      <w:r>
        <w:t>Compliance events sort into three categories, classified by the Neutral Watch Office against the definitions of Annex C:</w:t>
      </w:r>
    </w:p>
    <w:p w14:paraId="7FBBD7E9" w14:textId="77777777" w:rsidR="00293BDE" w:rsidRDefault="00000000">
      <w:pPr>
        <w:pStyle w:val="Compact"/>
        <w:numPr>
          <w:ilvl w:val="0"/>
          <w:numId w:val="44"/>
        </w:numPr>
      </w:pPr>
      <w:r>
        <w:t>Category One, Technical Deviation: minor, non-systemic events (a late report, a single failed hotline test, a degraded-layer repair inside standard, an inadvertent standoff touch without consequence). Response: technical correction within fourteen days through the Technical and Standards Committee; confidential handling; no points, no pause, no publication beyond the statistical record.</w:t>
      </w:r>
    </w:p>
    <w:p w14:paraId="6456FD9A" w14:textId="77777777" w:rsidR="00293BDE" w:rsidRDefault="00000000">
      <w:pPr>
        <w:pStyle w:val="Compact"/>
        <w:numPr>
          <w:ilvl w:val="0"/>
          <w:numId w:val="45"/>
        </w:numPr>
      </w:pPr>
      <w:r>
        <w:t>Category Two, Material Disruption: events that degrade a function (repeated hotline failure, an interference event without injury, unverified invoicing, a standoff violation with consequence, obstruction of verification). Response: the point schedule of Annex C assesses points; the Graduated Pause Ladder engages per Section 25.2; remediation window of thirty days opens automatically.</w:t>
      </w:r>
    </w:p>
    <w:p w14:paraId="784BF5CD" w14:textId="77777777" w:rsidR="00293BDE" w:rsidRDefault="00000000">
      <w:pPr>
        <w:pStyle w:val="Compact"/>
        <w:numPr>
          <w:ilvl w:val="0"/>
          <w:numId w:val="46"/>
        </w:numPr>
      </w:pPr>
      <w:bookmarkStart w:id="271" w:name="three-categories-of-events"/>
      <w:r>
        <w:t>Category Three, Deliberate Hostile Violation: events that attack the architecture itself (data falsification, deliberate sensor compromise, a pattern of Category Two events demonstrating institutional bad faith at three or more in one hundred eighty days, diversion of Fund resources, any interference event causing injury or loss). Response: maximum schedule points, the Ladder’s full engagement, and convening of the Guarantor and Facilitation Panel within forty-eight hours.</w:t>
      </w:r>
      <w:bookmarkEnd w:id="271"/>
    </w:p>
    <w:p w14:paraId="1521B927" w14:textId="77777777" w:rsidR="00293BDE" w:rsidRDefault="00000000">
      <w:pPr>
        <w:pStyle w:val="Heading3"/>
      </w:pPr>
      <w:r>
        <w:t>25.2 The Graduated Pause Ladder</w:t>
      </w:r>
    </w:p>
    <w:p w14:paraId="49C8D46D" w14:textId="77777777" w:rsidR="00293BDE" w:rsidRDefault="00000000">
      <w:pPr>
        <w:pStyle w:val="FirstParagraph"/>
      </w:pPr>
      <w:r>
        <w:t>The Ladder responds to verified events by pausing defined discretionary benefits, in defined sequence, at defined scale, for defined duration. The Ladder’s rungs, stated fully in Annex C:</w:t>
      </w:r>
    </w:p>
    <w:p w14:paraId="388A2979" w14:textId="77777777" w:rsidR="00293BDE" w:rsidRDefault="00000000">
      <w:pPr>
        <w:pStyle w:val="Compact"/>
        <w:numPr>
          <w:ilvl w:val="0"/>
          <w:numId w:val="47"/>
        </w:numPr>
      </w:pPr>
      <w:r>
        <w:t>First affected: discretionary conveniences (pre-authorization listing, data-service subscriptions, contribution recognition).</w:t>
      </w:r>
    </w:p>
    <w:p w14:paraId="2765D290" w14:textId="77777777" w:rsidR="00293BDE" w:rsidRDefault="00000000">
      <w:pPr>
        <w:pStyle w:val="Compact"/>
        <w:numPr>
          <w:ilvl w:val="0"/>
          <w:numId w:val="48"/>
        </w:numPr>
      </w:pPr>
      <w:r>
        <w:t>Second affected: discretionary financial flows (apportionment acceleration privileges, Compensation Window fast track for the responsible Party’s own claims, goodwill disbursements).</w:t>
      </w:r>
    </w:p>
    <w:p w14:paraId="084B9C5B" w14:textId="77777777" w:rsidR="00293BDE" w:rsidRDefault="00000000">
      <w:pPr>
        <w:pStyle w:val="Compact"/>
        <w:numPr>
          <w:ilvl w:val="0"/>
          <w:numId w:val="49"/>
        </w:numPr>
      </w:pPr>
      <w:r>
        <w:t>Third affected: scheduled apportionment timing for the responsible Party (delayed in defined steps, never cancelled; the money remains the Party’s, held in escrow, released on restoration).</w:t>
      </w:r>
    </w:p>
    <w:p w14:paraId="57BA11D2" w14:textId="77777777" w:rsidR="00293BDE" w:rsidRDefault="00000000">
      <w:pPr>
        <w:pStyle w:val="Compact"/>
        <w:numPr>
          <w:ilvl w:val="0"/>
          <w:numId w:val="50"/>
        </w:numPr>
      </w:pPr>
      <w:r>
        <w:t>Never affected: passage, humanitarian flows, safety services, verification, the hotline, the Humanitarian Window, escrowed principal, and any other Party’s benefits.</w:t>
      </w:r>
    </w:p>
    <w:p w14:paraId="184A7910" w14:textId="77777777" w:rsidR="00293BDE" w:rsidRDefault="00000000">
      <w:pPr>
        <w:pStyle w:val="FirstParagraph"/>
      </w:pPr>
      <w:bookmarkStart w:id="272" w:name="the-graduated-pause-ladder"/>
      <w:r>
        <w:t>The Ladder pauses benefits; it never suspends obligations, and it never touches the Open Passage Rule. Scale follows the proportionality formula of Annex C: base response times a duration multiplier times a remediation factor, so that fast correction shrinks the response and slow correction grows it, within published bounds.</w:t>
      </w:r>
      <w:bookmarkEnd w:id="272"/>
    </w:p>
    <w:p w14:paraId="7C131122" w14:textId="77777777" w:rsidR="00293BDE" w:rsidRDefault="00000000">
      <w:pPr>
        <w:pStyle w:val="Heading3"/>
      </w:pPr>
      <w:r>
        <w:t>25.3 The Restoration Pathway</w:t>
      </w:r>
    </w:p>
    <w:p w14:paraId="028539A5" w14:textId="77777777" w:rsidR="00293BDE" w:rsidRDefault="00000000">
      <w:pPr>
        <w:pStyle w:val="FirstParagraph"/>
      </w:pPr>
      <w:bookmarkStart w:id="273" w:name="the-restoration-pathway"/>
      <w:r>
        <w:t>Every pause carries an automatic, defined restoration route. Restoration requires: verified return to compliance; sustained compliance for the monitoring period of Annex C (fourteen days for Category Two, ninety days for Category Three); and technical confirmation by the Neutral Watch Office (Category Two) or the Council acting by Consensus Minus the Concerned Party (Category Three). Restoration requires no admission of fault, no payment of penalty, and no political concession. Banked restoration credit, accrued at one credit week per month of sustained full compliance, shortens monitoring periods by up to one quarter. Full restoration returns the Party to its prior standing without residue: no permanent record, no status debt, no diminished voice.</w:t>
      </w:r>
      <w:bookmarkEnd w:id="273"/>
    </w:p>
    <w:p w14:paraId="4C011ED2" w14:textId="77777777" w:rsidR="00293BDE" w:rsidRDefault="00000000">
      <w:pPr>
        <w:pStyle w:val="Heading3"/>
      </w:pPr>
      <w:r>
        <w:t>25.4 The Performance Reserve and the humanitarian firewall</w:t>
      </w:r>
    </w:p>
    <w:p w14:paraId="62083AC0" w14:textId="77777777" w:rsidR="00293BDE" w:rsidRDefault="00000000">
      <w:pPr>
        <w:pStyle w:val="FirstParagraph"/>
      </w:pPr>
      <w:bookmarkStart w:id="274" w:name="X4e6210a856b480b76de7897d529d731095d8e37"/>
      <w:r>
        <w:t>The Fund holds the Performance Reserve: the standing line from which paused apportionments hold in escrow pending restoration. The Reserve and the Humanitarian Window sit behind the humanitarian firewall: no compliance process, at any scale, for any event, reaches humanitarian flows, safety services, or escrowed principal.</w:t>
      </w:r>
      <w:bookmarkEnd w:id="274"/>
    </w:p>
    <w:p w14:paraId="70C2CE22" w14:textId="77777777" w:rsidR="00293BDE" w:rsidRDefault="00000000">
      <w:pPr>
        <w:pStyle w:val="Heading3"/>
      </w:pPr>
      <w:r>
        <w:t>25.5 The Good Faith Reset and no snapback</w:t>
      </w:r>
    </w:p>
    <w:p w14:paraId="7C6AEE40" w14:textId="77777777" w:rsidR="00293BDE" w:rsidRDefault="00000000">
      <w:pPr>
        <w:pStyle w:val="FirstParagraph"/>
      </w:pPr>
      <w:bookmarkStart w:id="275" w:name="the-good-faith-reset-and-no-snapback"/>
      <w:r>
        <w:t>Once each calendar year, a Party with an active point balance below the Category Two threshold resets to zero by operation of the registry, provided the preceding year holds no Category Three event. The architecture excludes snapback mechanics entirely: no single event, and no accumulation of events, collapses the Compact, suspends it wholesale, or restores any prior state of confrontation. The engine breathes; it never dies by its own hand.</w:t>
      </w:r>
      <w:bookmarkEnd w:id="275"/>
    </w:p>
    <w:p w14:paraId="2D430FDA" w14:textId="77777777" w:rsidR="00293BDE" w:rsidRDefault="00000000">
      <w:pPr>
        <w:pStyle w:val="Heading3"/>
      </w:pPr>
      <w:r>
        <w:t>25.6 Cross-module spillover protection</w:t>
      </w:r>
    </w:p>
    <w:p w14:paraId="00C3E8C1" w14:textId="77777777" w:rsidR="00293BDE" w:rsidRDefault="00000000">
      <w:pPr>
        <w:pStyle w:val="FirstParagraph"/>
      </w:pPr>
      <w:bookmarkStart w:id="276" w:name="cross-module-spillover-protection"/>
      <w:r>
        <w:t>A pause applies only within the module where the event occurred: Maritime, Financial, Monitoring, or Governance. Spillover to another module requires Council certification, by Consensus Minus the Concerned Party, that the event directly and materially undermines the other module. The affected Party’s objection does not block; every other member’s agreement carries. This rule keeps one domain’s trouble from becoming every domain’s trouble.</w:t>
      </w:r>
      <w:bookmarkEnd w:id="276"/>
    </w:p>
    <w:p w14:paraId="76C4DD52" w14:textId="77777777" w:rsidR="00293BDE" w:rsidRDefault="00000000">
      <w:pPr>
        <w:pStyle w:val="Heading3"/>
      </w:pPr>
      <w:r>
        <w:t>25.7 The Horizon Pause</w:t>
      </w:r>
    </w:p>
    <w:p w14:paraId="796B8F3E" w14:textId="77777777" w:rsidR="00293BDE" w:rsidRDefault="00000000">
      <w:pPr>
        <w:pStyle w:val="FirstParagraph"/>
      </w:pPr>
      <w:bookmarkStart w:id="277" w:name="the-horizon-pause"/>
      <w:r>
        <w:t>Any Party invokes the Horizon Pause for up to fourteen days per invocation, at most three invocations per calendar year, by written notice. The Pause freezes new obligations and the compliance clock for the invoking Party while preserving absolutely: passage, humanitarian flows, safety services, verification, the hotline, and escrowed funds. The Pause is a safety valve for domestic political weather, leadership transition, or regional shock; it is not a breach, it assesses no points, and it requires no justification. The Pause cannot pause passage, and it cannot pause the system’s protections for everyone else.</w:t>
      </w:r>
      <w:bookmarkEnd w:id="277"/>
    </w:p>
    <w:p w14:paraId="2E633E07" w14:textId="77777777" w:rsidR="00293BDE" w:rsidRDefault="00000000">
      <w:pPr>
        <w:pStyle w:val="Heading3"/>
      </w:pPr>
      <w:r>
        <w:t>25.8 The automatic monitoring-failure safeguard</w:t>
      </w:r>
    </w:p>
    <w:p w14:paraId="304F59CD" w14:textId="77777777" w:rsidR="00293BDE" w:rsidRDefault="00000000">
      <w:pPr>
        <w:pStyle w:val="FirstParagraph"/>
      </w:pPr>
      <w:bookmarkStart w:id="278" w:name="X178035f247854f1c2d76d7374165846c92b50a0"/>
      <w:r>
        <w:t>One trigger operates without human deliberation: where the fused monitoring picture for the Governance Area becomes unavailable for forty-eight consecutive hours for reasons other than documented equipment failure or maintenance, the discretionary benefit flows of the responsible Party pause automatically, and resume automatically upon the Neutral Watch Office’s certification of restored, authentic feeds. The safeguard is technical, symmetric, and override-proof, because a blind system serves no one and a deliberately blinded system serves only an aggressor.</w:t>
      </w:r>
      <w:bookmarkEnd w:id="278"/>
    </w:p>
    <w:p w14:paraId="6F34DD58" w14:textId="77777777" w:rsidR="00293BDE" w:rsidRDefault="00000000">
      <w:pPr>
        <w:pStyle w:val="Heading3"/>
      </w:pPr>
      <w:r>
        <w:t>25.9 Force majeure for regional spillover</w:t>
      </w:r>
    </w:p>
    <w:p w14:paraId="5A1C6AEF" w14:textId="77777777" w:rsidR="00293BDE" w:rsidRDefault="00000000">
      <w:pPr>
        <w:pStyle w:val="FirstParagraph"/>
      </w:pPr>
      <w:bookmarkStart w:id="279" w:name="force-majeure-for-regional-spillover"/>
      <w:r>
        <w:t>A Party invokes force majeure where a regional event outside its control materially prevents a specific performance: notice within forty-eight hours, Neutral Watch Office verification of the impediment, suspension of the affected obligation for up to sixty days. Core functions (passage, humanitarian flows, the hotline, verification) never suspend. Events on other tracks of Article 33.7 qualify only where they physically impede a Compact function; political discomfort never qualifies.</w:t>
      </w:r>
      <w:bookmarkEnd w:id="279"/>
    </w:p>
    <w:p w14:paraId="0F3F374E" w14:textId="77777777" w:rsidR="00293BDE" w:rsidRDefault="00000000">
      <w:pPr>
        <w:pStyle w:val="Heading3"/>
      </w:pPr>
      <w:r>
        <w:t>25.10 The engine’s design philosophy</w:t>
      </w:r>
    </w:p>
    <w:p w14:paraId="07397512" w14:textId="77777777" w:rsidR="00293BDE" w:rsidRDefault="00000000">
      <w:pPr>
        <w:pStyle w:val="FirstParagraph"/>
      </w:pPr>
      <w:bookmarkStart w:id="280" w:name="article-25-the-compliance-engine"/>
      <w:bookmarkStart w:id="281" w:name="the-engines-design-philosophy"/>
      <w:r>
        <w:t>The engine assumes human fallibility and plans for recovery: proportionality over punishment, restoration over exclusion, modules over monolith, consultation over reflex, and evidence over attribution. A compliance system that expects perfection produces collapse; this one expects imperfection and produces repair. The measure of the engine is not how rarely it fires; it is how quietly it returns the system to normal when it does.</w:t>
      </w:r>
      <w:bookmarkEnd w:id="280"/>
      <w:bookmarkEnd w:id="281"/>
    </w:p>
    <w:p w14:paraId="424CDCD3" w14:textId="77777777" w:rsidR="00293BDE" w:rsidRDefault="00000000">
      <w:pPr>
        <w:pStyle w:val="Heading2"/>
      </w:pPr>
      <w:bookmarkStart w:id="282" w:name="__RefHeading___Toc10870_3324765499"/>
      <w:bookmarkEnd w:id="282"/>
      <w:r>
        <w:t>Article 26: Dispute Resolution</w:t>
      </w:r>
    </w:p>
    <w:p w14:paraId="19C067B7" w14:textId="77777777" w:rsidR="00293BDE" w:rsidRDefault="00000000">
      <w:pPr>
        <w:pStyle w:val="Heading3"/>
      </w:pPr>
      <w:r>
        <w:t>26.1 The tiered structure</w:t>
      </w:r>
    </w:p>
    <w:p w14:paraId="0557A1E3" w14:textId="77777777" w:rsidR="00293BDE" w:rsidRDefault="00000000">
      <w:pPr>
        <w:pStyle w:val="FirstParagraph"/>
      </w:pPr>
      <w:r>
        <w:t>Disputes move through four tiers, each faster and cheaper than escalation outside the system:</w:t>
      </w:r>
    </w:p>
    <w:p w14:paraId="0DEA431B" w14:textId="77777777" w:rsidR="00293BDE" w:rsidRDefault="00000000">
      <w:pPr>
        <w:pStyle w:val="Compact"/>
        <w:numPr>
          <w:ilvl w:val="0"/>
          <w:numId w:val="51"/>
        </w:numPr>
      </w:pPr>
      <w:r>
        <w:t>The operational tier: the watch directors and function managers resolve operational disagreements on the floor, in the same watch where possible, within twenty-four hours otherwise. Most disputes end here, and the registry logs them as resolved-at-origin.</w:t>
      </w:r>
    </w:p>
    <w:p w14:paraId="6F1D1AC7" w14:textId="77777777" w:rsidR="00293BDE" w:rsidRDefault="00000000">
      <w:pPr>
        <w:pStyle w:val="Compact"/>
        <w:numPr>
          <w:ilvl w:val="0"/>
          <w:numId w:val="52"/>
        </w:numPr>
      </w:pPr>
      <w:r>
        <w:t>The facilitation tier: the Facilitators, hosted by the Mediator of Record in Muscat, conduct structured facilitation within fourteen days of referral. Facilitation produces a proposed resolution; adoption by the disputing Parties converts it into a binding determination.</w:t>
      </w:r>
    </w:p>
    <w:p w14:paraId="4A99386E" w14:textId="77777777" w:rsidR="00293BDE" w:rsidRDefault="00000000">
      <w:pPr>
        <w:pStyle w:val="Compact"/>
        <w:numPr>
          <w:ilvl w:val="0"/>
          <w:numId w:val="53"/>
        </w:numPr>
      </w:pPr>
      <w:r>
        <w:t>The technical referee tier: technical disputes (data fidelity, service verification, rate benchmarks, survey matters) go to the Independent Technical Referee panel of Annex H: three neutral experts under standing accreditation, appointed by the Neutral Facilitation Troika by two-of-three vote, issuing binding determinations within fourteen days. Technical determinations are final; neither Party appeals them.</w:t>
      </w:r>
    </w:p>
    <w:p w14:paraId="7316C2C7" w14:textId="77777777" w:rsidR="00293BDE" w:rsidRDefault="00000000">
      <w:pPr>
        <w:pStyle w:val="Compact"/>
        <w:numPr>
          <w:ilvl w:val="0"/>
          <w:numId w:val="54"/>
        </w:numPr>
      </w:pPr>
      <w:bookmarkStart w:id="283" w:name="the-tiered-structure"/>
      <w:r>
        <w:t>The Panel tier: unresolved disputes of any character go to the Guarantor and Facilitation Panel under Article 15.6, whose determinations complete the Compact’s internal architecture.</w:t>
      </w:r>
      <w:bookmarkEnd w:id="283"/>
    </w:p>
    <w:p w14:paraId="4B3B3EEF" w14:textId="77777777" w:rsidR="00293BDE" w:rsidRDefault="00000000">
      <w:pPr>
        <w:pStyle w:val="Heading3"/>
      </w:pPr>
      <w:r>
        <w:t>26.2 The facilitation tier in detail</w:t>
      </w:r>
    </w:p>
    <w:p w14:paraId="3AEA2D5E" w14:textId="77777777" w:rsidR="00293BDE" w:rsidRDefault="00000000">
      <w:pPr>
        <w:pStyle w:val="FirstParagraph"/>
      </w:pPr>
      <w:bookmarkStart w:id="284" w:name="the-facilitation-tier-in-detail"/>
      <w:r>
        <w:t>The facilitation tier works because it is hosted, neutral, and fast. The Mediator of Record provides the venue and the secretariat. Each Facilitator designates a standing facilitation officer. The tier operates in the disputing Parties’ languages, in person or by secure link, with the Neutral Administrator’s observer present. The tier’s record publishes in summary; its working papers remain with the Mediator. A dispute enters the tier by any disputing Party’s referral and leaves it only by resolution, withdrawal by joint notice, or escalation to the Panel tier.</w:t>
      </w:r>
      <w:bookmarkEnd w:id="284"/>
    </w:p>
    <w:p w14:paraId="44DB411F" w14:textId="77777777" w:rsidR="00293BDE" w:rsidRDefault="00000000">
      <w:pPr>
        <w:pStyle w:val="Heading3"/>
      </w:pPr>
      <w:r>
        <w:t>26.3 The independent technical referee</w:t>
      </w:r>
    </w:p>
    <w:p w14:paraId="2A5E112A" w14:textId="77777777" w:rsidR="00293BDE" w:rsidRDefault="00000000">
      <w:pPr>
        <w:pStyle w:val="FirstParagraph"/>
      </w:pPr>
      <w:bookmarkStart w:id="285" w:name="the-independent-technical-referee"/>
      <w:r>
        <w:t>The referee panel’s jurisdiction covers: data fidelity disputes under the technical truth escalation chain; service verification disputes under Article 18; rate benchmark disputes under Article 21; survey certificate disputes under Article 9; and classification disputes under Annex C. The panel decides on the registry’s evidence, applies the Convergence Standard, and states its reasoning in a published determination. The panel’s standing accreditation, maintained by the Neutral Facilitation Troika, guarantees that expertise waits ready rather than assembling in crisis.</w:t>
      </w:r>
      <w:bookmarkEnd w:id="285"/>
    </w:p>
    <w:p w14:paraId="75C535FF" w14:textId="77777777" w:rsidR="00293BDE" w:rsidRDefault="00000000">
      <w:pPr>
        <w:pStyle w:val="Heading3"/>
      </w:pPr>
      <w:r>
        <w:t>26.4 The Escalation Cap and the silence clause</w:t>
      </w:r>
    </w:p>
    <w:p w14:paraId="29B56B41" w14:textId="77777777" w:rsidR="00293BDE" w:rsidRDefault="00000000">
      <w:pPr>
        <w:pStyle w:val="FirstParagraph"/>
      </w:pPr>
      <w:bookmarkStart w:id="286" w:name="X31b958f81160771c37527e5fd99123701c316ac"/>
      <w:r>
        <w:t>The architecture caps escalation: no dispute within the Compact’s functional scope travels to any external tribunal, sanctions track, or coercive instrument before completing the internal tiers, and no dispute justifies any measure against passage, humanitarian flows, safety services, or verification, ever. Between the tiers, silence operates in the system’s favor: during any dispute, the disputed function continues at its pre-dispute state, payments continue into escrow, and traffic continues untouched. Disputes argue; the system runs.</w:t>
      </w:r>
      <w:bookmarkEnd w:id="286"/>
    </w:p>
    <w:p w14:paraId="2FE05A95" w14:textId="77777777" w:rsidR="00293BDE" w:rsidRDefault="00000000">
      <w:pPr>
        <w:pStyle w:val="Heading3"/>
      </w:pPr>
      <w:r>
        <w:t>26.5 Interim measures</w:t>
      </w:r>
    </w:p>
    <w:p w14:paraId="4CFFC1EC" w14:textId="77777777" w:rsidR="00293BDE" w:rsidRDefault="00000000">
      <w:pPr>
        <w:pStyle w:val="FirstParagraph"/>
      </w:pPr>
      <w:bookmarkStart w:id="287" w:name="interim-measures"/>
      <w:r>
        <w:t>Where a disputing Party shows that delay risks irreparable harm to a safety or environmental interest, the Neutral Watch Office issues an interim measure within twenty-four hours: a defined, temporary, published adjustment to operations that preserves the status quo pending determination. Interim measures bind for up to thirty days, extend once, and never touch passage.</w:t>
      </w:r>
      <w:bookmarkEnd w:id="287"/>
    </w:p>
    <w:p w14:paraId="0ABF52A1" w14:textId="77777777" w:rsidR="00293BDE" w:rsidRDefault="00000000">
      <w:pPr>
        <w:pStyle w:val="Heading3"/>
      </w:pPr>
      <w:r>
        <w:t>26.6 The dispute statistics</w:t>
      </w:r>
    </w:p>
    <w:p w14:paraId="68D1A06F" w14:textId="77777777" w:rsidR="00293BDE" w:rsidRDefault="00000000">
      <w:pPr>
        <w:pStyle w:val="FirstParagraph"/>
      </w:pPr>
      <w:bookmarkStart w:id="288" w:name="article-26-dispute-resolution"/>
      <w:bookmarkStart w:id="289" w:name="the-dispute-statistics"/>
      <w:r>
        <w:t>The Authority publishes the dispute register quarterly in aggregate: volumes by tier, resolution times, and outcomes. The register demonstrates, in numbers rather than assurances, that the system’s conflicts resolve inside the system, on schedule, at trivial cost compared to the escalations they replace.</w:t>
      </w:r>
      <w:bookmarkEnd w:id="288"/>
      <w:bookmarkEnd w:id="289"/>
    </w:p>
    <w:p w14:paraId="4D04BA22" w14:textId="77777777" w:rsidR="00293BDE" w:rsidRDefault="00000000">
      <w:pPr>
        <w:pStyle w:val="Heading2"/>
      </w:pPr>
      <w:bookmarkStart w:id="290" w:name="__RefHeading___Toc10872_3324765499"/>
      <w:bookmarkEnd w:id="290"/>
      <w:r>
        <w:t>Article 27: Substantiated Claims, the Performance Bond, and the Reciprocity Ledger</w:t>
      </w:r>
    </w:p>
    <w:p w14:paraId="49659533" w14:textId="77777777" w:rsidR="00293BDE" w:rsidRDefault="00000000">
      <w:pPr>
        <w:pStyle w:val="Heading3"/>
      </w:pPr>
      <w:r>
        <w:t>27.1 The claim standard</w:t>
      </w:r>
    </w:p>
    <w:p w14:paraId="5919A01D" w14:textId="77777777" w:rsidR="00293BDE" w:rsidRDefault="00000000">
      <w:pPr>
        <w:pStyle w:val="FirstParagraph"/>
      </w:pPr>
      <w:bookmarkStart w:id="291" w:name="the-claim-standard"/>
      <w:r>
        <w:t>A claim under this Compact substantiates when: the registry’s convergent record establishes the event; the claimant documents the loss; and the causal link between a system failure or a Party’s compliance event and the loss meets the directness test of Annex C. The Neutral Watch Office assesses substantiation; the technical referee tier resolves contests. The standard favors no claimant class: vessels, Parties, operators, insurers, and coastal interests all claim on the same test.</w:t>
      </w:r>
      <w:bookmarkEnd w:id="291"/>
    </w:p>
    <w:p w14:paraId="47206987" w14:textId="77777777" w:rsidR="00293BDE" w:rsidRDefault="00000000">
      <w:pPr>
        <w:pStyle w:val="Heading3"/>
      </w:pPr>
      <w:r>
        <w:t>27.2 The Performance Bond</w:t>
      </w:r>
    </w:p>
    <w:p w14:paraId="417D3696" w14:textId="77777777" w:rsidR="00293BDE" w:rsidRDefault="00000000">
      <w:pPr>
        <w:pStyle w:val="FirstParagraph"/>
      </w:pPr>
      <w:bookmarkStart w:id="292" w:name="the-performance-bond"/>
      <w:r>
        <w:t>Each performing Party maintains a Performance Bond with the Fund, sized in Annex B at a modest multiple of its average monthly apportionment, posted through the escrow at Full Activation. The Bond answers for the Party’s substantiated claims that remain unpaid at sixty days. The Bond replenishes from apportionments within ninety days of any drawing. The Bond’s size stays small by design: it backstops reliability, it does not price distrust.</w:t>
      </w:r>
      <w:bookmarkEnd w:id="292"/>
    </w:p>
    <w:p w14:paraId="7BA3EA76" w14:textId="77777777" w:rsidR="00293BDE" w:rsidRDefault="00000000">
      <w:pPr>
        <w:pStyle w:val="Heading3"/>
      </w:pPr>
      <w:r>
        <w:t>27.3 Determination and payment</w:t>
      </w:r>
    </w:p>
    <w:p w14:paraId="5A66A621" w14:textId="77777777" w:rsidR="00293BDE" w:rsidRDefault="00000000">
      <w:pPr>
        <w:pStyle w:val="FirstParagraph"/>
      </w:pPr>
      <w:bookmarkStart w:id="293" w:name="determination-and-payment"/>
      <w:r>
        <w:t>Substantiated claims pay from the Compensation Window within thirty days of determination. Where the responsible Party’s Bond stands drawn, replenishment follows automatically. The registry logs every claim, determination, and payment, and the annual report publishes the claims record in aggregate. Prompt, boring, mechanical payment of claims is the system’s reputation on the water, and the architecture treats it as such.</w:t>
      </w:r>
      <w:bookmarkEnd w:id="293"/>
    </w:p>
    <w:p w14:paraId="2F00242B" w14:textId="77777777" w:rsidR="00293BDE" w:rsidRDefault="00000000">
      <w:pPr>
        <w:pStyle w:val="Heading3"/>
      </w:pPr>
      <w:r>
        <w:t>27.4 The Reciprocity Ledger and standing levels</w:t>
      </w:r>
    </w:p>
    <w:p w14:paraId="337859D7" w14:textId="77777777" w:rsidR="00293BDE" w:rsidRDefault="00000000">
      <w:pPr>
        <w:pStyle w:val="FirstParagraph"/>
      </w:pPr>
      <w:bookmarkStart w:id="294" w:name="Xd86042bd4e41be5e943b8ac7a5ec73c438bd44a"/>
      <w:r>
        <w:t>The registry maintains the Reciprocity Ledger: the running, public record of each Party’s verified performance, point balance, restoration credits, and claims history, expressed as a standing level from one to five. Standing levels inform, and only inform: the Activation Review, the voluntary contribution dialogue, and each Party’s own domestic reporting. Standing never conditions passage, voice, vote, or apportionment entitlement. The Ledger exists so that reliability shows and shows permanently; it is a mirror, never a lever.</w:t>
      </w:r>
      <w:bookmarkEnd w:id="294"/>
    </w:p>
    <w:p w14:paraId="2B1B6D3D" w14:textId="77777777" w:rsidR="00293BDE" w:rsidRDefault="00000000">
      <w:pPr>
        <w:pStyle w:val="Heading3"/>
      </w:pPr>
      <w:r>
        <w:t>27.5 The claims charter for mariners</w:t>
      </w:r>
    </w:p>
    <w:p w14:paraId="563A98B9" w14:textId="77777777" w:rsidR="00293BDE" w:rsidRDefault="00000000">
      <w:pPr>
        <w:pStyle w:val="FirstParagraph"/>
      </w:pPr>
      <w:bookmarkStart w:id="295" w:name="X6cf422d608c14ef9173029f2b9867466cf93f48"/>
      <w:bookmarkStart w:id="296" w:name="the-claims-charter-for-mariners"/>
      <w:r>
        <w:t>A vessel operator’s claim travels a defined six-step path: file the one-page claim form; receive the registry evidence pack; receive the substantiation assessment within twenty-one days; accept the assessment or refer it to the referee tier; receive payment within thirty days of determination; and (optionally) file feedback. The charter publishes in the Mariners’ Handbook, and its performance statistics publish quarterly. Claims against this system behave like insurance claims against a good underwriter: documented, bounded, and paid.</w:t>
      </w:r>
      <w:bookmarkEnd w:id="295"/>
      <w:bookmarkEnd w:id="296"/>
    </w:p>
    <w:p w14:paraId="2101C9B3" w14:textId="77777777" w:rsidR="00293BDE" w:rsidRDefault="00000000">
      <w:pPr>
        <w:pStyle w:val="Heading2"/>
      </w:pPr>
      <w:bookmarkStart w:id="297" w:name="__RefHeading___Toc10874_3324765499"/>
      <w:bookmarkEnd w:id="297"/>
      <w:r>
        <w:t>Article 28: The Protection Covenant</w:t>
      </w:r>
    </w:p>
    <w:p w14:paraId="5CA39F5C" w14:textId="77777777" w:rsidR="00293BDE" w:rsidRDefault="00000000">
      <w:pPr>
        <w:pStyle w:val="Heading3"/>
      </w:pPr>
      <w:r>
        <w:t>28.1 The protected core</w:t>
      </w:r>
    </w:p>
    <w:p w14:paraId="0C256344" w14:textId="77777777" w:rsidR="00293BDE" w:rsidRDefault="00000000">
      <w:pPr>
        <w:pStyle w:val="FirstParagraph"/>
      </w:pPr>
      <w:bookmarkStart w:id="298" w:name="the-protected-core"/>
      <w:r>
        <w:t>The following constitute the protected core of this Compact: the Open Passage Rule; the Non-Interdiction Protocol; the humanitarian protections; the verification architecture; the hotline; the escrowed principal of the Fund; and the Inviolable Principles Register itself. The protected core sits outside every pause, every ladder, every dispute, and every amendment short of unanimity of all Parties including every acceding Littoral Party.</w:t>
      </w:r>
      <w:bookmarkEnd w:id="298"/>
    </w:p>
    <w:p w14:paraId="115DEF30" w14:textId="77777777" w:rsidR="00293BDE" w:rsidRDefault="00000000">
      <w:pPr>
        <w:pStyle w:val="Heading3"/>
      </w:pPr>
      <w:r>
        <w:t>28.2 Non-severability of safeguards</w:t>
      </w:r>
    </w:p>
    <w:p w14:paraId="5BADC2DA" w14:textId="77777777" w:rsidR="00293BDE" w:rsidRDefault="00000000">
      <w:pPr>
        <w:pStyle w:val="FirstParagraph"/>
      </w:pPr>
      <w:bookmarkStart w:id="299" w:name="non-severability-of-safeguards"/>
      <w:r>
        <w:t>The safeguards of this Compact operate as one fabric. No Party accepts the Compact’s benefits while declining its safeguards; no organ enforces the Compact’s rules while bypassing its protections; and no amendment removes a safeguard while retaining the function it guards. The Covenant holds the system’s moral architecture as firmly as its operational one.</w:t>
      </w:r>
      <w:bookmarkEnd w:id="299"/>
    </w:p>
    <w:p w14:paraId="34190ACD" w14:textId="77777777" w:rsidR="00293BDE" w:rsidRDefault="00000000">
      <w:pPr>
        <w:pStyle w:val="Heading3"/>
      </w:pPr>
      <w:r>
        <w:t>28.3 Declarations of intent</w:t>
      </w:r>
    </w:p>
    <w:p w14:paraId="3FC019A3" w14:textId="77777777" w:rsidR="00293BDE" w:rsidRDefault="00000000">
      <w:pPr>
        <w:pStyle w:val="FirstParagraph"/>
      </w:pPr>
      <w:bookmarkStart w:id="300" w:name="declarations-of-intent"/>
      <w:r>
        <w:t>At signature, each Party deposits a declaration of intent with the depositary: a public statement of the purposes for which it joins and the principles it holds inviolable. Declarations inform interpretation; they create no reservations, because the Compact admits no reservations. The depositary publishes the declarations with the instrument.</w:t>
      </w:r>
      <w:bookmarkEnd w:id="300"/>
    </w:p>
    <w:p w14:paraId="47A460C6" w14:textId="77777777" w:rsidR="00293BDE" w:rsidRDefault="00000000">
      <w:pPr>
        <w:pStyle w:val="Heading3"/>
      </w:pPr>
      <w:r>
        <w:t>28.4 Emergency oversight</w:t>
      </w:r>
    </w:p>
    <w:p w14:paraId="08216E9D" w14:textId="77777777" w:rsidR="00293BDE" w:rsidRDefault="00000000">
      <w:pPr>
        <w:pStyle w:val="FirstParagraph"/>
      </w:pPr>
      <w:bookmarkStart w:id="301" w:name="emergency-oversight"/>
      <w:r>
        <w:t>Where an event threatens the protected core directly (an imminent hazard to life, a credible threat to the registry’s integrity, a failure of both seats simultaneously), the Neutral Administrator and the Mediator of Record jointly convene emergency oversight within twelve hours: the Coastal Two, the relevant liaisons, and the technical leads restore the protected function first and argue everything else later. Emergency oversight publishes its record within seventy-two hours.</w:t>
      </w:r>
      <w:bookmarkEnd w:id="301"/>
    </w:p>
    <w:p w14:paraId="059D38FB" w14:textId="77777777" w:rsidR="00293BDE" w:rsidRDefault="00000000">
      <w:pPr>
        <w:pStyle w:val="Heading3"/>
      </w:pPr>
      <w:r>
        <w:t>28.5 The integrity review</w:t>
      </w:r>
    </w:p>
    <w:p w14:paraId="7B9FB4A5" w14:textId="77777777" w:rsidR="00293BDE" w:rsidRDefault="00000000">
      <w:pPr>
        <w:pStyle w:val="FirstParagraph"/>
      </w:pPr>
      <w:bookmarkStart w:id="302" w:name="the-integrity-review"/>
      <w:r>
        <w:t>Every third year, an independent integrity review, commissioned by the Council through open tender and conducted by reviewers of recognized international standing, examines the whole architecture: whether the institutions perform their charters, whether the safeguards hold, whether the costs track the budget framework, and whether the Compact’s promises match its operations. The review publishes in full, and the Council responds article by article within ninety days.</w:t>
      </w:r>
      <w:bookmarkEnd w:id="302"/>
    </w:p>
    <w:p w14:paraId="38E21860" w14:textId="77777777" w:rsidR="00293BDE" w:rsidRDefault="00000000">
      <w:pPr>
        <w:pStyle w:val="Heading3"/>
      </w:pPr>
      <w:r>
        <w:t>28.6 The Corridor Security Guarantee</w:t>
      </w:r>
    </w:p>
    <w:p w14:paraId="54CDED38" w14:textId="77777777" w:rsidR="00293BDE" w:rsidRDefault="00000000">
      <w:pPr>
        <w:pStyle w:val="FirstParagraph"/>
      </w:pPr>
      <w:bookmarkStart w:id="303" w:name="the-corridor-security-guarantee"/>
      <w:r>
        <w:t>The Coastal Two jointly guarantee the security of the corridor system against interference by any actor within their respective control, and the architecture backs the guarantee with the monitoring density of Article 22.7, the proxy-event pathway of Article 24.2, and the point schedule of Annex C. The Guarantee is mutual, symmetric, and architectural: it binds the founders equally to the same standard on the same water.</w:t>
      </w:r>
      <w:bookmarkEnd w:id="303"/>
    </w:p>
    <w:p w14:paraId="7B126F15" w14:textId="77777777" w:rsidR="00293BDE" w:rsidRDefault="00000000">
      <w:pPr>
        <w:pStyle w:val="Heading3"/>
      </w:pPr>
      <w:r>
        <w:t>28.7 The Covenant’s standing instruction</w:t>
      </w:r>
    </w:p>
    <w:p w14:paraId="0D3C6E7F" w14:textId="77777777" w:rsidR="00293BDE" w:rsidRDefault="00000000">
      <w:pPr>
        <w:pStyle w:val="FirstParagraph"/>
      </w:pPr>
      <w:bookmarkStart w:id="304" w:name="article-28-the-protection-covenant"/>
      <w:bookmarkStart w:id="305" w:name="the-covenants-standing-instruction"/>
      <w:r>
        <w:t>Every officer of the system holds a standing instruction, printed in the Implementation Manual’s first page: where any order, request, or improvisation conflicts with the protected core, the core prevails, the officer declines, and the declination logs without consequence to the officer. The instruction makes every officer a guardian of the Covenant, and it makes obedience to the Covenant the safest career choice in the building.</w:t>
      </w:r>
      <w:bookmarkEnd w:id="304"/>
      <w:bookmarkEnd w:id="305"/>
    </w:p>
    <w:p w14:paraId="6267A6F9" w14:textId="77777777" w:rsidR="00293BDE" w:rsidRDefault="00000000">
      <w:pPr>
        <w:pStyle w:val="Heading2"/>
      </w:pPr>
      <w:bookmarkStart w:id="306" w:name="__RefHeading___Toc10876_3324765499"/>
      <w:bookmarkEnd w:id="306"/>
      <w:r>
        <w:t>Article 29: Domestic Framing Autonomy and Narrative Peace</w:t>
      </w:r>
    </w:p>
    <w:p w14:paraId="3D7D7812" w14:textId="77777777" w:rsidR="00293BDE" w:rsidRDefault="00000000">
      <w:pPr>
        <w:pStyle w:val="Heading3"/>
      </w:pPr>
      <w:r>
        <w:t>29.1 The principle</w:t>
      </w:r>
    </w:p>
    <w:p w14:paraId="11742DAC" w14:textId="77777777" w:rsidR="00293BDE" w:rsidRDefault="00000000">
      <w:pPr>
        <w:pStyle w:val="FirstParagraph"/>
      </w:pPr>
      <w:bookmarkStart w:id="307" w:name="the-principle"/>
      <w:r>
        <w:t>Each Party presents this Compact to its own people in its own words. The architecture protects Domestic Framing Autonomy: a Party’s public description of the Compact at home emphasizes what its audience needs to hear, and no other Party polices that emphasis. The Compact’s success at home, in every capital, is a shared interest of all Parties, because a Compact that one capital cannot defend at home is a Compact that fails everyone abroad.</w:t>
      </w:r>
      <w:bookmarkEnd w:id="307"/>
    </w:p>
    <w:p w14:paraId="3108DEE0" w14:textId="77777777" w:rsidR="00293BDE" w:rsidRDefault="00000000">
      <w:pPr>
        <w:pStyle w:val="Heading3"/>
      </w:pPr>
      <w:r>
        <w:t>29.2 The boundary of framing</w:t>
      </w:r>
    </w:p>
    <w:p w14:paraId="3C5B047A" w14:textId="77777777" w:rsidR="00293BDE" w:rsidRDefault="00000000">
      <w:pPr>
        <w:pStyle w:val="FirstParagraph"/>
      </w:pPr>
      <w:bookmarkStart w:id="308" w:name="the-boundary-of-framing"/>
      <w:r>
        <w:t>Framing autonomy has one boundary: material misrepresentation of the Compact’s operative content directed at another Party’s core interests. A Party’s statement that misstates the instrument’s actual terms in a way that damages another Party’s standing (a claim that the Compact grants sovereignty it does not grant, or imposes subordination it does not impose) engages the narrative process of Section 29.3. Emphasis, pride, and selective silence never engage it.</w:t>
      </w:r>
      <w:bookmarkEnd w:id="308"/>
    </w:p>
    <w:p w14:paraId="0AC792A4" w14:textId="77777777" w:rsidR="00293BDE" w:rsidRDefault="00000000">
      <w:pPr>
        <w:pStyle w:val="Heading3"/>
      </w:pPr>
      <w:r>
        <w:t>29.3 The narrative process</w:t>
      </w:r>
    </w:p>
    <w:p w14:paraId="25515AA6" w14:textId="77777777" w:rsidR="00293BDE" w:rsidRDefault="00000000">
      <w:pPr>
        <w:pStyle w:val="FirstParagraph"/>
      </w:pPr>
      <w:bookmarkStart w:id="309" w:name="the-narrative-process"/>
      <w:r>
        <w:t>A Party that considers itself damaged by another’s framing files a narrative note with the Mediator of Record. The Mediator convenes the two Parties within fourteen days, with a Facilitator present, and the Parties agree a corrective clarification or agree that none is warranted. The process is private, fast, and without penalty. Three or more findings within one hundred eighty days that a Party’s framing crossed the boundary without correction classify as a Governance-domain event under Annex C, because words, repeated, become architecture too.</w:t>
      </w:r>
      <w:bookmarkEnd w:id="309"/>
    </w:p>
    <w:p w14:paraId="3D0F4734" w14:textId="77777777" w:rsidR="00293BDE" w:rsidRDefault="00000000">
      <w:pPr>
        <w:pStyle w:val="Heading3"/>
      </w:pPr>
      <w:r>
        <w:t>29.4 The joint narrative assets</w:t>
      </w:r>
    </w:p>
    <w:p w14:paraId="0E2B78E0" w14:textId="77777777" w:rsidR="00293BDE" w:rsidRDefault="00000000">
      <w:pPr>
        <w:pStyle w:val="FirstParagraph"/>
      </w:pPr>
      <w:bookmarkStart w:id="310" w:name="the-joint-narrative-assets"/>
      <w:r>
        <w:t>The Authority maintains joint narrative assets for all Parties to use freely: the plain-language summary of the Compact in the three authoritative languages; the Horizon Declaration of Principles; the Joint Openness Declaration; and the annual State of the Strait. Shared truthful assets reduce the space in which damaging fictions grow, and they cost almost nothing. The Political Wrapper of this instrument supplies the founding layer of those assets.</w:t>
      </w:r>
      <w:bookmarkEnd w:id="310"/>
    </w:p>
    <w:p w14:paraId="34C8DAD4" w14:textId="77777777" w:rsidR="00293BDE" w:rsidRDefault="00000000">
      <w:pPr>
        <w:pStyle w:val="Heading3"/>
      </w:pPr>
      <w:r>
        <w:t>29.5 The parliamentary dossier</w:t>
      </w:r>
    </w:p>
    <w:p w14:paraId="187FCC5D" w14:textId="77777777" w:rsidR="00293BDE" w:rsidRDefault="00000000">
      <w:pPr>
        <w:pStyle w:val="FirstParagraph"/>
      </w:pPr>
      <w:r>
        <w:t>For each Party’s domestic ratification or reporting process, the Authority prepares a standard parliamentary dossier: the instrument, the Demand Reconciliation Register extract for that Party, the budget summary, and the plain-language summary. The dossier gives every legislature the same truthful base document, in its own authoritative language, so that domestic debate starts from the text rather than from rumor.</w:t>
      </w:r>
    </w:p>
    <w:bookmarkStart w:id="311" w:name="X5cf3d1332aaa0d09ea26ab716fd82b3504f874f"/>
    <w:bookmarkStart w:id="312" w:name="X688a8ce605c976a026673ca389f0cb17373b5e1"/>
    <w:bookmarkStart w:id="313" w:name="the-parliamentary-dossier"/>
    <w:p w14:paraId="79CFBAFD" w14:textId="17BCE13F" w:rsidR="00293BDE" w:rsidRDefault="00622008">
      <w:r>
        <w:rPr>
          <w:noProof/>
        </w:rPr>
      </w:r>
      <w:r>
        <w:pict w14:anchorId="3F3D74E7">
          <v:rect id="Rectangle 13" o:spid="_x0000_s1042"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311"/>
      <w:bookmarkEnd w:id="312"/>
      <w:bookmarkEnd w:id="313"/>
    </w:p>
    <w:p w14:paraId="31456662" w14:textId="77777777" w:rsidR="00293BDE" w:rsidRDefault="00000000">
      <w:pPr>
        <w:pStyle w:val="Heading1"/>
      </w:pPr>
      <w:bookmarkStart w:id="314" w:name="__RefHeading___Toc10878_3324765499"/>
      <w:bookmarkEnd w:id="314"/>
      <w:r>
        <w:t>PART VII: ACTIVATION, CONTINUITY, AND FINAL PROVISIONS</w:t>
      </w:r>
    </w:p>
    <w:p w14:paraId="4E759BC9" w14:textId="77777777" w:rsidR="00293BDE" w:rsidRDefault="00000000">
      <w:pPr>
        <w:pStyle w:val="Heading2"/>
      </w:pPr>
      <w:bookmarkStart w:id="315" w:name="__RefHeading___Toc10880_3324765499"/>
      <w:bookmarkEnd w:id="315"/>
      <w:r>
        <w:t>Article 30: Activation: The Assurance Phase and the Activation Review</w:t>
      </w:r>
    </w:p>
    <w:p w14:paraId="10E6543A" w14:textId="77777777" w:rsidR="00293BDE" w:rsidRDefault="00000000">
      <w:pPr>
        <w:pStyle w:val="Heading3"/>
      </w:pPr>
      <w:r>
        <w:t>30.1 Phased activation</w:t>
      </w:r>
    </w:p>
    <w:p w14:paraId="6F39DF41" w14:textId="77777777" w:rsidR="00293BDE" w:rsidRDefault="00000000">
      <w:pPr>
        <w:pStyle w:val="FirstParagraph"/>
      </w:pPr>
      <w:r>
        <w:t>The Compact activates in the sequence of Annex E, over ninety to one hundred twenty days from signature:</w:t>
      </w:r>
    </w:p>
    <w:p w14:paraId="1A36A492" w14:textId="77777777" w:rsidR="00293BDE" w:rsidRDefault="00000000">
      <w:pPr>
        <w:pStyle w:val="Compact"/>
        <w:numPr>
          <w:ilvl w:val="0"/>
          <w:numId w:val="55"/>
        </w:numPr>
      </w:pPr>
      <w:r>
        <w:t>Days 0 to 10, Foundation: signature; entry into force for the Coastal Two; the monitoring infrastructure activates; the Neutral Watch Office convenes within seventy-two hours by secure link and within ten days physically; the Day One hazard declarations issue; provisional corridor guidance publishes by Notice to Mariners; the Assurance-Phase rate card posts.</w:t>
      </w:r>
    </w:p>
    <w:p w14:paraId="3D543481" w14:textId="77777777" w:rsidR="00293BDE" w:rsidRDefault="00000000">
      <w:pPr>
        <w:pStyle w:val="Compact"/>
        <w:numPr>
          <w:ilvl w:val="0"/>
          <w:numId w:val="56"/>
        </w:numPr>
      </w:pPr>
      <w:r>
        <w:t>Days 10 to 20, Announcement: the Assurance Phase declares publicly; shipping, insurance, and flag-state notifications circulate; the Voluntary Contribution Facility opens; AIS pre-routing guidance begins.</w:t>
      </w:r>
    </w:p>
    <w:p w14:paraId="626F0CEE" w14:textId="77777777" w:rsidR="00293BDE" w:rsidRDefault="00000000">
      <w:pPr>
        <w:pStyle w:val="Compact"/>
        <w:numPr>
          <w:ilvl w:val="0"/>
          <w:numId w:val="57"/>
        </w:numPr>
      </w:pPr>
      <w:r>
        <w:t>Days 20 to 40, Sequential corridor activation: the Buffer Corridor activates first (days 20 to 25) behind its Survey Certificate; the Southern Outbound Corridor activates second (days 25 to 35); the Northern Inbound Corridor activates third (days 35 to 40), each behind its own Survey Certificate. Simultaneously, under IPR-16, all remaining impediments to commercial traffic to and from the ports of every littoral state terminate, and wartime routing measures absorb into the ordinary geometry.</w:t>
      </w:r>
    </w:p>
    <w:p w14:paraId="594FFF05" w14:textId="77777777" w:rsidR="00293BDE" w:rsidRDefault="00000000">
      <w:pPr>
        <w:pStyle w:val="Compact"/>
        <w:numPr>
          <w:ilvl w:val="0"/>
          <w:numId w:val="58"/>
        </w:numPr>
      </w:pPr>
      <w:r>
        <w:t>Days 40 to 55, Financial activation: the escrow and clearing arrangements operationalize; pilot-rate invoicing begins; the Firewall’s documentation completes its first cycle; payment routing tests conclude.</w:t>
      </w:r>
    </w:p>
    <w:p w14:paraId="6CF7469E" w14:textId="77777777" w:rsidR="00293BDE" w:rsidRDefault="00000000">
      <w:pPr>
        <w:pStyle w:val="Compact"/>
        <w:numPr>
          <w:ilvl w:val="0"/>
          <w:numId w:val="59"/>
        </w:numPr>
      </w:pPr>
      <w:r>
        <w:t>Days 55 to 90, The Activation Review: the full audit of Section 30.3 executes across all five domains.</w:t>
      </w:r>
    </w:p>
    <w:p w14:paraId="655D1980" w14:textId="77777777" w:rsidR="00293BDE" w:rsidRDefault="00000000">
      <w:pPr>
        <w:pStyle w:val="Compact"/>
        <w:numPr>
          <w:ilvl w:val="0"/>
          <w:numId w:val="60"/>
        </w:numPr>
      </w:pPr>
      <w:bookmarkStart w:id="316" w:name="phased-activation"/>
      <w:r>
        <w:t>Days 90 to 120, Full Activation: the Council adopts the Activation Review; final coordinates register with the IMO and the IHO; the standard rate card succeeds the pilot card; the Joint Openness Declaration issues; wartime lanes sunset formally; the Compact declares full operation.</w:t>
      </w:r>
      <w:bookmarkEnd w:id="316"/>
    </w:p>
    <w:p w14:paraId="3FA83850" w14:textId="77777777" w:rsidR="00293BDE" w:rsidRDefault="00000000">
      <w:pPr>
        <w:pStyle w:val="Heading3"/>
      </w:pPr>
      <w:r>
        <w:t>30.2 The Assurance Phase rules</w:t>
      </w:r>
    </w:p>
    <w:p w14:paraId="338535B9" w14:textId="77777777" w:rsidR="00293BDE" w:rsidRDefault="00000000">
      <w:pPr>
        <w:pStyle w:val="FirstParagraph"/>
      </w:pPr>
      <w:bookmarkStart w:id="317" w:name="the-assurance-phase-rules"/>
      <w:r>
        <w:t>During the Assurance Phase: rates run at the pilot card; the service catalog runs in full so that verification systems receive a complete shakedown; observer accreditations process on the fast track of Annex F; the environmental baseline survey executes; and every procedure runs exactly as it runs permanently, so that the Review measures the real system rather than a rehearsal.</w:t>
      </w:r>
      <w:bookmarkEnd w:id="317"/>
    </w:p>
    <w:p w14:paraId="186AB9D3" w14:textId="77777777" w:rsidR="00293BDE" w:rsidRDefault="00000000">
      <w:pPr>
        <w:pStyle w:val="Heading3"/>
      </w:pPr>
      <w:r>
        <w:t>30.3 The Activation Review</w:t>
      </w:r>
    </w:p>
    <w:p w14:paraId="51678F4B" w14:textId="77777777" w:rsidR="00293BDE" w:rsidRDefault="00000000">
      <w:pPr>
        <w:pStyle w:val="FirstParagraph"/>
      </w:pPr>
      <w:bookmarkStart w:id="318" w:name="the-activation-review"/>
      <w:r>
        <w:t>The Activation Review evaluates the five domains of Annex I: navigation and AIS compliance; security and de-confliction; monitoring and transparency; environment and safety; and finance and payment integrity. Each domain scores against the published thresholds of Annex I. The Review concludes Pass, Conditional Pass, or Extend: Pass activates Full Activation on schedule; Conditional Pass activates with the identified annex adjustments adopted within thirty days; Extend continues the Assurance Phase for up to sixty days with a defined remediation list, and the Review repeats. The Review conducts jointly: the Neutral Watch Office compiles the data, the Council adopts the conclusion by consensus, and the Endorsing Stakeholders’ observers attest the record. The Review measures the system; it judges no Party.</w:t>
      </w:r>
      <w:bookmarkEnd w:id="318"/>
    </w:p>
    <w:p w14:paraId="0CF12091" w14:textId="77777777" w:rsidR="00293BDE" w:rsidRDefault="00000000">
      <w:pPr>
        <w:pStyle w:val="Heading3"/>
      </w:pPr>
      <w:r>
        <w:t>30.4 The early harvest</w:t>
      </w:r>
    </w:p>
    <w:p w14:paraId="197B18DE" w14:textId="77777777" w:rsidR="00293BDE" w:rsidRDefault="00000000">
      <w:pPr>
        <w:pStyle w:val="FirstParagraph"/>
      </w:pPr>
      <w:bookmarkStart w:id="319" w:name="the-early-harvest"/>
      <w:r>
        <w:t>The architecture front-loads visible wins: the first Survey Certificate, the first Bulletin, the first verified transit, the first apportionment, and the first Certificate of Transit Assurance all publish as they occur during the Assurance Phase. Confidence compounds on evidence, and the evidence starts in the first month.</w:t>
      </w:r>
      <w:bookmarkEnd w:id="319"/>
    </w:p>
    <w:p w14:paraId="2275CD59" w14:textId="77777777" w:rsidR="00293BDE" w:rsidRDefault="00000000">
      <w:pPr>
        <w:pStyle w:val="Heading3"/>
      </w:pPr>
      <w:r>
        <w:t>30.5 Synchronization with parallel tracks</w:t>
      </w:r>
    </w:p>
    <w:p w14:paraId="1C539ADD" w14:textId="77777777" w:rsidR="00293BDE" w:rsidRDefault="00000000">
      <w:pPr>
        <w:pStyle w:val="FirstParagraph"/>
      </w:pPr>
      <w:bookmarkStart w:id="320" w:name="synchronization-with-parallel-tracks"/>
      <w:r>
        <w:t>The Compact’s activation calendar interlocks, at the points stated in Annex L, with the parallel sovereign tracks: the MOU’s sixty-day window, the sanctions-relief calendar, and the force-posture decisions of the relevant states. The interlock is informational and sequential, never conditional in reverse: no parallel track holds a veto over corridor activation, and corridor activation waits for no parallel track beyond the single synchronized event of IPR-16.</w:t>
      </w:r>
      <w:bookmarkEnd w:id="320"/>
    </w:p>
    <w:p w14:paraId="4E68C75B" w14:textId="77777777" w:rsidR="00293BDE" w:rsidRDefault="00000000">
      <w:pPr>
        <w:pStyle w:val="Heading3"/>
      </w:pPr>
      <w:r>
        <w:t>30.6 The fallback at the Decision Point</w:t>
      </w:r>
    </w:p>
    <w:p w14:paraId="24B4DB4E" w14:textId="77777777" w:rsidR="00293BDE" w:rsidRDefault="00000000">
      <w:pPr>
        <w:pStyle w:val="FirstParagraph"/>
      </w:pPr>
      <w:bookmarkStart w:id="321" w:name="X14c89b5016a176955a5e98dbfee946b04328348"/>
      <w:bookmarkStart w:id="322" w:name="the-fallback-at-the-decision-point"/>
      <w:r>
        <w:t>Where the Activation Review concludes Extend, the system does not drift: the remediation list carries owners and dates; the extended Assurance Phase runs the same published rules; and the Review repeats on its defined day. Where a second Review also concludes Extend, the Guarantor and Facilitation Panel convenes to complete the decision architecture under Article 15.6. The architecture tolerates delay without tolerating limbo: at every point, everyone knows the phase, the rules in force, and the next dated event.</w:t>
      </w:r>
      <w:bookmarkEnd w:id="321"/>
      <w:bookmarkEnd w:id="322"/>
    </w:p>
    <w:p w14:paraId="494E12BB" w14:textId="77777777" w:rsidR="00293BDE" w:rsidRDefault="00000000">
      <w:pPr>
        <w:pStyle w:val="Heading2"/>
      </w:pPr>
      <w:bookmarkStart w:id="323" w:name="__RefHeading___Toc10882_3324765499"/>
      <w:bookmarkEnd w:id="323"/>
      <w:r>
        <w:t>Article 31: Accession and the Multilateral Expansion Path</w:t>
      </w:r>
    </w:p>
    <w:p w14:paraId="53317024" w14:textId="77777777" w:rsidR="00293BDE" w:rsidRDefault="00000000">
      <w:pPr>
        <w:pStyle w:val="Heading3"/>
      </w:pPr>
      <w:r>
        <w:t>31.1 The open path</w:t>
      </w:r>
    </w:p>
    <w:p w14:paraId="2AA7F79C" w14:textId="77777777" w:rsidR="00293BDE" w:rsidRDefault="00000000">
      <w:pPr>
        <w:pStyle w:val="FirstParagraph"/>
      </w:pPr>
      <w:bookmarkStart w:id="324" w:name="the-open-path"/>
      <w:r>
        <w:t>Accession stands open to the six named littoral states from signature, and to any other Persian Gulf littoral state thereafter by Council invitation through the elevated track. The architecture expects the path to fill: the system’s legitimacy grows with each accession, and each accession arrives to a running system rather than a negotiating table.</w:t>
      </w:r>
      <w:bookmarkEnd w:id="324"/>
    </w:p>
    <w:p w14:paraId="08D2F00B" w14:textId="77777777" w:rsidR="00293BDE" w:rsidRDefault="00000000">
      <w:pPr>
        <w:pStyle w:val="Heading3"/>
      </w:pPr>
      <w:r>
        <w:t>31.2 The accession sequence</w:t>
      </w:r>
    </w:p>
    <w:p w14:paraId="1F4F9DB4" w14:textId="77777777" w:rsidR="00293BDE" w:rsidRDefault="00000000">
      <w:pPr>
        <w:pStyle w:val="FirstParagraph"/>
      </w:pPr>
      <w:bookmarkStart w:id="325" w:name="the-accession-sequence"/>
      <w:r>
        <w:t>Accession executes in four steps: the acceding state signs the model instrument of Annex F; deposits it with the depositary; designates its Council member, liaison officers, and national service counterparts within thirty days; and assumes its seat at the next Council session. Accession carries no renegotiation: the acceding state joins the Compact as it stands, because a running system cannot reopen with every arrival and remain a system.</w:t>
      </w:r>
      <w:bookmarkEnd w:id="325"/>
    </w:p>
    <w:p w14:paraId="4C61D5B6" w14:textId="77777777" w:rsidR="00293BDE" w:rsidRDefault="00000000">
      <w:pPr>
        <w:pStyle w:val="Heading3"/>
      </w:pPr>
      <w:r>
        <w:t>31.3 Effect of accession</w:t>
      </w:r>
    </w:p>
    <w:p w14:paraId="6050805B" w14:textId="77777777" w:rsidR="00293BDE" w:rsidRDefault="00000000">
      <w:pPr>
        <w:pStyle w:val="FirstParagraph"/>
      </w:pPr>
      <w:bookmarkStart w:id="326" w:name="effect-of-accession"/>
      <w:r>
        <w:t>An acceding Littoral Party gains: a Council seat with vote on the ordinary and elevated tracks; full monitoring access; integration of its rescue and response resources into Annex J; eligibility for seconded positions within the parity-adjusted staffing table; and the option to contract services to the system (survey, response, data relay) at the published rates. It assumes: the Inviolable Principles Register, the budget share of Annex B where applicable, and the standing obligations of the Compact from its accession date forward.</w:t>
      </w:r>
      <w:bookmarkEnd w:id="326"/>
    </w:p>
    <w:p w14:paraId="0B5909B7" w14:textId="77777777" w:rsidR="00293BDE" w:rsidRDefault="00000000">
      <w:pPr>
        <w:pStyle w:val="Heading3"/>
      </w:pPr>
      <w:r>
        <w:t>31.4 The attachment module</w:t>
      </w:r>
    </w:p>
    <w:p w14:paraId="71D65F1C" w14:textId="77777777" w:rsidR="00293BDE" w:rsidRDefault="00000000">
      <w:pPr>
        <w:pStyle w:val="FirstParagraph"/>
      </w:pPr>
      <w:bookmarkStart w:id="327" w:name="the-attachment-module"/>
      <w:r>
        <w:t>Instruments related to the Compact (bilateral service contracts, data-sharing arrangements, port coordination protocols) attach through the attachment module of Annex F: standard-form attachments that reference the Compact without amending it. Attachments bind only their parties and never burden the Compact’s other participants.</w:t>
      </w:r>
      <w:bookmarkEnd w:id="327"/>
    </w:p>
    <w:p w14:paraId="480BA6C3" w14:textId="77777777" w:rsidR="00293BDE" w:rsidRDefault="00000000">
      <w:pPr>
        <w:pStyle w:val="Heading3"/>
      </w:pPr>
      <w:r>
        <w:t>31.5 Adherence by security liaisons</w:t>
      </w:r>
    </w:p>
    <w:p w14:paraId="02096EC5" w14:textId="77777777" w:rsidR="00293BDE" w:rsidRDefault="00000000">
      <w:pPr>
        <w:pStyle w:val="FirstParagraph"/>
      </w:pPr>
      <w:bookmarkStart w:id="328" w:name="adherence-by-security-liaisons"/>
      <w:r>
        <w:t>States with naval forces operating in the wider region adhere to the de-confliction geometry of Article 23 through the adherence instrument of Annex F: a short text accepting the notification formats, the standoff geometry, and the channel discipline. Adherence carries no other obligation and requires no endorsement of the Compact as such; it exists so that every hull in the water speaks the same de-confliction language.</w:t>
      </w:r>
      <w:bookmarkEnd w:id="328"/>
    </w:p>
    <w:p w14:paraId="3EEB2C92" w14:textId="77777777" w:rsidR="00293BDE" w:rsidRDefault="00000000">
      <w:pPr>
        <w:pStyle w:val="Heading3"/>
      </w:pPr>
      <w:r>
        <w:t>31.6 The expansion logic</w:t>
      </w:r>
    </w:p>
    <w:p w14:paraId="5F19AEF0" w14:textId="77777777" w:rsidR="00293BDE" w:rsidRDefault="00000000">
      <w:pPr>
        <w:pStyle w:val="FirstParagraph"/>
      </w:pPr>
      <w:bookmarkStart w:id="329" w:name="X8a53177c0b2c171d126c3a478b09886b1b0bed9"/>
      <w:bookmarkStart w:id="330" w:name="the-expansion-logic"/>
      <w:r>
        <w:t>The Compact grows by gravity, not pressure. Each accession makes the system more representative, the data more complete, the response network deeper, and the remaining outsiders’ calculations simpler. No Party recruits; the running system recruits. The annual State of the Strait report, read in every coastal capital, is the only argument the architecture makes for joining, and it makes it every year.</w:t>
      </w:r>
      <w:bookmarkEnd w:id="329"/>
      <w:bookmarkEnd w:id="330"/>
    </w:p>
    <w:p w14:paraId="77590C1E" w14:textId="77777777" w:rsidR="00293BDE" w:rsidRDefault="00000000">
      <w:pPr>
        <w:pStyle w:val="Heading2"/>
      </w:pPr>
      <w:bookmarkStart w:id="331" w:name="__RefHeading___Toc10884_3324765499"/>
      <w:bookmarkEnd w:id="331"/>
      <w:r>
        <w:t>Article 32: Amendment and Review</w:t>
      </w:r>
    </w:p>
    <w:p w14:paraId="2E32E06C" w14:textId="77777777" w:rsidR="00293BDE" w:rsidRDefault="00000000">
      <w:pPr>
        <w:pStyle w:val="Heading3"/>
      </w:pPr>
      <w:r>
        <w:t>32.1 Ordinary amendment</w:t>
      </w:r>
    </w:p>
    <w:p w14:paraId="70D85D15" w14:textId="77777777" w:rsidR="00293BDE" w:rsidRDefault="00000000">
      <w:pPr>
        <w:pStyle w:val="FirstParagraph"/>
      </w:pPr>
      <w:bookmarkStart w:id="332" w:name="ordinary-amendment"/>
      <w:r>
        <w:t>Annexes of a technical character (Annexes A, B, C, D, E, H, I, and J) amend through the elevated track: proposal, Technical and Standards Committee review, Council consensus, and publication with a ninety-day implementation window, except emergency safety amendments under Article 7.4.</w:t>
      </w:r>
      <w:bookmarkEnd w:id="332"/>
    </w:p>
    <w:p w14:paraId="3777E444" w14:textId="77777777" w:rsidR="00293BDE" w:rsidRDefault="00000000">
      <w:pPr>
        <w:pStyle w:val="Heading3"/>
      </w:pPr>
      <w:r>
        <w:t>32.2 Elevated amendment</w:t>
      </w:r>
    </w:p>
    <w:p w14:paraId="0D7CE570" w14:textId="77777777" w:rsidR="00293BDE" w:rsidRDefault="00000000">
      <w:pPr>
        <w:pStyle w:val="FirstParagraph"/>
      </w:pPr>
      <w:bookmarkStart w:id="333" w:name="elevated-amendment"/>
      <w:r>
        <w:t>The Articles, the Inviolable Principles Register, and the Fund Charter amend by consensus of all voting members, with the added requirement, for any measure touching the protected core of Article 28, of unanimity of all Parties including every acceding Littoral Party. Amendment proposals circulate not fewer than sixty days before decision. The Perimeter Test applies to every amendment before it enters any track.</w:t>
      </w:r>
      <w:bookmarkEnd w:id="333"/>
    </w:p>
    <w:p w14:paraId="0B7AC046" w14:textId="77777777" w:rsidR="00293BDE" w:rsidRDefault="00000000">
      <w:pPr>
        <w:pStyle w:val="Heading3"/>
      </w:pPr>
      <w:r>
        <w:t>32.3 The symmetry review</w:t>
      </w:r>
    </w:p>
    <w:p w14:paraId="7F2EF4F3" w14:textId="77777777" w:rsidR="00293BDE" w:rsidRDefault="00000000">
      <w:pPr>
        <w:pStyle w:val="FirstParagraph"/>
      </w:pPr>
      <w:bookmarkStart w:id="334" w:name="the-symmetry-review"/>
      <w:r>
        <w:t>Every amendment passes the symmetry review: the Technical and Standards Committee certifies in writing that the amendment preserves the equal dignity, parity, and functional balance of the Coastal Two and imposes no asymmetric burden on any Party. An amendment failing the symmetry review returns to its sponsor with the certification’s reasoning; it never reaches the Council floor.</w:t>
      </w:r>
      <w:bookmarkEnd w:id="334"/>
    </w:p>
    <w:p w14:paraId="4777FEF8" w14:textId="77777777" w:rsidR="00293BDE" w:rsidRDefault="00000000">
      <w:pPr>
        <w:pStyle w:val="Heading3"/>
      </w:pPr>
      <w:r>
        <w:t>32.4 The annual review conference</w:t>
      </w:r>
    </w:p>
    <w:p w14:paraId="617D5120" w14:textId="77777777" w:rsidR="00293BDE" w:rsidRDefault="00000000">
      <w:pPr>
        <w:pStyle w:val="FirstParagraph"/>
      </w:pPr>
      <w:bookmarkStart w:id="335" w:name="the-annual-review-conference"/>
      <w:r>
        <w:t>The Council convenes the annual review conference with all participation layers: the State of the Strait report, the integrity of the safeguards, the budget framework, the insurance normalization trajectory, and the Lessons Learned register. The conference adopts a one-page communique of directions for the coming year. The conference adjusts the system; it never puts the system’s existence on the agenda, because the Standing Continuity Guarantee removes that question permanently.</w:t>
      </w:r>
      <w:bookmarkEnd w:id="335"/>
    </w:p>
    <w:p w14:paraId="1F9E1B15" w14:textId="77777777" w:rsidR="00293BDE" w:rsidRDefault="00000000">
      <w:pPr>
        <w:pStyle w:val="Heading3"/>
      </w:pPr>
      <w:r>
        <w:t>32.5 The living architecture rule</w:t>
      </w:r>
    </w:p>
    <w:p w14:paraId="0F81C208" w14:textId="77777777" w:rsidR="00293BDE" w:rsidRDefault="00000000">
      <w:pPr>
        <w:pStyle w:val="FirstParagraph"/>
      </w:pPr>
      <w:bookmarkStart w:id="336" w:name="article-32-amendment-and-review"/>
      <w:bookmarkStart w:id="337" w:name="the-living-architecture-rule"/>
      <w:r>
        <w:t>Amendment keeps the Compact current without keeping it fragile. Technical annexes evolve at expert speed; the Articles evolve at consensus speed; the protected core barely evolves at all. The rule allocates change to the layer that absorbs it best, so the system learns continuously while its promises stay still.</w:t>
      </w:r>
      <w:bookmarkEnd w:id="336"/>
      <w:bookmarkEnd w:id="337"/>
    </w:p>
    <w:p w14:paraId="7FFD78BB" w14:textId="77777777" w:rsidR="00293BDE" w:rsidRDefault="00000000">
      <w:pPr>
        <w:pStyle w:val="Heading2"/>
      </w:pPr>
      <w:bookmarkStart w:id="338" w:name="__RefHeading___Toc10886_3324765499"/>
      <w:bookmarkEnd w:id="338"/>
      <w:r>
        <w:t>Article 33: Transition, Succession, Withdrawal, and Reconstitution</w:t>
      </w:r>
    </w:p>
    <w:p w14:paraId="3A0D973E" w14:textId="77777777" w:rsidR="00293BDE" w:rsidRDefault="00000000">
      <w:pPr>
        <w:pStyle w:val="Heading3"/>
      </w:pPr>
      <w:r>
        <w:t>33.1 Transition</w:t>
      </w:r>
    </w:p>
    <w:p w14:paraId="3670025C" w14:textId="77777777" w:rsidR="00293BDE" w:rsidRDefault="00000000">
      <w:pPr>
        <w:pStyle w:val="FirstParagraph"/>
      </w:pPr>
      <w:bookmarkStart w:id="339" w:name="transition"/>
      <w:r>
        <w:t>From signature to Full Activation, the transition provisions of Article 30 and Annex E govern. On Full Activation, the temporary wartime instruments that this Compact supersedes (the wartime routing notices, the interim liaison practices, and the provisional arrangements of the crisis period) sunset by their own terms, and the depositary records the sunset.</w:t>
      </w:r>
      <w:bookmarkEnd w:id="339"/>
    </w:p>
    <w:p w14:paraId="02175F4A" w14:textId="77777777" w:rsidR="00293BDE" w:rsidRDefault="00000000">
      <w:pPr>
        <w:pStyle w:val="Heading3"/>
      </w:pPr>
      <w:r>
        <w:t>33.2 Succession</w:t>
      </w:r>
    </w:p>
    <w:p w14:paraId="55AF4185" w14:textId="77777777" w:rsidR="00293BDE" w:rsidRDefault="00000000">
      <w:pPr>
        <w:pStyle w:val="FirstParagraph"/>
      </w:pPr>
      <w:bookmarkStart w:id="340" w:name="succession"/>
      <w:r>
        <w:t>The Compact binds successor governments and successor administrations of every Party without interruption. A change of government, leadership, or constitutional arrangement in any Party changes nothing in the Compact’s operation. State continuity carries the instrument; the Standing Continuity Guarantee codifies that continuity as domestic political insurance for every Party.</w:t>
      </w:r>
      <w:bookmarkEnd w:id="340"/>
    </w:p>
    <w:p w14:paraId="3F716888" w14:textId="77777777" w:rsidR="00293BDE" w:rsidRDefault="00000000">
      <w:pPr>
        <w:pStyle w:val="Heading3"/>
      </w:pPr>
      <w:r>
        <w:t>33.3 Succession of prior structures</w:t>
      </w:r>
    </w:p>
    <w:p w14:paraId="7CC3F262" w14:textId="77777777" w:rsidR="00293BDE" w:rsidRDefault="00000000">
      <w:pPr>
        <w:pStyle w:val="FirstParagraph"/>
      </w:pPr>
      <w:bookmarkStart w:id="341" w:name="succession-of-prior-structures"/>
      <w:r>
        <w:t>The institutions of the negotiation period (the joint working group of the coastal states, the facilitators’ channels, the guarantors’ monitoring arrangements) fold into the Compact’s organs at Full Activation: their records pass to the registry, their channels pass to the de-confliction architecture, and their people pass into the staffing table wherever functions continue. Nothing learned in the crisis is lost to the peace.</w:t>
      </w:r>
      <w:bookmarkEnd w:id="341"/>
    </w:p>
    <w:p w14:paraId="043696A9" w14:textId="77777777" w:rsidR="00293BDE" w:rsidRDefault="00000000">
      <w:pPr>
        <w:pStyle w:val="Heading3"/>
      </w:pPr>
      <w:r>
        <w:t>33.4 Withdrawal</w:t>
      </w:r>
    </w:p>
    <w:p w14:paraId="3D3E8B04" w14:textId="77777777" w:rsidR="00293BDE" w:rsidRDefault="00000000">
      <w:pPr>
        <w:pStyle w:val="FirstParagraph"/>
      </w:pPr>
      <w:bookmarkStart w:id="342" w:name="withdrawal"/>
      <w:r>
        <w:t>A Party withdraws only by written notice to the depositary, effective twelve months after deposit. During the notice period: the withdrawing Party’s obligations continue in full; the Essential Functions Protocol of Section 33.6 prepares; and the Mediator of Record convenes the Parties once to hear the withdrawing Party’s statement. Withdrawal never interrupts passage, and it never interrupts the system’s operation for the remaining Parties. The notice period exists so that departure, if it ever comes, arrives as administration rather than crisis.</w:t>
      </w:r>
      <w:bookmarkEnd w:id="342"/>
    </w:p>
    <w:p w14:paraId="2367E615" w14:textId="77777777" w:rsidR="00293BDE" w:rsidRDefault="00000000">
      <w:pPr>
        <w:pStyle w:val="Heading3"/>
      </w:pPr>
      <w:r>
        <w:t>33.5 Reconstitution</w:t>
      </w:r>
    </w:p>
    <w:p w14:paraId="63F26DFF" w14:textId="77777777" w:rsidR="00293BDE" w:rsidRDefault="00000000">
      <w:pPr>
        <w:pStyle w:val="FirstParagraph"/>
      </w:pPr>
      <w:bookmarkStart w:id="343" w:name="reconstitution"/>
      <w:r>
        <w:t>Where a Party withdraws, the remaining Parties reconstitute the affected functions within the notice period: corridor functions pass to joint administration under the Dual-Concurrence Rule with the Neutral Administrator’s operational support; seat functions redistribute within the staffing table; and the budget re-balances through the ordinary track. The Compact survives any departure because its functions have definitions, not owners.</w:t>
      </w:r>
      <w:bookmarkEnd w:id="343"/>
    </w:p>
    <w:p w14:paraId="6672BC95" w14:textId="77777777" w:rsidR="00293BDE" w:rsidRDefault="00000000">
      <w:pPr>
        <w:pStyle w:val="Heading3"/>
      </w:pPr>
      <w:r>
        <w:t>33.6 The Essential Functions Protocol</w:t>
      </w:r>
    </w:p>
    <w:p w14:paraId="5AB97E03" w14:textId="77777777" w:rsidR="00293BDE" w:rsidRDefault="00000000">
      <w:pPr>
        <w:pStyle w:val="FirstParagraph"/>
      </w:pPr>
      <w:bookmarkStart w:id="344" w:name="the-essential-functions-protocol"/>
      <w:r>
        <w:t>The Essential Functions Protocol lists, in Annex E, the functions that never stop under any circumstances: passage, the Bulletin, distress response, the hotline, verification, and the escrow’s mechanical payments. In any transition, withdrawal, reconstitution, or crisis, the Protocol’s functions continue under the standing continuity-of-operations plan, executed by whoever holds the function at that hour, under the Neutral Administrator’s coordination. The Protocol is the system’s answer to the worst case, written in advance so the worst case never writes itself.</w:t>
      </w:r>
      <w:bookmarkEnd w:id="344"/>
    </w:p>
    <w:p w14:paraId="192429C9" w14:textId="77777777" w:rsidR="00293BDE" w:rsidRDefault="00000000">
      <w:pPr>
        <w:pStyle w:val="Heading3"/>
      </w:pPr>
      <w:r>
        <w:t>33.7 Parallel sovereign tracks</w:t>
      </w:r>
    </w:p>
    <w:p w14:paraId="1B63BEB1" w14:textId="77777777" w:rsidR="00293BDE" w:rsidRDefault="00000000">
      <w:pPr>
        <w:pStyle w:val="FirstParagraph"/>
      </w:pPr>
      <w:bookmarkStart w:id="345" w:name="parallel-sovereign-tracks"/>
      <w:r>
        <w:t>This Compact governs the waterway’s civilian architecture. The nuclear track, the sanctions track, the missile track, the regional security track, and every other sovereign question proceed on their own instruments and calendars. Success or failure on any parallel track neither suspends nor conditions this Compact; this Compact neither suspends nor conditions any parallel track. The separation is mutual, permanent, and registered with the depositary at signature, so that no future crisis inherits the power to close the Strait by contagion.</w:t>
      </w:r>
      <w:bookmarkEnd w:id="345"/>
    </w:p>
    <w:p w14:paraId="5C974864" w14:textId="77777777" w:rsidR="00293BDE" w:rsidRDefault="00000000">
      <w:pPr>
        <w:pStyle w:val="Heading3"/>
      </w:pPr>
      <w:r>
        <w:t>33.8 Re-entry</w:t>
      </w:r>
    </w:p>
    <w:p w14:paraId="32C11818" w14:textId="77777777" w:rsidR="00293BDE" w:rsidRDefault="00000000">
      <w:pPr>
        <w:pStyle w:val="FirstParagraph"/>
      </w:pPr>
      <w:bookmarkStart w:id="346" w:name="Xaa277766107463a4d3c1674e83be1ad1874edfe"/>
      <w:bookmarkStart w:id="347" w:name="re-entry"/>
      <w:r>
        <w:t>A Party that has withdrawn re-enters by the accession sequence of Article 31.2, joining the Compact as it stands at re-entry. The registry preserves the returning Party’s historical record; banked statuses earned before withdrawal stand as recorded history but carry no entitlement until the returning Party re-earns current standing through ordinary operation. The door out is deliberate; the door back is open; and the system never notices the difference on the water.</w:t>
      </w:r>
      <w:bookmarkEnd w:id="346"/>
      <w:bookmarkEnd w:id="347"/>
    </w:p>
    <w:p w14:paraId="34C61C8C" w14:textId="77777777" w:rsidR="00293BDE" w:rsidRDefault="00000000">
      <w:pPr>
        <w:pStyle w:val="Heading2"/>
      </w:pPr>
      <w:bookmarkStart w:id="348" w:name="__RefHeading___Toc10888_3324765499"/>
      <w:bookmarkEnd w:id="348"/>
      <w:r>
        <w:t>Article 34: Final Provisions</w:t>
      </w:r>
    </w:p>
    <w:p w14:paraId="2F41F9CE" w14:textId="77777777" w:rsidR="00293BDE" w:rsidRDefault="00000000">
      <w:pPr>
        <w:pStyle w:val="Heading3"/>
      </w:pPr>
      <w:r>
        <w:t>34.1 Entry into force</w:t>
      </w:r>
    </w:p>
    <w:p w14:paraId="1119309A" w14:textId="77777777" w:rsidR="00293BDE" w:rsidRDefault="00000000">
      <w:pPr>
        <w:pStyle w:val="FirstParagraph"/>
      </w:pPr>
      <w:bookmarkStart w:id="349" w:name="entry-into-force"/>
      <w:r>
        <w:t>This Compact enters into force upon signature by both Coastal Parties. For each acceding Littoral Party, it enters into force upon deposit of its accession instrument. For Endorsing Stakeholders, endorsement takes effect upon deposit of the endorsement instrument. Entry into force requires no ratification calendar beyond each Party’s own procedures, which the Parties complete on their own timelines without affecting the Compact’s operation among those already bound.</w:t>
      </w:r>
      <w:bookmarkEnd w:id="349"/>
    </w:p>
    <w:p w14:paraId="0E6A327B" w14:textId="77777777" w:rsidR="00293BDE" w:rsidRDefault="00000000">
      <w:pPr>
        <w:pStyle w:val="Heading3"/>
      </w:pPr>
      <w:r>
        <w:t>34.2 Depositary</w:t>
      </w:r>
    </w:p>
    <w:p w14:paraId="1B1F4472" w14:textId="77777777" w:rsidR="00293BDE" w:rsidRDefault="00000000">
      <w:pPr>
        <w:pStyle w:val="FirstParagraph"/>
      </w:pPr>
      <w:bookmarkStart w:id="350" w:name="depositary"/>
      <w:r>
        <w:t>The Sultanate of Oman, Ministry of Foreign Affairs, serves as depositary: it holds the original texts, registers instruments, maintains the official record of parties and statuses, transmits certified copies, and performs the notification functions of this Compact. The depositary’s functions are administrative and carry no substantive authority.</w:t>
      </w:r>
      <w:bookmarkEnd w:id="350"/>
    </w:p>
    <w:p w14:paraId="19917FE4" w14:textId="77777777" w:rsidR="00293BDE" w:rsidRDefault="00000000">
      <w:pPr>
        <w:pStyle w:val="Heading3"/>
      </w:pPr>
      <w:r>
        <w:t>34.3 Authentic texts</w:t>
      </w:r>
    </w:p>
    <w:p w14:paraId="7DE40353" w14:textId="77777777" w:rsidR="00293BDE" w:rsidRDefault="00000000">
      <w:pPr>
        <w:pStyle w:val="FirstParagraph"/>
      </w:pPr>
      <w:bookmarkStart w:id="351" w:name="authentic-texts"/>
      <w:r>
        <w:t>The Persian, Arabic, and English texts are equally authoritative. Interpretation disputes resolve through the depositary’s reconciliation procedure: a joint linguistic panel of the Coastal Two with the Neutral Administrator’s delegate issues a reconciliation note within thirty days, and the note binds interpretation thereafter.</w:t>
      </w:r>
      <w:bookmarkEnd w:id="351"/>
    </w:p>
    <w:p w14:paraId="2F607B84" w14:textId="77777777" w:rsidR="00293BDE" w:rsidRDefault="00000000">
      <w:pPr>
        <w:pStyle w:val="Heading3"/>
      </w:pPr>
      <w:r>
        <w:t>34.4 Registration</w:t>
      </w:r>
    </w:p>
    <w:p w14:paraId="236F543E" w14:textId="77777777" w:rsidR="00293BDE" w:rsidRDefault="00000000">
      <w:pPr>
        <w:pStyle w:val="FirstParagraph"/>
      </w:pPr>
      <w:bookmarkStart w:id="352" w:name="registration"/>
      <w:r>
        <w:t>The depositary registers this Compact with the Secretariat of the United Nations under Article 102 of the Charter, lodges the corridor geometry with the IMO and the IHO, and transmits the instrument to the Gulf Cooperation Council Secretariat and the European Union’s maritime safety structures for their records.</w:t>
      </w:r>
      <w:bookmarkEnd w:id="352"/>
    </w:p>
    <w:p w14:paraId="00FF8779" w14:textId="77777777" w:rsidR="00293BDE" w:rsidRDefault="00000000">
      <w:pPr>
        <w:pStyle w:val="Heading3"/>
      </w:pPr>
      <w:r>
        <w:t>34.5 The Implementation Manual</w:t>
      </w:r>
    </w:p>
    <w:p w14:paraId="65FCE23B" w14:textId="77777777" w:rsidR="00293BDE" w:rsidRDefault="00000000">
      <w:pPr>
        <w:pStyle w:val="FirstParagraph"/>
      </w:pPr>
      <w:bookmarkStart w:id="353" w:name="the-implementation-manual"/>
      <w:r>
        <w:t>The Authority maintains the Implementation Manual: the consolidated operating procedures, forms, checklists, and one-page cards of the Annexes, kept current by the Technical and Standards Committee. The Manual carries operational authority equal to the Annexes it consolidates, and every amendment to an Annex propagates to the Manual within thirty days.</w:t>
      </w:r>
      <w:bookmarkEnd w:id="353"/>
    </w:p>
    <w:p w14:paraId="317FD0E5" w14:textId="77777777" w:rsidR="00293BDE" w:rsidRDefault="00000000">
      <w:pPr>
        <w:pStyle w:val="Heading3"/>
      </w:pPr>
      <w:r>
        <w:t>34.6 Training and certification</w:t>
      </w:r>
    </w:p>
    <w:p w14:paraId="0F7DAFDF" w14:textId="77777777" w:rsidR="00293BDE" w:rsidRDefault="00000000">
      <w:pPr>
        <w:pStyle w:val="FirstParagraph"/>
      </w:pPr>
      <w:bookmarkStart w:id="354" w:name="training-and-certification"/>
      <w:r>
        <w:t>The Authority operates the training and certification program of Annex M: watch officer certification, verification officer certification, survey team certification, and the annual refresher cycle. Certification is personal, portable between the two seats, and valid for three years. The program trains together the people who train to trust each other on the worst day, because shared training builds the trust that shared text cannot.</w:t>
      </w:r>
      <w:bookmarkEnd w:id="354"/>
    </w:p>
    <w:p w14:paraId="63D0A6D9" w14:textId="77777777" w:rsidR="00293BDE" w:rsidRDefault="00000000">
      <w:pPr>
        <w:pStyle w:val="Heading3"/>
      </w:pPr>
      <w:r>
        <w:t>34.7 Technical assistance pool</w:t>
      </w:r>
    </w:p>
    <w:p w14:paraId="569DAC72" w14:textId="77777777" w:rsidR="00293BDE" w:rsidRDefault="00000000">
      <w:pPr>
        <w:pStyle w:val="FirstParagraph"/>
      </w:pPr>
      <w:bookmarkStart w:id="355" w:name="technical-assistance-pool"/>
      <w:r>
        <w:t>The technical interfaces (IMO, IHO, UNMAS) and the Neutral Administrator maintain the technical assistance pool: standing expert capacity available to any Party for implementing this Compact, funded from the budget’s assistance line. The pool exists so that capability differences never become compliance differences.</w:t>
      </w:r>
      <w:bookmarkEnd w:id="355"/>
    </w:p>
    <w:p w14:paraId="79ED748A" w14:textId="77777777" w:rsidR="00293BDE" w:rsidRDefault="00000000">
      <w:pPr>
        <w:pStyle w:val="Heading3"/>
      </w:pPr>
      <w:r>
        <w:t>34.8 Diplomatic notification protocol</w:t>
      </w:r>
    </w:p>
    <w:p w14:paraId="259CDE40" w14:textId="77777777" w:rsidR="00293BDE" w:rsidRDefault="00000000">
      <w:pPr>
        <w:pStyle w:val="FirstParagraph"/>
      </w:pPr>
      <w:bookmarkStart w:id="356" w:name="diplomatic-notification-protocol"/>
      <w:r>
        <w:t>Notifications under this Compact move through the depositary, through the Facilitators where direct channels do not exist, and through the registry where the notification is operational. Every notification format stands in Annex D; every notification logs on dispatch and on receipt. A notification’s timing runs from registry logging, never from political acknowledgment.</w:t>
      </w:r>
      <w:bookmarkEnd w:id="356"/>
    </w:p>
    <w:p w14:paraId="0E070A81" w14:textId="77777777" w:rsidR="00293BDE" w:rsidRDefault="00000000">
      <w:pPr>
        <w:pStyle w:val="Heading3"/>
      </w:pPr>
      <w:r>
        <w:t>34.9 The Lessons Learned process</w:t>
      </w:r>
    </w:p>
    <w:p w14:paraId="3F2AB4C1" w14:textId="77777777" w:rsidR="00293BDE" w:rsidRDefault="00000000">
      <w:pPr>
        <w:pStyle w:val="FirstParagraph"/>
      </w:pPr>
      <w:bookmarkStart w:id="357" w:name="the-lessons-learned-process"/>
      <w:r>
        <w:t>Every incident review, every audit, every Activation Review, and every annual conference feeds the Lessons Learned register. Each entry states the event, the finding, the change adopted, and the verification that the change works. The register publishes annually in full. The process makes the Compact a learning system: older every year, and better every year, by design.</w:t>
      </w:r>
      <w:bookmarkEnd w:id="357"/>
    </w:p>
    <w:p w14:paraId="64652B4D" w14:textId="77777777" w:rsidR="00293BDE" w:rsidRDefault="00000000">
      <w:pPr>
        <w:pStyle w:val="Heading3"/>
      </w:pPr>
      <w:r>
        <w:t>34.10 The guardian’s charge</w:t>
      </w:r>
    </w:p>
    <w:p w14:paraId="183B04FD" w14:textId="77777777" w:rsidR="00293BDE" w:rsidRDefault="00000000">
      <w:pPr>
        <w:pStyle w:val="FirstParagraph"/>
      </w:pPr>
      <w:r>
        <w:t>This Compact asks every reader who holds a role in it, from the co-chairs to the newest watch officer, to hold one charge above all: the waterway stays open, safe, and boring. Drama is failure; routine is success. The Parties built this architecture so that the world’s most consequential strait becomes, finally and permanently, the world’s most reliably uneventful one.</w:t>
      </w:r>
    </w:p>
    <w:bookmarkStart w:id="358" w:name="X5630dee1c9d98f9fa4b22ca8053b6316c2c8f3a"/>
    <w:bookmarkStart w:id="359" w:name="article-34-final-provisions"/>
    <w:bookmarkStart w:id="360" w:name="the-guardians-charge"/>
    <w:p w14:paraId="2B3B137C" w14:textId="2B9A1750" w:rsidR="00293BDE" w:rsidRDefault="00622008">
      <w:r>
        <w:rPr>
          <w:noProof/>
        </w:rPr>
      </w:r>
      <w:r>
        <w:pict w14:anchorId="61FAD366">
          <v:rect id="Rectangle 14" o:spid="_x0000_s1041"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358"/>
      <w:bookmarkEnd w:id="359"/>
      <w:bookmarkEnd w:id="360"/>
    </w:p>
    <w:p w14:paraId="14675105" w14:textId="77777777" w:rsidR="00293BDE" w:rsidRDefault="00000000">
      <w:pPr>
        <w:pStyle w:val="Heading1"/>
      </w:pPr>
      <w:bookmarkStart w:id="361" w:name="__RefHeading___Toc10890_3324765499"/>
      <w:bookmarkEnd w:id="361"/>
      <w:r>
        <w:t>Signature Block</w:t>
      </w:r>
    </w:p>
    <w:p w14:paraId="5A9BDF8B" w14:textId="77777777" w:rsidR="00293BDE" w:rsidRDefault="00000000">
      <w:pPr>
        <w:pStyle w:val="FirstParagraph"/>
      </w:pPr>
      <w:r>
        <w:t>Done at Muscat, in three original texts in the Persian, Arabic, and English languages, each equally authoritative.</w:t>
      </w:r>
    </w:p>
    <w:p w14:paraId="28DBB037" w14:textId="77777777" w:rsidR="00293BDE" w:rsidRDefault="00000000">
      <w:pPr>
        <w:pStyle w:val="BodyText"/>
      </w:pPr>
      <w:r>
        <w:t>For the Islamic Republic of Iran: ______________________________</w:t>
      </w:r>
    </w:p>
    <w:p w14:paraId="0F03E3DB" w14:textId="77777777" w:rsidR="00293BDE" w:rsidRDefault="00000000">
      <w:pPr>
        <w:pStyle w:val="BodyText"/>
      </w:pPr>
      <w:r>
        <w:t>The President of the Islamic Republic of Iran</w:t>
      </w:r>
    </w:p>
    <w:p w14:paraId="2349130A" w14:textId="77777777" w:rsidR="00293BDE" w:rsidRDefault="00000000">
      <w:pPr>
        <w:pStyle w:val="BodyText"/>
      </w:pPr>
      <w:r>
        <w:t>Countersigned: The Minister of Foreign Affairs of the Islamic Republic of Iran</w:t>
      </w:r>
    </w:p>
    <w:p w14:paraId="456C2F3D" w14:textId="77777777" w:rsidR="00293BDE" w:rsidRDefault="00000000">
      <w:pPr>
        <w:pStyle w:val="BodyText"/>
      </w:pPr>
      <w:r>
        <w:t>Date: ______________</w:t>
      </w:r>
    </w:p>
    <w:p w14:paraId="625D115F" w14:textId="77777777" w:rsidR="00293BDE" w:rsidRDefault="00000000">
      <w:pPr>
        <w:pStyle w:val="BodyText"/>
      </w:pPr>
      <w:r>
        <w:t>For the Sultanate of Oman: ______________________________</w:t>
      </w:r>
    </w:p>
    <w:p w14:paraId="27705E07" w14:textId="77777777" w:rsidR="00293BDE" w:rsidRDefault="00000000">
      <w:pPr>
        <w:pStyle w:val="BodyText"/>
      </w:pPr>
      <w:r>
        <w:t>The Deputy Prime Minister for International Relations of the Sultanate of Oman</w:t>
      </w:r>
    </w:p>
    <w:p w14:paraId="1CD3F754" w14:textId="77777777" w:rsidR="00293BDE" w:rsidRDefault="00000000">
      <w:pPr>
        <w:pStyle w:val="BodyText"/>
      </w:pPr>
      <w:r>
        <w:t>Countersigned: The Minister of Foreign Affairs of the Sultanate of Oman</w:t>
      </w:r>
    </w:p>
    <w:p w14:paraId="0AC4219E" w14:textId="77777777" w:rsidR="00293BDE" w:rsidRDefault="00000000">
      <w:pPr>
        <w:pStyle w:val="BodyText"/>
      </w:pPr>
      <w:r>
        <w:t>Date: ______________</w:t>
      </w:r>
    </w:p>
    <w:p w14:paraId="214A648C" w14:textId="77777777" w:rsidR="00293BDE" w:rsidRDefault="00000000">
      <w:pPr>
        <w:pStyle w:val="BodyText"/>
      </w:pPr>
      <w:r>
        <w:t>Endorsed, as Endorsing Stakeholder, for the United States of America: ______________________________</w:t>
      </w:r>
    </w:p>
    <w:p w14:paraId="3E00008A" w14:textId="77777777" w:rsidR="00293BDE" w:rsidRDefault="00000000">
      <w:pPr>
        <w:pStyle w:val="BodyText"/>
      </w:pPr>
      <w:r>
        <w:t>The Secretary of State of the United States of America</w:t>
      </w:r>
    </w:p>
    <w:p w14:paraId="21217205" w14:textId="77777777" w:rsidR="00293BDE" w:rsidRDefault="00000000">
      <w:pPr>
        <w:pStyle w:val="BodyText"/>
      </w:pPr>
      <w:r>
        <w:t>Date: ______________</w:t>
      </w:r>
    </w:p>
    <w:p w14:paraId="1B1FF306" w14:textId="77777777" w:rsidR="00293BDE" w:rsidRDefault="00000000">
      <w:pPr>
        <w:pStyle w:val="BodyText"/>
      </w:pPr>
      <w:r>
        <w:t>Witnessed and deposited with the Mediator of Record:</w:t>
      </w:r>
    </w:p>
    <w:p w14:paraId="33BAF26A" w14:textId="77777777" w:rsidR="00293BDE" w:rsidRDefault="00000000">
      <w:pPr>
        <w:pStyle w:val="BodyText"/>
      </w:pPr>
      <w:r>
        <w:t>For the Swiss Confederation, as Neutral Administrator: ______________________________</w:t>
      </w:r>
    </w:p>
    <w:p w14:paraId="25F2A00E" w14:textId="77777777" w:rsidR="00293BDE" w:rsidRDefault="00000000">
      <w:pPr>
        <w:pStyle w:val="BodyText"/>
      </w:pPr>
      <w:r>
        <w:t>For the State of Qatar, as Facilitator: ______________________________</w:t>
      </w:r>
    </w:p>
    <w:p w14:paraId="67F300DD" w14:textId="77777777" w:rsidR="00293BDE" w:rsidRDefault="00000000">
      <w:pPr>
        <w:pStyle w:val="BodyText"/>
      </w:pPr>
      <w:r>
        <w:t>For the Islamic Republic of Pakistan, as Facilitator: ______________________________</w:t>
      </w:r>
    </w:p>
    <w:p w14:paraId="70751EEF" w14:textId="77777777" w:rsidR="00293BDE" w:rsidRDefault="00000000">
      <w:pPr>
        <w:pStyle w:val="BodyText"/>
      </w:pPr>
      <w:r>
        <w:t>Date: ______________</w:t>
      </w:r>
    </w:p>
    <w:bookmarkStart w:id="362" w:name="signature-block"/>
    <w:p w14:paraId="5830B24E" w14:textId="4415AB15" w:rsidR="00293BDE" w:rsidRDefault="00622008">
      <w:r>
        <w:rPr>
          <w:noProof/>
        </w:rPr>
      </w:r>
      <w:r>
        <w:pict w14:anchorId="46815C98">
          <v:rect id="Rectangle 15" o:spid="_x0000_s1040"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362"/>
    </w:p>
    <w:p w14:paraId="5F35415C" w14:textId="77777777" w:rsidR="00293BDE" w:rsidRDefault="00000000">
      <w:pPr>
        <w:pStyle w:val="Heading1"/>
      </w:pPr>
      <w:bookmarkStart w:id="363" w:name="__RefHeading___Toc10892_3324765499"/>
      <w:bookmarkEnd w:id="363"/>
      <w:r>
        <w:t>ANNEX A: PASSAGE COORDINATES AND GEOMETRY REGISTRY</w:t>
      </w:r>
    </w:p>
    <w:p w14:paraId="19195D43" w14:textId="77777777" w:rsidR="00293BDE" w:rsidRDefault="00000000">
      <w:pPr>
        <w:pStyle w:val="FirstParagraph"/>
      </w:pPr>
      <w:r>
        <w:rPr>
          <w:b/>
          <w:bCs/>
        </w:rPr>
        <w:t>Status:</w:t>
      </w:r>
      <w:r>
        <w:t xml:space="preserve"> Provisional coordinates in force from signature. The joint survey of Article 9 verifies and refines all coordinates during the Assurance Phase; final coordinates register with the IMO and the IHO at Full Activation and replace this Annex by the elevated amendment track without reopening any other provision. All positions reference WGS-84. All distances in nautical miles (NM).</w:t>
      </w:r>
    </w:p>
    <w:p w14:paraId="7D1B89F6" w14:textId="77777777" w:rsidR="00293BDE" w:rsidRDefault="00000000">
      <w:pPr>
        <w:pStyle w:val="Heading2"/>
      </w:pPr>
      <w:bookmarkStart w:id="364" w:name="__RefHeading___Toc10894_3324765499"/>
      <w:bookmarkEnd w:id="364"/>
      <w:r>
        <w:t>A.1 Governance Area boundary</w:t>
      </w:r>
    </w:p>
    <w:p w14:paraId="24888C2B" w14:textId="77777777" w:rsidR="00293BDE" w:rsidRDefault="00000000">
      <w:pPr>
        <w:pStyle w:val="FirstParagraph"/>
      </w:pPr>
      <w:r>
        <w:t>The Governance Area comprises the waters enclosed by the following polyline, joined in sequence and closed from A1-10 to A1-1:</w:t>
      </w:r>
    </w:p>
    <w:tbl>
      <w:tblPr>
        <w:tblStyle w:val="Table"/>
        <w:tblW w:w="7920" w:type="dxa"/>
        <w:tblInd w:w="0" w:type="dxa"/>
        <w:tblLayout w:type="fixed"/>
        <w:tblLook w:val="0020" w:firstRow="1" w:lastRow="0" w:firstColumn="0" w:lastColumn="0" w:noHBand="0" w:noVBand="0"/>
      </w:tblPr>
      <w:tblGrid>
        <w:gridCol w:w="2640"/>
        <w:gridCol w:w="2640"/>
        <w:gridCol w:w="2640"/>
      </w:tblGrid>
      <w:tr w:rsidR="00293BDE" w14:paraId="7AAE3A8F"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25761362" w14:textId="77777777" w:rsidR="00293BDE" w:rsidRDefault="00000000">
            <w:pPr>
              <w:pStyle w:val="Compact"/>
            </w:pPr>
            <w:r>
              <w:t>Point</w:t>
            </w:r>
          </w:p>
        </w:tc>
        <w:tc>
          <w:tcPr>
            <w:tcW w:w="2640" w:type="dxa"/>
            <w:tcBorders>
              <w:bottom w:val="single" w:sz="6" w:space="0" w:color="000000"/>
            </w:tcBorders>
          </w:tcPr>
          <w:p w14:paraId="3DD24E33" w14:textId="77777777" w:rsidR="00293BDE" w:rsidRDefault="00000000">
            <w:pPr>
              <w:pStyle w:val="Compact"/>
            </w:pPr>
            <w:r>
              <w:t>Latitude</w:t>
            </w:r>
          </w:p>
        </w:tc>
        <w:tc>
          <w:tcPr>
            <w:tcW w:w="2640" w:type="dxa"/>
            <w:tcBorders>
              <w:bottom w:val="single" w:sz="6" w:space="0" w:color="000000"/>
            </w:tcBorders>
          </w:tcPr>
          <w:p w14:paraId="480ECBD3" w14:textId="77777777" w:rsidR="00293BDE" w:rsidRDefault="00000000">
            <w:pPr>
              <w:pStyle w:val="Compact"/>
            </w:pPr>
            <w:r>
              <w:t>Longitude</w:t>
            </w:r>
          </w:p>
        </w:tc>
      </w:tr>
      <w:tr w:rsidR="00293BDE" w14:paraId="5DAC3695" w14:textId="77777777" w:rsidTr="00293BDE">
        <w:tc>
          <w:tcPr>
            <w:tcW w:w="2640" w:type="dxa"/>
          </w:tcPr>
          <w:p w14:paraId="09098926" w14:textId="77777777" w:rsidR="00293BDE" w:rsidRDefault="00000000">
            <w:pPr>
              <w:pStyle w:val="Compact"/>
            </w:pPr>
            <w:r>
              <w:t>A1-1</w:t>
            </w:r>
          </w:p>
        </w:tc>
        <w:tc>
          <w:tcPr>
            <w:tcW w:w="2640" w:type="dxa"/>
          </w:tcPr>
          <w:p w14:paraId="4DDF1A65" w14:textId="77777777" w:rsidR="00293BDE" w:rsidRDefault="00000000">
            <w:pPr>
              <w:pStyle w:val="Compact"/>
            </w:pPr>
            <w:r>
              <w:t>26° 48.0’ N</w:t>
            </w:r>
          </w:p>
        </w:tc>
        <w:tc>
          <w:tcPr>
            <w:tcW w:w="2640" w:type="dxa"/>
          </w:tcPr>
          <w:p w14:paraId="03047940" w14:textId="77777777" w:rsidR="00293BDE" w:rsidRDefault="00000000">
            <w:pPr>
              <w:pStyle w:val="Compact"/>
            </w:pPr>
            <w:r>
              <w:t>056° 00.0’ E</w:t>
            </w:r>
          </w:p>
        </w:tc>
      </w:tr>
      <w:tr w:rsidR="00293BDE" w14:paraId="41A284F7" w14:textId="77777777" w:rsidTr="00293BDE">
        <w:tc>
          <w:tcPr>
            <w:tcW w:w="2640" w:type="dxa"/>
          </w:tcPr>
          <w:p w14:paraId="32B6E406" w14:textId="77777777" w:rsidR="00293BDE" w:rsidRDefault="00000000">
            <w:pPr>
              <w:pStyle w:val="Compact"/>
            </w:pPr>
            <w:r>
              <w:t>A1-2</w:t>
            </w:r>
          </w:p>
        </w:tc>
        <w:tc>
          <w:tcPr>
            <w:tcW w:w="2640" w:type="dxa"/>
          </w:tcPr>
          <w:p w14:paraId="2D568842" w14:textId="77777777" w:rsidR="00293BDE" w:rsidRDefault="00000000">
            <w:pPr>
              <w:pStyle w:val="Compact"/>
            </w:pPr>
            <w:r>
              <w:t>26° 54.0’ N</w:t>
            </w:r>
          </w:p>
        </w:tc>
        <w:tc>
          <w:tcPr>
            <w:tcW w:w="2640" w:type="dxa"/>
          </w:tcPr>
          <w:p w14:paraId="6BB609CA" w14:textId="77777777" w:rsidR="00293BDE" w:rsidRDefault="00000000">
            <w:pPr>
              <w:pStyle w:val="Compact"/>
            </w:pPr>
            <w:r>
              <w:t>056° 30.0’ E</w:t>
            </w:r>
          </w:p>
        </w:tc>
      </w:tr>
      <w:tr w:rsidR="00293BDE" w14:paraId="586AB47C" w14:textId="77777777" w:rsidTr="00293BDE">
        <w:tc>
          <w:tcPr>
            <w:tcW w:w="2640" w:type="dxa"/>
          </w:tcPr>
          <w:p w14:paraId="12D3D7DE" w14:textId="77777777" w:rsidR="00293BDE" w:rsidRDefault="00000000">
            <w:pPr>
              <w:pStyle w:val="Compact"/>
            </w:pPr>
            <w:r>
              <w:t>A1-3</w:t>
            </w:r>
          </w:p>
        </w:tc>
        <w:tc>
          <w:tcPr>
            <w:tcW w:w="2640" w:type="dxa"/>
          </w:tcPr>
          <w:p w14:paraId="640D14D8" w14:textId="77777777" w:rsidR="00293BDE" w:rsidRDefault="00000000">
            <w:pPr>
              <w:pStyle w:val="Compact"/>
            </w:pPr>
            <w:r>
              <w:t>26° 50.0’ N</w:t>
            </w:r>
          </w:p>
        </w:tc>
        <w:tc>
          <w:tcPr>
            <w:tcW w:w="2640" w:type="dxa"/>
          </w:tcPr>
          <w:p w14:paraId="64E5A152" w14:textId="77777777" w:rsidR="00293BDE" w:rsidRDefault="00000000">
            <w:pPr>
              <w:pStyle w:val="Compact"/>
            </w:pPr>
            <w:r>
              <w:t>057° 05.0’ E</w:t>
            </w:r>
          </w:p>
        </w:tc>
      </w:tr>
      <w:tr w:rsidR="00293BDE" w14:paraId="0F2129ED" w14:textId="77777777" w:rsidTr="00293BDE">
        <w:tc>
          <w:tcPr>
            <w:tcW w:w="2640" w:type="dxa"/>
          </w:tcPr>
          <w:p w14:paraId="109ACFE4" w14:textId="77777777" w:rsidR="00293BDE" w:rsidRDefault="00000000">
            <w:pPr>
              <w:pStyle w:val="Compact"/>
            </w:pPr>
            <w:r>
              <w:t>A1-4</w:t>
            </w:r>
          </w:p>
        </w:tc>
        <w:tc>
          <w:tcPr>
            <w:tcW w:w="2640" w:type="dxa"/>
          </w:tcPr>
          <w:p w14:paraId="1E262550" w14:textId="77777777" w:rsidR="00293BDE" w:rsidRDefault="00000000">
            <w:pPr>
              <w:pStyle w:val="Compact"/>
            </w:pPr>
            <w:r>
              <w:t>26° 30.0’ N</w:t>
            </w:r>
          </w:p>
        </w:tc>
        <w:tc>
          <w:tcPr>
            <w:tcW w:w="2640" w:type="dxa"/>
          </w:tcPr>
          <w:p w14:paraId="38722C7B" w14:textId="77777777" w:rsidR="00293BDE" w:rsidRDefault="00000000">
            <w:pPr>
              <w:pStyle w:val="Compact"/>
            </w:pPr>
            <w:r>
              <w:t>057° 14.0’ E</w:t>
            </w:r>
          </w:p>
        </w:tc>
      </w:tr>
      <w:tr w:rsidR="00293BDE" w14:paraId="0FC4821B" w14:textId="77777777" w:rsidTr="00293BDE">
        <w:tc>
          <w:tcPr>
            <w:tcW w:w="2640" w:type="dxa"/>
          </w:tcPr>
          <w:p w14:paraId="06522844" w14:textId="77777777" w:rsidR="00293BDE" w:rsidRDefault="00000000">
            <w:pPr>
              <w:pStyle w:val="Compact"/>
            </w:pPr>
            <w:r>
              <w:t>A1-5</w:t>
            </w:r>
          </w:p>
        </w:tc>
        <w:tc>
          <w:tcPr>
            <w:tcW w:w="2640" w:type="dxa"/>
          </w:tcPr>
          <w:p w14:paraId="18DF70E7" w14:textId="77777777" w:rsidR="00293BDE" w:rsidRDefault="00000000">
            <w:pPr>
              <w:pStyle w:val="Compact"/>
            </w:pPr>
            <w:r>
              <w:t>26° 10.0’ N</w:t>
            </w:r>
          </w:p>
        </w:tc>
        <w:tc>
          <w:tcPr>
            <w:tcW w:w="2640" w:type="dxa"/>
          </w:tcPr>
          <w:p w14:paraId="4EFB0A3C" w14:textId="77777777" w:rsidR="00293BDE" w:rsidRDefault="00000000">
            <w:pPr>
              <w:pStyle w:val="Compact"/>
            </w:pPr>
            <w:r>
              <w:t>057° 05.0’ E</w:t>
            </w:r>
          </w:p>
        </w:tc>
      </w:tr>
      <w:tr w:rsidR="00293BDE" w14:paraId="478B4DEF" w14:textId="77777777" w:rsidTr="00293BDE">
        <w:tc>
          <w:tcPr>
            <w:tcW w:w="2640" w:type="dxa"/>
          </w:tcPr>
          <w:p w14:paraId="00C00547" w14:textId="77777777" w:rsidR="00293BDE" w:rsidRDefault="00000000">
            <w:pPr>
              <w:pStyle w:val="Compact"/>
            </w:pPr>
            <w:r>
              <w:t>A1-6</w:t>
            </w:r>
          </w:p>
        </w:tc>
        <w:tc>
          <w:tcPr>
            <w:tcW w:w="2640" w:type="dxa"/>
          </w:tcPr>
          <w:p w14:paraId="6197227F" w14:textId="77777777" w:rsidR="00293BDE" w:rsidRDefault="00000000">
            <w:pPr>
              <w:pStyle w:val="Compact"/>
            </w:pPr>
            <w:r>
              <w:t>25° 58.0’ N</w:t>
            </w:r>
          </w:p>
        </w:tc>
        <w:tc>
          <w:tcPr>
            <w:tcW w:w="2640" w:type="dxa"/>
          </w:tcPr>
          <w:p w14:paraId="7E135AB2" w14:textId="77777777" w:rsidR="00293BDE" w:rsidRDefault="00000000">
            <w:pPr>
              <w:pStyle w:val="Compact"/>
            </w:pPr>
            <w:r>
              <w:t>056° 40.0’ E</w:t>
            </w:r>
          </w:p>
        </w:tc>
      </w:tr>
      <w:tr w:rsidR="00293BDE" w14:paraId="605642C0" w14:textId="77777777" w:rsidTr="00293BDE">
        <w:tc>
          <w:tcPr>
            <w:tcW w:w="2640" w:type="dxa"/>
          </w:tcPr>
          <w:p w14:paraId="4639999F" w14:textId="77777777" w:rsidR="00293BDE" w:rsidRDefault="00000000">
            <w:pPr>
              <w:pStyle w:val="Compact"/>
            </w:pPr>
            <w:r>
              <w:t>A1-7</w:t>
            </w:r>
          </w:p>
        </w:tc>
        <w:tc>
          <w:tcPr>
            <w:tcW w:w="2640" w:type="dxa"/>
          </w:tcPr>
          <w:p w14:paraId="2AC753C3" w14:textId="77777777" w:rsidR="00293BDE" w:rsidRDefault="00000000">
            <w:pPr>
              <w:pStyle w:val="Compact"/>
            </w:pPr>
            <w:r>
              <w:t>26° 02.0’ N</w:t>
            </w:r>
          </w:p>
        </w:tc>
        <w:tc>
          <w:tcPr>
            <w:tcW w:w="2640" w:type="dxa"/>
          </w:tcPr>
          <w:p w14:paraId="3BE52201" w14:textId="77777777" w:rsidR="00293BDE" w:rsidRDefault="00000000">
            <w:pPr>
              <w:pStyle w:val="Compact"/>
            </w:pPr>
            <w:r>
              <w:t>056° 10.0’ E</w:t>
            </w:r>
          </w:p>
        </w:tc>
      </w:tr>
      <w:tr w:rsidR="00293BDE" w14:paraId="2AF78CA8" w14:textId="77777777" w:rsidTr="00293BDE">
        <w:tc>
          <w:tcPr>
            <w:tcW w:w="2640" w:type="dxa"/>
          </w:tcPr>
          <w:p w14:paraId="684B970A" w14:textId="77777777" w:rsidR="00293BDE" w:rsidRDefault="00000000">
            <w:pPr>
              <w:pStyle w:val="Compact"/>
            </w:pPr>
            <w:r>
              <w:t>A1-8</w:t>
            </w:r>
          </w:p>
        </w:tc>
        <w:tc>
          <w:tcPr>
            <w:tcW w:w="2640" w:type="dxa"/>
          </w:tcPr>
          <w:p w14:paraId="36EE4BED" w14:textId="77777777" w:rsidR="00293BDE" w:rsidRDefault="00000000">
            <w:pPr>
              <w:pStyle w:val="Compact"/>
            </w:pPr>
            <w:r>
              <w:t>26° 18.0’ N</w:t>
            </w:r>
          </w:p>
        </w:tc>
        <w:tc>
          <w:tcPr>
            <w:tcW w:w="2640" w:type="dxa"/>
          </w:tcPr>
          <w:p w14:paraId="6EE38F26" w14:textId="77777777" w:rsidR="00293BDE" w:rsidRDefault="00000000">
            <w:pPr>
              <w:pStyle w:val="Compact"/>
            </w:pPr>
            <w:r>
              <w:t>055° 52.0’ E</w:t>
            </w:r>
          </w:p>
        </w:tc>
      </w:tr>
      <w:tr w:rsidR="00293BDE" w14:paraId="4592C88E" w14:textId="77777777" w:rsidTr="00293BDE">
        <w:tc>
          <w:tcPr>
            <w:tcW w:w="2640" w:type="dxa"/>
          </w:tcPr>
          <w:p w14:paraId="75DBD994" w14:textId="77777777" w:rsidR="00293BDE" w:rsidRDefault="00000000">
            <w:pPr>
              <w:pStyle w:val="Compact"/>
            </w:pPr>
            <w:r>
              <w:t>A1-9</w:t>
            </w:r>
          </w:p>
        </w:tc>
        <w:tc>
          <w:tcPr>
            <w:tcW w:w="2640" w:type="dxa"/>
          </w:tcPr>
          <w:p w14:paraId="0E36E6B9" w14:textId="77777777" w:rsidR="00293BDE" w:rsidRDefault="00000000">
            <w:pPr>
              <w:pStyle w:val="Compact"/>
            </w:pPr>
            <w:r>
              <w:t>26° 34.0’ N</w:t>
            </w:r>
          </w:p>
        </w:tc>
        <w:tc>
          <w:tcPr>
            <w:tcW w:w="2640" w:type="dxa"/>
          </w:tcPr>
          <w:p w14:paraId="6B3E06AB" w14:textId="77777777" w:rsidR="00293BDE" w:rsidRDefault="00000000">
            <w:pPr>
              <w:pStyle w:val="Compact"/>
            </w:pPr>
            <w:r>
              <w:t>055° 48.0’ E</w:t>
            </w:r>
          </w:p>
        </w:tc>
      </w:tr>
      <w:tr w:rsidR="00293BDE" w14:paraId="4249FE74" w14:textId="77777777" w:rsidTr="00293BDE">
        <w:tc>
          <w:tcPr>
            <w:tcW w:w="2640" w:type="dxa"/>
          </w:tcPr>
          <w:p w14:paraId="2B24C1EF" w14:textId="77777777" w:rsidR="00293BDE" w:rsidRDefault="00000000">
            <w:pPr>
              <w:pStyle w:val="Compact"/>
            </w:pPr>
            <w:r>
              <w:t>A1-10</w:t>
            </w:r>
          </w:p>
        </w:tc>
        <w:tc>
          <w:tcPr>
            <w:tcW w:w="2640" w:type="dxa"/>
          </w:tcPr>
          <w:p w14:paraId="3C30B934" w14:textId="77777777" w:rsidR="00293BDE" w:rsidRDefault="00000000">
            <w:pPr>
              <w:pStyle w:val="Compact"/>
            </w:pPr>
            <w:r>
              <w:t>26° 42.0’ N</w:t>
            </w:r>
          </w:p>
        </w:tc>
        <w:tc>
          <w:tcPr>
            <w:tcW w:w="2640" w:type="dxa"/>
          </w:tcPr>
          <w:p w14:paraId="343DCF64" w14:textId="77777777" w:rsidR="00293BDE" w:rsidRDefault="00000000">
            <w:pPr>
              <w:pStyle w:val="Compact"/>
            </w:pPr>
            <w:r>
              <w:t>055° 52.0’ E</w:t>
            </w:r>
          </w:p>
        </w:tc>
      </w:tr>
    </w:tbl>
    <w:p w14:paraId="2BB37ACA" w14:textId="77777777" w:rsidR="00293BDE" w:rsidRDefault="00000000">
      <w:pPr>
        <w:pStyle w:val="BodyText"/>
      </w:pPr>
      <w:bookmarkStart w:id="365" w:name="a.1-governance-area-boundary"/>
      <w:r>
        <w:t>The boundary is an administrative line for Compact functions only. It delimits nothing, allocates nothing, and prejudices nothing.</w:t>
      </w:r>
      <w:bookmarkEnd w:id="365"/>
    </w:p>
    <w:p w14:paraId="1F7A5846" w14:textId="77777777" w:rsidR="00293BDE" w:rsidRDefault="00000000">
      <w:pPr>
        <w:pStyle w:val="Heading2"/>
      </w:pPr>
      <w:bookmarkStart w:id="366" w:name="__RefHeading___Toc10896_3324765499"/>
      <w:bookmarkEnd w:id="366"/>
      <w:r>
        <w:t>A.2 Southern Outbound Corridor waypoints</w:t>
      </w:r>
    </w:p>
    <w:p w14:paraId="33993472" w14:textId="77777777" w:rsidR="00293BDE" w:rsidRDefault="00000000">
      <w:pPr>
        <w:pStyle w:val="FirstParagraph"/>
      </w:pPr>
      <w:r>
        <w:t>The Southern Outbound Corridor centreline follows waypoints S-1 through S-6; the corridor extends 1.0 NM either side of the centreline (total width 2.0 NM):</w:t>
      </w:r>
    </w:p>
    <w:tbl>
      <w:tblPr>
        <w:tblStyle w:val="Table"/>
        <w:tblW w:w="7920" w:type="dxa"/>
        <w:tblInd w:w="0" w:type="dxa"/>
        <w:tblLayout w:type="fixed"/>
        <w:tblLook w:val="0020" w:firstRow="1" w:lastRow="0" w:firstColumn="0" w:lastColumn="0" w:noHBand="0" w:noVBand="0"/>
      </w:tblPr>
      <w:tblGrid>
        <w:gridCol w:w="2640"/>
        <w:gridCol w:w="2640"/>
        <w:gridCol w:w="2640"/>
      </w:tblGrid>
      <w:tr w:rsidR="00293BDE" w14:paraId="2D959AEE"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177DCA0A" w14:textId="77777777" w:rsidR="00293BDE" w:rsidRDefault="00000000">
            <w:pPr>
              <w:pStyle w:val="Compact"/>
            </w:pPr>
            <w:r>
              <w:t>Waypoint</w:t>
            </w:r>
          </w:p>
        </w:tc>
        <w:tc>
          <w:tcPr>
            <w:tcW w:w="2640" w:type="dxa"/>
            <w:tcBorders>
              <w:bottom w:val="single" w:sz="6" w:space="0" w:color="000000"/>
            </w:tcBorders>
          </w:tcPr>
          <w:p w14:paraId="4FBCA631" w14:textId="77777777" w:rsidR="00293BDE" w:rsidRDefault="00000000">
            <w:pPr>
              <w:pStyle w:val="Compact"/>
            </w:pPr>
            <w:r>
              <w:t>Latitude</w:t>
            </w:r>
          </w:p>
        </w:tc>
        <w:tc>
          <w:tcPr>
            <w:tcW w:w="2640" w:type="dxa"/>
            <w:tcBorders>
              <w:bottom w:val="single" w:sz="6" w:space="0" w:color="000000"/>
            </w:tcBorders>
          </w:tcPr>
          <w:p w14:paraId="1340875C" w14:textId="77777777" w:rsidR="00293BDE" w:rsidRDefault="00000000">
            <w:pPr>
              <w:pStyle w:val="Compact"/>
            </w:pPr>
            <w:r>
              <w:t>Longitude</w:t>
            </w:r>
          </w:p>
        </w:tc>
      </w:tr>
      <w:tr w:rsidR="00293BDE" w14:paraId="146B7B33" w14:textId="77777777" w:rsidTr="00293BDE">
        <w:tc>
          <w:tcPr>
            <w:tcW w:w="2640" w:type="dxa"/>
          </w:tcPr>
          <w:p w14:paraId="5F657360" w14:textId="77777777" w:rsidR="00293BDE" w:rsidRDefault="00000000">
            <w:pPr>
              <w:pStyle w:val="Compact"/>
            </w:pPr>
            <w:r>
              <w:t>S-1</w:t>
            </w:r>
          </w:p>
        </w:tc>
        <w:tc>
          <w:tcPr>
            <w:tcW w:w="2640" w:type="dxa"/>
          </w:tcPr>
          <w:p w14:paraId="52081EB0" w14:textId="77777777" w:rsidR="00293BDE" w:rsidRDefault="00000000">
            <w:pPr>
              <w:pStyle w:val="Compact"/>
            </w:pPr>
            <w:r>
              <w:t>26° 14.5’ N</w:t>
            </w:r>
          </w:p>
        </w:tc>
        <w:tc>
          <w:tcPr>
            <w:tcW w:w="2640" w:type="dxa"/>
          </w:tcPr>
          <w:p w14:paraId="1C8E2699" w14:textId="77777777" w:rsidR="00293BDE" w:rsidRDefault="00000000">
            <w:pPr>
              <w:pStyle w:val="Compact"/>
            </w:pPr>
            <w:r>
              <w:t>056° 04.0’ E</w:t>
            </w:r>
          </w:p>
        </w:tc>
      </w:tr>
      <w:tr w:rsidR="00293BDE" w14:paraId="08E42C98" w14:textId="77777777" w:rsidTr="00293BDE">
        <w:tc>
          <w:tcPr>
            <w:tcW w:w="2640" w:type="dxa"/>
          </w:tcPr>
          <w:p w14:paraId="7A620F2B" w14:textId="77777777" w:rsidR="00293BDE" w:rsidRDefault="00000000">
            <w:pPr>
              <w:pStyle w:val="Compact"/>
            </w:pPr>
            <w:r>
              <w:t>S-2</w:t>
            </w:r>
          </w:p>
        </w:tc>
        <w:tc>
          <w:tcPr>
            <w:tcW w:w="2640" w:type="dxa"/>
          </w:tcPr>
          <w:p w14:paraId="1EECD4F1" w14:textId="77777777" w:rsidR="00293BDE" w:rsidRDefault="00000000">
            <w:pPr>
              <w:pStyle w:val="Compact"/>
            </w:pPr>
            <w:r>
              <w:t>26° 16.0’ N</w:t>
            </w:r>
          </w:p>
        </w:tc>
        <w:tc>
          <w:tcPr>
            <w:tcW w:w="2640" w:type="dxa"/>
          </w:tcPr>
          <w:p w14:paraId="7EB1DFD0" w14:textId="77777777" w:rsidR="00293BDE" w:rsidRDefault="00000000">
            <w:pPr>
              <w:pStyle w:val="Compact"/>
            </w:pPr>
            <w:r>
              <w:t>056° 22.0’ E</w:t>
            </w:r>
          </w:p>
        </w:tc>
      </w:tr>
      <w:tr w:rsidR="00293BDE" w14:paraId="124F936C" w14:textId="77777777" w:rsidTr="00293BDE">
        <w:tc>
          <w:tcPr>
            <w:tcW w:w="2640" w:type="dxa"/>
          </w:tcPr>
          <w:p w14:paraId="348F8AC7" w14:textId="77777777" w:rsidR="00293BDE" w:rsidRDefault="00000000">
            <w:pPr>
              <w:pStyle w:val="Compact"/>
            </w:pPr>
            <w:r>
              <w:t>S-3</w:t>
            </w:r>
          </w:p>
        </w:tc>
        <w:tc>
          <w:tcPr>
            <w:tcW w:w="2640" w:type="dxa"/>
          </w:tcPr>
          <w:p w14:paraId="01CBB9AE" w14:textId="77777777" w:rsidR="00293BDE" w:rsidRDefault="00000000">
            <w:pPr>
              <w:pStyle w:val="Compact"/>
            </w:pPr>
            <w:r>
              <w:t>26° 15.0’ N</w:t>
            </w:r>
          </w:p>
        </w:tc>
        <w:tc>
          <w:tcPr>
            <w:tcW w:w="2640" w:type="dxa"/>
          </w:tcPr>
          <w:p w14:paraId="7F9F0353" w14:textId="77777777" w:rsidR="00293BDE" w:rsidRDefault="00000000">
            <w:pPr>
              <w:pStyle w:val="Compact"/>
            </w:pPr>
            <w:r>
              <w:t>056° 42.0’ E</w:t>
            </w:r>
          </w:p>
        </w:tc>
      </w:tr>
      <w:tr w:rsidR="00293BDE" w14:paraId="568F5DDA" w14:textId="77777777" w:rsidTr="00293BDE">
        <w:tc>
          <w:tcPr>
            <w:tcW w:w="2640" w:type="dxa"/>
          </w:tcPr>
          <w:p w14:paraId="11D761FD" w14:textId="77777777" w:rsidR="00293BDE" w:rsidRDefault="00000000">
            <w:pPr>
              <w:pStyle w:val="Compact"/>
            </w:pPr>
            <w:r>
              <w:t>S-4</w:t>
            </w:r>
          </w:p>
        </w:tc>
        <w:tc>
          <w:tcPr>
            <w:tcW w:w="2640" w:type="dxa"/>
          </w:tcPr>
          <w:p w14:paraId="0ED6F2E4" w14:textId="77777777" w:rsidR="00293BDE" w:rsidRDefault="00000000">
            <w:pPr>
              <w:pStyle w:val="Compact"/>
            </w:pPr>
            <w:r>
              <w:t>26° 12.0’ N</w:t>
            </w:r>
          </w:p>
        </w:tc>
        <w:tc>
          <w:tcPr>
            <w:tcW w:w="2640" w:type="dxa"/>
          </w:tcPr>
          <w:p w14:paraId="6730CF58" w14:textId="77777777" w:rsidR="00293BDE" w:rsidRDefault="00000000">
            <w:pPr>
              <w:pStyle w:val="Compact"/>
            </w:pPr>
            <w:r>
              <w:t>056° 58.0’ E</w:t>
            </w:r>
          </w:p>
        </w:tc>
      </w:tr>
      <w:tr w:rsidR="00293BDE" w14:paraId="412F3E7F" w14:textId="77777777" w:rsidTr="00293BDE">
        <w:tc>
          <w:tcPr>
            <w:tcW w:w="2640" w:type="dxa"/>
          </w:tcPr>
          <w:p w14:paraId="551049D6" w14:textId="77777777" w:rsidR="00293BDE" w:rsidRDefault="00000000">
            <w:pPr>
              <w:pStyle w:val="Compact"/>
            </w:pPr>
            <w:r>
              <w:t>S-5</w:t>
            </w:r>
          </w:p>
        </w:tc>
        <w:tc>
          <w:tcPr>
            <w:tcW w:w="2640" w:type="dxa"/>
          </w:tcPr>
          <w:p w14:paraId="6CED882E" w14:textId="77777777" w:rsidR="00293BDE" w:rsidRDefault="00000000">
            <w:pPr>
              <w:pStyle w:val="Compact"/>
            </w:pPr>
            <w:r>
              <w:t>26° 14.0’ N</w:t>
            </w:r>
          </w:p>
        </w:tc>
        <w:tc>
          <w:tcPr>
            <w:tcW w:w="2640" w:type="dxa"/>
          </w:tcPr>
          <w:p w14:paraId="6F8E4D0F" w14:textId="77777777" w:rsidR="00293BDE" w:rsidRDefault="00000000">
            <w:pPr>
              <w:pStyle w:val="Compact"/>
            </w:pPr>
            <w:r>
              <w:t>057° 06.0’ E</w:t>
            </w:r>
          </w:p>
        </w:tc>
      </w:tr>
      <w:tr w:rsidR="00293BDE" w14:paraId="705AAF06" w14:textId="77777777" w:rsidTr="00293BDE">
        <w:tc>
          <w:tcPr>
            <w:tcW w:w="2640" w:type="dxa"/>
          </w:tcPr>
          <w:p w14:paraId="4C7D6654" w14:textId="77777777" w:rsidR="00293BDE" w:rsidRDefault="00000000">
            <w:pPr>
              <w:pStyle w:val="Compact"/>
            </w:pPr>
            <w:r>
              <w:t>S-6</w:t>
            </w:r>
          </w:p>
        </w:tc>
        <w:tc>
          <w:tcPr>
            <w:tcW w:w="2640" w:type="dxa"/>
          </w:tcPr>
          <w:p w14:paraId="01CB7657" w14:textId="77777777" w:rsidR="00293BDE" w:rsidRDefault="00000000">
            <w:pPr>
              <w:pStyle w:val="Compact"/>
            </w:pPr>
            <w:r>
              <w:t>26° 20.0’ N</w:t>
            </w:r>
          </w:p>
        </w:tc>
        <w:tc>
          <w:tcPr>
            <w:tcW w:w="2640" w:type="dxa"/>
          </w:tcPr>
          <w:p w14:paraId="7587A891" w14:textId="77777777" w:rsidR="00293BDE" w:rsidRDefault="00000000">
            <w:pPr>
              <w:pStyle w:val="Compact"/>
            </w:pPr>
            <w:r>
              <w:t>057° 10.0’ E</w:t>
            </w:r>
          </w:p>
        </w:tc>
      </w:tr>
    </w:tbl>
    <w:p w14:paraId="61F95CC2" w14:textId="77777777" w:rsidR="00293BDE" w:rsidRDefault="00000000">
      <w:pPr>
        <w:pStyle w:val="BodyText"/>
      </w:pPr>
      <w:bookmarkStart w:id="367" w:name="a.2-southern-outbound-corridor-waypoints"/>
      <w:r>
        <w:t>Direction of traffic: northwest-bound to southeast-bound (out of the Gulf). Reporting points: S-2 and S-5. No notification layer applies to this corridor (IPR-2).</w:t>
      </w:r>
      <w:bookmarkEnd w:id="367"/>
    </w:p>
    <w:p w14:paraId="366867C0" w14:textId="77777777" w:rsidR="00293BDE" w:rsidRDefault="00000000">
      <w:pPr>
        <w:pStyle w:val="Heading2"/>
      </w:pPr>
      <w:bookmarkStart w:id="368" w:name="__RefHeading___Toc10898_3324765499"/>
      <w:bookmarkEnd w:id="368"/>
      <w:r>
        <w:t>A.3 Northern Inbound Corridor waypoints</w:t>
      </w:r>
    </w:p>
    <w:p w14:paraId="5E611274" w14:textId="77777777" w:rsidR="00293BDE" w:rsidRDefault="00000000">
      <w:pPr>
        <w:pStyle w:val="FirstParagraph"/>
      </w:pPr>
      <w:r>
        <w:t>The Northern Inbound Corridor centreline follows waypoints N-1 through N-6; the corridor extends 1.0 NM either side of the centreline (total width 2.0 NM):</w:t>
      </w:r>
    </w:p>
    <w:tbl>
      <w:tblPr>
        <w:tblStyle w:val="Table"/>
        <w:tblW w:w="7920" w:type="dxa"/>
        <w:tblInd w:w="0" w:type="dxa"/>
        <w:tblLayout w:type="fixed"/>
        <w:tblLook w:val="0020" w:firstRow="1" w:lastRow="0" w:firstColumn="0" w:lastColumn="0" w:noHBand="0" w:noVBand="0"/>
      </w:tblPr>
      <w:tblGrid>
        <w:gridCol w:w="2640"/>
        <w:gridCol w:w="2640"/>
        <w:gridCol w:w="2640"/>
      </w:tblGrid>
      <w:tr w:rsidR="00293BDE" w14:paraId="37290AB8"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4D0DE6F3" w14:textId="77777777" w:rsidR="00293BDE" w:rsidRDefault="00000000">
            <w:pPr>
              <w:pStyle w:val="Compact"/>
            </w:pPr>
            <w:r>
              <w:t>Waypoint</w:t>
            </w:r>
          </w:p>
        </w:tc>
        <w:tc>
          <w:tcPr>
            <w:tcW w:w="2640" w:type="dxa"/>
            <w:tcBorders>
              <w:bottom w:val="single" w:sz="6" w:space="0" w:color="000000"/>
            </w:tcBorders>
          </w:tcPr>
          <w:p w14:paraId="2961C6F4" w14:textId="77777777" w:rsidR="00293BDE" w:rsidRDefault="00000000">
            <w:pPr>
              <w:pStyle w:val="Compact"/>
            </w:pPr>
            <w:r>
              <w:t>Latitude</w:t>
            </w:r>
          </w:p>
        </w:tc>
        <w:tc>
          <w:tcPr>
            <w:tcW w:w="2640" w:type="dxa"/>
            <w:tcBorders>
              <w:bottom w:val="single" w:sz="6" w:space="0" w:color="000000"/>
            </w:tcBorders>
          </w:tcPr>
          <w:p w14:paraId="271A4DD7" w14:textId="77777777" w:rsidR="00293BDE" w:rsidRDefault="00000000">
            <w:pPr>
              <w:pStyle w:val="Compact"/>
            </w:pPr>
            <w:r>
              <w:t>Longitude</w:t>
            </w:r>
          </w:p>
        </w:tc>
      </w:tr>
      <w:tr w:rsidR="00293BDE" w14:paraId="1F9B162A" w14:textId="77777777" w:rsidTr="00293BDE">
        <w:tc>
          <w:tcPr>
            <w:tcW w:w="2640" w:type="dxa"/>
          </w:tcPr>
          <w:p w14:paraId="3C8D17F9" w14:textId="77777777" w:rsidR="00293BDE" w:rsidRDefault="00000000">
            <w:pPr>
              <w:pStyle w:val="Compact"/>
            </w:pPr>
            <w:r>
              <w:t>N-1</w:t>
            </w:r>
          </w:p>
        </w:tc>
        <w:tc>
          <w:tcPr>
            <w:tcW w:w="2640" w:type="dxa"/>
          </w:tcPr>
          <w:p w14:paraId="0BDD9137" w14:textId="77777777" w:rsidR="00293BDE" w:rsidRDefault="00000000">
            <w:pPr>
              <w:pStyle w:val="Compact"/>
            </w:pPr>
            <w:r>
              <w:t>26° 36.0’ N</w:t>
            </w:r>
          </w:p>
        </w:tc>
        <w:tc>
          <w:tcPr>
            <w:tcW w:w="2640" w:type="dxa"/>
          </w:tcPr>
          <w:p w14:paraId="4E1891B8" w14:textId="77777777" w:rsidR="00293BDE" w:rsidRDefault="00000000">
            <w:pPr>
              <w:pStyle w:val="Compact"/>
            </w:pPr>
            <w:r>
              <w:t>057° 08.0’ E</w:t>
            </w:r>
          </w:p>
        </w:tc>
      </w:tr>
      <w:tr w:rsidR="00293BDE" w14:paraId="1322254E" w14:textId="77777777" w:rsidTr="00293BDE">
        <w:tc>
          <w:tcPr>
            <w:tcW w:w="2640" w:type="dxa"/>
          </w:tcPr>
          <w:p w14:paraId="1BAE0654" w14:textId="77777777" w:rsidR="00293BDE" w:rsidRDefault="00000000">
            <w:pPr>
              <w:pStyle w:val="Compact"/>
            </w:pPr>
            <w:r>
              <w:t>N-2</w:t>
            </w:r>
          </w:p>
        </w:tc>
        <w:tc>
          <w:tcPr>
            <w:tcW w:w="2640" w:type="dxa"/>
          </w:tcPr>
          <w:p w14:paraId="7E357969" w14:textId="77777777" w:rsidR="00293BDE" w:rsidRDefault="00000000">
            <w:pPr>
              <w:pStyle w:val="Compact"/>
            </w:pPr>
            <w:r>
              <w:t>26° 40.0’ N</w:t>
            </w:r>
          </w:p>
        </w:tc>
        <w:tc>
          <w:tcPr>
            <w:tcW w:w="2640" w:type="dxa"/>
          </w:tcPr>
          <w:p w14:paraId="647FBA7C" w14:textId="77777777" w:rsidR="00293BDE" w:rsidRDefault="00000000">
            <w:pPr>
              <w:pStyle w:val="Compact"/>
            </w:pPr>
            <w:r>
              <w:t>056° 56.0’ E</w:t>
            </w:r>
          </w:p>
        </w:tc>
      </w:tr>
      <w:tr w:rsidR="00293BDE" w14:paraId="58AB3A5A" w14:textId="77777777" w:rsidTr="00293BDE">
        <w:tc>
          <w:tcPr>
            <w:tcW w:w="2640" w:type="dxa"/>
          </w:tcPr>
          <w:p w14:paraId="1FFDD749" w14:textId="77777777" w:rsidR="00293BDE" w:rsidRDefault="00000000">
            <w:pPr>
              <w:pStyle w:val="Compact"/>
            </w:pPr>
            <w:r>
              <w:t>N-3</w:t>
            </w:r>
          </w:p>
        </w:tc>
        <w:tc>
          <w:tcPr>
            <w:tcW w:w="2640" w:type="dxa"/>
          </w:tcPr>
          <w:p w14:paraId="6838DCF7" w14:textId="77777777" w:rsidR="00293BDE" w:rsidRDefault="00000000">
            <w:pPr>
              <w:pStyle w:val="Compact"/>
            </w:pPr>
            <w:r>
              <w:t>26° 42.5’ N</w:t>
            </w:r>
          </w:p>
        </w:tc>
        <w:tc>
          <w:tcPr>
            <w:tcW w:w="2640" w:type="dxa"/>
          </w:tcPr>
          <w:p w14:paraId="6881DA93" w14:textId="77777777" w:rsidR="00293BDE" w:rsidRDefault="00000000">
            <w:pPr>
              <w:pStyle w:val="Compact"/>
            </w:pPr>
            <w:r>
              <w:t>056° 38.0’ E</w:t>
            </w:r>
          </w:p>
        </w:tc>
      </w:tr>
      <w:tr w:rsidR="00293BDE" w14:paraId="33741CEF" w14:textId="77777777" w:rsidTr="00293BDE">
        <w:tc>
          <w:tcPr>
            <w:tcW w:w="2640" w:type="dxa"/>
          </w:tcPr>
          <w:p w14:paraId="3BEA7FB0" w14:textId="77777777" w:rsidR="00293BDE" w:rsidRDefault="00000000">
            <w:pPr>
              <w:pStyle w:val="Compact"/>
            </w:pPr>
            <w:r>
              <w:t>N-4</w:t>
            </w:r>
          </w:p>
        </w:tc>
        <w:tc>
          <w:tcPr>
            <w:tcW w:w="2640" w:type="dxa"/>
          </w:tcPr>
          <w:p w14:paraId="2E31597B" w14:textId="77777777" w:rsidR="00293BDE" w:rsidRDefault="00000000">
            <w:pPr>
              <w:pStyle w:val="Compact"/>
            </w:pPr>
            <w:r>
              <w:t>26° 41.0’ N</w:t>
            </w:r>
          </w:p>
        </w:tc>
        <w:tc>
          <w:tcPr>
            <w:tcW w:w="2640" w:type="dxa"/>
          </w:tcPr>
          <w:p w14:paraId="364295A8" w14:textId="77777777" w:rsidR="00293BDE" w:rsidRDefault="00000000">
            <w:pPr>
              <w:pStyle w:val="Compact"/>
            </w:pPr>
            <w:r>
              <w:t>056° 18.0’ E</w:t>
            </w:r>
          </w:p>
        </w:tc>
      </w:tr>
      <w:tr w:rsidR="00293BDE" w14:paraId="69D8C0E1" w14:textId="77777777" w:rsidTr="00293BDE">
        <w:tc>
          <w:tcPr>
            <w:tcW w:w="2640" w:type="dxa"/>
          </w:tcPr>
          <w:p w14:paraId="0886BA92" w14:textId="77777777" w:rsidR="00293BDE" w:rsidRDefault="00000000">
            <w:pPr>
              <w:pStyle w:val="Compact"/>
            </w:pPr>
            <w:r>
              <w:t>N-5</w:t>
            </w:r>
          </w:p>
        </w:tc>
        <w:tc>
          <w:tcPr>
            <w:tcW w:w="2640" w:type="dxa"/>
          </w:tcPr>
          <w:p w14:paraId="33B019EE" w14:textId="77777777" w:rsidR="00293BDE" w:rsidRDefault="00000000">
            <w:pPr>
              <w:pStyle w:val="Compact"/>
            </w:pPr>
            <w:r>
              <w:t>26° 38.0’ N</w:t>
            </w:r>
          </w:p>
        </w:tc>
        <w:tc>
          <w:tcPr>
            <w:tcW w:w="2640" w:type="dxa"/>
          </w:tcPr>
          <w:p w14:paraId="05DF7D5B" w14:textId="77777777" w:rsidR="00293BDE" w:rsidRDefault="00000000">
            <w:pPr>
              <w:pStyle w:val="Compact"/>
            </w:pPr>
            <w:r>
              <w:t>056° 02.0’ E</w:t>
            </w:r>
          </w:p>
        </w:tc>
      </w:tr>
      <w:tr w:rsidR="00293BDE" w14:paraId="4447F130" w14:textId="77777777" w:rsidTr="00293BDE">
        <w:tc>
          <w:tcPr>
            <w:tcW w:w="2640" w:type="dxa"/>
          </w:tcPr>
          <w:p w14:paraId="3B6C7A1D" w14:textId="77777777" w:rsidR="00293BDE" w:rsidRDefault="00000000">
            <w:pPr>
              <w:pStyle w:val="Compact"/>
            </w:pPr>
            <w:r>
              <w:t>N-6</w:t>
            </w:r>
          </w:p>
        </w:tc>
        <w:tc>
          <w:tcPr>
            <w:tcW w:w="2640" w:type="dxa"/>
          </w:tcPr>
          <w:p w14:paraId="4B958679" w14:textId="77777777" w:rsidR="00293BDE" w:rsidRDefault="00000000">
            <w:pPr>
              <w:pStyle w:val="Compact"/>
            </w:pPr>
            <w:r>
              <w:t>26° 33.5’ N</w:t>
            </w:r>
          </w:p>
        </w:tc>
        <w:tc>
          <w:tcPr>
            <w:tcW w:w="2640" w:type="dxa"/>
          </w:tcPr>
          <w:p w14:paraId="4254A4ED" w14:textId="77777777" w:rsidR="00293BDE" w:rsidRDefault="00000000">
            <w:pPr>
              <w:pStyle w:val="Compact"/>
            </w:pPr>
            <w:r>
              <w:t>055° 54.0’ E</w:t>
            </w:r>
          </w:p>
        </w:tc>
      </w:tr>
    </w:tbl>
    <w:p w14:paraId="16FC9728" w14:textId="77777777" w:rsidR="00293BDE" w:rsidRDefault="00000000">
      <w:pPr>
        <w:pStyle w:val="BodyText"/>
      </w:pPr>
      <w:bookmarkStart w:id="369" w:name="a.3-northern-inbound-corridor-waypoints"/>
      <w:r>
        <w:t>Direction of traffic: southeast-bound to northwest-bound (into the Gulf). Reporting points: N-2 and N-5. Transit notice per Annex D files not later than six hours before entering the Governance Area.</w:t>
      </w:r>
      <w:bookmarkEnd w:id="369"/>
    </w:p>
    <w:p w14:paraId="733F8F67" w14:textId="77777777" w:rsidR="00293BDE" w:rsidRDefault="00000000">
      <w:pPr>
        <w:pStyle w:val="Heading2"/>
      </w:pPr>
      <w:bookmarkStart w:id="370" w:name="__RefHeading___Toc10900_3324765499"/>
      <w:bookmarkEnd w:id="370"/>
      <w:r>
        <w:t>A.4 Central Buffer Corridor waypoints</w:t>
      </w:r>
    </w:p>
    <w:p w14:paraId="686D5342" w14:textId="77777777" w:rsidR="00293BDE" w:rsidRDefault="00000000">
      <w:pPr>
        <w:pStyle w:val="FirstParagraph"/>
      </w:pPr>
      <w:r>
        <w:t>The Central Buffer Corridor occupies the separation space between the inbound and outbound corridors, bounded by the polyline B-1 through B-6 and closed:</w:t>
      </w:r>
    </w:p>
    <w:tbl>
      <w:tblPr>
        <w:tblStyle w:val="Table"/>
        <w:tblW w:w="7920" w:type="dxa"/>
        <w:tblInd w:w="0" w:type="dxa"/>
        <w:tblLayout w:type="fixed"/>
        <w:tblLook w:val="0020" w:firstRow="1" w:lastRow="0" w:firstColumn="0" w:lastColumn="0" w:noHBand="0" w:noVBand="0"/>
      </w:tblPr>
      <w:tblGrid>
        <w:gridCol w:w="2640"/>
        <w:gridCol w:w="2640"/>
        <w:gridCol w:w="2640"/>
      </w:tblGrid>
      <w:tr w:rsidR="00293BDE" w14:paraId="277BF558"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451FFA18" w14:textId="77777777" w:rsidR="00293BDE" w:rsidRDefault="00000000">
            <w:pPr>
              <w:pStyle w:val="Compact"/>
            </w:pPr>
            <w:r>
              <w:t>Point</w:t>
            </w:r>
          </w:p>
        </w:tc>
        <w:tc>
          <w:tcPr>
            <w:tcW w:w="2640" w:type="dxa"/>
            <w:tcBorders>
              <w:bottom w:val="single" w:sz="6" w:space="0" w:color="000000"/>
            </w:tcBorders>
          </w:tcPr>
          <w:p w14:paraId="76CA52DE" w14:textId="77777777" w:rsidR="00293BDE" w:rsidRDefault="00000000">
            <w:pPr>
              <w:pStyle w:val="Compact"/>
            </w:pPr>
            <w:r>
              <w:t>Latitude</w:t>
            </w:r>
          </w:p>
        </w:tc>
        <w:tc>
          <w:tcPr>
            <w:tcW w:w="2640" w:type="dxa"/>
            <w:tcBorders>
              <w:bottom w:val="single" w:sz="6" w:space="0" w:color="000000"/>
            </w:tcBorders>
          </w:tcPr>
          <w:p w14:paraId="4AD9FAEB" w14:textId="77777777" w:rsidR="00293BDE" w:rsidRDefault="00000000">
            <w:pPr>
              <w:pStyle w:val="Compact"/>
            </w:pPr>
            <w:r>
              <w:t>Longitude</w:t>
            </w:r>
          </w:p>
        </w:tc>
      </w:tr>
      <w:tr w:rsidR="00293BDE" w14:paraId="0AAF1F16" w14:textId="77777777" w:rsidTr="00293BDE">
        <w:tc>
          <w:tcPr>
            <w:tcW w:w="2640" w:type="dxa"/>
          </w:tcPr>
          <w:p w14:paraId="598000FE" w14:textId="77777777" w:rsidR="00293BDE" w:rsidRDefault="00000000">
            <w:pPr>
              <w:pStyle w:val="Compact"/>
            </w:pPr>
            <w:r>
              <w:t>B-1</w:t>
            </w:r>
          </w:p>
        </w:tc>
        <w:tc>
          <w:tcPr>
            <w:tcW w:w="2640" w:type="dxa"/>
          </w:tcPr>
          <w:p w14:paraId="1EB2E9D1" w14:textId="77777777" w:rsidR="00293BDE" w:rsidRDefault="00000000">
            <w:pPr>
              <w:pStyle w:val="Compact"/>
            </w:pPr>
            <w:r>
              <w:t>26° 20.5’ N</w:t>
            </w:r>
          </w:p>
        </w:tc>
        <w:tc>
          <w:tcPr>
            <w:tcW w:w="2640" w:type="dxa"/>
          </w:tcPr>
          <w:p w14:paraId="50C0ACB9" w14:textId="77777777" w:rsidR="00293BDE" w:rsidRDefault="00000000">
            <w:pPr>
              <w:pStyle w:val="Compact"/>
            </w:pPr>
            <w:r>
              <w:t>056° 03.0’ E</w:t>
            </w:r>
          </w:p>
        </w:tc>
      </w:tr>
      <w:tr w:rsidR="00293BDE" w14:paraId="5A445454" w14:textId="77777777" w:rsidTr="00293BDE">
        <w:tc>
          <w:tcPr>
            <w:tcW w:w="2640" w:type="dxa"/>
          </w:tcPr>
          <w:p w14:paraId="7B48355A" w14:textId="77777777" w:rsidR="00293BDE" w:rsidRDefault="00000000">
            <w:pPr>
              <w:pStyle w:val="Compact"/>
            </w:pPr>
            <w:r>
              <w:t>B-2</w:t>
            </w:r>
          </w:p>
        </w:tc>
        <w:tc>
          <w:tcPr>
            <w:tcW w:w="2640" w:type="dxa"/>
          </w:tcPr>
          <w:p w14:paraId="1C33BDE6" w14:textId="77777777" w:rsidR="00293BDE" w:rsidRDefault="00000000">
            <w:pPr>
              <w:pStyle w:val="Compact"/>
            </w:pPr>
            <w:r>
              <w:t>26° 31.0’ N</w:t>
            </w:r>
          </w:p>
        </w:tc>
        <w:tc>
          <w:tcPr>
            <w:tcW w:w="2640" w:type="dxa"/>
          </w:tcPr>
          <w:p w14:paraId="0808F24E" w14:textId="77777777" w:rsidR="00293BDE" w:rsidRDefault="00000000">
            <w:pPr>
              <w:pStyle w:val="Compact"/>
            </w:pPr>
            <w:r>
              <w:t>056° 04.0’ E</w:t>
            </w:r>
          </w:p>
        </w:tc>
      </w:tr>
      <w:tr w:rsidR="00293BDE" w14:paraId="300FB69D" w14:textId="77777777" w:rsidTr="00293BDE">
        <w:tc>
          <w:tcPr>
            <w:tcW w:w="2640" w:type="dxa"/>
          </w:tcPr>
          <w:p w14:paraId="0A640AFD" w14:textId="77777777" w:rsidR="00293BDE" w:rsidRDefault="00000000">
            <w:pPr>
              <w:pStyle w:val="Compact"/>
            </w:pPr>
            <w:r>
              <w:t>B-3</w:t>
            </w:r>
          </w:p>
        </w:tc>
        <w:tc>
          <w:tcPr>
            <w:tcW w:w="2640" w:type="dxa"/>
          </w:tcPr>
          <w:p w14:paraId="3B0631AD" w14:textId="77777777" w:rsidR="00293BDE" w:rsidRDefault="00000000">
            <w:pPr>
              <w:pStyle w:val="Compact"/>
            </w:pPr>
            <w:r>
              <w:t>26° 35.0’ N</w:t>
            </w:r>
          </w:p>
        </w:tc>
        <w:tc>
          <w:tcPr>
            <w:tcW w:w="2640" w:type="dxa"/>
          </w:tcPr>
          <w:p w14:paraId="77AC824D" w14:textId="77777777" w:rsidR="00293BDE" w:rsidRDefault="00000000">
            <w:pPr>
              <w:pStyle w:val="Compact"/>
            </w:pPr>
            <w:r>
              <w:t>056° 40.0’ E</w:t>
            </w:r>
          </w:p>
        </w:tc>
      </w:tr>
      <w:tr w:rsidR="00293BDE" w14:paraId="6021ED20" w14:textId="77777777" w:rsidTr="00293BDE">
        <w:tc>
          <w:tcPr>
            <w:tcW w:w="2640" w:type="dxa"/>
          </w:tcPr>
          <w:p w14:paraId="65DD7B93" w14:textId="77777777" w:rsidR="00293BDE" w:rsidRDefault="00000000">
            <w:pPr>
              <w:pStyle w:val="Compact"/>
            </w:pPr>
            <w:r>
              <w:t>B-4</w:t>
            </w:r>
          </w:p>
        </w:tc>
        <w:tc>
          <w:tcPr>
            <w:tcW w:w="2640" w:type="dxa"/>
          </w:tcPr>
          <w:p w14:paraId="7CDAAEBC" w14:textId="77777777" w:rsidR="00293BDE" w:rsidRDefault="00000000">
            <w:pPr>
              <w:pStyle w:val="Compact"/>
            </w:pPr>
            <w:r>
              <w:t>26° 33.0’ N</w:t>
            </w:r>
          </w:p>
        </w:tc>
        <w:tc>
          <w:tcPr>
            <w:tcW w:w="2640" w:type="dxa"/>
          </w:tcPr>
          <w:p w14:paraId="6C6E578F" w14:textId="77777777" w:rsidR="00293BDE" w:rsidRDefault="00000000">
            <w:pPr>
              <w:pStyle w:val="Compact"/>
            </w:pPr>
            <w:r>
              <w:t>057° 02.0’ E</w:t>
            </w:r>
          </w:p>
        </w:tc>
      </w:tr>
      <w:tr w:rsidR="00293BDE" w14:paraId="027E24D1" w14:textId="77777777" w:rsidTr="00293BDE">
        <w:tc>
          <w:tcPr>
            <w:tcW w:w="2640" w:type="dxa"/>
          </w:tcPr>
          <w:p w14:paraId="1092DF49" w14:textId="77777777" w:rsidR="00293BDE" w:rsidRDefault="00000000">
            <w:pPr>
              <w:pStyle w:val="Compact"/>
            </w:pPr>
            <w:r>
              <w:t>B-5</w:t>
            </w:r>
          </w:p>
        </w:tc>
        <w:tc>
          <w:tcPr>
            <w:tcW w:w="2640" w:type="dxa"/>
          </w:tcPr>
          <w:p w14:paraId="6D8CB441" w14:textId="77777777" w:rsidR="00293BDE" w:rsidRDefault="00000000">
            <w:pPr>
              <w:pStyle w:val="Compact"/>
            </w:pPr>
            <w:r>
              <w:t>26° 24.0’ N</w:t>
            </w:r>
          </w:p>
        </w:tc>
        <w:tc>
          <w:tcPr>
            <w:tcW w:w="2640" w:type="dxa"/>
          </w:tcPr>
          <w:p w14:paraId="49EC1F6B" w14:textId="77777777" w:rsidR="00293BDE" w:rsidRDefault="00000000">
            <w:pPr>
              <w:pStyle w:val="Compact"/>
            </w:pPr>
            <w:r>
              <w:t>057° 04.0’ E</w:t>
            </w:r>
          </w:p>
        </w:tc>
      </w:tr>
      <w:tr w:rsidR="00293BDE" w14:paraId="4025B23A" w14:textId="77777777" w:rsidTr="00293BDE">
        <w:tc>
          <w:tcPr>
            <w:tcW w:w="2640" w:type="dxa"/>
          </w:tcPr>
          <w:p w14:paraId="3C570A57" w14:textId="77777777" w:rsidR="00293BDE" w:rsidRDefault="00000000">
            <w:pPr>
              <w:pStyle w:val="Compact"/>
            </w:pPr>
            <w:r>
              <w:t>B-6</w:t>
            </w:r>
          </w:p>
        </w:tc>
        <w:tc>
          <w:tcPr>
            <w:tcW w:w="2640" w:type="dxa"/>
          </w:tcPr>
          <w:p w14:paraId="72349015" w14:textId="77777777" w:rsidR="00293BDE" w:rsidRDefault="00000000">
            <w:pPr>
              <w:pStyle w:val="Compact"/>
            </w:pPr>
            <w:r>
              <w:t>26° 19.0’ N</w:t>
            </w:r>
          </w:p>
        </w:tc>
        <w:tc>
          <w:tcPr>
            <w:tcW w:w="2640" w:type="dxa"/>
          </w:tcPr>
          <w:p w14:paraId="65887CB9" w14:textId="77777777" w:rsidR="00293BDE" w:rsidRDefault="00000000">
            <w:pPr>
              <w:pStyle w:val="Compact"/>
            </w:pPr>
            <w:r>
              <w:t>056° 40.0’ E</w:t>
            </w:r>
          </w:p>
        </w:tc>
      </w:tr>
    </w:tbl>
    <w:p w14:paraId="01333FEE" w14:textId="77777777" w:rsidR="00293BDE" w:rsidRDefault="00000000">
      <w:pPr>
        <w:pStyle w:val="BodyText"/>
      </w:pPr>
      <w:bookmarkStart w:id="371" w:name="a.4-central-buffer-corridor-waypoints"/>
      <w:r>
        <w:t>Functions: separation, emergency diversion, search-and-rescue routing, naval de-confliction geometry. Routine commercial traffic does not enter. The Buffer Corridor carries the enhanced monitoring density of Article 22.7.</w:t>
      </w:r>
      <w:bookmarkEnd w:id="371"/>
    </w:p>
    <w:p w14:paraId="26282D4F" w14:textId="77777777" w:rsidR="00293BDE" w:rsidRDefault="00000000">
      <w:pPr>
        <w:pStyle w:val="Heading2"/>
      </w:pPr>
      <w:bookmarkStart w:id="372" w:name="__RefHeading___Toc10902_3324765499"/>
      <w:bookmarkEnd w:id="372"/>
      <w:r>
        <w:t>A.5 Separation belts</w:t>
      </w:r>
    </w:p>
    <w:p w14:paraId="6E5EEABE" w14:textId="77777777" w:rsidR="00293BDE" w:rsidRDefault="00000000">
      <w:pPr>
        <w:pStyle w:val="FirstParagraph"/>
      </w:pPr>
      <w:bookmarkStart w:id="373" w:name="a.5-separation-belts"/>
      <w:r>
        <w:t>A separation belt of 0.5 NM runs along each corridor edge abutting the Buffer Corridor. A military standoff belt of 3.0 NM runs along the outer edges of both traffic corridors inside the Governance Area: military vessels hold outside corridor edges by this belt except when transiting under Article 23.5. The notification distance for military vessels of different states operating in the same segment is 5.0 NM, with course and speed exchanged through the de-confliction channel. Aircraft altitude bands over the corridor system: civilian traffic below 10,000 feet follows the published arrival and departure flows; military aircraft hold above 15,000 feet or outside the lateral boundary, except notified exercises inside their notified areas.</w:t>
      </w:r>
      <w:bookmarkEnd w:id="373"/>
    </w:p>
    <w:p w14:paraId="4A606575" w14:textId="77777777" w:rsidR="00293BDE" w:rsidRDefault="00000000">
      <w:pPr>
        <w:pStyle w:val="Heading2"/>
      </w:pPr>
      <w:bookmarkStart w:id="374" w:name="__RefHeading___Toc10904_3324765499"/>
      <w:bookmarkEnd w:id="374"/>
      <w:r>
        <w:t>A.6 Precautionary zones and holding anchorages</w:t>
      </w:r>
    </w:p>
    <w:p w14:paraId="6F21276C" w14:textId="77777777" w:rsidR="00293BDE" w:rsidRDefault="00000000">
      <w:pPr>
        <w:pStyle w:val="FirstParagraph"/>
      </w:pPr>
      <w:r>
        <w:t>Precautionary zones, where vessels navigate with particular caution at the principal junctions:</w:t>
      </w:r>
    </w:p>
    <w:tbl>
      <w:tblPr>
        <w:tblStyle w:val="Table"/>
        <w:tblW w:w="7920" w:type="dxa"/>
        <w:tblInd w:w="0" w:type="dxa"/>
        <w:tblLayout w:type="fixed"/>
        <w:tblLook w:val="0020" w:firstRow="1" w:lastRow="0" w:firstColumn="0" w:lastColumn="0" w:noHBand="0" w:noVBand="0"/>
      </w:tblPr>
      <w:tblGrid>
        <w:gridCol w:w="2640"/>
        <w:gridCol w:w="2640"/>
        <w:gridCol w:w="2640"/>
      </w:tblGrid>
      <w:tr w:rsidR="00293BDE" w14:paraId="4D0BCC37"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65F245FB" w14:textId="77777777" w:rsidR="00293BDE" w:rsidRDefault="00000000">
            <w:pPr>
              <w:pStyle w:val="Compact"/>
            </w:pPr>
            <w:r>
              <w:t>Zone</w:t>
            </w:r>
          </w:p>
        </w:tc>
        <w:tc>
          <w:tcPr>
            <w:tcW w:w="2640" w:type="dxa"/>
            <w:tcBorders>
              <w:bottom w:val="single" w:sz="6" w:space="0" w:color="000000"/>
            </w:tcBorders>
          </w:tcPr>
          <w:p w14:paraId="1A738FD1" w14:textId="77777777" w:rsidR="00293BDE" w:rsidRDefault="00000000">
            <w:pPr>
              <w:pStyle w:val="Compact"/>
            </w:pPr>
            <w:r>
              <w:t>Centre</w:t>
            </w:r>
          </w:p>
        </w:tc>
        <w:tc>
          <w:tcPr>
            <w:tcW w:w="2640" w:type="dxa"/>
            <w:tcBorders>
              <w:bottom w:val="single" w:sz="6" w:space="0" w:color="000000"/>
            </w:tcBorders>
          </w:tcPr>
          <w:p w14:paraId="5E611266" w14:textId="77777777" w:rsidR="00293BDE" w:rsidRDefault="00000000">
            <w:pPr>
              <w:pStyle w:val="Compact"/>
            </w:pPr>
            <w:r>
              <w:t>Radius</w:t>
            </w:r>
          </w:p>
        </w:tc>
      </w:tr>
      <w:tr w:rsidR="00293BDE" w14:paraId="132C410C" w14:textId="77777777" w:rsidTr="00293BDE">
        <w:tc>
          <w:tcPr>
            <w:tcW w:w="2640" w:type="dxa"/>
          </w:tcPr>
          <w:p w14:paraId="58A628CE" w14:textId="77777777" w:rsidR="00293BDE" w:rsidRDefault="00000000">
            <w:pPr>
              <w:pStyle w:val="Compact"/>
            </w:pPr>
            <w:r>
              <w:t>PZ-East</w:t>
            </w:r>
          </w:p>
        </w:tc>
        <w:tc>
          <w:tcPr>
            <w:tcW w:w="2640" w:type="dxa"/>
          </w:tcPr>
          <w:p w14:paraId="797843F8" w14:textId="77777777" w:rsidR="00293BDE" w:rsidRDefault="00000000">
            <w:pPr>
              <w:pStyle w:val="Compact"/>
            </w:pPr>
            <w:r>
              <w:t>26° 27.0’ N, 057° 08.0’ E</w:t>
            </w:r>
          </w:p>
        </w:tc>
        <w:tc>
          <w:tcPr>
            <w:tcW w:w="2640" w:type="dxa"/>
          </w:tcPr>
          <w:p w14:paraId="15D478D5" w14:textId="77777777" w:rsidR="00293BDE" w:rsidRDefault="00000000">
            <w:pPr>
              <w:pStyle w:val="Compact"/>
            </w:pPr>
            <w:r>
              <w:t>2.5 NM</w:t>
            </w:r>
          </w:p>
        </w:tc>
      </w:tr>
      <w:tr w:rsidR="00293BDE" w14:paraId="67D19EAC" w14:textId="77777777" w:rsidTr="00293BDE">
        <w:tc>
          <w:tcPr>
            <w:tcW w:w="2640" w:type="dxa"/>
          </w:tcPr>
          <w:p w14:paraId="23C82FA5" w14:textId="77777777" w:rsidR="00293BDE" w:rsidRDefault="00000000">
            <w:pPr>
              <w:pStyle w:val="Compact"/>
            </w:pPr>
            <w:r>
              <w:t>PZ-West</w:t>
            </w:r>
          </w:p>
        </w:tc>
        <w:tc>
          <w:tcPr>
            <w:tcW w:w="2640" w:type="dxa"/>
          </w:tcPr>
          <w:p w14:paraId="51D88EF4" w14:textId="77777777" w:rsidR="00293BDE" w:rsidRDefault="00000000">
            <w:pPr>
              <w:pStyle w:val="Compact"/>
            </w:pPr>
            <w:r>
              <w:t>26° 24.0’ N, 055° 58.0’ E</w:t>
            </w:r>
          </w:p>
        </w:tc>
        <w:tc>
          <w:tcPr>
            <w:tcW w:w="2640" w:type="dxa"/>
          </w:tcPr>
          <w:p w14:paraId="7BF10173" w14:textId="77777777" w:rsidR="00293BDE" w:rsidRDefault="00000000">
            <w:pPr>
              <w:pStyle w:val="Compact"/>
            </w:pPr>
            <w:r>
              <w:t>2.5 NM</w:t>
            </w:r>
          </w:p>
        </w:tc>
      </w:tr>
    </w:tbl>
    <w:p w14:paraId="6FC11D19" w14:textId="77777777" w:rsidR="00293BDE" w:rsidRDefault="00000000">
      <w:pPr>
        <w:pStyle w:val="BodyText"/>
      </w:pPr>
      <w:r>
        <w:t>Holding anchorages (Class H protocol, weather waits, system services):</w:t>
      </w:r>
    </w:p>
    <w:tbl>
      <w:tblPr>
        <w:tblStyle w:val="Table"/>
        <w:tblW w:w="7920" w:type="dxa"/>
        <w:tblInd w:w="0" w:type="dxa"/>
        <w:tblLayout w:type="fixed"/>
        <w:tblLook w:val="0020" w:firstRow="1" w:lastRow="0" w:firstColumn="0" w:lastColumn="0" w:noHBand="0" w:noVBand="0"/>
      </w:tblPr>
      <w:tblGrid>
        <w:gridCol w:w="1981"/>
        <w:gridCol w:w="1980"/>
        <w:gridCol w:w="1980"/>
        <w:gridCol w:w="1979"/>
      </w:tblGrid>
      <w:tr w:rsidR="00293BDE" w14:paraId="7325D7CE"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single" w:sz="6" w:space="0" w:color="000000"/>
            </w:tcBorders>
          </w:tcPr>
          <w:p w14:paraId="5E864882" w14:textId="77777777" w:rsidR="00293BDE" w:rsidRDefault="00000000">
            <w:pPr>
              <w:pStyle w:val="Compact"/>
            </w:pPr>
            <w:r>
              <w:t>Anchorage</w:t>
            </w:r>
          </w:p>
        </w:tc>
        <w:tc>
          <w:tcPr>
            <w:tcW w:w="1980" w:type="dxa"/>
            <w:tcBorders>
              <w:bottom w:val="single" w:sz="6" w:space="0" w:color="000000"/>
            </w:tcBorders>
          </w:tcPr>
          <w:p w14:paraId="609889F4" w14:textId="77777777" w:rsidR="00293BDE" w:rsidRDefault="00000000">
            <w:pPr>
              <w:pStyle w:val="Compact"/>
            </w:pPr>
            <w:r>
              <w:t>Centre</w:t>
            </w:r>
          </w:p>
        </w:tc>
        <w:tc>
          <w:tcPr>
            <w:tcW w:w="1980" w:type="dxa"/>
            <w:tcBorders>
              <w:bottom w:val="single" w:sz="6" w:space="0" w:color="000000"/>
            </w:tcBorders>
          </w:tcPr>
          <w:p w14:paraId="56F1309A" w14:textId="77777777" w:rsidR="00293BDE" w:rsidRDefault="00000000">
            <w:pPr>
              <w:pStyle w:val="Compact"/>
            </w:pPr>
            <w:r>
              <w:t>Radius</w:t>
            </w:r>
          </w:p>
        </w:tc>
        <w:tc>
          <w:tcPr>
            <w:tcW w:w="1979" w:type="dxa"/>
            <w:tcBorders>
              <w:bottom w:val="single" w:sz="6" w:space="0" w:color="000000"/>
            </w:tcBorders>
          </w:tcPr>
          <w:p w14:paraId="7DE27169" w14:textId="77777777" w:rsidR="00293BDE" w:rsidRDefault="00000000">
            <w:pPr>
              <w:pStyle w:val="Compact"/>
            </w:pPr>
            <w:r>
              <w:t>Depth</w:t>
            </w:r>
          </w:p>
        </w:tc>
      </w:tr>
      <w:tr w:rsidR="00293BDE" w14:paraId="4317798C" w14:textId="77777777" w:rsidTr="00293BDE">
        <w:tc>
          <w:tcPr>
            <w:tcW w:w="1980" w:type="dxa"/>
          </w:tcPr>
          <w:p w14:paraId="0DD4F40C" w14:textId="77777777" w:rsidR="00293BDE" w:rsidRDefault="00000000">
            <w:pPr>
              <w:pStyle w:val="Compact"/>
            </w:pPr>
            <w:r>
              <w:t>HA-East (North)</w:t>
            </w:r>
          </w:p>
        </w:tc>
        <w:tc>
          <w:tcPr>
            <w:tcW w:w="1980" w:type="dxa"/>
          </w:tcPr>
          <w:p w14:paraId="3DA32DBA" w14:textId="77777777" w:rsidR="00293BDE" w:rsidRDefault="00000000">
            <w:pPr>
              <w:pStyle w:val="Compact"/>
            </w:pPr>
            <w:r>
              <w:t>26° 44.0’ N, 057° 02.0’ E</w:t>
            </w:r>
          </w:p>
        </w:tc>
        <w:tc>
          <w:tcPr>
            <w:tcW w:w="1980" w:type="dxa"/>
          </w:tcPr>
          <w:p w14:paraId="381E0958" w14:textId="77777777" w:rsidR="00293BDE" w:rsidRDefault="00000000">
            <w:pPr>
              <w:pStyle w:val="Compact"/>
            </w:pPr>
            <w:r>
              <w:t>1.5 NM</w:t>
            </w:r>
          </w:p>
        </w:tc>
        <w:tc>
          <w:tcPr>
            <w:tcW w:w="1979" w:type="dxa"/>
          </w:tcPr>
          <w:p w14:paraId="73594776" w14:textId="77777777" w:rsidR="00293BDE" w:rsidRDefault="00000000">
            <w:pPr>
              <w:pStyle w:val="Compact"/>
            </w:pPr>
            <w:r>
              <w:t>45 to 60 m</w:t>
            </w:r>
          </w:p>
        </w:tc>
      </w:tr>
      <w:tr w:rsidR="00293BDE" w14:paraId="23BA2F1B" w14:textId="77777777" w:rsidTr="00293BDE">
        <w:tc>
          <w:tcPr>
            <w:tcW w:w="1980" w:type="dxa"/>
          </w:tcPr>
          <w:p w14:paraId="769EB71D" w14:textId="77777777" w:rsidR="00293BDE" w:rsidRDefault="00000000">
            <w:pPr>
              <w:pStyle w:val="Compact"/>
            </w:pPr>
            <w:r>
              <w:t>HA-East (South)</w:t>
            </w:r>
          </w:p>
        </w:tc>
        <w:tc>
          <w:tcPr>
            <w:tcW w:w="1980" w:type="dxa"/>
          </w:tcPr>
          <w:p w14:paraId="41E3C9C6" w14:textId="77777777" w:rsidR="00293BDE" w:rsidRDefault="00000000">
            <w:pPr>
              <w:pStyle w:val="Compact"/>
            </w:pPr>
            <w:r>
              <w:t>26° 06.0’ N, 056° 58.0’ E</w:t>
            </w:r>
          </w:p>
        </w:tc>
        <w:tc>
          <w:tcPr>
            <w:tcW w:w="1980" w:type="dxa"/>
          </w:tcPr>
          <w:p w14:paraId="5AC07CAE" w14:textId="77777777" w:rsidR="00293BDE" w:rsidRDefault="00000000">
            <w:pPr>
              <w:pStyle w:val="Compact"/>
            </w:pPr>
            <w:r>
              <w:t>1.5 NM</w:t>
            </w:r>
          </w:p>
        </w:tc>
        <w:tc>
          <w:tcPr>
            <w:tcW w:w="1979" w:type="dxa"/>
          </w:tcPr>
          <w:p w14:paraId="257C118E" w14:textId="77777777" w:rsidR="00293BDE" w:rsidRDefault="00000000">
            <w:pPr>
              <w:pStyle w:val="Compact"/>
            </w:pPr>
            <w:r>
              <w:t>40 to 55 m</w:t>
            </w:r>
          </w:p>
        </w:tc>
      </w:tr>
      <w:tr w:rsidR="00293BDE" w14:paraId="068B5D1A" w14:textId="77777777" w:rsidTr="00293BDE">
        <w:tc>
          <w:tcPr>
            <w:tcW w:w="1980" w:type="dxa"/>
          </w:tcPr>
          <w:p w14:paraId="38ADF354" w14:textId="77777777" w:rsidR="00293BDE" w:rsidRDefault="00000000">
            <w:pPr>
              <w:pStyle w:val="Compact"/>
            </w:pPr>
            <w:r>
              <w:t>HA-West (North)</w:t>
            </w:r>
          </w:p>
        </w:tc>
        <w:tc>
          <w:tcPr>
            <w:tcW w:w="1980" w:type="dxa"/>
          </w:tcPr>
          <w:p w14:paraId="045CB32A" w14:textId="77777777" w:rsidR="00293BDE" w:rsidRDefault="00000000">
            <w:pPr>
              <w:pStyle w:val="Compact"/>
            </w:pPr>
            <w:r>
              <w:t>26° 40.0’ N, 055° 52.0’ E</w:t>
            </w:r>
          </w:p>
        </w:tc>
        <w:tc>
          <w:tcPr>
            <w:tcW w:w="1980" w:type="dxa"/>
          </w:tcPr>
          <w:p w14:paraId="7351F6F8" w14:textId="77777777" w:rsidR="00293BDE" w:rsidRDefault="00000000">
            <w:pPr>
              <w:pStyle w:val="Compact"/>
            </w:pPr>
            <w:r>
              <w:t>1.5 NM</w:t>
            </w:r>
          </w:p>
        </w:tc>
        <w:tc>
          <w:tcPr>
            <w:tcW w:w="1979" w:type="dxa"/>
          </w:tcPr>
          <w:p w14:paraId="2A7C8873" w14:textId="77777777" w:rsidR="00293BDE" w:rsidRDefault="00000000">
            <w:pPr>
              <w:pStyle w:val="Compact"/>
            </w:pPr>
            <w:r>
              <w:t>40 to 55 m</w:t>
            </w:r>
          </w:p>
        </w:tc>
      </w:tr>
      <w:tr w:rsidR="00293BDE" w14:paraId="1EC5DAE3" w14:textId="77777777" w:rsidTr="00293BDE">
        <w:tc>
          <w:tcPr>
            <w:tcW w:w="1980" w:type="dxa"/>
          </w:tcPr>
          <w:p w14:paraId="2B7F6033" w14:textId="77777777" w:rsidR="00293BDE" w:rsidRDefault="00000000">
            <w:pPr>
              <w:pStyle w:val="Compact"/>
            </w:pPr>
            <w:r>
              <w:t>HA-West (South)</w:t>
            </w:r>
          </w:p>
        </w:tc>
        <w:tc>
          <w:tcPr>
            <w:tcW w:w="1980" w:type="dxa"/>
          </w:tcPr>
          <w:p w14:paraId="509A4F61" w14:textId="77777777" w:rsidR="00293BDE" w:rsidRDefault="00000000">
            <w:pPr>
              <w:pStyle w:val="Compact"/>
            </w:pPr>
            <w:r>
              <w:t>26° 08.0’ N, 056° 06.0’ E</w:t>
            </w:r>
          </w:p>
        </w:tc>
        <w:tc>
          <w:tcPr>
            <w:tcW w:w="1980" w:type="dxa"/>
          </w:tcPr>
          <w:p w14:paraId="4AE427AF" w14:textId="77777777" w:rsidR="00293BDE" w:rsidRDefault="00000000">
            <w:pPr>
              <w:pStyle w:val="Compact"/>
            </w:pPr>
            <w:r>
              <w:t>1.5 NM</w:t>
            </w:r>
          </w:p>
        </w:tc>
        <w:tc>
          <w:tcPr>
            <w:tcW w:w="1979" w:type="dxa"/>
          </w:tcPr>
          <w:p w14:paraId="2DD3508C" w14:textId="77777777" w:rsidR="00293BDE" w:rsidRDefault="00000000">
            <w:pPr>
              <w:pStyle w:val="Compact"/>
            </w:pPr>
            <w:bookmarkStart w:id="375" w:name="X8124bb9f0842ef622baa07bd9eb4fa4b023d3e0"/>
            <w:r>
              <w:t>38 to 50 m</w:t>
            </w:r>
            <w:bookmarkEnd w:id="375"/>
          </w:p>
        </w:tc>
      </w:tr>
    </w:tbl>
    <w:p w14:paraId="276AE9A5" w14:textId="77777777" w:rsidR="00293BDE" w:rsidRDefault="00000000">
      <w:pPr>
        <w:pStyle w:val="Heading2"/>
      </w:pPr>
      <w:bookmarkStart w:id="376" w:name="__RefHeading___Toc10906_3324765499"/>
      <w:bookmarkEnd w:id="376"/>
      <w:r>
        <w:t>A.7 Crossing gates, inshore bands, and reporting points</w:t>
      </w:r>
    </w:p>
    <w:p w14:paraId="4B9214BD" w14:textId="77777777" w:rsidR="00293BDE" w:rsidRDefault="00000000">
      <w:pPr>
        <w:pStyle w:val="FirstParagraph"/>
      </w:pPr>
      <w:r>
        <w:t>Crossing gates for military transit under Article 23.5: Gate Alpha (26° 30.0’ N, 056° 50.0’ E, width 2.0 NM, north-south orientation) and Gate Bravo (26° 22.0’ N, 056° 15.0’ E, width 2.0 NM, north-south orientation). Military transit bands follow the Buffer Corridor’s outer edges as charted. Inshore bands for Class G traffic: a band of 2.0 NM inside the northern boundary segment A1-1 to A1-3 and a band of 2.0 NM inside the southern boundary segment A1-5 to A1-7, reserved for small craft, with simplified procedures per Annex D. Reporting points for all traffic: S-2, S-5, N-2, N-5, PZ-East, PZ-West.</w:t>
      </w:r>
    </w:p>
    <w:p w14:paraId="3E328089" w14:textId="77777777" w:rsidR="00293BDE" w:rsidRDefault="00000000">
      <w:pPr>
        <w:pStyle w:val="Heading2"/>
      </w:pPr>
      <w:bookmarkStart w:id="377" w:name="__RefHeading___Toc10908_3324765499"/>
      <w:bookmarkEnd w:id="377"/>
      <w:r>
        <w:t>A.8 Quiet Water Windows</w:t>
      </w:r>
    </w:p>
    <w:p w14:paraId="3279D47F" w14:textId="77777777" w:rsidR="00293BDE" w:rsidRDefault="00000000">
      <w:pPr>
        <w:pStyle w:val="FirstParagraph"/>
      </w:pPr>
      <w:bookmarkStart w:id="378" w:name="a.8-quiet-water-windows"/>
      <w:r>
        <w:t>Standing Quiet Water Windows under Article 23.3: every Tuesday 04:00 to 16:00 UTC and every Friday 04:00 to 16:00 UTC, during which the framework excludes live-fire activity in and over the Governance Area. Exercise notifications for areas adjacent to the Governance Area publish on the Bulletin not fewer than seventy-two hours in advance regardless of windows.</w:t>
      </w:r>
      <w:bookmarkEnd w:id="378"/>
    </w:p>
    <w:p w14:paraId="06D9E5FB" w14:textId="77777777" w:rsidR="00293BDE" w:rsidRDefault="00000000">
      <w:pPr>
        <w:pStyle w:val="Heading2"/>
      </w:pPr>
      <w:bookmarkStart w:id="379" w:name="__RefHeading___Toc10910_3324765499"/>
      <w:bookmarkEnd w:id="379"/>
      <w:r>
        <w:t>A.9 Chart edition</w:t>
      </w:r>
    </w:p>
    <w:p w14:paraId="7058797D" w14:textId="77777777" w:rsidR="00293BDE" w:rsidRDefault="00000000">
      <w:pPr>
        <w:pStyle w:val="FirstParagraph"/>
      </w:pPr>
      <w:bookmarkStart w:id="380" w:name="a.9-chart-edition"/>
      <w:r>
        <w:t>The authoritative chart derives from this Annex and publishes as the Compact Chart, Edition 1, at Full Activation, through the IHO-recognized charting channel, in the three authoritative languages with English as the operational plotting language. Electronic navigational chart cells publish simultaneously. The chart carries one legend line in all three languages: passage is free; services carry charges; the Bulletin governs.</w:t>
      </w:r>
      <w:bookmarkEnd w:id="380"/>
    </w:p>
    <w:p w14:paraId="0D39B02B" w14:textId="77777777" w:rsidR="00293BDE" w:rsidRDefault="00000000">
      <w:pPr>
        <w:pStyle w:val="Heading2"/>
      </w:pPr>
      <w:bookmarkStart w:id="381" w:name="__RefHeading___Toc10912_3324765499"/>
      <w:bookmarkEnd w:id="381"/>
      <w:r>
        <w:t>A.10 Segment reference for Flow States</w:t>
      </w:r>
    </w:p>
    <w:p w14:paraId="7928098E" w14:textId="77777777" w:rsidR="00293BDE" w:rsidRDefault="00000000">
      <w:pPr>
        <w:pStyle w:val="FirstParagraph"/>
      </w:pPr>
      <w:r>
        <w:t>For Bulletin purposes, each corridor divides into three segments: East (waypoints 1 to 2 region), Central (waypoints 3 to 4 region), and West (waypoints 5 to 6 region). Flow State declarations cite the segment, so a Red declaration never covers more water than the hazard covers. The Buffer Corridor declares as a single segment.</w:t>
      </w:r>
    </w:p>
    <w:bookmarkStart w:id="382" w:name="X0e9d18ce7a8d0ee78f7f0eca7694145c0bc51be"/>
    <w:bookmarkStart w:id="383" w:name="a.10-segment-reference-for-flow-states"/>
    <w:p w14:paraId="100385AC" w14:textId="5D8889F5" w:rsidR="00293BDE" w:rsidRDefault="00622008">
      <w:r>
        <w:rPr>
          <w:noProof/>
        </w:rPr>
      </w:r>
      <w:r>
        <w:pict w14:anchorId="00F572F6">
          <v:rect id="Rectangle 16" o:spid="_x0000_s1039"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382"/>
      <w:bookmarkEnd w:id="383"/>
    </w:p>
    <w:p w14:paraId="722BDF56" w14:textId="77777777" w:rsidR="00293BDE" w:rsidRDefault="00000000">
      <w:pPr>
        <w:pStyle w:val="Heading1"/>
      </w:pPr>
      <w:bookmarkStart w:id="384" w:name="__RefHeading___Toc10914_3324765499"/>
      <w:bookmarkEnd w:id="384"/>
      <w:r>
        <w:t>ANNEX B: THE STRAIT SERVICES FUND CHARTER</w:t>
      </w:r>
    </w:p>
    <w:p w14:paraId="1823EDDD" w14:textId="77777777" w:rsidR="00293BDE" w:rsidRDefault="00000000">
      <w:pPr>
        <w:pStyle w:val="Heading2"/>
      </w:pPr>
      <w:bookmarkStart w:id="385" w:name="__RefHeading___Toc10916_3324765499"/>
      <w:bookmarkEnd w:id="385"/>
      <w:r>
        <w:t>B.1 Legal form and accounts</w:t>
      </w:r>
    </w:p>
    <w:p w14:paraId="3569086F" w14:textId="77777777" w:rsidR="00293BDE" w:rsidRDefault="00000000">
      <w:pPr>
        <w:pStyle w:val="FirstParagraph"/>
      </w:pPr>
      <w:bookmarkStart w:id="386" w:name="b.1-legal-form-and-accounts"/>
      <w:r>
        <w:t>The Fund is a purpose-bound fund under the administration of the Swiss Confederation as Neutral Administrator, operating under this Charter. The Fund maintains: the Principal Clearing Account under the Neutral Administrator’s clearing arrangements in Switzerland; the Operating Escrow under the Omani-administered escrow arrangements in Muscat; the Humanitarian Window sub-account; the Performance Reserve sub-account; the Compensation Window sub-account; and the Confidence Window sub-account of Section B.9. Transfers between the clearing account and the escrow execute mechanically on the registry’s certified records.</w:t>
      </w:r>
      <w:bookmarkEnd w:id="386"/>
    </w:p>
    <w:p w14:paraId="1975594D" w14:textId="77777777" w:rsidR="00293BDE" w:rsidRDefault="00000000">
      <w:pPr>
        <w:pStyle w:val="Heading2"/>
      </w:pPr>
      <w:bookmarkStart w:id="387" w:name="__RefHeading___Toc10918_3324765499"/>
      <w:bookmarkEnd w:id="387"/>
      <w:r>
        <w:t>B.2 Initial capitalization and budget framework</w:t>
      </w:r>
    </w:p>
    <w:p w14:paraId="45EFA3AF" w14:textId="77777777" w:rsidR="00293BDE" w:rsidRDefault="00000000">
      <w:pPr>
        <w:pStyle w:val="FirstParagraph"/>
      </w:pPr>
      <w:r>
        <w:t>Initial capitalization at signature: one hundred twenty million United States dollars, subscribed as follows: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6138A274"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156739B5" w14:textId="77777777" w:rsidR="00293BDE" w:rsidRDefault="00000000">
            <w:pPr>
              <w:pStyle w:val="Compact"/>
            </w:pPr>
            <w:r>
              <w:t>Source</w:t>
            </w:r>
          </w:p>
        </w:tc>
        <w:tc>
          <w:tcPr>
            <w:tcW w:w="3024" w:type="dxa"/>
            <w:tcBorders>
              <w:bottom w:val="single" w:sz="6" w:space="0" w:color="000000"/>
            </w:tcBorders>
          </w:tcPr>
          <w:p w14:paraId="341D9305" w14:textId="77777777" w:rsidR="00293BDE" w:rsidRDefault="00000000">
            <w:pPr>
              <w:pStyle w:val="Compact"/>
            </w:pPr>
            <w:r>
              <w:t>Amount (USD millions)</w:t>
            </w:r>
          </w:p>
        </w:tc>
        <w:tc>
          <w:tcPr>
            <w:tcW w:w="3024" w:type="dxa"/>
            <w:tcBorders>
              <w:bottom w:val="single" w:sz="6" w:space="0" w:color="000000"/>
            </w:tcBorders>
          </w:tcPr>
          <w:p w14:paraId="6D9DFE7B" w14:textId="77777777" w:rsidR="00293BDE" w:rsidRDefault="00000000">
            <w:pPr>
              <w:pStyle w:val="Compact"/>
            </w:pPr>
            <w:r>
              <w:t>Form</w:t>
            </w:r>
          </w:p>
        </w:tc>
      </w:tr>
      <w:tr w:rsidR="00293BDE" w14:paraId="4B04AC87" w14:textId="77777777" w:rsidTr="00293BDE">
        <w:tc>
          <w:tcPr>
            <w:tcW w:w="3024" w:type="dxa"/>
          </w:tcPr>
          <w:p w14:paraId="54BD1A06" w14:textId="77777777" w:rsidR="00293BDE" w:rsidRDefault="00000000">
            <w:pPr>
              <w:pStyle w:val="Compact"/>
            </w:pPr>
            <w:r>
              <w:t>Islamic Republic of Iran</w:t>
            </w:r>
          </w:p>
        </w:tc>
        <w:tc>
          <w:tcPr>
            <w:tcW w:w="3024" w:type="dxa"/>
          </w:tcPr>
          <w:p w14:paraId="759C48DE" w14:textId="77777777" w:rsidR="00293BDE" w:rsidRDefault="00000000">
            <w:pPr>
              <w:pStyle w:val="Compact"/>
            </w:pPr>
            <w:r>
              <w:t>20</w:t>
            </w:r>
          </w:p>
        </w:tc>
        <w:tc>
          <w:tcPr>
            <w:tcW w:w="3024" w:type="dxa"/>
          </w:tcPr>
          <w:p w14:paraId="07A4740C" w14:textId="77777777" w:rsidR="00293BDE" w:rsidRDefault="00000000">
            <w:pPr>
              <w:pStyle w:val="Compact"/>
            </w:pPr>
            <w:r>
              <w:t>Endowment contribution</w:t>
            </w:r>
          </w:p>
        </w:tc>
      </w:tr>
      <w:tr w:rsidR="00293BDE" w14:paraId="33AAC137" w14:textId="77777777" w:rsidTr="00293BDE">
        <w:tc>
          <w:tcPr>
            <w:tcW w:w="3024" w:type="dxa"/>
          </w:tcPr>
          <w:p w14:paraId="0D5B8B6A" w14:textId="77777777" w:rsidR="00293BDE" w:rsidRDefault="00000000">
            <w:pPr>
              <w:pStyle w:val="Compact"/>
            </w:pPr>
            <w:r>
              <w:t>Sultanate of Oman</w:t>
            </w:r>
          </w:p>
        </w:tc>
        <w:tc>
          <w:tcPr>
            <w:tcW w:w="3024" w:type="dxa"/>
          </w:tcPr>
          <w:p w14:paraId="0C002938" w14:textId="77777777" w:rsidR="00293BDE" w:rsidRDefault="00000000">
            <w:pPr>
              <w:pStyle w:val="Compact"/>
            </w:pPr>
            <w:r>
              <w:t>20</w:t>
            </w:r>
          </w:p>
        </w:tc>
        <w:tc>
          <w:tcPr>
            <w:tcW w:w="3024" w:type="dxa"/>
          </w:tcPr>
          <w:p w14:paraId="7D39F64C" w14:textId="77777777" w:rsidR="00293BDE" w:rsidRDefault="00000000">
            <w:pPr>
              <w:pStyle w:val="Compact"/>
            </w:pPr>
            <w:r>
              <w:t>Endowment contribution</w:t>
            </w:r>
          </w:p>
        </w:tc>
      </w:tr>
      <w:tr w:rsidR="00293BDE" w14:paraId="72FCCEC2" w14:textId="77777777" w:rsidTr="00293BDE">
        <w:tc>
          <w:tcPr>
            <w:tcW w:w="3024" w:type="dxa"/>
          </w:tcPr>
          <w:p w14:paraId="38C31B58" w14:textId="77777777" w:rsidR="00293BDE" w:rsidRDefault="00000000">
            <w:pPr>
              <w:pStyle w:val="Compact"/>
            </w:pPr>
            <w:r>
              <w:t>Gulf Cooperation Council states (collective)</w:t>
            </w:r>
          </w:p>
        </w:tc>
        <w:tc>
          <w:tcPr>
            <w:tcW w:w="3024" w:type="dxa"/>
          </w:tcPr>
          <w:p w14:paraId="2FFCD9EF" w14:textId="77777777" w:rsidR="00293BDE" w:rsidRDefault="00000000">
            <w:pPr>
              <w:pStyle w:val="Compact"/>
            </w:pPr>
            <w:r>
              <w:t>30</w:t>
            </w:r>
          </w:p>
        </w:tc>
        <w:tc>
          <w:tcPr>
            <w:tcW w:w="3024" w:type="dxa"/>
          </w:tcPr>
          <w:p w14:paraId="12416CEF" w14:textId="77777777" w:rsidR="00293BDE" w:rsidRDefault="00000000">
            <w:pPr>
              <w:pStyle w:val="Compact"/>
            </w:pPr>
            <w:r>
              <w:t>Endowment contribution</w:t>
            </w:r>
          </w:p>
        </w:tc>
      </w:tr>
      <w:tr w:rsidR="00293BDE" w14:paraId="07B510AC" w14:textId="77777777" w:rsidTr="00293BDE">
        <w:tc>
          <w:tcPr>
            <w:tcW w:w="3024" w:type="dxa"/>
          </w:tcPr>
          <w:p w14:paraId="6794E2AF" w14:textId="77777777" w:rsidR="00293BDE" w:rsidRDefault="00000000">
            <w:pPr>
              <w:pStyle w:val="Compact"/>
            </w:pPr>
            <w:r>
              <w:t>United States of America</w:t>
            </w:r>
          </w:p>
        </w:tc>
        <w:tc>
          <w:tcPr>
            <w:tcW w:w="3024" w:type="dxa"/>
          </w:tcPr>
          <w:p w14:paraId="55C9374E" w14:textId="77777777" w:rsidR="00293BDE" w:rsidRDefault="00000000">
            <w:pPr>
              <w:pStyle w:val="Compact"/>
            </w:pPr>
            <w:r>
              <w:t>20</w:t>
            </w:r>
          </w:p>
        </w:tc>
        <w:tc>
          <w:tcPr>
            <w:tcW w:w="3024" w:type="dxa"/>
          </w:tcPr>
          <w:p w14:paraId="235B7C1C" w14:textId="77777777" w:rsidR="00293BDE" w:rsidRDefault="00000000">
            <w:pPr>
              <w:pStyle w:val="Compact"/>
            </w:pPr>
            <w:r>
              <w:t>Endowment contribution (MOU economic architecture)</w:t>
            </w:r>
          </w:p>
        </w:tc>
      </w:tr>
      <w:tr w:rsidR="00293BDE" w14:paraId="0823ABFD" w14:textId="77777777" w:rsidTr="00293BDE">
        <w:tc>
          <w:tcPr>
            <w:tcW w:w="3024" w:type="dxa"/>
          </w:tcPr>
          <w:p w14:paraId="484D496F" w14:textId="77777777" w:rsidR="00293BDE" w:rsidRDefault="00000000">
            <w:pPr>
              <w:pStyle w:val="Compact"/>
            </w:pPr>
            <w:r>
              <w:t>European Union and member states</w:t>
            </w:r>
          </w:p>
        </w:tc>
        <w:tc>
          <w:tcPr>
            <w:tcW w:w="3024" w:type="dxa"/>
          </w:tcPr>
          <w:p w14:paraId="580714F1" w14:textId="77777777" w:rsidR="00293BDE" w:rsidRDefault="00000000">
            <w:pPr>
              <w:pStyle w:val="Compact"/>
            </w:pPr>
            <w:r>
              <w:t>20</w:t>
            </w:r>
          </w:p>
        </w:tc>
        <w:tc>
          <w:tcPr>
            <w:tcW w:w="3024" w:type="dxa"/>
          </w:tcPr>
          <w:p w14:paraId="22BB57CA" w14:textId="77777777" w:rsidR="00293BDE" w:rsidRDefault="00000000">
            <w:pPr>
              <w:pStyle w:val="Compact"/>
            </w:pPr>
            <w:r>
              <w:t>Endowment contribution</w:t>
            </w:r>
          </w:p>
        </w:tc>
      </w:tr>
      <w:tr w:rsidR="00293BDE" w14:paraId="75AC6E1F" w14:textId="77777777" w:rsidTr="00293BDE">
        <w:tc>
          <w:tcPr>
            <w:tcW w:w="3024" w:type="dxa"/>
          </w:tcPr>
          <w:p w14:paraId="5B89C6F3" w14:textId="77777777" w:rsidR="00293BDE" w:rsidRDefault="00000000">
            <w:pPr>
              <w:pStyle w:val="Compact"/>
            </w:pPr>
            <w:r>
              <w:t>Industry founding subscribers (via Voluntary Contribution Facility)</w:t>
            </w:r>
          </w:p>
        </w:tc>
        <w:tc>
          <w:tcPr>
            <w:tcW w:w="3024" w:type="dxa"/>
          </w:tcPr>
          <w:p w14:paraId="4FA24167" w14:textId="77777777" w:rsidR="00293BDE" w:rsidRDefault="00000000">
            <w:pPr>
              <w:pStyle w:val="Compact"/>
            </w:pPr>
            <w:r>
              <w:t>10</w:t>
            </w:r>
          </w:p>
        </w:tc>
        <w:tc>
          <w:tcPr>
            <w:tcW w:w="3024" w:type="dxa"/>
          </w:tcPr>
          <w:p w14:paraId="1EB3E031" w14:textId="77777777" w:rsidR="00293BDE" w:rsidRDefault="00000000">
            <w:pPr>
              <w:pStyle w:val="Compact"/>
            </w:pPr>
            <w:r>
              <w:t>Voluntary contribution</w:t>
            </w:r>
          </w:p>
        </w:tc>
      </w:tr>
    </w:tbl>
    <w:p w14:paraId="73098F8C" w14:textId="77777777" w:rsidR="00293BDE" w:rsidRDefault="00000000">
      <w:pPr>
        <w:pStyle w:val="BodyText"/>
      </w:pPr>
      <w:bookmarkStart w:id="388" w:name="X93a4ea12bed5ae613c687ebbce0d9bbba8c13cd"/>
      <w:r>
        <w:t>Annual budget framework cap: ninety-six million United States dollars, indexed annually to the published maritime services cost benchmark of Annex B.13. Indicative allocation: two seats and staffing, 34 percent; monitoring, registry, and data systems, 22 percent; survey amortization and aids to navigation, 16 percent; audit, verification, and administration, 10 percent; Compensation Window reserve, 8 percent; training, publications, and assistance pool, 6 percent; contingency, 4 percent.</w:t>
      </w:r>
      <w:bookmarkEnd w:id="388"/>
    </w:p>
    <w:p w14:paraId="50D4EA77" w14:textId="77777777" w:rsidR="00293BDE" w:rsidRDefault="00000000">
      <w:pPr>
        <w:pStyle w:val="Heading2"/>
      </w:pPr>
      <w:bookmarkStart w:id="389" w:name="__RefHeading___Toc10920_3324765499"/>
      <w:bookmarkEnd w:id="389"/>
      <w:r>
        <w:t>B.3 Payment mechanics</w:t>
      </w:r>
    </w:p>
    <w:p w14:paraId="1333B3C5" w14:textId="77777777" w:rsidR="00293BDE" w:rsidRDefault="00000000">
      <w:pPr>
        <w:pStyle w:val="FirstParagraph"/>
      </w:pPr>
      <w:bookmarkStart w:id="390" w:name="b.3-payment-mechanics"/>
      <w:r>
        <w:t>The invoicing cycle runs monthly in arrears. The Fund invoices vessel operators’ registered accounts for verified services only. Accepted currencies: United States dollars, euros, Swiss francs, and Omani rials, through the Firewall’s documented channels of Article 20.4. Apportionments release within five banking days of certification. The Confidence Window, the Humanitarian Window, and escrowed principal never participate in any pause, set-off, or compliance response.</w:t>
      </w:r>
      <w:bookmarkEnd w:id="390"/>
    </w:p>
    <w:p w14:paraId="41844C8E" w14:textId="77777777" w:rsidR="00293BDE" w:rsidRDefault="00000000">
      <w:pPr>
        <w:pStyle w:val="Heading2"/>
      </w:pPr>
      <w:bookmarkStart w:id="391" w:name="__RefHeading___Toc10922_3324765499"/>
      <w:bookmarkEnd w:id="391"/>
      <w:r>
        <w:t>B.4 Initial rate card (Assurance-Phase pilot rates at fifty percent in parentheses)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34DD834D"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0B79C213" w14:textId="77777777" w:rsidR="00293BDE" w:rsidRDefault="00000000">
            <w:pPr>
              <w:pStyle w:val="Compact"/>
            </w:pPr>
            <w:r>
              <w:t>Catalog service</w:t>
            </w:r>
          </w:p>
        </w:tc>
        <w:tc>
          <w:tcPr>
            <w:tcW w:w="3024" w:type="dxa"/>
            <w:tcBorders>
              <w:bottom w:val="single" w:sz="6" w:space="0" w:color="000000"/>
            </w:tcBorders>
          </w:tcPr>
          <w:p w14:paraId="59170840" w14:textId="77777777" w:rsidR="00293BDE" w:rsidRDefault="00000000">
            <w:pPr>
              <w:pStyle w:val="Compact"/>
            </w:pPr>
            <w:r>
              <w:t>Unit</w:t>
            </w:r>
          </w:p>
        </w:tc>
        <w:tc>
          <w:tcPr>
            <w:tcW w:w="3024" w:type="dxa"/>
            <w:tcBorders>
              <w:bottom w:val="single" w:sz="6" w:space="0" w:color="000000"/>
            </w:tcBorders>
          </w:tcPr>
          <w:p w14:paraId="63A465AD" w14:textId="77777777" w:rsidR="00293BDE" w:rsidRDefault="00000000">
            <w:pPr>
              <w:pStyle w:val="Compact"/>
            </w:pPr>
            <w:r>
              <w:t>Rate (USD)</w:t>
            </w:r>
          </w:p>
        </w:tc>
      </w:tr>
      <w:tr w:rsidR="00293BDE" w14:paraId="35AD3B95" w14:textId="77777777" w:rsidTr="00293BDE">
        <w:tc>
          <w:tcPr>
            <w:tcW w:w="3024" w:type="dxa"/>
          </w:tcPr>
          <w:p w14:paraId="3102F891" w14:textId="77777777" w:rsidR="00293BDE" w:rsidRDefault="00000000">
            <w:pPr>
              <w:pStyle w:val="Compact"/>
            </w:pPr>
            <w:r>
              <w:t>Inbound traffic management and information</w:t>
            </w:r>
          </w:p>
        </w:tc>
        <w:tc>
          <w:tcPr>
            <w:tcW w:w="3024" w:type="dxa"/>
          </w:tcPr>
          <w:p w14:paraId="5A06931D" w14:textId="77777777" w:rsidR="00293BDE" w:rsidRDefault="00000000">
            <w:pPr>
              <w:pStyle w:val="Compact"/>
            </w:pPr>
            <w:r>
              <w:t>per vessel per transit</w:t>
            </w:r>
          </w:p>
        </w:tc>
        <w:tc>
          <w:tcPr>
            <w:tcW w:w="3024" w:type="dxa"/>
          </w:tcPr>
          <w:p w14:paraId="4946A177" w14:textId="77777777" w:rsidR="00293BDE" w:rsidRDefault="00000000">
            <w:pPr>
              <w:pStyle w:val="Compact"/>
            </w:pPr>
            <w:r>
              <w:t>4,800 (2,400)</w:t>
            </w:r>
          </w:p>
        </w:tc>
      </w:tr>
      <w:tr w:rsidR="00293BDE" w14:paraId="36BEACC7" w14:textId="77777777" w:rsidTr="00293BDE">
        <w:tc>
          <w:tcPr>
            <w:tcW w:w="3024" w:type="dxa"/>
          </w:tcPr>
          <w:p w14:paraId="51D38571" w14:textId="77777777" w:rsidR="00293BDE" w:rsidRDefault="00000000">
            <w:pPr>
              <w:pStyle w:val="Compact"/>
            </w:pPr>
            <w:r>
              <w:t>Outbound traffic management and information</w:t>
            </w:r>
          </w:p>
        </w:tc>
        <w:tc>
          <w:tcPr>
            <w:tcW w:w="3024" w:type="dxa"/>
          </w:tcPr>
          <w:p w14:paraId="3AB31060" w14:textId="77777777" w:rsidR="00293BDE" w:rsidRDefault="00000000">
            <w:pPr>
              <w:pStyle w:val="Compact"/>
            </w:pPr>
            <w:r>
              <w:t>per vessel per transit</w:t>
            </w:r>
          </w:p>
        </w:tc>
        <w:tc>
          <w:tcPr>
            <w:tcW w:w="3024" w:type="dxa"/>
          </w:tcPr>
          <w:p w14:paraId="028801EE" w14:textId="77777777" w:rsidR="00293BDE" w:rsidRDefault="00000000">
            <w:pPr>
              <w:pStyle w:val="Compact"/>
            </w:pPr>
            <w:r>
              <w:t>4,800 (2,400)</w:t>
            </w:r>
          </w:p>
        </w:tc>
      </w:tr>
      <w:tr w:rsidR="00293BDE" w14:paraId="3EF37854" w14:textId="77777777" w:rsidTr="00293BDE">
        <w:tc>
          <w:tcPr>
            <w:tcW w:w="3024" w:type="dxa"/>
          </w:tcPr>
          <w:p w14:paraId="4BF7134E" w14:textId="77777777" w:rsidR="00293BDE" w:rsidRDefault="00000000">
            <w:pPr>
              <w:pStyle w:val="Compact"/>
            </w:pPr>
            <w:r>
              <w:t>Pilotage, on request</w:t>
            </w:r>
          </w:p>
        </w:tc>
        <w:tc>
          <w:tcPr>
            <w:tcW w:w="3024" w:type="dxa"/>
          </w:tcPr>
          <w:p w14:paraId="60AC6CFA" w14:textId="77777777" w:rsidR="00293BDE" w:rsidRDefault="00000000">
            <w:pPr>
              <w:pStyle w:val="Compact"/>
            </w:pPr>
            <w:r>
              <w:t>per vessel per corridor</w:t>
            </w:r>
          </w:p>
        </w:tc>
        <w:tc>
          <w:tcPr>
            <w:tcW w:w="3024" w:type="dxa"/>
          </w:tcPr>
          <w:p w14:paraId="51DDA443" w14:textId="77777777" w:rsidR="00293BDE" w:rsidRDefault="00000000">
            <w:pPr>
              <w:pStyle w:val="Compact"/>
            </w:pPr>
            <w:r>
              <w:t>4,200 (2,100)</w:t>
            </w:r>
          </w:p>
        </w:tc>
      </w:tr>
      <w:tr w:rsidR="00293BDE" w14:paraId="74759D23" w14:textId="77777777" w:rsidTr="00293BDE">
        <w:tc>
          <w:tcPr>
            <w:tcW w:w="3024" w:type="dxa"/>
          </w:tcPr>
          <w:p w14:paraId="1D5C0E20" w14:textId="77777777" w:rsidR="00293BDE" w:rsidRDefault="00000000">
            <w:pPr>
              <w:pStyle w:val="Compact"/>
            </w:pPr>
            <w:r>
              <w:t>Tug assistance or escort, on request</w:t>
            </w:r>
          </w:p>
        </w:tc>
        <w:tc>
          <w:tcPr>
            <w:tcW w:w="3024" w:type="dxa"/>
          </w:tcPr>
          <w:p w14:paraId="6F96B2C5" w14:textId="77777777" w:rsidR="00293BDE" w:rsidRDefault="00000000">
            <w:pPr>
              <w:pStyle w:val="Compact"/>
            </w:pPr>
            <w:r>
              <w:t>per tug per hour</w:t>
            </w:r>
          </w:p>
        </w:tc>
        <w:tc>
          <w:tcPr>
            <w:tcW w:w="3024" w:type="dxa"/>
          </w:tcPr>
          <w:p w14:paraId="035524E8" w14:textId="77777777" w:rsidR="00293BDE" w:rsidRDefault="00000000">
            <w:pPr>
              <w:pStyle w:val="Compact"/>
            </w:pPr>
            <w:r>
              <w:t>1,700 (850)</w:t>
            </w:r>
          </w:p>
        </w:tc>
      </w:tr>
      <w:tr w:rsidR="00293BDE" w14:paraId="37410A03" w14:textId="77777777" w:rsidTr="00293BDE">
        <w:tc>
          <w:tcPr>
            <w:tcW w:w="3024" w:type="dxa"/>
          </w:tcPr>
          <w:p w14:paraId="5F1A4525" w14:textId="77777777" w:rsidR="00293BDE" w:rsidRDefault="00000000">
            <w:pPr>
              <w:pStyle w:val="Compact"/>
            </w:pPr>
            <w:r>
              <w:t>Environmental monitoring (joint)</w:t>
            </w:r>
          </w:p>
        </w:tc>
        <w:tc>
          <w:tcPr>
            <w:tcW w:w="3024" w:type="dxa"/>
          </w:tcPr>
          <w:p w14:paraId="0DDB8FE9" w14:textId="77777777" w:rsidR="00293BDE" w:rsidRDefault="00000000">
            <w:pPr>
              <w:pStyle w:val="Compact"/>
            </w:pPr>
            <w:r>
              <w:t>per vessel per transit</w:t>
            </w:r>
          </w:p>
        </w:tc>
        <w:tc>
          <w:tcPr>
            <w:tcW w:w="3024" w:type="dxa"/>
          </w:tcPr>
          <w:p w14:paraId="3B2C8D99" w14:textId="77777777" w:rsidR="00293BDE" w:rsidRDefault="00000000">
            <w:pPr>
              <w:pStyle w:val="Compact"/>
            </w:pPr>
            <w:r>
              <w:t>1,150 (575)</w:t>
            </w:r>
          </w:p>
        </w:tc>
      </w:tr>
      <w:tr w:rsidR="00293BDE" w14:paraId="177CCA1B" w14:textId="77777777" w:rsidTr="00293BDE">
        <w:tc>
          <w:tcPr>
            <w:tcW w:w="3024" w:type="dxa"/>
          </w:tcPr>
          <w:p w14:paraId="5529F05A" w14:textId="77777777" w:rsidR="00293BDE" w:rsidRDefault="00000000">
            <w:pPr>
              <w:pStyle w:val="Compact"/>
            </w:pPr>
            <w:r>
              <w:t>Emergency-response readiness retainer</w:t>
            </w:r>
          </w:p>
        </w:tc>
        <w:tc>
          <w:tcPr>
            <w:tcW w:w="3024" w:type="dxa"/>
          </w:tcPr>
          <w:p w14:paraId="44F68FAD" w14:textId="77777777" w:rsidR="00293BDE" w:rsidRDefault="00000000">
            <w:pPr>
              <w:pStyle w:val="Compact"/>
            </w:pPr>
            <w:r>
              <w:t>per vessel per transit</w:t>
            </w:r>
          </w:p>
        </w:tc>
        <w:tc>
          <w:tcPr>
            <w:tcW w:w="3024" w:type="dxa"/>
          </w:tcPr>
          <w:p w14:paraId="41F2B7AA" w14:textId="77777777" w:rsidR="00293BDE" w:rsidRDefault="00000000">
            <w:pPr>
              <w:pStyle w:val="Compact"/>
            </w:pPr>
            <w:r>
              <w:t>950 (475)</w:t>
            </w:r>
          </w:p>
        </w:tc>
      </w:tr>
      <w:tr w:rsidR="00293BDE" w14:paraId="6E460E77" w14:textId="77777777" w:rsidTr="00293BDE">
        <w:tc>
          <w:tcPr>
            <w:tcW w:w="3024" w:type="dxa"/>
          </w:tcPr>
          <w:p w14:paraId="29621D04" w14:textId="77777777" w:rsidR="00293BDE" w:rsidRDefault="00000000">
            <w:pPr>
              <w:pStyle w:val="Compact"/>
            </w:pPr>
            <w:r>
              <w:t>Mine-hazard survey and clearance amortization</w:t>
            </w:r>
          </w:p>
        </w:tc>
        <w:tc>
          <w:tcPr>
            <w:tcW w:w="3024" w:type="dxa"/>
          </w:tcPr>
          <w:p w14:paraId="33FFE690" w14:textId="77777777" w:rsidR="00293BDE" w:rsidRDefault="00000000">
            <w:pPr>
              <w:pStyle w:val="Compact"/>
            </w:pPr>
            <w:r>
              <w:t>system cost; never invoiced to vessels</w:t>
            </w:r>
          </w:p>
        </w:tc>
        <w:tc>
          <w:tcPr>
            <w:tcW w:w="3024" w:type="dxa"/>
          </w:tcPr>
          <w:p w14:paraId="7B3D006B" w14:textId="77777777" w:rsidR="00293BDE" w:rsidRDefault="00000000">
            <w:pPr>
              <w:pStyle w:val="Compact"/>
            </w:pPr>
            <w:r>
              <w:t>nil</w:t>
            </w:r>
          </w:p>
        </w:tc>
      </w:tr>
      <w:tr w:rsidR="00293BDE" w14:paraId="17D7A8E0" w14:textId="77777777" w:rsidTr="00293BDE">
        <w:tc>
          <w:tcPr>
            <w:tcW w:w="3024" w:type="dxa"/>
          </w:tcPr>
          <w:p w14:paraId="10A5E657" w14:textId="77777777" w:rsidR="00293BDE" w:rsidRDefault="00000000">
            <w:pPr>
              <w:pStyle w:val="Compact"/>
            </w:pPr>
            <w:r>
              <w:t>Route Assurance Data Service, base layer</w:t>
            </w:r>
          </w:p>
        </w:tc>
        <w:tc>
          <w:tcPr>
            <w:tcW w:w="3024" w:type="dxa"/>
          </w:tcPr>
          <w:p w14:paraId="47825BDD" w14:textId="77777777" w:rsidR="00293BDE" w:rsidRDefault="00000000">
            <w:pPr>
              <w:pStyle w:val="Compact"/>
            </w:pPr>
            <w:r>
              <w:t>public</w:t>
            </w:r>
          </w:p>
        </w:tc>
        <w:tc>
          <w:tcPr>
            <w:tcW w:w="3024" w:type="dxa"/>
          </w:tcPr>
          <w:p w14:paraId="6F0B1954" w14:textId="77777777" w:rsidR="00293BDE" w:rsidRDefault="00000000">
            <w:pPr>
              <w:pStyle w:val="Compact"/>
            </w:pPr>
            <w:r>
              <w:t>nil</w:t>
            </w:r>
          </w:p>
        </w:tc>
      </w:tr>
      <w:tr w:rsidR="00293BDE" w14:paraId="77EAE018" w14:textId="77777777" w:rsidTr="00293BDE">
        <w:tc>
          <w:tcPr>
            <w:tcW w:w="3024" w:type="dxa"/>
          </w:tcPr>
          <w:p w14:paraId="47764881" w14:textId="77777777" w:rsidR="00293BDE" w:rsidRDefault="00000000">
            <w:pPr>
              <w:pStyle w:val="Compact"/>
            </w:pPr>
            <w:r>
              <w:t>Route Assurance Data Service, professional subscription</w:t>
            </w:r>
          </w:p>
        </w:tc>
        <w:tc>
          <w:tcPr>
            <w:tcW w:w="3024" w:type="dxa"/>
          </w:tcPr>
          <w:p w14:paraId="1FC8605F" w14:textId="77777777" w:rsidR="00293BDE" w:rsidRDefault="00000000">
            <w:pPr>
              <w:pStyle w:val="Compact"/>
            </w:pPr>
            <w:r>
              <w:t>per subscriber per year</w:t>
            </w:r>
          </w:p>
        </w:tc>
        <w:tc>
          <w:tcPr>
            <w:tcW w:w="3024" w:type="dxa"/>
          </w:tcPr>
          <w:p w14:paraId="6525D861" w14:textId="77777777" w:rsidR="00293BDE" w:rsidRDefault="00000000">
            <w:pPr>
              <w:pStyle w:val="Compact"/>
            </w:pPr>
            <w:r>
              <w:t>12,000 (nil during pilot)</w:t>
            </w:r>
          </w:p>
        </w:tc>
      </w:tr>
    </w:tbl>
    <w:p w14:paraId="08A3F747" w14:textId="77777777" w:rsidR="00293BDE" w:rsidRDefault="00000000">
      <w:pPr>
        <w:pStyle w:val="BodyText"/>
      </w:pPr>
      <w:bookmarkStart w:id="392" w:name="Xef27fec6285e688135e0d743fd7079acc42fa9b"/>
      <w:r>
        <w:t>Rates trace to the regional cost benchmarks of Section B.13 and carry a cost-recovery band of plus or minus five percent. The small-vessel exemption of Article 21.6 applies across the card.</w:t>
      </w:r>
      <w:bookmarkEnd w:id="392"/>
    </w:p>
    <w:p w14:paraId="15520A54" w14:textId="77777777" w:rsidR="00293BDE" w:rsidRDefault="00000000">
      <w:pPr>
        <w:pStyle w:val="Heading2"/>
      </w:pPr>
      <w:bookmarkStart w:id="393" w:name="__RefHeading___Toc10924_3324765499"/>
      <w:bookmarkEnd w:id="393"/>
      <w:r>
        <w:t>B.5 Apportionment mechanics</w:t>
      </w:r>
    </w:p>
    <w:p w14:paraId="07630073" w14:textId="77777777" w:rsidR="00293BDE" w:rsidRDefault="00000000">
      <w:pPr>
        <w:pStyle w:val="FirstParagraph"/>
      </w:pPr>
      <w:bookmarkStart w:id="394" w:name="b.5-apportionment-mechanics"/>
      <w:r>
        <w:t>Monthly apportionment per Article 18.4: each performing party receives the revenue its verified services earned, less the eight percent administration share. Joint services (environmental monitoring, emergency readiness, survey amortization) apportion fifty percent equally between the Coastal Two and fifty percent in proportion to verified workload from the registry’s service records. The Neutral Administrator certifies; the escrow releases; the registry logs. An indicative month at restored traffic (approximately 2,600 corridor transits, of which roughly 55 percent full-catalog users) yields gross service revenue near 28 million United States dollars, of which the inbound corridor earns approximately 13 million, the outbound corridor approximately 13 million, and joint services approximately 2 million before the administration share. Actual apportionment follows verified records only.</w:t>
      </w:r>
      <w:bookmarkEnd w:id="394"/>
    </w:p>
    <w:p w14:paraId="7C14FDA3" w14:textId="77777777" w:rsidR="00293BDE" w:rsidRDefault="00000000">
      <w:pPr>
        <w:pStyle w:val="Heading2"/>
      </w:pPr>
      <w:bookmarkStart w:id="395" w:name="__RefHeading___Toc10926_3324765499"/>
      <w:bookmarkEnd w:id="395"/>
      <w:r>
        <w:t>B.6 Compensation Window schedule</w:t>
      </w:r>
    </w:p>
    <w:p w14:paraId="4C534974" w14:textId="77777777" w:rsidR="00293BDE" w:rsidRDefault="00000000">
      <w:pPr>
        <w:pStyle w:val="FirstParagraph"/>
      </w:pPr>
      <w:bookmarkStart w:id="396" w:name="b.6-compensation-window-schedule"/>
      <w:r>
        <w:t>The Compensation Window holds a standing reserve of eight million United States dollars. Fast-track claims (wrongful delay, documented, capped at 250,000 United States dollars per vessel per event) pay within fourteen days. Standard claims pay within thirty days of determination. Replenishment draws first on the responsible Party’s Performance Bond where attribution holds, and otherwise on the Fund’s contingency line.</w:t>
      </w:r>
      <w:bookmarkEnd w:id="396"/>
    </w:p>
    <w:p w14:paraId="3235CF11" w14:textId="77777777" w:rsidR="00293BDE" w:rsidRDefault="00000000">
      <w:pPr>
        <w:pStyle w:val="Heading2"/>
      </w:pPr>
      <w:bookmarkStart w:id="397" w:name="__RefHeading___Toc10928_3324765499"/>
      <w:bookmarkEnd w:id="397"/>
      <w:r>
        <w:t>B.7 Insurance normalization schedule</w:t>
      </w:r>
    </w:p>
    <w:tbl>
      <w:tblPr>
        <w:tblStyle w:val="Table"/>
        <w:tblW w:w="5000" w:type="pct"/>
        <w:tblInd w:w="0" w:type="dxa"/>
        <w:tblLayout w:type="fixed"/>
        <w:tblLook w:val="0020" w:firstRow="1" w:lastRow="0" w:firstColumn="0" w:lastColumn="0" w:noHBand="0" w:noVBand="0"/>
      </w:tblPr>
      <w:tblGrid>
        <w:gridCol w:w="4643"/>
        <w:gridCol w:w="4645"/>
      </w:tblGrid>
      <w:tr w:rsidR="00293BDE" w14:paraId="0EE9FEA0"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4535" w:type="dxa"/>
            <w:tcBorders>
              <w:bottom w:val="single" w:sz="6" w:space="0" w:color="000000"/>
            </w:tcBorders>
          </w:tcPr>
          <w:p w14:paraId="5555968B" w14:textId="77777777" w:rsidR="00293BDE" w:rsidRDefault="00000000">
            <w:pPr>
              <w:pStyle w:val="Compact"/>
            </w:pPr>
            <w:r>
              <w:t>Milestone</w:t>
            </w:r>
          </w:p>
        </w:tc>
        <w:tc>
          <w:tcPr>
            <w:tcW w:w="4536" w:type="dxa"/>
            <w:tcBorders>
              <w:bottom w:val="single" w:sz="6" w:space="0" w:color="000000"/>
            </w:tcBorders>
          </w:tcPr>
          <w:p w14:paraId="4F7D2464" w14:textId="77777777" w:rsidR="00293BDE" w:rsidRDefault="00000000">
            <w:pPr>
              <w:pStyle w:val="Compact"/>
            </w:pPr>
            <w:r>
              <w:t>Target</w:t>
            </w:r>
          </w:p>
        </w:tc>
      </w:tr>
      <w:tr w:rsidR="00293BDE" w14:paraId="6982EDCB" w14:textId="77777777" w:rsidTr="00293BDE">
        <w:tc>
          <w:tcPr>
            <w:tcW w:w="4535" w:type="dxa"/>
          </w:tcPr>
          <w:p w14:paraId="41DA01FD" w14:textId="77777777" w:rsidR="00293BDE" w:rsidRDefault="00000000">
            <w:pPr>
              <w:pStyle w:val="Compact"/>
            </w:pPr>
            <w:r>
              <w:t>Full Activation</w:t>
            </w:r>
          </w:p>
        </w:tc>
        <w:tc>
          <w:tcPr>
            <w:tcW w:w="4536" w:type="dxa"/>
          </w:tcPr>
          <w:p w14:paraId="638B13C9" w14:textId="77777777" w:rsidR="00293BDE" w:rsidRDefault="00000000">
            <w:pPr>
              <w:pStyle w:val="Compact"/>
            </w:pPr>
            <w:r>
              <w:t>War-risk surcharge review by market on first quarterly data pack</w:t>
            </w:r>
          </w:p>
        </w:tc>
      </w:tr>
      <w:tr w:rsidR="00293BDE" w14:paraId="5C65C09C" w14:textId="77777777" w:rsidTr="00293BDE">
        <w:tc>
          <w:tcPr>
            <w:tcW w:w="4535" w:type="dxa"/>
          </w:tcPr>
          <w:p w14:paraId="5EE9748A" w14:textId="77777777" w:rsidR="00293BDE" w:rsidRDefault="00000000">
            <w:pPr>
              <w:pStyle w:val="Compact"/>
            </w:pPr>
            <w:r>
              <w:t>Full Activation plus 90 days</w:t>
            </w:r>
          </w:p>
        </w:tc>
        <w:tc>
          <w:tcPr>
            <w:tcW w:w="4536" w:type="dxa"/>
          </w:tcPr>
          <w:p w14:paraId="3D28AC46" w14:textId="77777777" w:rsidR="00293BDE" w:rsidRDefault="00000000">
            <w:pPr>
              <w:pStyle w:val="Compact"/>
            </w:pPr>
            <w:r>
              <w:t>Surcharge reduction of at least fifty percent from Assurance-Phase entry level</w:t>
            </w:r>
          </w:p>
        </w:tc>
      </w:tr>
      <w:tr w:rsidR="00293BDE" w14:paraId="59DD4175" w14:textId="77777777" w:rsidTr="00293BDE">
        <w:tc>
          <w:tcPr>
            <w:tcW w:w="4535" w:type="dxa"/>
          </w:tcPr>
          <w:p w14:paraId="469B0FF1" w14:textId="77777777" w:rsidR="00293BDE" w:rsidRDefault="00000000">
            <w:pPr>
              <w:pStyle w:val="Compact"/>
            </w:pPr>
            <w:r>
              <w:t>Full Activation plus 180 days</w:t>
            </w:r>
          </w:p>
        </w:tc>
        <w:tc>
          <w:tcPr>
            <w:tcW w:w="4536" w:type="dxa"/>
          </w:tcPr>
          <w:p w14:paraId="45BF6046" w14:textId="77777777" w:rsidR="00293BDE" w:rsidRDefault="00000000">
            <w:pPr>
              <w:pStyle w:val="Compact"/>
            </w:pPr>
            <w:r>
              <w:t>Ordinary market rating restored, absent Category Three events</w:t>
            </w:r>
          </w:p>
        </w:tc>
      </w:tr>
      <w:tr w:rsidR="00293BDE" w14:paraId="7516D385" w14:textId="77777777" w:rsidTr="00293BDE">
        <w:tc>
          <w:tcPr>
            <w:tcW w:w="4535" w:type="dxa"/>
          </w:tcPr>
          <w:p w14:paraId="18251227" w14:textId="77777777" w:rsidR="00293BDE" w:rsidRDefault="00000000">
            <w:pPr>
              <w:pStyle w:val="Compact"/>
            </w:pPr>
            <w:r>
              <w:t>Full Activation plus 365 days</w:t>
            </w:r>
          </w:p>
        </w:tc>
        <w:tc>
          <w:tcPr>
            <w:tcW w:w="4536" w:type="dxa"/>
          </w:tcPr>
          <w:p w14:paraId="6136242E" w14:textId="77777777" w:rsidR="00293BDE" w:rsidRDefault="00000000">
            <w:pPr>
              <w:pStyle w:val="Compact"/>
            </w:pPr>
            <w:r>
              <w:t>Hormuz transit rated at or below the five-year pre-crisis average</w:t>
            </w:r>
          </w:p>
        </w:tc>
      </w:tr>
    </w:tbl>
    <w:p w14:paraId="07BD9B38" w14:textId="77777777" w:rsidR="00293BDE" w:rsidRDefault="00000000">
      <w:pPr>
        <w:pStyle w:val="BodyText"/>
      </w:pPr>
      <w:bookmarkStart w:id="398" w:name="b.7-insurance-normalization-schedule"/>
      <w:r>
        <w:t>The schedule states targets the data earns; the Route Assurance Data Service supplies the evidence daily.</w:t>
      </w:r>
      <w:bookmarkEnd w:id="398"/>
    </w:p>
    <w:p w14:paraId="0FF8573D" w14:textId="77777777" w:rsidR="00293BDE" w:rsidRDefault="00000000">
      <w:pPr>
        <w:pStyle w:val="Heading2"/>
      </w:pPr>
      <w:bookmarkStart w:id="399" w:name="__RefHeading___Toc10930_3324765499"/>
      <w:bookmarkEnd w:id="399"/>
      <w:r>
        <w:t>B.8 Voluntary Contribution Facility scales</w:t>
      </w:r>
    </w:p>
    <w:p w14:paraId="453772DC" w14:textId="77777777" w:rsidR="00293BDE" w:rsidRDefault="00000000">
      <w:pPr>
        <w:pStyle w:val="FirstParagraph"/>
      </w:pPr>
      <w:bookmarkStart w:id="400" w:name="X3ff09e81e05404e9103b77ebb35a5f1a9dc0b2e"/>
      <w:r>
        <w:t>Suggested contribution scales, published and voluntary: 0.012 United States dollars per net tonne per transit for tankers and gas carriers; 0.008 per net tonne per transit for other cargo vessels; flat annual contributions for user states at three published tiers (1, 5, and 15 million United States dollars). Contributors publish annually with thanks; non-contributors never publish. The Facility funds the survey amortization and environmental lines first.</w:t>
      </w:r>
      <w:bookmarkEnd w:id="400"/>
    </w:p>
    <w:p w14:paraId="7B3E487F" w14:textId="77777777" w:rsidR="00293BDE" w:rsidRDefault="00000000">
      <w:pPr>
        <w:pStyle w:val="Heading2"/>
      </w:pPr>
      <w:bookmarkStart w:id="401" w:name="__RefHeading___Toc10932_3324765499"/>
      <w:bookmarkEnd w:id="401"/>
      <w:r>
        <w:t>B.9 The Confidence Window</w:t>
      </w:r>
    </w:p>
    <w:p w14:paraId="1F702387" w14:textId="77777777" w:rsidR="00293BDE" w:rsidRDefault="00000000">
      <w:pPr>
        <w:pStyle w:val="FirstParagraph"/>
      </w:pPr>
      <w:bookmarkStart w:id="402" w:name="b.9-the-confidence-window"/>
      <w:r>
        <w:t>The Confidence Window holds twenty million United States dollars, subscribed equally by the Coastal Two and matched by the Endorsing Stakeholders’ endowment line, in a dedicated sub-account. The Window stands exempt from every pause and every compliance response. Disbursement requires the written concurrence of both Coastal Parties plus the Neutral Administrator, for goodwill projects, confidence-building measures, and partial-performance recognition. Prohibited uses: any military, intelligence, or penalty purpose.</w:t>
      </w:r>
      <w:bookmarkEnd w:id="402"/>
    </w:p>
    <w:p w14:paraId="2C0FC165" w14:textId="77777777" w:rsidR="00293BDE" w:rsidRDefault="00000000">
      <w:pPr>
        <w:pStyle w:val="Heading2"/>
      </w:pPr>
      <w:bookmarkStart w:id="403" w:name="__RefHeading___Toc10934_3324765499"/>
      <w:bookmarkEnd w:id="403"/>
      <w:r>
        <w:t>B.10 Licenses and exemption calendar</w:t>
      </w:r>
    </w:p>
    <w:p w14:paraId="737B00E0" w14:textId="77777777" w:rsidR="00293BDE" w:rsidRDefault="00000000">
      <w:pPr>
        <w:pStyle w:val="FirstParagraph"/>
      </w:pPr>
      <w:bookmarkStart w:id="404" w:name="b.10-licenses-and-exemption-calendar"/>
      <w:r>
        <w:t>The Sanctions Compliance Officer maintains the standing documentation calendar: each jurisdiction’s licenses, exemptions, and comfort instruments identified at signature renew on the published calendar of this Annex, with renewal packages filed ninety days before each expiry and confirmation logged on the registry. The contingency routing plan maintains two alternate payment channels per currency, tested quarterly, activating within seventy-two hours of any channel interruption.</w:t>
      </w:r>
      <w:bookmarkEnd w:id="404"/>
    </w:p>
    <w:p w14:paraId="50DD92A0" w14:textId="77777777" w:rsidR="00293BDE" w:rsidRDefault="00000000">
      <w:pPr>
        <w:pStyle w:val="Heading2"/>
      </w:pPr>
      <w:bookmarkStart w:id="405" w:name="__RefHeading___Toc10936_3324765499"/>
      <w:bookmarkEnd w:id="405"/>
      <w:r>
        <w:t>B.11 Performance Bond sizing</w:t>
      </w:r>
    </w:p>
    <w:p w14:paraId="5F4EEAB3" w14:textId="77777777" w:rsidR="00293BDE" w:rsidRDefault="00000000">
      <w:pPr>
        <w:pStyle w:val="FirstParagraph"/>
      </w:pPr>
      <w:bookmarkStart w:id="406" w:name="b.11-performance-bond-sizing"/>
      <w:r>
        <w:t>Each performing Party’s Performance Bond posts at three times its average monthly apportionment as measured over the Assurance Phase, funded at Full Activation through the escrow, replenished within ninety days of any drawing, and reviewed annually against the apportionment record.</w:t>
      </w:r>
      <w:bookmarkEnd w:id="406"/>
    </w:p>
    <w:p w14:paraId="718EC86A" w14:textId="77777777" w:rsidR="00293BDE" w:rsidRDefault="00000000">
      <w:pPr>
        <w:pStyle w:val="Heading2"/>
      </w:pPr>
      <w:bookmarkStart w:id="407" w:name="__RefHeading___Toc10938_3324765499"/>
      <w:bookmarkEnd w:id="407"/>
      <w:r>
        <w:t>B.12 Audit cycle</w:t>
      </w:r>
    </w:p>
    <w:p w14:paraId="0DAB8039" w14:textId="77777777" w:rsidR="00293BDE" w:rsidRDefault="00000000">
      <w:pPr>
        <w:pStyle w:val="FirstParagraph"/>
      </w:pPr>
      <w:bookmarkStart w:id="408" w:name="b.12-audit-cycle"/>
      <w:r>
        <w:t>The independent audit contracts through open tender on a five-year rotation, performs continuous sampling through read-only registry access, reports quarterly to the Council and annually in published form, and performs the named tests of Article 20.2. Audit cost carries the administration line of the budget.</w:t>
      </w:r>
      <w:bookmarkEnd w:id="408"/>
    </w:p>
    <w:p w14:paraId="0762CBF9" w14:textId="77777777" w:rsidR="00293BDE" w:rsidRDefault="00000000">
      <w:pPr>
        <w:pStyle w:val="Heading2"/>
      </w:pPr>
      <w:bookmarkStart w:id="409" w:name="__RefHeading___Toc10940_3324765499"/>
      <w:bookmarkEnd w:id="409"/>
      <w:r>
        <w:t>B.13 Cost benchmarks</w:t>
      </w:r>
    </w:p>
    <w:p w14:paraId="7437CAF2" w14:textId="77777777" w:rsidR="00293BDE" w:rsidRDefault="00000000">
      <w:pPr>
        <w:pStyle w:val="FirstParagraph"/>
      </w:pPr>
      <w:bookmarkStart w:id="410" w:name="b.13-cost-benchmarks"/>
      <w:r>
        <w:t>Rates and the budget framework index to the published regional benchmarks for vessel traffic services, pilotage, tug services, and environmental monitoring in comparable waterways, as compiled by the Neutral Administrator from published sources each year and verified by the Technical and Standards Committee. The benchmark file publishes with the annual budget.</w:t>
      </w:r>
      <w:bookmarkEnd w:id="410"/>
    </w:p>
    <w:p w14:paraId="1B71AEA9" w14:textId="77777777" w:rsidR="00293BDE" w:rsidRDefault="00000000">
      <w:pPr>
        <w:pStyle w:val="Heading2"/>
      </w:pPr>
      <w:bookmarkStart w:id="411" w:name="__RefHeading___Toc10942_3324765499"/>
      <w:bookmarkEnd w:id="411"/>
      <w:r>
        <w:t>B.14 The heavy-user cap</w:t>
      </w:r>
    </w:p>
    <w:p w14:paraId="73464FE6" w14:textId="77777777" w:rsidR="00293BDE" w:rsidRDefault="00000000">
      <w:pPr>
        <w:pStyle w:val="FirstParagraph"/>
      </w:pPr>
      <w:bookmarkStart w:id="412" w:name="b.14-the-heavy-user-cap"/>
      <w:r>
        <w:t>The cap of Article 21.7 sets at twelve times the average operator’s annual charges, computed annually from the registry’s invoicing records and published with the rate card. Reconciliation executes in the first quarter of each year; over-cap amounts credit against the operator’s following-year invoices.</w:t>
      </w:r>
      <w:bookmarkEnd w:id="412"/>
    </w:p>
    <w:p w14:paraId="6B7427D5" w14:textId="77777777" w:rsidR="00293BDE" w:rsidRDefault="00000000">
      <w:pPr>
        <w:pStyle w:val="Heading2"/>
      </w:pPr>
      <w:bookmarkStart w:id="413" w:name="__RefHeading___Toc10944_3324765499"/>
      <w:bookmarkEnd w:id="413"/>
      <w:r>
        <w:t>B.15 Worked apportionment example</w:t>
      </w:r>
    </w:p>
    <w:p w14:paraId="62290B31" w14:textId="77777777" w:rsidR="00293BDE" w:rsidRDefault="00000000">
      <w:pPr>
        <w:pStyle w:val="FirstParagraph"/>
      </w:pPr>
      <w:bookmarkStart w:id="414" w:name="b.15-worked-apportionment-example"/>
      <w:r>
        <w:t>A worked month for transparency: 2,600 transits log; 1,430 full-catalog users generate traffic-management charges of 6.864 million United States dollars inbound and the same outbound across the month at standard rates; pilotage and tug services on request add 4.1 million; environmental and readiness charges add 5.46 million across all transits; data subscriptions add 0.4 million. Gross revenue: approximately 23.7 million. Administration share of eight percent: 1.9 million to the Authority budget. Joint-service pool: 5.46 million, split 2.73 million equally and 2.73 million by verified workload. The registry computes every figure from service records; this example publishes in the Handbook so every operator and every parliament checks the arithmetic directly.</w:t>
      </w:r>
      <w:bookmarkEnd w:id="414"/>
    </w:p>
    <w:p w14:paraId="5B9F3788" w14:textId="77777777" w:rsidR="00293BDE" w:rsidRDefault="00000000">
      <w:pPr>
        <w:pStyle w:val="Heading2"/>
      </w:pPr>
      <w:bookmarkStart w:id="415" w:name="__RefHeading___Toc10946_3324765499"/>
      <w:bookmarkEnd w:id="415"/>
      <w:r>
        <w:t>B.16 Charter amendment</w:t>
      </w:r>
    </w:p>
    <w:p w14:paraId="0622495B" w14:textId="77777777" w:rsidR="00293BDE" w:rsidRDefault="00000000">
      <w:pPr>
        <w:pStyle w:val="FirstParagraph"/>
      </w:pPr>
      <w:r>
        <w:t>This Charter amends only under Article 32.2. The Fund’s purpose, the humanitarian lock, the IPR-7 payment architecture, and the audit obligation form part of the protected core of Article 28 and amend only with the unanimity there stated.</w:t>
      </w:r>
    </w:p>
    <w:bookmarkStart w:id="416" w:name="annex-b-the-strait-services-fund-charter"/>
    <w:bookmarkStart w:id="417" w:name="b.16-charter-amendment"/>
    <w:p w14:paraId="6C64DF94" w14:textId="56C63C5D" w:rsidR="00293BDE" w:rsidRDefault="00622008">
      <w:r>
        <w:rPr>
          <w:noProof/>
        </w:rPr>
      </w:r>
      <w:r>
        <w:pict w14:anchorId="17500607">
          <v:rect id="Rectangle 17" o:spid="_x0000_s1038"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16"/>
      <w:bookmarkEnd w:id="417"/>
    </w:p>
    <w:p w14:paraId="74E22174" w14:textId="77777777" w:rsidR="00293BDE" w:rsidRDefault="00000000">
      <w:pPr>
        <w:pStyle w:val="Heading1"/>
      </w:pPr>
      <w:bookmarkStart w:id="418" w:name="__RefHeading___Toc10948_3324765499"/>
      <w:bookmarkEnd w:id="418"/>
      <w:r>
        <w:t>ANNEX C: THE COMPLIANCE POINT SCHEDULE</w:t>
      </w:r>
    </w:p>
    <w:p w14:paraId="222A668A" w14:textId="77777777" w:rsidR="00293BDE" w:rsidRDefault="00000000">
      <w:pPr>
        <w:pStyle w:val="Heading2"/>
      </w:pPr>
      <w:bookmarkStart w:id="419" w:name="__RefHeading___Toc10950_3324765499"/>
      <w:bookmarkEnd w:id="419"/>
      <w:r>
        <w:t>C.1 Purpose and rules</w:t>
      </w:r>
    </w:p>
    <w:p w14:paraId="4FAC784D" w14:textId="77777777" w:rsidR="00293BDE" w:rsidRDefault="00000000">
      <w:pPr>
        <w:pStyle w:val="FirstParagraph"/>
      </w:pPr>
      <w:bookmarkStart w:id="420" w:name="c.1-purpose-and-rules"/>
      <w:r>
        <w:t>This Schedule assigns points to verified compliance events. Points quantify, they do not moralize: they convert events into a common, predictable currency of response. Rules: points assess automatically upon verification under the Convergence Standard; a single event assesses under one category only, the most severe applicable; a continuing event assesses once, with duration feeding the Ladder’s multiplier instead; points expire one hundred eighty days after assessment if the balance stays clean; a Party challenges any assessment within fourteen days through the technical referee tier, with points held but not acted on during the challenge.</w:t>
      </w:r>
      <w:bookmarkEnd w:id="420"/>
    </w:p>
    <w:p w14:paraId="268FF658" w14:textId="77777777" w:rsidR="00293BDE" w:rsidRDefault="00000000">
      <w:pPr>
        <w:pStyle w:val="Heading2"/>
      </w:pPr>
      <w:bookmarkStart w:id="421" w:name="__RefHeading___Toc10952_3324765499"/>
      <w:bookmarkEnd w:id="421"/>
      <w:r>
        <w:t>C.2 Escalation thresholds</w:t>
      </w:r>
    </w:p>
    <w:tbl>
      <w:tblPr>
        <w:tblStyle w:val="Table"/>
        <w:tblW w:w="5000" w:type="pct"/>
        <w:tblInd w:w="0" w:type="dxa"/>
        <w:tblLayout w:type="fixed"/>
        <w:tblLook w:val="0020" w:firstRow="1" w:lastRow="0" w:firstColumn="0" w:lastColumn="0" w:noHBand="0" w:noVBand="0"/>
      </w:tblPr>
      <w:tblGrid>
        <w:gridCol w:w="4643"/>
        <w:gridCol w:w="4645"/>
      </w:tblGrid>
      <w:tr w:rsidR="00293BDE" w14:paraId="6F64C7DC"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4535" w:type="dxa"/>
            <w:tcBorders>
              <w:bottom w:val="single" w:sz="6" w:space="0" w:color="000000"/>
            </w:tcBorders>
          </w:tcPr>
          <w:p w14:paraId="7BEA55AC" w14:textId="77777777" w:rsidR="00293BDE" w:rsidRDefault="00000000">
            <w:pPr>
              <w:pStyle w:val="Compact"/>
            </w:pPr>
            <w:r>
              <w:t>Active points</w:t>
            </w:r>
          </w:p>
        </w:tc>
        <w:tc>
          <w:tcPr>
            <w:tcW w:w="4536" w:type="dxa"/>
            <w:tcBorders>
              <w:bottom w:val="single" w:sz="6" w:space="0" w:color="000000"/>
            </w:tcBorders>
          </w:tcPr>
          <w:p w14:paraId="67E5A12A" w14:textId="77777777" w:rsidR="00293BDE" w:rsidRDefault="00000000">
            <w:pPr>
              <w:pStyle w:val="Compact"/>
            </w:pPr>
            <w:r>
              <w:t>Consequence</w:t>
            </w:r>
          </w:p>
        </w:tc>
      </w:tr>
      <w:tr w:rsidR="00293BDE" w14:paraId="66A69406" w14:textId="77777777" w:rsidTr="00293BDE">
        <w:tc>
          <w:tcPr>
            <w:tcW w:w="4535" w:type="dxa"/>
          </w:tcPr>
          <w:p w14:paraId="08542994" w14:textId="77777777" w:rsidR="00293BDE" w:rsidRDefault="00000000">
            <w:pPr>
              <w:pStyle w:val="Compact"/>
            </w:pPr>
            <w:r>
              <w:t>0 to 4</w:t>
            </w:r>
          </w:p>
        </w:tc>
        <w:tc>
          <w:tcPr>
            <w:tcW w:w="4536" w:type="dxa"/>
          </w:tcPr>
          <w:p w14:paraId="1FCBC08D" w14:textId="77777777" w:rsidR="00293BDE" w:rsidRDefault="00000000">
            <w:pPr>
              <w:pStyle w:val="Compact"/>
            </w:pPr>
            <w:r>
              <w:t>Base Ladder response only, if any</w:t>
            </w:r>
          </w:p>
        </w:tc>
      </w:tr>
      <w:tr w:rsidR="00293BDE" w14:paraId="51742945" w14:textId="77777777" w:rsidTr="00293BDE">
        <w:tc>
          <w:tcPr>
            <w:tcW w:w="4535" w:type="dxa"/>
          </w:tcPr>
          <w:p w14:paraId="1F8989DE" w14:textId="77777777" w:rsidR="00293BDE" w:rsidRDefault="00000000">
            <w:pPr>
              <w:pStyle w:val="Compact"/>
            </w:pPr>
            <w:r>
              <w:t>5 to 7</w:t>
            </w:r>
          </w:p>
        </w:tc>
        <w:tc>
          <w:tcPr>
            <w:tcW w:w="4536" w:type="dxa"/>
          </w:tcPr>
          <w:p w14:paraId="7A7ABB66" w14:textId="77777777" w:rsidR="00293BDE" w:rsidRDefault="00000000">
            <w:pPr>
              <w:pStyle w:val="Compact"/>
            </w:pPr>
            <w:r>
              <w:t>Formal notice published on the compliance dashboard; no additional pause</w:t>
            </w:r>
          </w:p>
        </w:tc>
      </w:tr>
      <w:tr w:rsidR="00293BDE" w14:paraId="0A73A661" w14:textId="77777777" w:rsidTr="00293BDE">
        <w:tc>
          <w:tcPr>
            <w:tcW w:w="4535" w:type="dxa"/>
          </w:tcPr>
          <w:p w14:paraId="70602796" w14:textId="77777777" w:rsidR="00293BDE" w:rsidRDefault="00000000">
            <w:pPr>
              <w:pStyle w:val="Compact"/>
            </w:pPr>
            <w:r>
              <w:t>8 to 11</w:t>
            </w:r>
          </w:p>
        </w:tc>
        <w:tc>
          <w:tcPr>
            <w:tcW w:w="4536" w:type="dxa"/>
          </w:tcPr>
          <w:p w14:paraId="33DB986F" w14:textId="77777777" w:rsidR="00293BDE" w:rsidRDefault="00000000">
            <w:pPr>
              <w:pStyle w:val="Compact"/>
            </w:pPr>
            <w:r>
              <w:t>Ladder response increases one defined step until the balance falls below 8</w:t>
            </w:r>
          </w:p>
        </w:tc>
      </w:tr>
      <w:tr w:rsidR="00293BDE" w14:paraId="06F4EB1E" w14:textId="77777777" w:rsidTr="00293BDE">
        <w:tc>
          <w:tcPr>
            <w:tcW w:w="4535" w:type="dxa"/>
          </w:tcPr>
          <w:p w14:paraId="11C298BB" w14:textId="77777777" w:rsidR="00293BDE" w:rsidRDefault="00000000">
            <w:pPr>
              <w:pStyle w:val="Compact"/>
            </w:pPr>
            <w:r>
              <w:t>12 and above</w:t>
            </w:r>
          </w:p>
        </w:tc>
        <w:tc>
          <w:tcPr>
            <w:tcW w:w="4536" w:type="dxa"/>
          </w:tcPr>
          <w:p w14:paraId="7169E7F7" w14:textId="77777777" w:rsidR="00293BDE" w:rsidRDefault="00000000">
            <w:pPr>
              <w:pStyle w:val="Compact"/>
            </w:pPr>
            <w:bookmarkStart w:id="422" w:name="c.2-escalation-thresholds"/>
            <w:r>
              <w:t>Referral to the Guarantor and Facilitation Panel within forty-eight hours</w:t>
            </w:r>
            <w:bookmarkEnd w:id="422"/>
          </w:p>
        </w:tc>
      </w:tr>
    </w:tbl>
    <w:p w14:paraId="7CEC7F17" w14:textId="77777777" w:rsidR="00293BDE" w:rsidRDefault="00000000">
      <w:pPr>
        <w:pStyle w:val="Heading2"/>
      </w:pPr>
      <w:bookmarkStart w:id="423" w:name="__RefHeading___Toc10954_3324765499"/>
      <w:bookmarkEnd w:id="423"/>
      <w:r>
        <w:t>C.3 Maritime domain</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5965C3AB"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17D4811B" w14:textId="77777777" w:rsidR="00293BDE" w:rsidRDefault="00000000">
            <w:pPr>
              <w:pStyle w:val="Compact"/>
            </w:pPr>
            <w:r>
              <w:t>Code</w:t>
            </w:r>
          </w:p>
        </w:tc>
        <w:tc>
          <w:tcPr>
            <w:tcW w:w="1814" w:type="dxa"/>
            <w:tcBorders>
              <w:bottom w:val="single" w:sz="6" w:space="0" w:color="000000"/>
            </w:tcBorders>
          </w:tcPr>
          <w:p w14:paraId="4E69A414" w14:textId="77777777" w:rsidR="00293BDE" w:rsidRDefault="00000000">
            <w:pPr>
              <w:pStyle w:val="Compact"/>
            </w:pPr>
            <w:r>
              <w:t>Event</w:t>
            </w:r>
          </w:p>
        </w:tc>
        <w:tc>
          <w:tcPr>
            <w:tcW w:w="1815" w:type="dxa"/>
            <w:tcBorders>
              <w:bottom w:val="single" w:sz="6" w:space="0" w:color="000000"/>
            </w:tcBorders>
          </w:tcPr>
          <w:p w14:paraId="45C860BE" w14:textId="77777777" w:rsidR="00293BDE" w:rsidRDefault="00000000">
            <w:pPr>
              <w:pStyle w:val="Compact"/>
            </w:pPr>
            <w:r>
              <w:t>Threshold</w:t>
            </w:r>
          </w:p>
        </w:tc>
        <w:tc>
          <w:tcPr>
            <w:tcW w:w="1814" w:type="dxa"/>
            <w:tcBorders>
              <w:bottom w:val="single" w:sz="6" w:space="0" w:color="000000"/>
            </w:tcBorders>
          </w:tcPr>
          <w:p w14:paraId="33342BD2" w14:textId="77777777" w:rsidR="00293BDE" w:rsidRDefault="00000000">
            <w:pPr>
              <w:pStyle w:val="Compact"/>
            </w:pPr>
            <w:r>
              <w:t>Points</w:t>
            </w:r>
          </w:p>
        </w:tc>
        <w:tc>
          <w:tcPr>
            <w:tcW w:w="1815" w:type="dxa"/>
            <w:tcBorders>
              <w:bottom w:val="single" w:sz="6" w:space="0" w:color="000000"/>
            </w:tcBorders>
          </w:tcPr>
          <w:p w14:paraId="7381E61C" w14:textId="77777777" w:rsidR="00293BDE" w:rsidRDefault="00000000">
            <w:pPr>
              <w:pStyle w:val="Compact"/>
            </w:pPr>
            <w:r>
              <w:t>Category</w:t>
            </w:r>
          </w:p>
        </w:tc>
      </w:tr>
      <w:tr w:rsidR="00293BDE" w14:paraId="76A15795" w14:textId="77777777" w:rsidTr="00293BDE">
        <w:tc>
          <w:tcPr>
            <w:tcW w:w="1814" w:type="dxa"/>
          </w:tcPr>
          <w:p w14:paraId="30106EEF" w14:textId="77777777" w:rsidR="00293BDE" w:rsidRDefault="00000000">
            <w:pPr>
              <w:pStyle w:val="Compact"/>
            </w:pPr>
            <w:r>
              <w:t>M-1</w:t>
            </w:r>
          </w:p>
        </w:tc>
        <w:tc>
          <w:tcPr>
            <w:tcW w:w="1814" w:type="dxa"/>
          </w:tcPr>
          <w:p w14:paraId="017C8B50" w14:textId="77777777" w:rsidR="00293BDE" w:rsidRDefault="00000000">
            <w:pPr>
              <w:pStyle w:val="Compact"/>
            </w:pPr>
            <w:r>
              <w:t>Standoff touch without consequence</w:t>
            </w:r>
          </w:p>
        </w:tc>
        <w:tc>
          <w:tcPr>
            <w:tcW w:w="1815" w:type="dxa"/>
          </w:tcPr>
          <w:p w14:paraId="21F9304A" w14:textId="77777777" w:rsidR="00293BDE" w:rsidRDefault="00000000">
            <w:pPr>
              <w:pStyle w:val="Compact"/>
            </w:pPr>
            <w:r>
              <w:t>Single inadvertent entry inside the 2.0 NM service standoff, convergently verified</w:t>
            </w:r>
          </w:p>
        </w:tc>
        <w:tc>
          <w:tcPr>
            <w:tcW w:w="1814" w:type="dxa"/>
          </w:tcPr>
          <w:p w14:paraId="6FBE5183" w14:textId="77777777" w:rsidR="00293BDE" w:rsidRDefault="00000000">
            <w:pPr>
              <w:pStyle w:val="Compact"/>
            </w:pPr>
            <w:r>
              <w:t>1</w:t>
            </w:r>
          </w:p>
        </w:tc>
        <w:tc>
          <w:tcPr>
            <w:tcW w:w="1815" w:type="dxa"/>
          </w:tcPr>
          <w:p w14:paraId="7349F0A1" w14:textId="77777777" w:rsidR="00293BDE" w:rsidRDefault="00000000">
            <w:pPr>
              <w:pStyle w:val="Compact"/>
            </w:pPr>
            <w:r>
              <w:t>One</w:t>
            </w:r>
          </w:p>
        </w:tc>
      </w:tr>
      <w:tr w:rsidR="00293BDE" w14:paraId="5594E204" w14:textId="77777777" w:rsidTr="00293BDE">
        <w:tc>
          <w:tcPr>
            <w:tcW w:w="1814" w:type="dxa"/>
          </w:tcPr>
          <w:p w14:paraId="26A9DC27" w14:textId="77777777" w:rsidR="00293BDE" w:rsidRDefault="00000000">
            <w:pPr>
              <w:pStyle w:val="Compact"/>
            </w:pPr>
            <w:r>
              <w:t>M-2</w:t>
            </w:r>
          </w:p>
        </w:tc>
        <w:tc>
          <w:tcPr>
            <w:tcW w:w="1814" w:type="dxa"/>
          </w:tcPr>
          <w:p w14:paraId="5D6F82BB" w14:textId="77777777" w:rsidR="00293BDE" w:rsidRDefault="00000000">
            <w:pPr>
              <w:pStyle w:val="Compact"/>
            </w:pPr>
            <w:r>
              <w:t>Interference event without injury</w:t>
            </w:r>
          </w:p>
        </w:tc>
        <w:tc>
          <w:tcPr>
            <w:tcW w:w="1815" w:type="dxa"/>
          </w:tcPr>
          <w:p w14:paraId="19F7337A" w14:textId="77777777" w:rsidR="00293BDE" w:rsidRDefault="00000000">
            <w:pPr>
              <w:pStyle w:val="Compact"/>
            </w:pPr>
            <w:r>
              <w:t>Verified approach, diversion attempt, or harassment of commercial traffic</w:t>
            </w:r>
          </w:p>
        </w:tc>
        <w:tc>
          <w:tcPr>
            <w:tcW w:w="1814" w:type="dxa"/>
          </w:tcPr>
          <w:p w14:paraId="3B7E863E" w14:textId="77777777" w:rsidR="00293BDE" w:rsidRDefault="00000000">
            <w:pPr>
              <w:pStyle w:val="Compact"/>
            </w:pPr>
            <w:r>
              <w:t>6</w:t>
            </w:r>
          </w:p>
        </w:tc>
        <w:tc>
          <w:tcPr>
            <w:tcW w:w="1815" w:type="dxa"/>
          </w:tcPr>
          <w:p w14:paraId="7FF0D7D4" w14:textId="77777777" w:rsidR="00293BDE" w:rsidRDefault="00000000">
            <w:pPr>
              <w:pStyle w:val="Compact"/>
            </w:pPr>
            <w:r>
              <w:t>Two</w:t>
            </w:r>
          </w:p>
        </w:tc>
      </w:tr>
      <w:tr w:rsidR="00293BDE" w14:paraId="6CFAB453" w14:textId="77777777" w:rsidTr="00293BDE">
        <w:tc>
          <w:tcPr>
            <w:tcW w:w="1814" w:type="dxa"/>
          </w:tcPr>
          <w:p w14:paraId="4BAF92FC" w14:textId="77777777" w:rsidR="00293BDE" w:rsidRDefault="00000000">
            <w:pPr>
              <w:pStyle w:val="Compact"/>
            </w:pPr>
            <w:r>
              <w:t>M-3</w:t>
            </w:r>
          </w:p>
        </w:tc>
        <w:tc>
          <w:tcPr>
            <w:tcW w:w="1814" w:type="dxa"/>
          </w:tcPr>
          <w:p w14:paraId="29A6BE17" w14:textId="77777777" w:rsidR="00293BDE" w:rsidRDefault="00000000">
            <w:pPr>
              <w:pStyle w:val="Compact"/>
            </w:pPr>
            <w:r>
              <w:t>Interference event with injury or loss</w:t>
            </w:r>
          </w:p>
        </w:tc>
        <w:tc>
          <w:tcPr>
            <w:tcW w:w="1815" w:type="dxa"/>
          </w:tcPr>
          <w:p w14:paraId="7CD74B73" w14:textId="77777777" w:rsidR="00293BDE" w:rsidRDefault="00000000">
            <w:pPr>
              <w:pStyle w:val="Compact"/>
            </w:pPr>
            <w:r>
              <w:t>Any such event causing injury, loss of life, or material damage</w:t>
            </w:r>
          </w:p>
        </w:tc>
        <w:tc>
          <w:tcPr>
            <w:tcW w:w="1814" w:type="dxa"/>
          </w:tcPr>
          <w:p w14:paraId="6A766579" w14:textId="77777777" w:rsidR="00293BDE" w:rsidRDefault="00000000">
            <w:pPr>
              <w:pStyle w:val="Compact"/>
            </w:pPr>
            <w:r>
              <w:t>12</w:t>
            </w:r>
          </w:p>
        </w:tc>
        <w:tc>
          <w:tcPr>
            <w:tcW w:w="1815" w:type="dxa"/>
          </w:tcPr>
          <w:p w14:paraId="5B1FC5F8" w14:textId="77777777" w:rsidR="00293BDE" w:rsidRDefault="00000000">
            <w:pPr>
              <w:pStyle w:val="Compact"/>
            </w:pPr>
            <w:r>
              <w:t>Three</w:t>
            </w:r>
          </w:p>
        </w:tc>
      </w:tr>
      <w:tr w:rsidR="00293BDE" w14:paraId="37101BAC" w14:textId="77777777" w:rsidTr="00293BDE">
        <w:tc>
          <w:tcPr>
            <w:tcW w:w="1814" w:type="dxa"/>
          </w:tcPr>
          <w:p w14:paraId="68E4D04E" w14:textId="77777777" w:rsidR="00293BDE" w:rsidRDefault="00000000">
            <w:pPr>
              <w:pStyle w:val="Compact"/>
            </w:pPr>
            <w:r>
              <w:t>M-4</w:t>
            </w:r>
          </w:p>
        </w:tc>
        <w:tc>
          <w:tcPr>
            <w:tcW w:w="1814" w:type="dxa"/>
          </w:tcPr>
          <w:p w14:paraId="2D183FCA" w14:textId="77777777" w:rsidR="00293BDE" w:rsidRDefault="00000000">
            <w:pPr>
              <w:pStyle w:val="Compact"/>
            </w:pPr>
            <w:r>
              <w:t>Unlawful delay</w:t>
            </w:r>
          </w:p>
        </w:tc>
        <w:tc>
          <w:tcPr>
            <w:tcW w:w="1815" w:type="dxa"/>
          </w:tcPr>
          <w:p w14:paraId="1654011A" w14:textId="77777777" w:rsidR="00293BDE" w:rsidRDefault="00000000">
            <w:pPr>
              <w:pStyle w:val="Compact"/>
            </w:pPr>
            <w:r>
              <w:t>Vessel delayed in a corridor without safety justification, up to 6 hours</w:t>
            </w:r>
          </w:p>
        </w:tc>
        <w:tc>
          <w:tcPr>
            <w:tcW w:w="1814" w:type="dxa"/>
          </w:tcPr>
          <w:p w14:paraId="2FBAF852" w14:textId="77777777" w:rsidR="00293BDE" w:rsidRDefault="00000000">
            <w:pPr>
              <w:pStyle w:val="Compact"/>
            </w:pPr>
            <w:r>
              <w:t>1</w:t>
            </w:r>
          </w:p>
        </w:tc>
        <w:tc>
          <w:tcPr>
            <w:tcW w:w="1815" w:type="dxa"/>
          </w:tcPr>
          <w:p w14:paraId="32D52C45" w14:textId="77777777" w:rsidR="00293BDE" w:rsidRDefault="00000000">
            <w:pPr>
              <w:pStyle w:val="Compact"/>
            </w:pPr>
            <w:r>
              <w:t>One</w:t>
            </w:r>
          </w:p>
        </w:tc>
      </w:tr>
      <w:tr w:rsidR="00293BDE" w14:paraId="6FF316FC" w14:textId="77777777" w:rsidTr="00293BDE">
        <w:tc>
          <w:tcPr>
            <w:tcW w:w="1814" w:type="dxa"/>
          </w:tcPr>
          <w:p w14:paraId="00026FB4" w14:textId="77777777" w:rsidR="00293BDE" w:rsidRDefault="00000000">
            <w:pPr>
              <w:pStyle w:val="Compact"/>
            </w:pPr>
            <w:r>
              <w:t>M-5</w:t>
            </w:r>
          </w:p>
        </w:tc>
        <w:tc>
          <w:tcPr>
            <w:tcW w:w="1814" w:type="dxa"/>
          </w:tcPr>
          <w:p w14:paraId="7883F42D" w14:textId="77777777" w:rsidR="00293BDE" w:rsidRDefault="00000000">
            <w:pPr>
              <w:pStyle w:val="Compact"/>
            </w:pPr>
            <w:r>
              <w:t>Unlawful delay</w:t>
            </w:r>
          </w:p>
        </w:tc>
        <w:tc>
          <w:tcPr>
            <w:tcW w:w="1815" w:type="dxa"/>
          </w:tcPr>
          <w:p w14:paraId="793B4D7E" w14:textId="77777777" w:rsidR="00293BDE" w:rsidRDefault="00000000">
            <w:pPr>
              <w:pStyle w:val="Compact"/>
            </w:pPr>
            <w:r>
              <w:t>Same, 6 to 48 hours</w:t>
            </w:r>
          </w:p>
        </w:tc>
        <w:tc>
          <w:tcPr>
            <w:tcW w:w="1814" w:type="dxa"/>
          </w:tcPr>
          <w:p w14:paraId="7318DF2B" w14:textId="77777777" w:rsidR="00293BDE" w:rsidRDefault="00000000">
            <w:pPr>
              <w:pStyle w:val="Compact"/>
            </w:pPr>
            <w:r>
              <w:t>3</w:t>
            </w:r>
          </w:p>
        </w:tc>
        <w:tc>
          <w:tcPr>
            <w:tcW w:w="1815" w:type="dxa"/>
          </w:tcPr>
          <w:p w14:paraId="1C367354" w14:textId="77777777" w:rsidR="00293BDE" w:rsidRDefault="00000000">
            <w:pPr>
              <w:pStyle w:val="Compact"/>
            </w:pPr>
            <w:r>
              <w:t>Two</w:t>
            </w:r>
          </w:p>
        </w:tc>
      </w:tr>
      <w:tr w:rsidR="00293BDE" w14:paraId="5811CC25" w14:textId="77777777" w:rsidTr="00293BDE">
        <w:tc>
          <w:tcPr>
            <w:tcW w:w="1814" w:type="dxa"/>
          </w:tcPr>
          <w:p w14:paraId="5BC5A799" w14:textId="77777777" w:rsidR="00293BDE" w:rsidRDefault="00000000">
            <w:pPr>
              <w:pStyle w:val="Compact"/>
            </w:pPr>
            <w:r>
              <w:t>M-6</w:t>
            </w:r>
          </w:p>
        </w:tc>
        <w:tc>
          <w:tcPr>
            <w:tcW w:w="1814" w:type="dxa"/>
          </w:tcPr>
          <w:p w14:paraId="48BB81B5" w14:textId="77777777" w:rsidR="00293BDE" w:rsidRDefault="00000000">
            <w:pPr>
              <w:pStyle w:val="Compact"/>
            </w:pPr>
            <w:r>
              <w:t>Unlawful delay</w:t>
            </w:r>
          </w:p>
        </w:tc>
        <w:tc>
          <w:tcPr>
            <w:tcW w:w="1815" w:type="dxa"/>
          </w:tcPr>
          <w:p w14:paraId="5C6BD086" w14:textId="77777777" w:rsidR="00293BDE" w:rsidRDefault="00000000">
            <w:pPr>
              <w:pStyle w:val="Compact"/>
            </w:pPr>
            <w:r>
              <w:t>Same, beyond 48 hours</w:t>
            </w:r>
          </w:p>
        </w:tc>
        <w:tc>
          <w:tcPr>
            <w:tcW w:w="1814" w:type="dxa"/>
          </w:tcPr>
          <w:p w14:paraId="2F2B815E" w14:textId="77777777" w:rsidR="00293BDE" w:rsidRDefault="00000000">
            <w:pPr>
              <w:pStyle w:val="Compact"/>
            </w:pPr>
            <w:r>
              <w:t>6</w:t>
            </w:r>
          </w:p>
        </w:tc>
        <w:tc>
          <w:tcPr>
            <w:tcW w:w="1815" w:type="dxa"/>
          </w:tcPr>
          <w:p w14:paraId="330EC113" w14:textId="77777777" w:rsidR="00293BDE" w:rsidRDefault="00000000">
            <w:pPr>
              <w:pStyle w:val="Compact"/>
            </w:pPr>
            <w:r>
              <w:t>Two</w:t>
            </w:r>
          </w:p>
        </w:tc>
      </w:tr>
      <w:tr w:rsidR="00293BDE" w14:paraId="002F8A43" w14:textId="77777777" w:rsidTr="00293BDE">
        <w:tc>
          <w:tcPr>
            <w:tcW w:w="1814" w:type="dxa"/>
          </w:tcPr>
          <w:p w14:paraId="3DD183E7" w14:textId="77777777" w:rsidR="00293BDE" w:rsidRDefault="00000000">
            <w:pPr>
              <w:pStyle w:val="Compact"/>
            </w:pPr>
            <w:r>
              <w:t>M-7</w:t>
            </w:r>
          </w:p>
        </w:tc>
        <w:tc>
          <w:tcPr>
            <w:tcW w:w="1814" w:type="dxa"/>
          </w:tcPr>
          <w:p w14:paraId="29BE144E" w14:textId="77777777" w:rsidR="00293BDE" w:rsidRDefault="00000000">
            <w:pPr>
              <w:pStyle w:val="Compact"/>
            </w:pPr>
            <w:r>
              <w:t>Notice-system obstruction</w:t>
            </w:r>
          </w:p>
        </w:tc>
        <w:tc>
          <w:tcPr>
            <w:tcW w:w="1815" w:type="dxa"/>
          </w:tcPr>
          <w:p w14:paraId="7C1DB093" w14:textId="77777777" w:rsidR="00293BDE" w:rsidRDefault="00000000">
            <w:pPr>
              <w:pStyle w:val="Compact"/>
            </w:pPr>
            <w:r>
              <w:t>Failure to acknowledge, process, or route Annex D notices within standard</w:t>
            </w:r>
          </w:p>
        </w:tc>
        <w:tc>
          <w:tcPr>
            <w:tcW w:w="1814" w:type="dxa"/>
          </w:tcPr>
          <w:p w14:paraId="1A0BF91B" w14:textId="77777777" w:rsidR="00293BDE" w:rsidRDefault="00000000">
            <w:pPr>
              <w:pStyle w:val="Compact"/>
            </w:pPr>
            <w:r>
              <w:t>1</w:t>
            </w:r>
          </w:p>
        </w:tc>
        <w:tc>
          <w:tcPr>
            <w:tcW w:w="1815" w:type="dxa"/>
          </w:tcPr>
          <w:p w14:paraId="58604478" w14:textId="77777777" w:rsidR="00293BDE" w:rsidRDefault="00000000">
            <w:pPr>
              <w:pStyle w:val="Compact"/>
            </w:pPr>
            <w:r>
              <w:t>One</w:t>
            </w:r>
          </w:p>
        </w:tc>
      </w:tr>
      <w:tr w:rsidR="00293BDE" w14:paraId="6DED0CCA" w14:textId="77777777" w:rsidTr="00293BDE">
        <w:tc>
          <w:tcPr>
            <w:tcW w:w="1814" w:type="dxa"/>
          </w:tcPr>
          <w:p w14:paraId="3AD7D793" w14:textId="77777777" w:rsidR="00293BDE" w:rsidRDefault="00000000">
            <w:pPr>
              <w:pStyle w:val="Compact"/>
            </w:pPr>
            <w:r>
              <w:t>M-8</w:t>
            </w:r>
          </w:p>
        </w:tc>
        <w:tc>
          <w:tcPr>
            <w:tcW w:w="1814" w:type="dxa"/>
          </w:tcPr>
          <w:p w14:paraId="0575F4D4" w14:textId="77777777" w:rsidR="00293BDE" w:rsidRDefault="00000000">
            <w:pPr>
              <w:pStyle w:val="Compact"/>
            </w:pPr>
            <w:r>
              <w:t>Flow State abuse</w:t>
            </w:r>
          </w:p>
        </w:tc>
        <w:tc>
          <w:tcPr>
            <w:tcW w:w="1815" w:type="dxa"/>
          </w:tcPr>
          <w:p w14:paraId="193E2363" w14:textId="77777777" w:rsidR="00293BDE" w:rsidRDefault="00000000">
            <w:pPr>
              <w:pStyle w:val="Compact"/>
            </w:pPr>
            <w:r>
              <w:t>Flow State Red declared without convergent hazard, or held beyond hazard</w:t>
            </w:r>
          </w:p>
        </w:tc>
        <w:tc>
          <w:tcPr>
            <w:tcW w:w="1814" w:type="dxa"/>
          </w:tcPr>
          <w:p w14:paraId="7FE0538B" w14:textId="77777777" w:rsidR="00293BDE" w:rsidRDefault="00000000">
            <w:pPr>
              <w:pStyle w:val="Compact"/>
            </w:pPr>
            <w:r>
              <w:t>6</w:t>
            </w:r>
          </w:p>
        </w:tc>
        <w:tc>
          <w:tcPr>
            <w:tcW w:w="1815" w:type="dxa"/>
          </w:tcPr>
          <w:p w14:paraId="5BF1FFBE" w14:textId="77777777" w:rsidR="00293BDE" w:rsidRDefault="00000000">
            <w:pPr>
              <w:pStyle w:val="Compact"/>
            </w:pPr>
            <w:r>
              <w:t>Two</w:t>
            </w:r>
          </w:p>
        </w:tc>
      </w:tr>
      <w:tr w:rsidR="00293BDE" w14:paraId="66594A17" w14:textId="77777777" w:rsidTr="00293BDE">
        <w:tc>
          <w:tcPr>
            <w:tcW w:w="1814" w:type="dxa"/>
          </w:tcPr>
          <w:p w14:paraId="3A108962" w14:textId="77777777" w:rsidR="00293BDE" w:rsidRDefault="00000000">
            <w:pPr>
              <w:pStyle w:val="Compact"/>
            </w:pPr>
            <w:r>
              <w:t>M-9</w:t>
            </w:r>
          </w:p>
        </w:tc>
        <w:tc>
          <w:tcPr>
            <w:tcW w:w="1814" w:type="dxa"/>
          </w:tcPr>
          <w:p w14:paraId="277352F0" w14:textId="77777777" w:rsidR="00293BDE" w:rsidRDefault="00000000">
            <w:pPr>
              <w:pStyle w:val="Compact"/>
            </w:pPr>
            <w:r>
              <w:t>Anchor-and-Verify abuse</w:t>
            </w:r>
          </w:p>
        </w:tc>
        <w:tc>
          <w:tcPr>
            <w:tcW w:w="1815" w:type="dxa"/>
          </w:tcPr>
          <w:p w14:paraId="0E418EF7" w14:textId="77777777" w:rsidR="00293BDE" w:rsidRDefault="00000000">
            <w:pPr>
              <w:pStyle w:val="Compact"/>
            </w:pPr>
            <w:r>
              <w:t>Class H protocol held beyond the 6-hour standard without documented safety cause</w:t>
            </w:r>
          </w:p>
        </w:tc>
        <w:tc>
          <w:tcPr>
            <w:tcW w:w="1814" w:type="dxa"/>
          </w:tcPr>
          <w:p w14:paraId="0416620A" w14:textId="77777777" w:rsidR="00293BDE" w:rsidRDefault="00000000">
            <w:pPr>
              <w:pStyle w:val="Compact"/>
            </w:pPr>
            <w:r>
              <w:t>3</w:t>
            </w:r>
          </w:p>
        </w:tc>
        <w:tc>
          <w:tcPr>
            <w:tcW w:w="1815" w:type="dxa"/>
          </w:tcPr>
          <w:p w14:paraId="69BBD7F9" w14:textId="77777777" w:rsidR="00293BDE" w:rsidRDefault="00000000">
            <w:pPr>
              <w:pStyle w:val="Compact"/>
            </w:pPr>
            <w:r>
              <w:t>Two</w:t>
            </w:r>
          </w:p>
        </w:tc>
      </w:tr>
      <w:tr w:rsidR="00293BDE" w14:paraId="0884968E" w14:textId="77777777" w:rsidTr="00293BDE">
        <w:tc>
          <w:tcPr>
            <w:tcW w:w="1814" w:type="dxa"/>
          </w:tcPr>
          <w:p w14:paraId="0A7C3E02" w14:textId="77777777" w:rsidR="00293BDE" w:rsidRDefault="00000000">
            <w:pPr>
              <w:pStyle w:val="Compact"/>
            </w:pPr>
            <w:r>
              <w:t>M-10</w:t>
            </w:r>
          </w:p>
        </w:tc>
        <w:tc>
          <w:tcPr>
            <w:tcW w:w="1814" w:type="dxa"/>
          </w:tcPr>
          <w:p w14:paraId="5B638A8C" w14:textId="77777777" w:rsidR="00293BDE" w:rsidRDefault="00000000">
            <w:pPr>
              <w:pStyle w:val="Compact"/>
            </w:pPr>
            <w:r>
              <w:t>Small-craft regime interference</w:t>
            </w:r>
          </w:p>
        </w:tc>
        <w:tc>
          <w:tcPr>
            <w:tcW w:w="1815" w:type="dxa"/>
          </w:tcPr>
          <w:p w14:paraId="14C70311" w14:textId="77777777" w:rsidR="00293BDE" w:rsidRDefault="00000000">
            <w:pPr>
              <w:pStyle w:val="Compact"/>
            </w:pPr>
            <w:r>
              <w:t>Charging, stopping, or burdening Class G traffic contrary to Article 21.6</w:t>
            </w:r>
          </w:p>
        </w:tc>
        <w:tc>
          <w:tcPr>
            <w:tcW w:w="1814" w:type="dxa"/>
          </w:tcPr>
          <w:p w14:paraId="31CD4D5D" w14:textId="77777777" w:rsidR="00293BDE" w:rsidRDefault="00000000">
            <w:pPr>
              <w:pStyle w:val="Compact"/>
            </w:pPr>
            <w:r>
              <w:t>3</w:t>
            </w:r>
          </w:p>
        </w:tc>
        <w:tc>
          <w:tcPr>
            <w:tcW w:w="1815" w:type="dxa"/>
          </w:tcPr>
          <w:p w14:paraId="2C1DA661" w14:textId="77777777" w:rsidR="00293BDE" w:rsidRDefault="00000000">
            <w:pPr>
              <w:pStyle w:val="Compact"/>
            </w:pPr>
            <w:r>
              <w:t>Two</w:t>
            </w:r>
          </w:p>
        </w:tc>
      </w:tr>
    </w:tbl>
    <w:p w14:paraId="61908BB8" w14:textId="77777777" w:rsidR="00293BDE" w:rsidRDefault="00000000">
      <w:pPr>
        <w:pStyle w:val="Heading2"/>
      </w:pPr>
      <w:bookmarkStart w:id="424" w:name="__RefHeading___Toc10956_3324765499"/>
      <w:bookmarkEnd w:id="424"/>
      <w:r>
        <w:t>C.4 De-confliction domain</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366CDE52"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014CEC49" w14:textId="77777777" w:rsidR="00293BDE" w:rsidRDefault="00000000">
            <w:pPr>
              <w:pStyle w:val="Compact"/>
            </w:pPr>
            <w:r>
              <w:t>Code</w:t>
            </w:r>
          </w:p>
        </w:tc>
        <w:tc>
          <w:tcPr>
            <w:tcW w:w="1814" w:type="dxa"/>
            <w:tcBorders>
              <w:bottom w:val="single" w:sz="6" w:space="0" w:color="000000"/>
            </w:tcBorders>
          </w:tcPr>
          <w:p w14:paraId="7F116935" w14:textId="77777777" w:rsidR="00293BDE" w:rsidRDefault="00000000">
            <w:pPr>
              <w:pStyle w:val="Compact"/>
            </w:pPr>
            <w:r>
              <w:t>Event</w:t>
            </w:r>
          </w:p>
        </w:tc>
        <w:tc>
          <w:tcPr>
            <w:tcW w:w="1815" w:type="dxa"/>
            <w:tcBorders>
              <w:bottom w:val="single" w:sz="6" w:space="0" w:color="000000"/>
            </w:tcBorders>
          </w:tcPr>
          <w:p w14:paraId="59FE1B67" w14:textId="77777777" w:rsidR="00293BDE" w:rsidRDefault="00000000">
            <w:pPr>
              <w:pStyle w:val="Compact"/>
            </w:pPr>
            <w:r>
              <w:t>Threshold</w:t>
            </w:r>
          </w:p>
        </w:tc>
        <w:tc>
          <w:tcPr>
            <w:tcW w:w="1814" w:type="dxa"/>
            <w:tcBorders>
              <w:bottom w:val="single" w:sz="6" w:space="0" w:color="000000"/>
            </w:tcBorders>
          </w:tcPr>
          <w:p w14:paraId="046E1B42" w14:textId="77777777" w:rsidR="00293BDE" w:rsidRDefault="00000000">
            <w:pPr>
              <w:pStyle w:val="Compact"/>
            </w:pPr>
            <w:r>
              <w:t>Points</w:t>
            </w:r>
          </w:p>
        </w:tc>
        <w:tc>
          <w:tcPr>
            <w:tcW w:w="1815" w:type="dxa"/>
            <w:tcBorders>
              <w:bottom w:val="single" w:sz="6" w:space="0" w:color="000000"/>
            </w:tcBorders>
          </w:tcPr>
          <w:p w14:paraId="0F18687B" w14:textId="77777777" w:rsidR="00293BDE" w:rsidRDefault="00000000">
            <w:pPr>
              <w:pStyle w:val="Compact"/>
            </w:pPr>
            <w:r>
              <w:t>Category</w:t>
            </w:r>
          </w:p>
        </w:tc>
      </w:tr>
      <w:tr w:rsidR="00293BDE" w14:paraId="33C271C7" w14:textId="77777777" w:rsidTr="00293BDE">
        <w:tc>
          <w:tcPr>
            <w:tcW w:w="1814" w:type="dxa"/>
          </w:tcPr>
          <w:p w14:paraId="0999CD01" w14:textId="77777777" w:rsidR="00293BDE" w:rsidRDefault="00000000">
            <w:pPr>
              <w:pStyle w:val="Compact"/>
            </w:pPr>
            <w:r>
              <w:t>D-1</w:t>
            </w:r>
          </w:p>
        </w:tc>
        <w:tc>
          <w:tcPr>
            <w:tcW w:w="1814" w:type="dxa"/>
          </w:tcPr>
          <w:p w14:paraId="6C5A5157" w14:textId="77777777" w:rsidR="00293BDE" w:rsidRDefault="00000000">
            <w:pPr>
              <w:pStyle w:val="Compact"/>
            </w:pPr>
            <w:r>
              <w:t>Hotline test failure</w:t>
            </w:r>
          </w:p>
        </w:tc>
        <w:tc>
          <w:tcPr>
            <w:tcW w:w="1815" w:type="dxa"/>
          </w:tcPr>
          <w:p w14:paraId="5FEF565D" w14:textId="77777777" w:rsidR="00293BDE" w:rsidRDefault="00000000">
            <w:pPr>
              <w:pStyle w:val="Compact"/>
            </w:pPr>
            <w:r>
              <w:t>Single missed 06:00 UTC daily test</w:t>
            </w:r>
          </w:p>
        </w:tc>
        <w:tc>
          <w:tcPr>
            <w:tcW w:w="1814" w:type="dxa"/>
          </w:tcPr>
          <w:p w14:paraId="7BD10D04" w14:textId="77777777" w:rsidR="00293BDE" w:rsidRDefault="00000000">
            <w:pPr>
              <w:pStyle w:val="Compact"/>
            </w:pPr>
            <w:r>
              <w:t>1</w:t>
            </w:r>
          </w:p>
        </w:tc>
        <w:tc>
          <w:tcPr>
            <w:tcW w:w="1815" w:type="dxa"/>
          </w:tcPr>
          <w:p w14:paraId="1DED4D7D" w14:textId="77777777" w:rsidR="00293BDE" w:rsidRDefault="00000000">
            <w:pPr>
              <w:pStyle w:val="Compact"/>
            </w:pPr>
            <w:r>
              <w:t>One</w:t>
            </w:r>
          </w:p>
        </w:tc>
      </w:tr>
      <w:tr w:rsidR="00293BDE" w14:paraId="01D9B1CE" w14:textId="77777777" w:rsidTr="00293BDE">
        <w:tc>
          <w:tcPr>
            <w:tcW w:w="1814" w:type="dxa"/>
          </w:tcPr>
          <w:p w14:paraId="4593B011" w14:textId="77777777" w:rsidR="00293BDE" w:rsidRDefault="00000000">
            <w:pPr>
              <w:pStyle w:val="Compact"/>
            </w:pPr>
            <w:r>
              <w:t>D-2</w:t>
            </w:r>
          </w:p>
        </w:tc>
        <w:tc>
          <w:tcPr>
            <w:tcW w:w="1814" w:type="dxa"/>
          </w:tcPr>
          <w:p w14:paraId="4DD64EAC" w14:textId="77777777" w:rsidR="00293BDE" w:rsidRDefault="00000000">
            <w:pPr>
              <w:pStyle w:val="Compact"/>
            </w:pPr>
            <w:r>
              <w:t>Hotline test failure</w:t>
            </w:r>
          </w:p>
        </w:tc>
        <w:tc>
          <w:tcPr>
            <w:tcW w:w="1815" w:type="dxa"/>
          </w:tcPr>
          <w:p w14:paraId="3194F5CD" w14:textId="77777777" w:rsidR="00293BDE" w:rsidRDefault="00000000">
            <w:pPr>
              <w:pStyle w:val="Compact"/>
            </w:pPr>
            <w:r>
              <w:t>Three consecutive missed tests</w:t>
            </w:r>
          </w:p>
        </w:tc>
        <w:tc>
          <w:tcPr>
            <w:tcW w:w="1814" w:type="dxa"/>
          </w:tcPr>
          <w:p w14:paraId="3AA680BB" w14:textId="77777777" w:rsidR="00293BDE" w:rsidRDefault="00000000">
            <w:pPr>
              <w:pStyle w:val="Compact"/>
            </w:pPr>
            <w:r>
              <w:t>3</w:t>
            </w:r>
          </w:p>
        </w:tc>
        <w:tc>
          <w:tcPr>
            <w:tcW w:w="1815" w:type="dxa"/>
          </w:tcPr>
          <w:p w14:paraId="20A555CF" w14:textId="77777777" w:rsidR="00293BDE" w:rsidRDefault="00000000">
            <w:pPr>
              <w:pStyle w:val="Compact"/>
            </w:pPr>
            <w:r>
              <w:t>Two</w:t>
            </w:r>
          </w:p>
        </w:tc>
      </w:tr>
      <w:tr w:rsidR="00293BDE" w14:paraId="1E6E7A20" w14:textId="77777777" w:rsidTr="00293BDE">
        <w:tc>
          <w:tcPr>
            <w:tcW w:w="1814" w:type="dxa"/>
          </w:tcPr>
          <w:p w14:paraId="1786E9E1" w14:textId="77777777" w:rsidR="00293BDE" w:rsidRDefault="00000000">
            <w:pPr>
              <w:pStyle w:val="Compact"/>
            </w:pPr>
            <w:r>
              <w:t>D-3</w:t>
            </w:r>
          </w:p>
        </w:tc>
        <w:tc>
          <w:tcPr>
            <w:tcW w:w="1814" w:type="dxa"/>
          </w:tcPr>
          <w:p w14:paraId="2DC71F81" w14:textId="77777777" w:rsidR="00293BDE" w:rsidRDefault="00000000">
            <w:pPr>
              <w:pStyle w:val="Compact"/>
            </w:pPr>
            <w:r>
              <w:t>Incident no-response</w:t>
            </w:r>
          </w:p>
        </w:tc>
        <w:tc>
          <w:tcPr>
            <w:tcW w:w="1815" w:type="dxa"/>
          </w:tcPr>
          <w:p w14:paraId="4B105C46" w14:textId="77777777" w:rsidR="00293BDE" w:rsidRDefault="00000000">
            <w:pPr>
              <w:pStyle w:val="Compact"/>
            </w:pPr>
            <w:r>
              <w:t>No response to incident traffic within 15 minutes</w:t>
            </w:r>
          </w:p>
        </w:tc>
        <w:tc>
          <w:tcPr>
            <w:tcW w:w="1814" w:type="dxa"/>
          </w:tcPr>
          <w:p w14:paraId="4DB0BD0D" w14:textId="77777777" w:rsidR="00293BDE" w:rsidRDefault="00000000">
            <w:pPr>
              <w:pStyle w:val="Compact"/>
            </w:pPr>
            <w:r>
              <w:t>3</w:t>
            </w:r>
          </w:p>
        </w:tc>
        <w:tc>
          <w:tcPr>
            <w:tcW w:w="1815" w:type="dxa"/>
          </w:tcPr>
          <w:p w14:paraId="10516A7A" w14:textId="77777777" w:rsidR="00293BDE" w:rsidRDefault="00000000">
            <w:pPr>
              <w:pStyle w:val="Compact"/>
            </w:pPr>
            <w:r>
              <w:t>Two</w:t>
            </w:r>
          </w:p>
        </w:tc>
      </w:tr>
      <w:tr w:rsidR="00293BDE" w14:paraId="46D64999" w14:textId="77777777" w:rsidTr="00293BDE">
        <w:tc>
          <w:tcPr>
            <w:tcW w:w="1814" w:type="dxa"/>
          </w:tcPr>
          <w:p w14:paraId="0F4FF31F" w14:textId="77777777" w:rsidR="00293BDE" w:rsidRDefault="00000000">
            <w:pPr>
              <w:pStyle w:val="Compact"/>
            </w:pPr>
            <w:r>
              <w:t>D-4</w:t>
            </w:r>
          </w:p>
        </w:tc>
        <w:tc>
          <w:tcPr>
            <w:tcW w:w="1814" w:type="dxa"/>
          </w:tcPr>
          <w:p w14:paraId="092EA968" w14:textId="77777777" w:rsidR="00293BDE" w:rsidRDefault="00000000">
            <w:pPr>
              <w:pStyle w:val="Compact"/>
            </w:pPr>
            <w:r>
              <w:t>Emergency no-response</w:t>
            </w:r>
          </w:p>
        </w:tc>
        <w:tc>
          <w:tcPr>
            <w:tcW w:w="1815" w:type="dxa"/>
          </w:tcPr>
          <w:p w14:paraId="5E25B6A6" w14:textId="77777777" w:rsidR="00293BDE" w:rsidRDefault="00000000">
            <w:pPr>
              <w:pStyle w:val="Compact"/>
            </w:pPr>
            <w:r>
              <w:t>No response to emergency notification immediately</w:t>
            </w:r>
          </w:p>
        </w:tc>
        <w:tc>
          <w:tcPr>
            <w:tcW w:w="1814" w:type="dxa"/>
          </w:tcPr>
          <w:p w14:paraId="67DCDD29" w14:textId="77777777" w:rsidR="00293BDE" w:rsidRDefault="00000000">
            <w:pPr>
              <w:pStyle w:val="Compact"/>
            </w:pPr>
            <w:r>
              <w:t>6</w:t>
            </w:r>
          </w:p>
        </w:tc>
        <w:tc>
          <w:tcPr>
            <w:tcW w:w="1815" w:type="dxa"/>
          </w:tcPr>
          <w:p w14:paraId="1F1D6C73" w14:textId="77777777" w:rsidR="00293BDE" w:rsidRDefault="00000000">
            <w:pPr>
              <w:pStyle w:val="Compact"/>
            </w:pPr>
            <w:r>
              <w:t>Two</w:t>
            </w:r>
          </w:p>
        </w:tc>
      </w:tr>
      <w:tr w:rsidR="00293BDE" w14:paraId="167B1027" w14:textId="77777777" w:rsidTr="00293BDE">
        <w:tc>
          <w:tcPr>
            <w:tcW w:w="1814" w:type="dxa"/>
          </w:tcPr>
          <w:p w14:paraId="25D259E9" w14:textId="77777777" w:rsidR="00293BDE" w:rsidRDefault="00000000">
            <w:pPr>
              <w:pStyle w:val="Compact"/>
            </w:pPr>
            <w:r>
              <w:t>D-5</w:t>
            </w:r>
          </w:p>
        </w:tc>
        <w:tc>
          <w:tcPr>
            <w:tcW w:w="1814" w:type="dxa"/>
          </w:tcPr>
          <w:p w14:paraId="11D005A1" w14:textId="77777777" w:rsidR="00293BDE" w:rsidRDefault="00000000">
            <w:pPr>
              <w:pStyle w:val="Compact"/>
            </w:pPr>
            <w:r>
              <w:t>Military standoff violation</w:t>
            </w:r>
          </w:p>
        </w:tc>
        <w:tc>
          <w:tcPr>
            <w:tcW w:w="1815" w:type="dxa"/>
          </w:tcPr>
          <w:p w14:paraId="7474BDFD" w14:textId="77777777" w:rsidR="00293BDE" w:rsidRDefault="00000000">
            <w:pPr>
              <w:pStyle w:val="Compact"/>
            </w:pPr>
            <w:r>
              <w:t>Military vessel inside corridor edge outside transit procedure</w:t>
            </w:r>
          </w:p>
        </w:tc>
        <w:tc>
          <w:tcPr>
            <w:tcW w:w="1814" w:type="dxa"/>
          </w:tcPr>
          <w:p w14:paraId="3DA97E35" w14:textId="77777777" w:rsidR="00293BDE" w:rsidRDefault="00000000">
            <w:pPr>
              <w:pStyle w:val="Compact"/>
            </w:pPr>
            <w:r>
              <w:t>3</w:t>
            </w:r>
          </w:p>
        </w:tc>
        <w:tc>
          <w:tcPr>
            <w:tcW w:w="1815" w:type="dxa"/>
          </w:tcPr>
          <w:p w14:paraId="2A5B954A" w14:textId="77777777" w:rsidR="00293BDE" w:rsidRDefault="00000000">
            <w:pPr>
              <w:pStyle w:val="Compact"/>
            </w:pPr>
            <w:r>
              <w:t>Two</w:t>
            </w:r>
          </w:p>
        </w:tc>
      </w:tr>
      <w:tr w:rsidR="00293BDE" w14:paraId="64AD0FCF" w14:textId="77777777" w:rsidTr="00293BDE">
        <w:tc>
          <w:tcPr>
            <w:tcW w:w="1814" w:type="dxa"/>
          </w:tcPr>
          <w:p w14:paraId="0A275A99" w14:textId="77777777" w:rsidR="00293BDE" w:rsidRDefault="00000000">
            <w:pPr>
              <w:pStyle w:val="Compact"/>
            </w:pPr>
            <w:r>
              <w:t>D-6</w:t>
            </w:r>
          </w:p>
        </w:tc>
        <w:tc>
          <w:tcPr>
            <w:tcW w:w="1814" w:type="dxa"/>
          </w:tcPr>
          <w:p w14:paraId="22CB5C6D" w14:textId="77777777" w:rsidR="00293BDE" w:rsidRDefault="00000000">
            <w:pPr>
              <w:pStyle w:val="Compact"/>
            </w:pPr>
            <w:r>
              <w:t>Exercise without notification</w:t>
            </w:r>
          </w:p>
        </w:tc>
        <w:tc>
          <w:tcPr>
            <w:tcW w:w="1815" w:type="dxa"/>
          </w:tcPr>
          <w:p w14:paraId="6EA587F4" w14:textId="77777777" w:rsidR="00293BDE" w:rsidRDefault="00000000">
            <w:pPr>
              <w:pStyle w:val="Compact"/>
            </w:pPr>
            <w:r>
              <w:t>Live activity without the 72-hour notification</w:t>
            </w:r>
          </w:p>
        </w:tc>
        <w:tc>
          <w:tcPr>
            <w:tcW w:w="1814" w:type="dxa"/>
          </w:tcPr>
          <w:p w14:paraId="5F5D8AFC" w14:textId="77777777" w:rsidR="00293BDE" w:rsidRDefault="00000000">
            <w:pPr>
              <w:pStyle w:val="Compact"/>
            </w:pPr>
            <w:r>
              <w:t>3</w:t>
            </w:r>
          </w:p>
        </w:tc>
        <w:tc>
          <w:tcPr>
            <w:tcW w:w="1815" w:type="dxa"/>
          </w:tcPr>
          <w:p w14:paraId="22A9BC64" w14:textId="77777777" w:rsidR="00293BDE" w:rsidRDefault="00000000">
            <w:pPr>
              <w:pStyle w:val="Compact"/>
            </w:pPr>
            <w:r>
              <w:t>Two</w:t>
            </w:r>
          </w:p>
        </w:tc>
      </w:tr>
      <w:tr w:rsidR="00293BDE" w14:paraId="543FD27E" w14:textId="77777777" w:rsidTr="00293BDE">
        <w:tc>
          <w:tcPr>
            <w:tcW w:w="1814" w:type="dxa"/>
          </w:tcPr>
          <w:p w14:paraId="5E445CFA" w14:textId="77777777" w:rsidR="00293BDE" w:rsidRDefault="00000000">
            <w:pPr>
              <w:pStyle w:val="Compact"/>
            </w:pPr>
            <w:r>
              <w:t>D-7</w:t>
            </w:r>
          </w:p>
        </w:tc>
        <w:tc>
          <w:tcPr>
            <w:tcW w:w="1814" w:type="dxa"/>
          </w:tcPr>
          <w:p w14:paraId="7FAFC86B" w14:textId="77777777" w:rsidR="00293BDE" w:rsidRDefault="00000000">
            <w:pPr>
              <w:pStyle w:val="Compact"/>
            </w:pPr>
            <w:r>
              <w:t>Quiet Water violation</w:t>
            </w:r>
          </w:p>
        </w:tc>
        <w:tc>
          <w:tcPr>
            <w:tcW w:w="1815" w:type="dxa"/>
          </w:tcPr>
          <w:p w14:paraId="15A8BCC4" w14:textId="77777777" w:rsidR="00293BDE" w:rsidRDefault="00000000">
            <w:pPr>
              <w:pStyle w:val="Compact"/>
            </w:pPr>
            <w:r>
              <w:t>Live-fire activity inside a Quiet Water Window</w:t>
            </w:r>
          </w:p>
        </w:tc>
        <w:tc>
          <w:tcPr>
            <w:tcW w:w="1814" w:type="dxa"/>
          </w:tcPr>
          <w:p w14:paraId="055E637A" w14:textId="77777777" w:rsidR="00293BDE" w:rsidRDefault="00000000">
            <w:pPr>
              <w:pStyle w:val="Compact"/>
            </w:pPr>
            <w:r>
              <w:t>6</w:t>
            </w:r>
          </w:p>
        </w:tc>
        <w:tc>
          <w:tcPr>
            <w:tcW w:w="1815" w:type="dxa"/>
          </w:tcPr>
          <w:p w14:paraId="111B029C" w14:textId="77777777" w:rsidR="00293BDE" w:rsidRDefault="00000000">
            <w:pPr>
              <w:pStyle w:val="Compact"/>
            </w:pPr>
            <w:r>
              <w:t>Two</w:t>
            </w:r>
          </w:p>
        </w:tc>
      </w:tr>
      <w:tr w:rsidR="00293BDE" w14:paraId="01FE92EB" w14:textId="77777777" w:rsidTr="00293BDE">
        <w:tc>
          <w:tcPr>
            <w:tcW w:w="1814" w:type="dxa"/>
          </w:tcPr>
          <w:p w14:paraId="2F7B11FA" w14:textId="77777777" w:rsidR="00293BDE" w:rsidRDefault="00000000">
            <w:pPr>
              <w:pStyle w:val="Compact"/>
            </w:pPr>
            <w:r>
              <w:t>D-8</w:t>
            </w:r>
          </w:p>
        </w:tc>
        <w:tc>
          <w:tcPr>
            <w:tcW w:w="1814" w:type="dxa"/>
          </w:tcPr>
          <w:p w14:paraId="1F6D745F" w14:textId="77777777" w:rsidR="00293BDE" w:rsidRDefault="00000000">
            <w:pPr>
              <w:pStyle w:val="Compact"/>
            </w:pPr>
            <w:r>
              <w:t>Submerged transit</w:t>
            </w:r>
          </w:p>
        </w:tc>
        <w:tc>
          <w:tcPr>
            <w:tcW w:w="1815" w:type="dxa"/>
          </w:tcPr>
          <w:p w14:paraId="45161E1A" w14:textId="77777777" w:rsidR="00293BDE" w:rsidRDefault="00000000">
            <w:pPr>
              <w:pStyle w:val="Compact"/>
            </w:pPr>
            <w:r>
              <w:t>Submarine transiting submerged inside the Governance Area</w:t>
            </w:r>
          </w:p>
        </w:tc>
        <w:tc>
          <w:tcPr>
            <w:tcW w:w="1814" w:type="dxa"/>
          </w:tcPr>
          <w:p w14:paraId="7C8DB11F" w14:textId="77777777" w:rsidR="00293BDE" w:rsidRDefault="00000000">
            <w:pPr>
              <w:pStyle w:val="Compact"/>
            </w:pPr>
            <w:r>
              <w:t>6</w:t>
            </w:r>
          </w:p>
        </w:tc>
        <w:tc>
          <w:tcPr>
            <w:tcW w:w="1815" w:type="dxa"/>
          </w:tcPr>
          <w:p w14:paraId="62D0DEC2" w14:textId="77777777" w:rsidR="00293BDE" w:rsidRDefault="00000000">
            <w:pPr>
              <w:pStyle w:val="Compact"/>
            </w:pPr>
            <w:r>
              <w:t>Two</w:t>
            </w:r>
          </w:p>
        </w:tc>
      </w:tr>
      <w:tr w:rsidR="00293BDE" w14:paraId="11D051B8" w14:textId="77777777" w:rsidTr="00293BDE">
        <w:tc>
          <w:tcPr>
            <w:tcW w:w="1814" w:type="dxa"/>
          </w:tcPr>
          <w:p w14:paraId="1E56FE11" w14:textId="77777777" w:rsidR="00293BDE" w:rsidRDefault="00000000">
            <w:pPr>
              <w:pStyle w:val="Compact"/>
            </w:pPr>
            <w:r>
              <w:t>D-9</w:t>
            </w:r>
          </w:p>
        </w:tc>
        <w:tc>
          <w:tcPr>
            <w:tcW w:w="1814" w:type="dxa"/>
          </w:tcPr>
          <w:p w14:paraId="0A5D8A9A" w14:textId="77777777" w:rsidR="00293BDE" w:rsidRDefault="00000000">
            <w:pPr>
              <w:pStyle w:val="Compact"/>
            </w:pPr>
            <w:r>
              <w:t>Gate violation</w:t>
            </w:r>
          </w:p>
        </w:tc>
        <w:tc>
          <w:tcPr>
            <w:tcW w:w="1815" w:type="dxa"/>
          </w:tcPr>
          <w:p w14:paraId="419AF7CF" w14:textId="77777777" w:rsidR="00293BDE" w:rsidRDefault="00000000">
            <w:pPr>
              <w:pStyle w:val="Compact"/>
            </w:pPr>
            <w:r>
              <w:t>Military transit outside designated gates or bands without distress cause</w:t>
            </w:r>
          </w:p>
        </w:tc>
        <w:tc>
          <w:tcPr>
            <w:tcW w:w="1814" w:type="dxa"/>
          </w:tcPr>
          <w:p w14:paraId="71218D13" w14:textId="77777777" w:rsidR="00293BDE" w:rsidRDefault="00000000">
            <w:pPr>
              <w:pStyle w:val="Compact"/>
            </w:pPr>
            <w:r>
              <w:t>3</w:t>
            </w:r>
          </w:p>
        </w:tc>
        <w:tc>
          <w:tcPr>
            <w:tcW w:w="1815" w:type="dxa"/>
          </w:tcPr>
          <w:p w14:paraId="2F2DF9AE" w14:textId="77777777" w:rsidR="00293BDE" w:rsidRDefault="00000000">
            <w:pPr>
              <w:pStyle w:val="Compact"/>
            </w:pPr>
            <w:r>
              <w:t>Two</w:t>
            </w:r>
          </w:p>
        </w:tc>
      </w:tr>
    </w:tbl>
    <w:p w14:paraId="7FDBBA95" w14:textId="77777777" w:rsidR="00293BDE" w:rsidRDefault="00000000">
      <w:pPr>
        <w:pStyle w:val="Heading2"/>
      </w:pPr>
      <w:bookmarkStart w:id="425" w:name="__RefHeading___Toc10958_3324765499"/>
      <w:bookmarkEnd w:id="425"/>
      <w:r>
        <w:t>C.5 Financial domain</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5511D19B"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2B91F5EB" w14:textId="77777777" w:rsidR="00293BDE" w:rsidRDefault="00000000">
            <w:pPr>
              <w:pStyle w:val="Compact"/>
            </w:pPr>
            <w:r>
              <w:t>Code</w:t>
            </w:r>
          </w:p>
        </w:tc>
        <w:tc>
          <w:tcPr>
            <w:tcW w:w="1814" w:type="dxa"/>
            <w:tcBorders>
              <w:bottom w:val="single" w:sz="6" w:space="0" w:color="000000"/>
            </w:tcBorders>
          </w:tcPr>
          <w:p w14:paraId="199401BB" w14:textId="77777777" w:rsidR="00293BDE" w:rsidRDefault="00000000">
            <w:pPr>
              <w:pStyle w:val="Compact"/>
            </w:pPr>
            <w:r>
              <w:t>Event</w:t>
            </w:r>
          </w:p>
        </w:tc>
        <w:tc>
          <w:tcPr>
            <w:tcW w:w="1815" w:type="dxa"/>
            <w:tcBorders>
              <w:bottom w:val="single" w:sz="6" w:space="0" w:color="000000"/>
            </w:tcBorders>
          </w:tcPr>
          <w:p w14:paraId="5E130FBD" w14:textId="77777777" w:rsidR="00293BDE" w:rsidRDefault="00000000">
            <w:pPr>
              <w:pStyle w:val="Compact"/>
            </w:pPr>
            <w:r>
              <w:t>Threshold</w:t>
            </w:r>
          </w:p>
        </w:tc>
        <w:tc>
          <w:tcPr>
            <w:tcW w:w="1814" w:type="dxa"/>
            <w:tcBorders>
              <w:bottom w:val="single" w:sz="6" w:space="0" w:color="000000"/>
            </w:tcBorders>
          </w:tcPr>
          <w:p w14:paraId="1C4FB754" w14:textId="77777777" w:rsidR="00293BDE" w:rsidRDefault="00000000">
            <w:pPr>
              <w:pStyle w:val="Compact"/>
            </w:pPr>
            <w:r>
              <w:t>Points</w:t>
            </w:r>
          </w:p>
        </w:tc>
        <w:tc>
          <w:tcPr>
            <w:tcW w:w="1815" w:type="dxa"/>
            <w:tcBorders>
              <w:bottom w:val="single" w:sz="6" w:space="0" w:color="000000"/>
            </w:tcBorders>
          </w:tcPr>
          <w:p w14:paraId="3938DA0C" w14:textId="77777777" w:rsidR="00293BDE" w:rsidRDefault="00000000">
            <w:pPr>
              <w:pStyle w:val="Compact"/>
            </w:pPr>
            <w:r>
              <w:t>Category</w:t>
            </w:r>
          </w:p>
        </w:tc>
      </w:tr>
      <w:tr w:rsidR="00293BDE" w14:paraId="219787A3" w14:textId="77777777" w:rsidTr="00293BDE">
        <w:tc>
          <w:tcPr>
            <w:tcW w:w="1814" w:type="dxa"/>
          </w:tcPr>
          <w:p w14:paraId="27A2F995" w14:textId="77777777" w:rsidR="00293BDE" w:rsidRDefault="00000000">
            <w:pPr>
              <w:pStyle w:val="Compact"/>
            </w:pPr>
            <w:r>
              <w:t>F-1</w:t>
            </w:r>
          </w:p>
        </w:tc>
        <w:tc>
          <w:tcPr>
            <w:tcW w:w="1814" w:type="dxa"/>
          </w:tcPr>
          <w:p w14:paraId="324D8D8A" w14:textId="77777777" w:rsidR="00293BDE" w:rsidRDefault="00000000">
            <w:pPr>
              <w:pStyle w:val="Compact"/>
            </w:pPr>
            <w:r>
              <w:t>Unverified invoicing</w:t>
            </w:r>
          </w:p>
        </w:tc>
        <w:tc>
          <w:tcPr>
            <w:tcW w:w="1815" w:type="dxa"/>
          </w:tcPr>
          <w:p w14:paraId="643BBAC0" w14:textId="77777777" w:rsidR="00293BDE" w:rsidRDefault="00000000">
            <w:pPr>
              <w:pStyle w:val="Compact"/>
            </w:pPr>
            <w:r>
              <w:t>Invoice lacking a verification record, per monthly cycle</w:t>
            </w:r>
          </w:p>
        </w:tc>
        <w:tc>
          <w:tcPr>
            <w:tcW w:w="1814" w:type="dxa"/>
          </w:tcPr>
          <w:p w14:paraId="62784CDC" w14:textId="77777777" w:rsidR="00293BDE" w:rsidRDefault="00000000">
            <w:pPr>
              <w:pStyle w:val="Compact"/>
            </w:pPr>
            <w:r>
              <w:t>3</w:t>
            </w:r>
          </w:p>
        </w:tc>
        <w:tc>
          <w:tcPr>
            <w:tcW w:w="1815" w:type="dxa"/>
          </w:tcPr>
          <w:p w14:paraId="3C299074" w14:textId="77777777" w:rsidR="00293BDE" w:rsidRDefault="00000000">
            <w:pPr>
              <w:pStyle w:val="Compact"/>
            </w:pPr>
            <w:r>
              <w:t>Two</w:t>
            </w:r>
          </w:p>
        </w:tc>
      </w:tr>
      <w:tr w:rsidR="00293BDE" w14:paraId="4C9BEE94" w14:textId="77777777" w:rsidTr="00293BDE">
        <w:tc>
          <w:tcPr>
            <w:tcW w:w="1814" w:type="dxa"/>
          </w:tcPr>
          <w:p w14:paraId="4D3B355B" w14:textId="77777777" w:rsidR="00293BDE" w:rsidRDefault="00000000">
            <w:pPr>
              <w:pStyle w:val="Compact"/>
            </w:pPr>
            <w:r>
              <w:t>F-2</w:t>
            </w:r>
          </w:p>
        </w:tc>
        <w:tc>
          <w:tcPr>
            <w:tcW w:w="1814" w:type="dxa"/>
          </w:tcPr>
          <w:p w14:paraId="737AC649" w14:textId="77777777" w:rsidR="00293BDE" w:rsidRDefault="00000000">
            <w:pPr>
              <w:pStyle w:val="Compact"/>
            </w:pPr>
            <w:r>
              <w:t>Apportionment delay</w:t>
            </w:r>
          </w:p>
        </w:tc>
        <w:tc>
          <w:tcPr>
            <w:tcW w:w="1815" w:type="dxa"/>
          </w:tcPr>
          <w:p w14:paraId="4815E3BE" w14:textId="77777777" w:rsidR="00293BDE" w:rsidRDefault="00000000">
            <w:pPr>
              <w:pStyle w:val="Compact"/>
            </w:pPr>
            <w:r>
              <w:t>Release beyond five banking days without documented cause</w:t>
            </w:r>
          </w:p>
        </w:tc>
        <w:tc>
          <w:tcPr>
            <w:tcW w:w="1814" w:type="dxa"/>
          </w:tcPr>
          <w:p w14:paraId="0ACEC85E" w14:textId="77777777" w:rsidR="00293BDE" w:rsidRDefault="00000000">
            <w:pPr>
              <w:pStyle w:val="Compact"/>
            </w:pPr>
            <w:r>
              <w:t>1</w:t>
            </w:r>
          </w:p>
        </w:tc>
        <w:tc>
          <w:tcPr>
            <w:tcW w:w="1815" w:type="dxa"/>
          </w:tcPr>
          <w:p w14:paraId="39E9778B" w14:textId="77777777" w:rsidR="00293BDE" w:rsidRDefault="00000000">
            <w:pPr>
              <w:pStyle w:val="Compact"/>
            </w:pPr>
            <w:r>
              <w:t>One</w:t>
            </w:r>
          </w:p>
        </w:tc>
      </w:tr>
      <w:tr w:rsidR="00293BDE" w14:paraId="3DFD3C75" w14:textId="77777777" w:rsidTr="00293BDE">
        <w:tc>
          <w:tcPr>
            <w:tcW w:w="1814" w:type="dxa"/>
          </w:tcPr>
          <w:p w14:paraId="151C90DD" w14:textId="77777777" w:rsidR="00293BDE" w:rsidRDefault="00000000">
            <w:pPr>
              <w:pStyle w:val="Compact"/>
            </w:pPr>
            <w:r>
              <w:t>F-3</w:t>
            </w:r>
          </w:p>
        </w:tc>
        <w:tc>
          <w:tcPr>
            <w:tcW w:w="1814" w:type="dxa"/>
          </w:tcPr>
          <w:p w14:paraId="03EE33BF" w14:textId="77777777" w:rsidR="00293BDE" w:rsidRDefault="00000000">
            <w:pPr>
              <w:pStyle w:val="Compact"/>
            </w:pPr>
            <w:r>
              <w:t>Escrow interference</w:t>
            </w:r>
          </w:p>
        </w:tc>
        <w:tc>
          <w:tcPr>
            <w:tcW w:w="1815" w:type="dxa"/>
          </w:tcPr>
          <w:p w14:paraId="6443E879" w14:textId="77777777" w:rsidR="00293BDE" w:rsidRDefault="00000000">
            <w:pPr>
              <w:pStyle w:val="Compact"/>
            </w:pPr>
            <w:r>
              <w:t>Any freeze or redirection of escrowed funds outside the Ladder</w:t>
            </w:r>
          </w:p>
        </w:tc>
        <w:tc>
          <w:tcPr>
            <w:tcW w:w="1814" w:type="dxa"/>
          </w:tcPr>
          <w:p w14:paraId="1C3A4BBE" w14:textId="77777777" w:rsidR="00293BDE" w:rsidRDefault="00000000">
            <w:pPr>
              <w:pStyle w:val="Compact"/>
            </w:pPr>
            <w:r>
              <w:t>6</w:t>
            </w:r>
          </w:p>
        </w:tc>
        <w:tc>
          <w:tcPr>
            <w:tcW w:w="1815" w:type="dxa"/>
          </w:tcPr>
          <w:p w14:paraId="03786D14" w14:textId="77777777" w:rsidR="00293BDE" w:rsidRDefault="00000000">
            <w:pPr>
              <w:pStyle w:val="Compact"/>
            </w:pPr>
            <w:r>
              <w:t>Two</w:t>
            </w:r>
          </w:p>
        </w:tc>
      </w:tr>
      <w:tr w:rsidR="00293BDE" w14:paraId="3446AE4B" w14:textId="77777777" w:rsidTr="00293BDE">
        <w:tc>
          <w:tcPr>
            <w:tcW w:w="1814" w:type="dxa"/>
          </w:tcPr>
          <w:p w14:paraId="37052414" w14:textId="77777777" w:rsidR="00293BDE" w:rsidRDefault="00000000">
            <w:pPr>
              <w:pStyle w:val="Compact"/>
            </w:pPr>
            <w:r>
              <w:t>F-4</w:t>
            </w:r>
          </w:p>
        </w:tc>
        <w:tc>
          <w:tcPr>
            <w:tcW w:w="1814" w:type="dxa"/>
          </w:tcPr>
          <w:p w14:paraId="5B45E95B" w14:textId="77777777" w:rsidR="00293BDE" w:rsidRDefault="00000000">
            <w:pPr>
              <w:pStyle w:val="Compact"/>
            </w:pPr>
            <w:r>
              <w:t>Double recovery</w:t>
            </w:r>
          </w:p>
        </w:tc>
        <w:tc>
          <w:tcPr>
            <w:tcW w:w="1815" w:type="dxa"/>
          </w:tcPr>
          <w:p w14:paraId="24163CF3" w14:textId="77777777" w:rsidR="00293BDE" w:rsidRDefault="00000000">
            <w:pPr>
              <w:pStyle w:val="Compact"/>
            </w:pPr>
            <w:r>
              <w:t>Same cost charged in rate and contribution, per audit finding</w:t>
            </w:r>
          </w:p>
        </w:tc>
        <w:tc>
          <w:tcPr>
            <w:tcW w:w="1814" w:type="dxa"/>
          </w:tcPr>
          <w:p w14:paraId="042CF78B" w14:textId="77777777" w:rsidR="00293BDE" w:rsidRDefault="00000000">
            <w:pPr>
              <w:pStyle w:val="Compact"/>
            </w:pPr>
            <w:r>
              <w:t>3</w:t>
            </w:r>
          </w:p>
        </w:tc>
        <w:tc>
          <w:tcPr>
            <w:tcW w:w="1815" w:type="dxa"/>
          </w:tcPr>
          <w:p w14:paraId="4C214AFD" w14:textId="77777777" w:rsidR="00293BDE" w:rsidRDefault="00000000">
            <w:pPr>
              <w:pStyle w:val="Compact"/>
            </w:pPr>
            <w:r>
              <w:t>Two</w:t>
            </w:r>
          </w:p>
        </w:tc>
      </w:tr>
      <w:tr w:rsidR="00293BDE" w14:paraId="1962C99B" w14:textId="77777777" w:rsidTr="00293BDE">
        <w:tc>
          <w:tcPr>
            <w:tcW w:w="1814" w:type="dxa"/>
          </w:tcPr>
          <w:p w14:paraId="169939AE" w14:textId="77777777" w:rsidR="00293BDE" w:rsidRDefault="00000000">
            <w:pPr>
              <w:pStyle w:val="Compact"/>
            </w:pPr>
            <w:r>
              <w:t>F-5</w:t>
            </w:r>
          </w:p>
        </w:tc>
        <w:tc>
          <w:tcPr>
            <w:tcW w:w="1814" w:type="dxa"/>
          </w:tcPr>
          <w:p w14:paraId="0F46982A" w14:textId="77777777" w:rsidR="00293BDE" w:rsidRDefault="00000000">
            <w:pPr>
              <w:pStyle w:val="Compact"/>
            </w:pPr>
            <w:r>
              <w:t>Fund diversion</w:t>
            </w:r>
          </w:p>
        </w:tc>
        <w:tc>
          <w:tcPr>
            <w:tcW w:w="1815" w:type="dxa"/>
          </w:tcPr>
          <w:p w14:paraId="22482F78" w14:textId="77777777" w:rsidR="00293BDE" w:rsidRDefault="00000000">
            <w:pPr>
              <w:pStyle w:val="Compact"/>
            </w:pPr>
            <w:r>
              <w:t>Any diversion of Fund resources from charter purposes</w:t>
            </w:r>
          </w:p>
        </w:tc>
        <w:tc>
          <w:tcPr>
            <w:tcW w:w="1814" w:type="dxa"/>
          </w:tcPr>
          <w:p w14:paraId="4651C883" w14:textId="77777777" w:rsidR="00293BDE" w:rsidRDefault="00000000">
            <w:pPr>
              <w:pStyle w:val="Compact"/>
            </w:pPr>
            <w:r>
              <w:t>12</w:t>
            </w:r>
          </w:p>
        </w:tc>
        <w:tc>
          <w:tcPr>
            <w:tcW w:w="1815" w:type="dxa"/>
          </w:tcPr>
          <w:p w14:paraId="4A863317" w14:textId="77777777" w:rsidR="00293BDE" w:rsidRDefault="00000000">
            <w:pPr>
              <w:pStyle w:val="Compact"/>
            </w:pPr>
            <w:r>
              <w:t>Three</w:t>
            </w:r>
          </w:p>
        </w:tc>
      </w:tr>
      <w:tr w:rsidR="00293BDE" w14:paraId="7BF884A2" w14:textId="77777777" w:rsidTr="00293BDE">
        <w:tc>
          <w:tcPr>
            <w:tcW w:w="1814" w:type="dxa"/>
          </w:tcPr>
          <w:p w14:paraId="7DDD0763" w14:textId="77777777" w:rsidR="00293BDE" w:rsidRDefault="00000000">
            <w:pPr>
              <w:pStyle w:val="Compact"/>
            </w:pPr>
            <w:r>
              <w:t>F-6</w:t>
            </w:r>
          </w:p>
        </w:tc>
        <w:tc>
          <w:tcPr>
            <w:tcW w:w="1814" w:type="dxa"/>
          </w:tcPr>
          <w:p w14:paraId="23715721" w14:textId="77777777" w:rsidR="00293BDE" w:rsidRDefault="00000000">
            <w:pPr>
              <w:pStyle w:val="Compact"/>
            </w:pPr>
            <w:r>
              <w:t>Firewall breach</w:t>
            </w:r>
          </w:p>
        </w:tc>
        <w:tc>
          <w:tcPr>
            <w:tcW w:w="1815" w:type="dxa"/>
          </w:tcPr>
          <w:p w14:paraId="4E2851B2" w14:textId="77777777" w:rsidR="00293BDE" w:rsidRDefault="00000000">
            <w:pPr>
              <w:pStyle w:val="Compact"/>
            </w:pPr>
            <w:r>
              <w:t>Payment routed outside Firewall channels deliberately</w:t>
            </w:r>
          </w:p>
        </w:tc>
        <w:tc>
          <w:tcPr>
            <w:tcW w:w="1814" w:type="dxa"/>
          </w:tcPr>
          <w:p w14:paraId="7BD30927" w14:textId="77777777" w:rsidR="00293BDE" w:rsidRDefault="00000000">
            <w:pPr>
              <w:pStyle w:val="Compact"/>
            </w:pPr>
            <w:r>
              <w:t>6</w:t>
            </w:r>
          </w:p>
        </w:tc>
        <w:tc>
          <w:tcPr>
            <w:tcW w:w="1815" w:type="dxa"/>
          </w:tcPr>
          <w:p w14:paraId="6A132828" w14:textId="77777777" w:rsidR="00293BDE" w:rsidRDefault="00000000">
            <w:pPr>
              <w:pStyle w:val="Compact"/>
            </w:pPr>
            <w:r>
              <w:t>Two</w:t>
            </w:r>
          </w:p>
        </w:tc>
      </w:tr>
      <w:tr w:rsidR="00293BDE" w14:paraId="1B3C7AE4" w14:textId="77777777" w:rsidTr="00293BDE">
        <w:tc>
          <w:tcPr>
            <w:tcW w:w="1814" w:type="dxa"/>
          </w:tcPr>
          <w:p w14:paraId="08052F98" w14:textId="77777777" w:rsidR="00293BDE" w:rsidRDefault="00000000">
            <w:pPr>
              <w:pStyle w:val="Compact"/>
            </w:pPr>
            <w:r>
              <w:t>F-7</w:t>
            </w:r>
          </w:p>
        </w:tc>
        <w:tc>
          <w:tcPr>
            <w:tcW w:w="1814" w:type="dxa"/>
          </w:tcPr>
          <w:p w14:paraId="49FF8DB2" w14:textId="77777777" w:rsidR="00293BDE" w:rsidRDefault="00000000">
            <w:pPr>
              <w:pStyle w:val="Compact"/>
            </w:pPr>
            <w:r>
              <w:t>Anti-relabeling breach</w:t>
            </w:r>
          </w:p>
        </w:tc>
        <w:tc>
          <w:tcPr>
            <w:tcW w:w="1815" w:type="dxa"/>
          </w:tcPr>
          <w:p w14:paraId="6BEBB755" w14:textId="77777777" w:rsidR="00293BDE" w:rsidRDefault="00000000">
            <w:pPr>
              <w:pStyle w:val="Compact"/>
            </w:pPr>
            <w:r>
              <w:t>Any exaction attaching to transit under any title, per Article 17.7</w:t>
            </w:r>
          </w:p>
        </w:tc>
        <w:tc>
          <w:tcPr>
            <w:tcW w:w="1814" w:type="dxa"/>
          </w:tcPr>
          <w:p w14:paraId="4CE537A2" w14:textId="77777777" w:rsidR="00293BDE" w:rsidRDefault="00000000">
            <w:pPr>
              <w:pStyle w:val="Compact"/>
            </w:pPr>
            <w:r>
              <w:t>12</w:t>
            </w:r>
          </w:p>
        </w:tc>
        <w:tc>
          <w:tcPr>
            <w:tcW w:w="1815" w:type="dxa"/>
          </w:tcPr>
          <w:p w14:paraId="10941028" w14:textId="77777777" w:rsidR="00293BDE" w:rsidRDefault="00000000">
            <w:pPr>
              <w:pStyle w:val="Compact"/>
            </w:pPr>
            <w:r>
              <w:t>Three</w:t>
            </w:r>
          </w:p>
        </w:tc>
      </w:tr>
      <w:tr w:rsidR="00293BDE" w14:paraId="7EBF2477" w14:textId="77777777" w:rsidTr="00293BDE">
        <w:tc>
          <w:tcPr>
            <w:tcW w:w="1814" w:type="dxa"/>
          </w:tcPr>
          <w:p w14:paraId="7A4344AE" w14:textId="77777777" w:rsidR="00293BDE" w:rsidRDefault="00000000">
            <w:pPr>
              <w:pStyle w:val="Compact"/>
            </w:pPr>
            <w:r>
              <w:t>F-8</w:t>
            </w:r>
          </w:p>
        </w:tc>
        <w:tc>
          <w:tcPr>
            <w:tcW w:w="1814" w:type="dxa"/>
          </w:tcPr>
          <w:p w14:paraId="01AECED6" w14:textId="77777777" w:rsidR="00293BDE" w:rsidRDefault="00000000">
            <w:pPr>
              <w:pStyle w:val="Compact"/>
            </w:pPr>
            <w:r>
              <w:t>Off-catalog charging</w:t>
            </w:r>
          </w:p>
        </w:tc>
        <w:tc>
          <w:tcPr>
            <w:tcW w:w="1815" w:type="dxa"/>
          </w:tcPr>
          <w:p w14:paraId="2A419287" w14:textId="77777777" w:rsidR="00293BDE" w:rsidRDefault="00000000">
            <w:pPr>
              <w:pStyle w:val="Compact"/>
            </w:pPr>
            <w:r>
              <w:t>Charging for any service outside the Verified Services Catalog</w:t>
            </w:r>
          </w:p>
        </w:tc>
        <w:tc>
          <w:tcPr>
            <w:tcW w:w="1814" w:type="dxa"/>
          </w:tcPr>
          <w:p w14:paraId="309F1405" w14:textId="77777777" w:rsidR="00293BDE" w:rsidRDefault="00000000">
            <w:pPr>
              <w:pStyle w:val="Compact"/>
            </w:pPr>
            <w:r>
              <w:t>6</w:t>
            </w:r>
          </w:p>
        </w:tc>
        <w:tc>
          <w:tcPr>
            <w:tcW w:w="1815" w:type="dxa"/>
          </w:tcPr>
          <w:p w14:paraId="61CFDF87" w14:textId="77777777" w:rsidR="00293BDE" w:rsidRDefault="00000000">
            <w:pPr>
              <w:pStyle w:val="Compact"/>
            </w:pPr>
            <w:r>
              <w:t>Two</w:t>
            </w:r>
          </w:p>
        </w:tc>
      </w:tr>
    </w:tbl>
    <w:p w14:paraId="05E6F50D" w14:textId="77777777" w:rsidR="00293BDE" w:rsidRDefault="00000000">
      <w:pPr>
        <w:pStyle w:val="Heading2"/>
      </w:pPr>
      <w:bookmarkStart w:id="426" w:name="__RefHeading___Toc10960_3324765499"/>
      <w:bookmarkEnd w:id="426"/>
      <w:r>
        <w:t>C.6 Monitoring and data domain</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2E11E1D7"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0853A51B" w14:textId="77777777" w:rsidR="00293BDE" w:rsidRDefault="00000000">
            <w:pPr>
              <w:pStyle w:val="Compact"/>
            </w:pPr>
            <w:r>
              <w:t>Code</w:t>
            </w:r>
          </w:p>
        </w:tc>
        <w:tc>
          <w:tcPr>
            <w:tcW w:w="1814" w:type="dxa"/>
            <w:tcBorders>
              <w:bottom w:val="single" w:sz="6" w:space="0" w:color="000000"/>
            </w:tcBorders>
          </w:tcPr>
          <w:p w14:paraId="0BF1A4D3" w14:textId="77777777" w:rsidR="00293BDE" w:rsidRDefault="00000000">
            <w:pPr>
              <w:pStyle w:val="Compact"/>
            </w:pPr>
            <w:r>
              <w:t>Event</w:t>
            </w:r>
          </w:p>
        </w:tc>
        <w:tc>
          <w:tcPr>
            <w:tcW w:w="1815" w:type="dxa"/>
            <w:tcBorders>
              <w:bottom w:val="single" w:sz="6" w:space="0" w:color="000000"/>
            </w:tcBorders>
          </w:tcPr>
          <w:p w14:paraId="504CE5FA" w14:textId="77777777" w:rsidR="00293BDE" w:rsidRDefault="00000000">
            <w:pPr>
              <w:pStyle w:val="Compact"/>
            </w:pPr>
            <w:r>
              <w:t>Threshold</w:t>
            </w:r>
          </w:p>
        </w:tc>
        <w:tc>
          <w:tcPr>
            <w:tcW w:w="1814" w:type="dxa"/>
            <w:tcBorders>
              <w:bottom w:val="single" w:sz="6" w:space="0" w:color="000000"/>
            </w:tcBorders>
          </w:tcPr>
          <w:p w14:paraId="311F91EC" w14:textId="77777777" w:rsidR="00293BDE" w:rsidRDefault="00000000">
            <w:pPr>
              <w:pStyle w:val="Compact"/>
            </w:pPr>
            <w:r>
              <w:t>Points</w:t>
            </w:r>
          </w:p>
        </w:tc>
        <w:tc>
          <w:tcPr>
            <w:tcW w:w="1815" w:type="dxa"/>
            <w:tcBorders>
              <w:bottom w:val="single" w:sz="6" w:space="0" w:color="000000"/>
            </w:tcBorders>
          </w:tcPr>
          <w:p w14:paraId="232DC601" w14:textId="77777777" w:rsidR="00293BDE" w:rsidRDefault="00000000">
            <w:pPr>
              <w:pStyle w:val="Compact"/>
            </w:pPr>
            <w:r>
              <w:t>Category</w:t>
            </w:r>
          </w:p>
        </w:tc>
      </w:tr>
      <w:tr w:rsidR="00293BDE" w14:paraId="19C1B1EA" w14:textId="77777777" w:rsidTr="00293BDE">
        <w:tc>
          <w:tcPr>
            <w:tcW w:w="1814" w:type="dxa"/>
          </w:tcPr>
          <w:p w14:paraId="7F11C7E6" w14:textId="77777777" w:rsidR="00293BDE" w:rsidRDefault="00000000">
            <w:pPr>
              <w:pStyle w:val="Compact"/>
            </w:pPr>
            <w:r>
              <w:t>V-1</w:t>
            </w:r>
          </w:p>
        </w:tc>
        <w:tc>
          <w:tcPr>
            <w:tcW w:w="1814" w:type="dxa"/>
          </w:tcPr>
          <w:p w14:paraId="682EB7BE" w14:textId="77777777" w:rsidR="00293BDE" w:rsidRDefault="00000000">
            <w:pPr>
              <w:pStyle w:val="Compact"/>
            </w:pPr>
            <w:r>
              <w:t>Degraded-layer concealment</w:t>
            </w:r>
          </w:p>
        </w:tc>
        <w:tc>
          <w:tcPr>
            <w:tcW w:w="1815" w:type="dxa"/>
          </w:tcPr>
          <w:p w14:paraId="634BD128" w14:textId="77777777" w:rsidR="00293BDE" w:rsidRDefault="00000000">
            <w:pPr>
              <w:pStyle w:val="Compact"/>
            </w:pPr>
            <w:r>
              <w:t>Failure to publish a degraded layer within standard</w:t>
            </w:r>
          </w:p>
        </w:tc>
        <w:tc>
          <w:tcPr>
            <w:tcW w:w="1814" w:type="dxa"/>
          </w:tcPr>
          <w:p w14:paraId="6EA3E344" w14:textId="77777777" w:rsidR="00293BDE" w:rsidRDefault="00000000">
            <w:pPr>
              <w:pStyle w:val="Compact"/>
            </w:pPr>
            <w:r>
              <w:t>1</w:t>
            </w:r>
          </w:p>
        </w:tc>
        <w:tc>
          <w:tcPr>
            <w:tcW w:w="1815" w:type="dxa"/>
          </w:tcPr>
          <w:p w14:paraId="20528B96" w14:textId="77777777" w:rsidR="00293BDE" w:rsidRDefault="00000000">
            <w:pPr>
              <w:pStyle w:val="Compact"/>
            </w:pPr>
            <w:r>
              <w:t>One</w:t>
            </w:r>
          </w:p>
        </w:tc>
      </w:tr>
      <w:tr w:rsidR="00293BDE" w14:paraId="4477F6A9" w14:textId="77777777" w:rsidTr="00293BDE">
        <w:tc>
          <w:tcPr>
            <w:tcW w:w="1814" w:type="dxa"/>
          </w:tcPr>
          <w:p w14:paraId="36D32F3B" w14:textId="77777777" w:rsidR="00293BDE" w:rsidRDefault="00000000">
            <w:pPr>
              <w:pStyle w:val="Compact"/>
            </w:pPr>
            <w:r>
              <w:t>V-2</w:t>
            </w:r>
          </w:p>
        </w:tc>
        <w:tc>
          <w:tcPr>
            <w:tcW w:w="1814" w:type="dxa"/>
          </w:tcPr>
          <w:p w14:paraId="5EC7C060" w14:textId="77777777" w:rsidR="00293BDE" w:rsidRDefault="00000000">
            <w:pPr>
              <w:pStyle w:val="Compact"/>
            </w:pPr>
            <w:r>
              <w:t>Repair overrun</w:t>
            </w:r>
          </w:p>
        </w:tc>
        <w:tc>
          <w:tcPr>
            <w:tcW w:w="1815" w:type="dxa"/>
          </w:tcPr>
          <w:p w14:paraId="302C09D4" w14:textId="77777777" w:rsidR="00293BDE" w:rsidRDefault="00000000">
            <w:pPr>
              <w:pStyle w:val="Compact"/>
            </w:pPr>
            <w:r>
              <w:t>Layer unrestored beyond the 72-hour standard without cause</w:t>
            </w:r>
          </w:p>
        </w:tc>
        <w:tc>
          <w:tcPr>
            <w:tcW w:w="1814" w:type="dxa"/>
          </w:tcPr>
          <w:p w14:paraId="2481D386" w14:textId="77777777" w:rsidR="00293BDE" w:rsidRDefault="00000000">
            <w:pPr>
              <w:pStyle w:val="Compact"/>
            </w:pPr>
            <w:r>
              <w:t>3</w:t>
            </w:r>
          </w:p>
        </w:tc>
        <w:tc>
          <w:tcPr>
            <w:tcW w:w="1815" w:type="dxa"/>
          </w:tcPr>
          <w:p w14:paraId="239C766D" w14:textId="77777777" w:rsidR="00293BDE" w:rsidRDefault="00000000">
            <w:pPr>
              <w:pStyle w:val="Compact"/>
            </w:pPr>
            <w:r>
              <w:t>Two</w:t>
            </w:r>
          </w:p>
        </w:tc>
      </w:tr>
      <w:tr w:rsidR="00293BDE" w14:paraId="7903293A" w14:textId="77777777" w:rsidTr="00293BDE">
        <w:tc>
          <w:tcPr>
            <w:tcW w:w="1814" w:type="dxa"/>
          </w:tcPr>
          <w:p w14:paraId="493E7AAD" w14:textId="77777777" w:rsidR="00293BDE" w:rsidRDefault="00000000">
            <w:pPr>
              <w:pStyle w:val="Compact"/>
            </w:pPr>
            <w:r>
              <w:t>V-3</w:t>
            </w:r>
          </w:p>
        </w:tc>
        <w:tc>
          <w:tcPr>
            <w:tcW w:w="1814" w:type="dxa"/>
          </w:tcPr>
          <w:p w14:paraId="7CF50B0C" w14:textId="77777777" w:rsidR="00293BDE" w:rsidRDefault="00000000">
            <w:pPr>
              <w:pStyle w:val="Compact"/>
            </w:pPr>
            <w:r>
              <w:t>Verification obstruction</w:t>
            </w:r>
          </w:p>
        </w:tc>
        <w:tc>
          <w:tcPr>
            <w:tcW w:w="1815" w:type="dxa"/>
          </w:tcPr>
          <w:p w14:paraId="5FB5C125" w14:textId="77777777" w:rsidR="00293BDE" w:rsidRDefault="00000000">
            <w:pPr>
              <w:pStyle w:val="Compact"/>
            </w:pPr>
            <w:r>
              <w:t>Blocking Neutral Watch Office access to a data layer</w:t>
            </w:r>
          </w:p>
        </w:tc>
        <w:tc>
          <w:tcPr>
            <w:tcW w:w="1814" w:type="dxa"/>
          </w:tcPr>
          <w:p w14:paraId="5ABF96F6" w14:textId="77777777" w:rsidR="00293BDE" w:rsidRDefault="00000000">
            <w:pPr>
              <w:pStyle w:val="Compact"/>
            </w:pPr>
            <w:r>
              <w:t>6</w:t>
            </w:r>
          </w:p>
        </w:tc>
        <w:tc>
          <w:tcPr>
            <w:tcW w:w="1815" w:type="dxa"/>
          </w:tcPr>
          <w:p w14:paraId="030F3223" w14:textId="77777777" w:rsidR="00293BDE" w:rsidRDefault="00000000">
            <w:pPr>
              <w:pStyle w:val="Compact"/>
            </w:pPr>
            <w:r>
              <w:t>Two</w:t>
            </w:r>
          </w:p>
        </w:tc>
      </w:tr>
      <w:tr w:rsidR="00293BDE" w14:paraId="571E316D" w14:textId="77777777" w:rsidTr="00293BDE">
        <w:tc>
          <w:tcPr>
            <w:tcW w:w="1814" w:type="dxa"/>
          </w:tcPr>
          <w:p w14:paraId="09517EFA" w14:textId="77777777" w:rsidR="00293BDE" w:rsidRDefault="00000000">
            <w:pPr>
              <w:pStyle w:val="Compact"/>
            </w:pPr>
            <w:r>
              <w:t>V-4</w:t>
            </w:r>
          </w:p>
        </w:tc>
        <w:tc>
          <w:tcPr>
            <w:tcW w:w="1814" w:type="dxa"/>
          </w:tcPr>
          <w:p w14:paraId="1680EC67" w14:textId="77777777" w:rsidR="00293BDE" w:rsidRDefault="00000000">
            <w:pPr>
              <w:pStyle w:val="Compact"/>
            </w:pPr>
            <w:r>
              <w:t>Data falsification</w:t>
            </w:r>
          </w:p>
        </w:tc>
        <w:tc>
          <w:tcPr>
            <w:tcW w:w="1815" w:type="dxa"/>
          </w:tcPr>
          <w:p w14:paraId="6AF9EC01" w14:textId="77777777" w:rsidR="00293BDE" w:rsidRDefault="00000000">
            <w:pPr>
              <w:pStyle w:val="Compact"/>
            </w:pPr>
            <w:r>
              <w:t>Deliberate falsification of any registry data</w:t>
            </w:r>
          </w:p>
        </w:tc>
        <w:tc>
          <w:tcPr>
            <w:tcW w:w="1814" w:type="dxa"/>
          </w:tcPr>
          <w:p w14:paraId="10DFD23C" w14:textId="77777777" w:rsidR="00293BDE" w:rsidRDefault="00000000">
            <w:pPr>
              <w:pStyle w:val="Compact"/>
            </w:pPr>
            <w:r>
              <w:t>12</w:t>
            </w:r>
          </w:p>
        </w:tc>
        <w:tc>
          <w:tcPr>
            <w:tcW w:w="1815" w:type="dxa"/>
          </w:tcPr>
          <w:p w14:paraId="7591029D" w14:textId="77777777" w:rsidR="00293BDE" w:rsidRDefault="00000000">
            <w:pPr>
              <w:pStyle w:val="Compact"/>
            </w:pPr>
            <w:r>
              <w:t>Three</w:t>
            </w:r>
          </w:p>
        </w:tc>
      </w:tr>
      <w:tr w:rsidR="00293BDE" w14:paraId="515F96B0" w14:textId="77777777" w:rsidTr="00293BDE">
        <w:tc>
          <w:tcPr>
            <w:tcW w:w="1814" w:type="dxa"/>
          </w:tcPr>
          <w:p w14:paraId="3C5B0E1F" w14:textId="77777777" w:rsidR="00293BDE" w:rsidRDefault="00000000">
            <w:pPr>
              <w:pStyle w:val="Compact"/>
            </w:pPr>
            <w:r>
              <w:t>V-5</w:t>
            </w:r>
          </w:p>
        </w:tc>
        <w:tc>
          <w:tcPr>
            <w:tcW w:w="1814" w:type="dxa"/>
          </w:tcPr>
          <w:p w14:paraId="0C3987D8" w14:textId="77777777" w:rsidR="00293BDE" w:rsidRDefault="00000000">
            <w:pPr>
              <w:pStyle w:val="Compact"/>
            </w:pPr>
            <w:r>
              <w:t>Sensor compromise</w:t>
            </w:r>
          </w:p>
        </w:tc>
        <w:tc>
          <w:tcPr>
            <w:tcW w:w="1815" w:type="dxa"/>
          </w:tcPr>
          <w:p w14:paraId="161D0F03" w14:textId="77777777" w:rsidR="00293BDE" w:rsidRDefault="00000000">
            <w:pPr>
              <w:pStyle w:val="Compact"/>
            </w:pPr>
            <w:r>
              <w:t>Deliberate disablement or manipulation of monitoring systems</w:t>
            </w:r>
          </w:p>
        </w:tc>
        <w:tc>
          <w:tcPr>
            <w:tcW w:w="1814" w:type="dxa"/>
          </w:tcPr>
          <w:p w14:paraId="73D599A3" w14:textId="77777777" w:rsidR="00293BDE" w:rsidRDefault="00000000">
            <w:pPr>
              <w:pStyle w:val="Compact"/>
            </w:pPr>
            <w:r>
              <w:t>12</w:t>
            </w:r>
          </w:p>
        </w:tc>
        <w:tc>
          <w:tcPr>
            <w:tcW w:w="1815" w:type="dxa"/>
          </w:tcPr>
          <w:p w14:paraId="64740137" w14:textId="77777777" w:rsidR="00293BDE" w:rsidRDefault="00000000">
            <w:pPr>
              <w:pStyle w:val="Compact"/>
            </w:pPr>
            <w:r>
              <w:t>Three</w:t>
            </w:r>
          </w:p>
        </w:tc>
      </w:tr>
      <w:tr w:rsidR="00293BDE" w14:paraId="06D03671" w14:textId="77777777" w:rsidTr="00293BDE">
        <w:tc>
          <w:tcPr>
            <w:tcW w:w="1814" w:type="dxa"/>
          </w:tcPr>
          <w:p w14:paraId="5B24B381" w14:textId="77777777" w:rsidR="00293BDE" w:rsidRDefault="00000000">
            <w:pPr>
              <w:pStyle w:val="Compact"/>
            </w:pPr>
            <w:r>
              <w:t>V-6</w:t>
            </w:r>
          </w:p>
        </w:tc>
        <w:tc>
          <w:tcPr>
            <w:tcW w:w="1814" w:type="dxa"/>
          </w:tcPr>
          <w:p w14:paraId="2A074657" w14:textId="77777777" w:rsidR="00293BDE" w:rsidRDefault="00000000">
            <w:pPr>
              <w:pStyle w:val="Compact"/>
            </w:pPr>
            <w:r>
              <w:t>Registry custody breach</w:t>
            </w:r>
          </w:p>
        </w:tc>
        <w:tc>
          <w:tcPr>
            <w:tcW w:w="1815" w:type="dxa"/>
          </w:tcPr>
          <w:p w14:paraId="74222F59" w14:textId="77777777" w:rsidR="00293BDE" w:rsidRDefault="00000000">
            <w:pPr>
              <w:pStyle w:val="Compact"/>
            </w:pPr>
            <w:r>
              <w:t>Single-key access attempt or custody violation</w:t>
            </w:r>
          </w:p>
        </w:tc>
        <w:tc>
          <w:tcPr>
            <w:tcW w:w="1814" w:type="dxa"/>
          </w:tcPr>
          <w:p w14:paraId="5E7F6EED" w14:textId="77777777" w:rsidR="00293BDE" w:rsidRDefault="00000000">
            <w:pPr>
              <w:pStyle w:val="Compact"/>
            </w:pPr>
            <w:r>
              <w:t>6</w:t>
            </w:r>
          </w:p>
        </w:tc>
        <w:tc>
          <w:tcPr>
            <w:tcW w:w="1815" w:type="dxa"/>
          </w:tcPr>
          <w:p w14:paraId="59CF7534" w14:textId="77777777" w:rsidR="00293BDE" w:rsidRDefault="00000000">
            <w:pPr>
              <w:pStyle w:val="Compact"/>
            </w:pPr>
            <w:r>
              <w:t>Two</w:t>
            </w:r>
          </w:p>
        </w:tc>
      </w:tr>
      <w:tr w:rsidR="00293BDE" w14:paraId="4A0909F3" w14:textId="77777777" w:rsidTr="00293BDE">
        <w:tc>
          <w:tcPr>
            <w:tcW w:w="1814" w:type="dxa"/>
          </w:tcPr>
          <w:p w14:paraId="7CC54BC3" w14:textId="77777777" w:rsidR="00293BDE" w:rsidRDefault="00000000">
            <w:pPr>
              <w:pStyle w:val="Compact"/>
            </w:pPr>
            <w:r>
              <w:t>V-7</w:t>
            </w:r>
          </w:p>
        </w:tc>
        <w:tc>
          <w:tcPr>
            <w:tcW w:w="1814" w:type="dxa"/>
          </w:tcPr>
          <w:p w14:paraId="37F87951" w14:textId="77777777" w:rsidR="00293BDE" w:rsidRDefault="00000000">
            <w:pPr>
              <w:pStyle w:val="Compact"/>
            </w:pPr>
            <w:r>
              <w:t>Misuse of Compact data</w:t>
            </w:r>
          </w:p>
        </w:tc>
        <w:tc>
          <w:tcPr>
            <w:tcW w:w="1815" w:type="dxa"/>
          </w:tcPr>
          <w:p w14:paraId="5252ED78" w14:textId="77777777" w:rsidR="00293BDE" w:rsidRDefault="00000000">
            <w:pPr>
              <w:pStyle w:val="Compact"/>
            </w:pPr>
            <w:r>
              <w:t>Routing any Compact data or channel to any kinetic or intelligence purpose</w:t>
            </w:r>
          </w:p>
        </w:tc>
        <w:tc>
          <w:tcPr>
            <w:tcW w:w="1814" w:type="dxa"/>
          </w:tcPr>
          <w:p w14:paraId="526CF4A7" w14:textId="77777777" w:rsidR="00293BDE" w:rsidRDefault="00000000">
            <w:pPr>
              <w:pStyle w:val="Compact"/>
            </w:pPr>
            <w:r>
              <w:t>12</w:t>
            </w:r>
          </w:p>
        </w:tc>
        <w:tc>
          <w:tcPr>
            <w:tcW w:w="1815" w:type="dxa"/>
          </w:tcPr>
          <w:p w14:paraId="38F27F43" w14:textId="77777777" w:rsidR="00293BDE" w:rsidRDefault="00000000">
            <w:pPr>
              <w:pStyle w:val="Compact"/>
            </w:pPr>
            <w:r>
              <w:t>Three</w:t>
            </w:r>
          </w:p>
        </w:tc>
      </w:tr>
    </w:tbl>
    <w:p w14:paraId="57CF9C99" w14:textId="77777777" w:rsidR="00293BDE" w:rsidRDefault="00000000">
      <w:pPr>
        <w:pStyle w:val="Heading2"/>
      </w:pPr>
      <w:bookmarkStart w:id="427" w:name="__RefHeading___Toc10962_3324765499"/>
      <w:bookmarkEnd w:id="427"/>
      <w:r>
        <w:t>C.7 Governance domain</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042BD435"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52B773F2" w14:textId="77777777" w:rsidR="00293BDE" w:rsidRDefault="00000000">
            <w:pPr>
              <w:pStyle w:val="Compact"/>
            </w:pPr>
            <w:r>
              <w:t>Code</w:t>
            </w:r>
          </w:p>
        </w:tc>
        <w:tc>
          <w:tcPr>
            <w:tcW w:w="1814" w:type="dxa"/>
            <w:tcBorders>
              <w:bottom w:val="single" w:sz="6" w:space="0" w:color="000000"/>
            </w:tcBorders>
          </w:tcPr>
          <w:p w14:paraId="62E7E700" w14:textId="77777777" w:rsidR="00293BDE" w:rsidRDefault="00000000">
            <w:pPr>
              <w:pStyle w:val="Compact"/>
            </w:pPr>
            <w:r>
              <w:t>Event</w:t>
            </w:r>
          </w:p>
        </w:tc>
        <w:tc>
          <w:tcPr>
            <w:tcW w:w="1815" w:type="dxa"/>
            <w:tcBorders>
              <w:bottom w:val="single" w:sz="6" w:space="0" w:color="000000"/>
            </w:tcBorders>
          </w:tcPr>
          <w:p w14:paraId="7595CDE7" w14:textId="77777777" w:rsidR="00293BDE" w:rsidRDefault="00000000">
            <w:pPr>
              <w:pStyle w:val="Compact"/>
            </w:pPr>
            <w:r>
              <w:t>Threshold</w:t>
            </w:r>
          </w:p>
        </w:tc>
        <w:tc>
          <w:tcPr>
            <w:tcW w:w="1814" w:type="dxa"/>
            <w:tcBorders>
              <w:bottom w:val="single" w:sz="6" w:space="0" w:color="000000"/>
            </w:tcBorders>
          </w:tcPr>
          <w:p w14:paraId="0F090E22" w14:textId="77777777" w:rsidR="00293BDE" w:rsidRDefault="00000000">
            <w:pPr>
              <w:pStyle w:val="Compact"/>
            </w:pPr>
            <w:r>
              <w:t>Points</w:t>
            </w:r>
          </w:p>
        </w:tc>
        <w:tc>
          <w:tcPr>
            <w:tcW w:w="1815" w:type="dxa"/>
            <w:tcBorders>
              <w:bottom w:val="single" w:sz="6" w:space="0" w:color="000000"/>
            </w:tcBorders>
          </w:tcPr>
          <w:p w14:paraId="696FE186" w14:textId="77777777" w:rsidR="00293BDE" w:rsidRDefault="00000000">
            <w:pPr>
              <w:pStyle w:val="Compact"/>
            </w:pPr>
            <w:r>
              <w:t>Category</w:t>
            </w:r>
          </w:p>
        </w:tc>
      </w:tr>
      <w:tr w:rsidR="00293BDE" w14:paraId="388F6C1B" w14:textId="77777777" w:rsidTr="00293BDE">
        <w:tc>
          <w:tcPr>
            <w:tcW w:w="1814" w:type="dxa"/>
          </w:tcPr>
          <w:p w14:paraId="2078B8C4" w14:textId="77777777" w:rsidR="00293BDE" w:rsidRDefault="00000000">
            <w:pPr>
              <w:pStyle w:val="Compact"/>
            </w:pPr>
            <w:r>
              <w:t>G-1</w:t>
            </w:r>
          </w:p>
        </w:tc>
        <w:tc>
          <w:tcPr>
            <w:tcW w:w="1814" w:type="dxa"/>
          </w:tcPr>
          <w:p w14:paraId="525503EE" w14:textId="77777777" w:rsidR="00293BDE" w:rsidRDefault="00000000">
            <w:pPr>
              <w:pStyle w:val="Compact"/>
            </w:pPr>
            <w:r>
              <w:t>Meeting refusal</w:t>
            </w:r>
          </w:p>
        </w:tc>
        <w:tc>
          <w:tcPr>
            <w:tcW w:w="1815" w:type="dxa"/>
          </w:tcPr>
          <w:p w14:paraId="22849B4D" w14:textId="77777777" w:rsidR="00293BDE" w:rsidRDefault="00000000">
            <w:pPr>
              <w:pStyle w:val="Compact"/>
            </w:pPr>
            <w:r>
              <w:t>Refusal to attend a convened Council or consultation session</w:t>
            </w:r>
          </w:p>
        </w:tc>
        <w:tc>
          <w:tcPr>
            <w:tcW w:w="1814" w:type="dxa"/>
          </w:tcPr>
          <w:p w14:paraId="5446AAA5" w14:textId="77777777" w:rsidR="00293BDE" w:rsidRDefault="00000000">
            <w:pPr>
              <w:pStyle w:val="Compact"/>
            </w:pPr>
            <w:r>
              <w:t>1</w:t>
            </w:r>
          </w:p>
        </w:tc>
        <w:tc>
          <w:tcPr>
            <w:tcW w:w="1815" w:type="dxa"/>
          </w:tcPr>
          <w:p w14:paraId="360D5555" w14:textId="77777777" w:rsidR="00293BDE" w:rsidRDefault="00000000">
            <w:pPr>
              <w:pStyle w:val="Compact"/>
            </w:pPr>
            <w:r>
              <w:t>One</w:t>
            </w:r>
          </w:p>
        </w:tc>
      </w:tr>
      <w:tr w:rsidR="00293BDE" w14:paraId="16BB81AF" w14:textId="77777777" w:rsidTr="00293BDE">
        <w:tc>
          <w:tcPr>
            <w:tcW w:w="1814" w:type="dxa"/>
          </w:tcPr>
          <w:p w14:paraId="7133138F" w14:textId="77777777" w:rsidR="00293BDE" w:rsidRDefault="00000000">
            <w:pPr>
              <w:pStyle w:val="Compact"/>
            </w:pPr>
            <w:r>
              <w:t>G-2</w:t>
            </w:r>
          </w:p>
        </w:tc>
        <w:tc>
          <w:tcPr>
            <w:tcW w:w="1814" w:type="dxa"/>
          </w:tcPr>
          <w:p w14:paraId="4F82474A" w14:textId="77777777" w:rsidR="00293BDE" w:rsidRDefault="00000000">
            <w:pPr>
              <w:pStyle w:val="Compact"/>
            </w:pPr>
            <w:r>
              <w:t>Data withholding</w:t>
            </w:r>
          </w:p>
        </w:tc>
        <w:tc>
          <w:tcPr>
            <w:tcW w:w="1815" w:type="dxa"/>
          </w:tcPr>
          <w:p w14:paraId="53F5C2EA" w14:textId="77777777" w:rsidR="00293BDE" w:rsidRDefault="00000000">
            <w:pPr>
              <w:pStyle w:val="Compact"/>
            </w:pPr>
            <w:r>
              <w:t>Failure to supply Council-designated records within seven days</w:t>
            </w:r>
          </w:p>
        </w:tc>
        <w:tc>
          <w:tcPr>
            <w:tcW w:w="1814" w:type="dxa"/>
          </w:tcPr>
          <w:p w14:paraId="16436D77" w14:textId="77777777" w:rsidR="00293BDE" w:rsidRDefault="00000000">
            <w:pPr>
              <w:pStyle w:val="Compact"/>
            </w:pPr>
            <w:r>
              <w:t>1</w:t>
            </w:r>
          </w:p>
        </w:tc>
        <w:tc>
          <w:tcPr>
            <w:tcW w:w="1815" w:type="dxa"/>
          </w:tcPr>
          <w:p w14:paraId="33CB3BA2" w14:textId="77777777" w:rsidR="00293BDE" w:rsidRDefault="00000000">
            <w:pPr>
              <w:pStyle w:val="Compact"/>
            </w:pPr>
            <w:r>
              <w:t>One</w:t>
            </w:r>
          </w:p>
        </w:tc>
      </w:tr>
      <w:tr w:rsidR="00293BDE" w14:paraId="13B083A6" w14:textId="77777777" w:rsidTr="00293BDE">
        <w:tc>
          <w:tcPr>
            <w:tcW w:w="1814" w:type="dxa"/>
          </w:tcPr>
          <w:p w14:paraId="326AC328" w14:textId="77777777" w:rsidR="00293BDE" w:rsidRDefault="00000000">
            <w:pPr>
              <w:pStyle w:val="Compact"/>
            </w:pPr>
            <w:r>
              <w:t>G-3</w:t>
            </w:r>
          </w:p>
        </w:tc>
        <w:tc>
          <w:tcPr>
            <w:tcW w:w="1814" w:type="dxa"/>
          </w:tcPr>
          <w:p w14:paraId="44CDB24B" w14:textId="77777777" w:rsidR="00293BDE" w:rsidRDefault="00000000">
            <w:pPr>
              <w:pStyle w:val="Compact"/>
            </w:pPr>
            <w:r>
              <w:t>Binding determination ignored</w:t>
            </w:r>
          </w:p>
        </w:tc>
        <w:tc>
          <w:tcPr>
            <w:tcW w:w="1815" w:type="dxa"/>
          </w:tcPr>
          <w:p w14:paraId="223DBC24" w14:textId="77777777" w:rsidR="00293BDE" w:rsidRDefault="00000000">
            <w:pPr>
              <w:pStyle w:val="Compact"/>
            </w:pPr>
            <w:r>
              <w:t>Non-compliance with a referee or Panel determination</w:t>
            </w:r>
          </w:p>
        </w:tc>
        <w:tc>
          <w:tcPr>
            <w:tcW w:w="1814" w:type="dxa"/>
          </w:tcPr>
          <w:p w14:paraId="35678333" w14:textId="77777777" w:rsidR="00293BDE" w:rsidRDefault="00000000">
            <w:pPr>
              <w:pStyle w:val="Compact"/>
            </w:pPr>
            <w:r>
              <w:t>6</w:t>
            </w:r>
          </w:p>
        </w:tc>
        <w:tc>
          <w:tcPr>
            <w:tcW w:w="1815" w:type="dxa"/>
          </w:tcPr>
          <w:p w14:paraId="5F21185D" w14:textId="77777777" w:rsidR="00293BDE" w:rsidRDefault="00000000">
            <w:pPr>
              <w:pStyle w:val="Compact"/>
            </w:pPr>
            <w:r>
              <w:t>Two</w:t>
            </w:r>
          </w:p>
        </w:tc>
      </w:tr>
      <w:tr w:rsidR="00293BDE" w14:paraId="54B1F51D" w14:textId="77777777" w:rsidTr="00293BDE">
        <w:tc>
          <w:tcPr>
            <w:tcW w:w="1814" w:type="dxa"/>
          </w:tcPr>
          <w:p w14:paraId="75B7454D" w14:textId="77777777" w:rsidR="00293BDE" w:rsidRDefault="00000000">
            <w:pPr>
              <w:pStyle w:val="Compact"/>
            </w:pPr>
            <w:r>
              <w:t>G-4</w:t>
            </w:r>
          </w:p>
        </w:tc>
        <w:tc>
          <w:tcPr>
            <w:tcW w:w="1814" w:type="dxa"/>
          </w:tcPr>
          <w:p w14:paraId="12EA9E8D" w14:textId="77777777" w:rsidR="00293BDE" w:rsidRDefault="00000000">
            <w:pPr>
              <w:pStyle w:val="Compact"/>
            </w:pPr>
            <w:r>
              <w:t>Whistleblower retaliation</w:t>
            </w:r>
          </w:p>
        </w:tc>
        <w:tc>
          <w:tcPr>
            <w:tcW w:w="1815" w:type="dxa"/>
          </w:tcPr>
          <w:p w14:paraId="4DD13933" w14:textId="77777777" w:rsidR="00293BDE" w:rsidRDefault="00000000">
            <w:pPr>
              <w:pStyle w:val="Compact"/>
            </w:pPr>
            <w:r>
              <w:t>Any retaliation against a protected reporting officer</w:t>
            </w:r>
          </w:p>
        </w:tc>
        <w:tc>
          <w:tcPr>
            <w:tcW w:w="1814" w:type="dxa"/>
          </w:tcPr>
          <w:p w14:paraId="6E8C3948" w14:textId="77777777" w:rsidR="00293BDE" w:rsidRDefault="00000000">
            <w:pPr>
              <w:pStyle w:val="Compact"/>
            </w:pPr>
            <w:r>
              <w:t>6</w:t>
            </w:r>
          </w:p>
        </w:tc>
        <w:tc>
          <w:tcPr>
            <w:tcW w:w="1815" w:type="dxa"/>
          </w:tcPr>
          <w:p w14:paraId="147E849B" w14:textId="77777777" w:rsidR="00293BDE" w:rsidRDefault="00000000">
            <w:pPr>
              <w:pStyle w:val="Compact"/>
            </w:pPr>
            <w:r>
              <w:t>Two</w:t>
            </w:r>
          </w:p>
        </w:tc>
      </w:tr>
      <w:tr w:rsidR="00293BDE" w14:paraId="7CFC0CB9" w14:textId="77777777" w:rsidTr="00293BDE">
        <w:tc>
          <w:tcPr>
            <w:tcW w:w="1814" w:type="dxa"/>
          </w:tcPr>
          <w:p w14:paraId="4A154C53" w14:textId="77777777" w:rsidR="00293BDE" w:rsidRDefault="00000000">
            <w:pPr>
              <w:pStyle w:val="Compact"/>
            </w:pPr>
            <w:r>
              <w:t>G-5</w:t>
            </w:r>
          </w:p>
        </w:tc>
        <w:tc>
          <w:tcPr>
            <w:tcW w:w="1814" w:type="dxa"/>
          </w:tcPr>
          <w:p w14:paraId="2E1DF07C" w14:textId="77777777" w:rsidR="00293BDE" w:rsidRDefault="00000000">
            <w:pPr>
              <w:pStyle w:val="Compact"/>
            </w:pPr>
            <w:r>
              <w:t>Horizon Pause abuse</w:t>
            </w:r>
          </w:p>
        </w:tc>
        <w:tc>
          <w:tcPr>
            <w:tcW w:w="1815" w:type="dxa"/>
          </w:tcPr>
          <w:p w14:paraId="4D9F80D7" w14:textId="77777777" w:rsidR="00293BDE" w:rsidRDefault="00000000">
            <w:pPr>
              <w:pStyle w:val="Compact"/>
            </w:pPr>
            <w:r>
              <w:t>Pause invocation beyond the annual count or preserving failures during Pause</w:t>
            </w:r>
          </w:p>
        </w:tc>
        <w:tc>
          <w:tcPr>
            <w:tcW w:w="1814" w:type="dxa"/>
          </w:tcPr>
          <w:p w14:paraId="7B1E8FFE" w14:textId="77777777" w:rsidR="00293BDE" w:rsidRDefault="00000000">
            <w:pPr>
              <w:pStyle w:val="Compact"/>
            </w:pPr>
            <w:r>
              <w:t>3</w:t>
            </w:r>
          </w:p>
        </w:tc>
        <w:tc>
          <w:tcPr>
            <w:tcW w:w="1815" w:type="dxa"/>
          </w:tcPr>
          <w:p w14:paraId="5E8705F2" w14:textId="77777777" w:rsidR="00293BDE" w:rsidRDefault="00000000">
            <w:pPr>
              <w:pStyle w:val="Compact"/>
            </w:pPr>
            <w:r>
              <w:t>Two</w:t>
            </w:r>
          </w:p>
        </w:tc>
      </w:tr>
      <w:tr w:rsidR="00293BDE" w14:paraId="49A965D1" w14:textId="77777777" w:rsidTr="00293BDE">
        <w:tc>
          <w:tcPr>
            <w:tcW w:w="1814" w:type="dxa"/>
          </w:tcPr>
          <w:p w14:paraId="6C81000D" w14:textId="77777777" w:rsidR="00293BDE" w:rsidRDefault="00000000">
            <w:pPr>
              <w:pStyle w:val="Compact"/>
            </w:pPr>
            <w:r>
              <w:t>G-6</w:t>
            </w:r>
          </w:p>
        </w:tc>
        <w:tc>
          <w:tcPr>
            <w:tcW w:w="1814" w:type="dxa"/>
          </w:tcPr>
          <w:p w14:paraId="2BEBF3D3" w14:textId="77777777" w:rsidR="00293BDE" w:rsidRDefault="00000000">
            <w:pPr>
              <w:pStyle w:val="Compact"/>
            </w:pPr>
            <w:r>
              <w:t>Narrative boundary breach</w:t>
            </w:r>
          </w:p>
        </w:tc>
        <w:tc>
          <w:tcPr>
            <w:tcW w:w="1815" w:type="dxa"/>
          </w:tcPr>
          <w:p w14:paraId="15F5BE4C" w14:textId="77777777" w:rsidR="00293BDE" w:rsidRDefault="00000000">
            <w:pPr>
              <w:pStyle w:val="Compact"/>
            </w:pPr>
            <w:r>
              <w:t>Third uncorrected framing finding in 180 days</w:t>
            </w:r>
          </w:p>
        </w:tc>
        <w:tc>
          <w:tcPr>
            <w:tcW w:w="1814" w:type="dxa"/>
          </w:tcPr>
          <w:p w14:paraId="0F921885" w14:textId="77777777" w:rsidR="00293BDE" w:rsidRDefault="00000000">
            <w:pPr>
              <w:pStyle w:val="Compact"/>
            </w:pPr>
            <w:r>
              <w:t>3</w:t>
            </w:r>
          </w:p>
        </w:tc>
        <w:tc>
          <w:tcPr>
            <w:tcW w:w="1815" w:type="dxa"/>
          </w:tcPr>
          <w:p w14:paraId="72C34E8D" w14:textId="77777777" w:rsidR="00293BDE" w:rsidRDefault="00000000">
            <w:pPr>
              <w:pStyle w:val="Compact"/>
            </w:pPr>
            <w:r>
              <w:t>Two</w:t>
            </w:r>
          </w:p>
        </w:tc>
      </w:tr>
      <w:tr w:rsidR="00293BDE" w14:paraId="386DDA07" w14:textId="77777777" w:rsidTr="00293BDE">
        <w:tc>
          <w:tcPr>
            <w:tcW w:w="1814" w:type="dxa"/>
          </w:tcPr>
          <w:p w14:paraId="02B3E0AA" w14:textId="77777777" w:rsidR="00293BDE" w:rsidRDefault="00000000">
            <w:pPr>
              <w:pStyle w:val="Compact"/>
            </w:pPr>
            <w:r>
              <w:t>G-7</w:t>
            </w:r>
          </w:p>
        </w:tc>
        <w:tc>
          <w:tcPr>
            <w:tcW w:w="1814" w:type="dxa"/>
          </w:tcPr>
          <w:p w14:paraId="49BE9626" w14:textId="77777777" w:rsidR="00293BDE" w:rsidRDefault="00000000">
            <w:pPr>
              <w:pStyle w:val="Compact"/>
            </w:pPr>
            <w:r>
              <w:t>Withdrawal procedure breach</w:t>
            </w:r>
          </w:p>
        </w:tc>
        <w:tc>
          <w:tcPr>
            <w:tcW w:w="1815" w:type="dxa"/>
          </w:tcPr>
          <w:p w14:paraId="2F931915" w14:textId="77777777" w:rsidR="00293BDE" w:rsidRDefault="00000000">
            <w:pPr>
              <w:pStyle w:val="Compact"/>
            </w:pPr>
            <w:r>
              <w:t>Departure outside the Article 33.4 procedure</w:t>
            </w:r>
          </w:p>
        </w:tc>
        <w:tc>
          <w:tcPr>
            <w:tcW w:w="1814" w:type="dxa"/>
          </w:tcPr>
          <w:p w14:paraId="39360CFA" w14:textId="77777777" w:rsidR="00293BDE" w:rsidRDefault="00000000">
            <w:pPr>
              <w:pStyle w:val="Compact"/>
            </w:pPr>
            <w:r>
              <w:t>3</w:t>
            </w:r>
          </w:p>
        </w:tc>
        <w:tc>
          <w:tcPr>
            <w:tcW w:w="1815" w:type="dxa"/>
          </w:tcPr>
          <w:p w14:paraId="699C9E32" w14:textId="77777777" w:rsidR="00293BDE" w:rsidRDefault="00000000">
            <w:pPr>
              <w:pStyle w:val="Compact"/>
            </w:pPr>
            <w:r>
              <w:t>Two</w:t>
            </w:r>
          </w:p>
        </w:tc>
      </w:tr>
      <w:tr w:rsidR="00293BDE" w14:paraId="2BC1201D" w14:textId="77777777" w:rsidTr="00293BDE">
        <w:tc>
          <w:tcPr>
            <w:tcW w:w="1814" w:type="dxa"/>
          </w:tcPr>
          <w:p w14:paraId="69520DAA" w14:textId="77777777" w:rsidR="00293BDE" w:rsidRDefault="00000000">
            <w:pPr>
              <w:pStyle w:val="Compact"/>
            </w:pPr>
            <w:r>
              <w:t>G-8</w:t>
            </w:r>
          </w:p>
        </w:tc>
        <w:tc>
          <w:tcPr>
            <w:tcW w:w="1814" w:type="dxa"/>
          </w:tcPr>
          <w:p w14:paraId="0BE32BC5" w14:textId="77777777" w:rsidR="00293BDE" w:rsidRDefault="00000000">
            <w:pPr>
              <w:pStyle w:val="Compact"/>
            </w:pPr>
            <w:r>
              <w:t>Perimeter Test evasion</w:t>
            </w:r>
          </w:p>
        </w:tc>
        <w:tc>
          <w:tcPr>
            <w:tcW w:w="1815" w:type="dxa"/>
          </w:tcPr>
          <w:p w14:paraId="2512E575" w14:textId="77777777" w:rsidR="00293BDE" w:rsidRDefault="00000000">
            <w:pPr>
              <w:pStyle w:val="Compact"/>
            </w:pPr>
            <w:r>
              <w:t>Introducing a measure without the written Perimeter Test</w:t>
            </w:r>
          </w:p>
        </w:tc>
        <w:tc>
          <w:tcPr>
            <w:tcW w:w="1814" w:type="dxa"/>
          </w:tcPr>
          <w:p w14:paraId="60F97884" w14:textId="77777777" w:rsidR="00293BDE" w:rsidRDefault="00000000">
            <w:pPr>
              <w:pStyle w:val="Compact"/>
            </w:pPr>
            <w:r>
              <w:t>1</w:t>
            </w:r>
          </w:p>
        </w:tc>
        <w:tc>
          <w:tcPr>
            <w:tcW w:w="1815" w:type="dxa"/>
          </w:tcPr>
          <w:p w14:paraId="5D9156F0" w14:textId="77777777" w:rsidR="00293BDE" w:rsidRDefault="00000000">
            <w:pPr>
              <w:pStyle w:val="Compact"/>
            </w:pPr>
            <w:r>
              <w:t>One</w:t>
            </w:r>
          </w:p>
        </w:tc>
      </w:tr>
      <w:tr w:rsidR="00293BDE" w14:paraId="4F01534B" w14:textId="77777777" w:rsidTr="00293BDE">
        <w:tc>
          <w:tcPr>
            <w:tcW w:w="1814" w:type="dxa"/>
          </w:tcPr>
          <w:p w14:paraId="2AF9B3BB" w14:textId="77777777" w:rsidR="00293BDE" w:rsidRDefault="00000000">
            <w:pPr>
              <w:pStyle w:val="Compact"/>
            </w:pPr>
            <w:r>
              <w:t>G-9</w:t>
            </w:r>
          </w:p>
        </w:tc>
        <w:tc>
          <w:tcPr>
            <w:tcW w:w="1814" w:type="dxa"/>
          </w:tcPr>
          <w:p w14:paraId="4870D371" w14:textId="77777777" w:rsidR="00293BDE" w:rsidRDefault="00000000">
            <w:pPr>
              <w:pStyle w:val="Compact"/>
            </w:pPr>
            <w:r>
              <w:t>Civilian Character breach</w:t>
            </w:r>
          </w:p>
        </w:tc>
        <w:tc>
          <w:tcPr>
            <w:tcW w:w="1815" w:type="dxa"/>
          </w:tcPr>
          <w:p w14:paraId="2B6C6CF8" w14:textId="77777777" w:rsidR="00293BDE" w:rsidRDefault="00000000">
            <w:pPr>
              <w:pStyle w:val="Compact"/>
            </w:pPr>
            <w:r>
              <w:t>Military staffing of an operational function contrary to Article 14.7</w:t>
            </w:r>
          </w:p>
        </w:tc>
        <w:tc>
          <w:tcPr>
            <w:tcW w:w="1814" w:type="dxa"/>
          </w:tcPr>
          <w:p w14:paraId="799D348A" w14:textId="77777777" w:rsidR="00293BDE" w:rsidRDefault="00000000">
            <w:pPr>
              <w:pStyle w:val="Compact"/>
            </w:pPr>
            <w:r>
              <w:t>6</w:t>
            </w:r>
          </w:p>
        </w:tc>
        <w:tc>
          <w:tcPr>
            <w:tcW w:w="1815" w:type="dxa"/>
          </w:tcPr>
          <w:p w14:paraId="1EF59928" w14:textId="77777777" w:rsidR="00293BDE" w:rsidRDefault="00000000">
            <w:pPr>
              <w:pStyle w:val="Compact"/>
            </w:pPr>
            <w:r>
              <w:t>Two</w:t>
            </w:r>
          </w:p>
        </w:tc>
      </w:tr>
    </w:tbl>
    <w:p w14:paraId="00E55431" w14:textId="77777777" w:rsidR="00293BDE" w:rsidRDefault="00000000">
      <w:pPr>
        <w:pStyle w:val="Heading2"/>
      </w:pPr>
      <w:bookmarkStart w:id="428" w:name="__RefHeading___Toc10964_3324765499"/>
      <w:bookmarkEnd w:id="428"/>
      <w:r>
        <w:t>C.8 The proportionality formula</w:t>
      </w:r>
    </w:p>
    <w:p w14:paraId="78DB9D82" w14:textId="77777777" w:rsidR="00293BDE" w:rsidRDefault="00000000">
      <w:pPr>
        <w:pStyle w:val="FirstParagraph"/>
      </w:pPr>
      <w:r>
        <w:t>Ladder response scale equals: base response for the category, times the duration multiplier (0.4 for correction within twenty-four hours, rising to 1.0 where the remediation window closes uncured), times the remediation factor (0.5 full remediation, 0.75 partial, 1.0 none). The Neutral Watch Office computes; the registry logs; the dashboard publishes.</w:t>
      </w:r>
    </w:p>
    <w:p w14:paraId="1C368FE6" w14:textId="77777777" w:rsidR="00293BDE" w:rsidRDefault="00000000">
      <w:pPr>
        <w:pStyle w:val="Heading2"/>
      </w:pPr>
      <w:bookmarkStart w:id="429" w:name="__RefHeading___Toc10966_3324765499"/>
      <w:bookmarkEnd w:id="429"/>
      <w:r>
        <w:t>C.9 Monitoring periods for restoration</w:t>
      </w:r>
    </w:p>
    <w:p w14:paraId="743B1962" w14:textId="77777777" w:rsidR="00293BDE" w:rsidRDefault="00000000">
      <w:pPr>
        <w:pStyle w:val="FirstParagraph"/>
      </w:pPr>
      <w:bookmarkStart w:id="430" w:name="c.9-monitoring-periods-for-restoration"/>
      <w:r>
        <w:t>Category Two: fourteen days of sustained verified compliance, then automatic restoration on the Neutral Watch Office’s certification. Category Three: ninety days (intensive verification days 1 to 30, standard days 31 to 60, reduced days 61 to 90), then restoration on Council confirmation by Consensus Minus the Concerned Party. Banked credit shortens either period by up to one quarter.</w:t>
      </w:r>
      <w:bookmarkEnd w:id="430"/>
    </w:p>
    <w:p w14:paraId="1A49B299" w14:textId="77777777" w:rsidR="00293BDE" w:rsidRDefault="00000000">
      <w:pPr>
        <w:pStyle w:val="Heading2"/>
      </w:pPr>
      <w:bookmarkStart w:id="431" w:name="__RefHeading___Toc10968_3324765499"/>
      <w:bookmarkEnd w:id="431"/>
      <w:r>
        <w:t>C.10 Standing formula and directness test</w:t>
      </w:r>
    </w:p>
    <w:p w14:paraId="185563F0" w14:textId="77777777" w:rsidR="00293BDE" w:rsidRDefault="00000000">
      <w:pPr>
        <w:pStyle w:val="FirstParagraph"/>
      </w:pPr>
      <w:bookmarkStart w:id="432" w:name="X012364cbbf859a2ac95d546318b39ec745d0244"/>
      <w:r>
        <w:t>The directness test for claims: the loss follows from the event without an independent intervening cause, and the registry’s record demonstrates the chain. The standing formula for delay losses: documented daily operating cost plus documented charter differential, capped per Annex B.6.</w:t>
      </w:r>
      <w:bookmarkEnd w:id="432"/>
    </w:p>
    <w:p w14:paraId="1EE7A530" w14:textId="77777777" w:rsidR="00293BDE" w:rsidRDefault="00000000">
      <w:pPr>
        <w:pStyle w:val="Heading2"/>
      </w:pPr>
      <w:bookmarkStart w:id="433" w:name="__RefHeading___Toc10970_3324765499"/>
      <w:bookmarkEnd w:id="433"/>
      <w:r>
        <w:t>C.11 Worked Ladder example</w:t>
      </w:r>
    </w:p>
    <w:p w14:paraId="37B8E25A" w14:textId="77777777" w:rsidR="00293BDE" w:rsidRDefault="00000000">
      <w:pPr>
        <w:pStyle w:val="FirstParagraph"/>
      </w:pPr>
      <w:r>
        <w:t>A worked example for transparency: a verified M-2 interference event (no injury) assesses 6 points, Category Two. The base response pauses the responsible Party’s discretionary conveniences and discretionary financial flows. The event corrects within twenty-four hours (duration multiplier 0.4) with full remediation (factor 0.5), so the executed response scales to 0.2 of base: the conveniences pause for five days instead of the full base period, the Compensation Window fast track for the responsible Party’s own claims pauses for the same period, and no apportionment timing moves. The Party returns to full standing on the Neutral Watch Office’s certification after the fourteen-day monitoring period, shortened to eleven days where the Party holds two banked credit weeks. The entire sequence logs, computes, and publishes without a single discretionary decision: the schedule responds, not any person.</w:t>
      </w:r>
    </w:p>
    <w:bookmarkStart w:id="434" w:name="annex-c-the-compliance-point-schedule"/>
    <w:bookmarkStart w:id="435" w:name="c.11-worked-ladder-example"/>
    <w:p w14:paraId="4AD06E36" w14:textId="15B6BD9E" w:rsidR="00293BDE" w:rsidRDefault="00622008">
      <w:r>
        <w:rPr>
          <w:noProof/>
        </w:rPr>
      </w:r>
      <w:r>
        <w:pict w14:anchorId="5A4F8C1D">
          <v:rect id="Rectangle 18" o:spid="_x0000_s1037"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34"/>
      <w:bookmarkEnd w:id="435"/>
    </w:p>
    <w:p w14:paraId="3920ED74" w14:textId="77777777" w:rsidR="00293BDE" w:rsidRDefault="00000000">
      <w:pPr>
        <w:pStyle w:val="Heading1"/>
      </w:pPr>
      <w:bookmarkStart w:id="436" w:name="__RefHeading___Toc10972_3324765499"/>
      <w:bookmarkEnd w:id="436"/>
      <w:r>
        <w:t>ANNEX D: COMMUNICATIONS, NOTIFICATION FORMATS, AND THE MARINERS’ HANDBOOK</w:t>
      </w:r>
    </w:p>
    <w:p w14:paraId="3F423AD4" w14:textId="77777777" w:rsidR="00293BDE" w:rsidRDefault="00000000">
      <w:pPr>
        <w:pStyle w:val="Heading2"/>
      </w:pPr>
      <w:bookmarkStart w:id="437" w:name="__RefHeading___Toc10974_3324765499"/>
      <w:bookmarkEnd w:id="437"/>
      <w:r>
        <w:t>D.1 The twelve-field transit notice</w:t>
      </w:r>
    </w:p>
    <w:p w14:paraId="6AD7BFFD" w14:textId="77777777" w:rsidR="00293BDE" w:rsidRDefault="00000000">
      <w:pPr>
        <w:pStyle w:val="FirstParagraph"/>
      </w:pPr>
      <w:r>
        <w:t>The transit notice for the Northern Inbound Corridor (voluntary for the Southern Outbound Corridor) contains exactly twelve fields: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6E609EE5"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71ED391B" w14:textId="77777777" w:rsidR="00293BDE" w:rsidRDefault="00000000">
            <w:pPr>
              <w:pStyle w:val="Compact"/>
            </w:pPr>
            <w:r>
              <w:t>Field</w:t>
            </w:r>
          </w:p>
        </w:tc>
        <w:tc>
          <w:tcPr>
            <w:tcW w:w="3024" w:type="dxa"/>
            <w:tcBorders>
              <w:bottom w:val="single" w:sz="6" w:space="0" w:color="000000"/>
            </w:tcBorders>
          </w:tcPr>
          <w:p w14:paraId="34B4A5BD" w14:textId="77777777" w:rsidR="00293BDE" w:rsidRDefault="00000000">
            <w:pPr>
              <w:pStyle w:val="Compact"/>
            </w:pPr>
            <w:r>
              <w:t>Content</w:t>
            </w:r>
          </w:p>
        </w:tc>
        <w:tc>
          <w:tcPr>
            <w:tcW w:w="3024" w:type="dxa"/>
            <w:tcBorders>
              <w:bottom w:val="single" w:sz="6" w:space="0" w:color="000000"/>
            </w:tcBorders>
          </w:tcPr>
          <w:p w14:paraId="114710EA" w14:textId="77777777" w:rsidR="00293BDE" w:rsidRDefault="00000000">
            <w:pPr>
              <w:pStyle w:val="Compact"/>
            </w:pPr>
            <w:r>
              <w:t>Format</w:t>
            </w:r>
          </w:p>
        </w:tc>
      </w:tr>
      <w:tr w:rsidR="00293BDE" w14:paraId="0E06C61E" w14:textId="77777777" w:rsidTr="00293BDE">
        <w:tc>
          <w:tcPr>
            <w:tcW w:w="3024" w:type="dxa"/>
          </w:tcPr>
          <w:p w14:paraId="0BBCB8BF" w14:textId="77777777" w:rsidR="00293BDE" w:rsidRDefault="00000000">
            <w:pPr>
              <w:pStyle w:val="Compact"/>
            </w:pPr>
            <w:r>
              <w:t>1</w:t>
            </w:r>
          </w:p>
        </w:tc>
        <w:tc>
          <w:tcPr>
            <w:tcW w:w="3024" w:type="dxa"/>
          </w:tcPr>
          <w:p w14:paraId="62082D1C" w14:textId="77777777" w:rsidR="00293BDE" w:rsidRDefault="00000000">
            <w:pPr>
              <w:pStyle w:val="Compact"/>
            </w:pPr>
            <w:r>
              <w:t>Vessel name and IMO number</w:t>
            </w:r>
          </w:p>
        </w:tc>
        <w:tc>
          <w:tcPr>
            <w:tcW w:w="3024" w:type="dxa"/>
          </w:tcPr>
          <w:p w14:paraId="6EB76E13" w14:textId="77777777" w:rsidR="00293BDE" w:rsidRDefault="00000000">
            <w:pPr>
              <w:pStyle w:val="Compact"/>
            </w:pPr>
            <w:r>
              <w:t>Text</w:t>
            </w:r>
          </w:p>
        </w:tc>
      </w:tr>
      <w:tr w:rsidR="00293BDE" w14:paraId="31FE9CAA" w14:textId="77777777" w:rsidTr="00293BDE">
        <w:tc>
          <w:tcPr>
            <w:tcW w:w="3024" w:type="dxa"/>
          </w:tcPr>
          <w:p w14:paraId="34EB2013" w14:textId="77777777" w:rsidR="00293BDE" w:rsidRDefault="00000000">
            <w:pPr>
              <w:pStyle w:val="Compact"/>
            </w:pPr>
            <w:r>
              <w:t>2</w:t>
            </w:r>
          </w:p>
        </w:tc>
        <w:tc>
          <w:tcPr>
            <w:tcW w:w="3024" w:type="dxa"/>
          </w:tcPr>
          <w:p w14:paraId="3B3A5511" w14:textId="77777777" w:rsidR="00293BDE" w:rsidRDefault="00000000">
            <w:pPr>
              <w:pStyle w:val="Compact"/>
            </w:pPr>
            <w:r>
              <w:t>Flag state</w:t>
            </w:r>
          </w:p>
        </w:tc>
        <w:tc>
          <w:tcPr>
            <w:tcW w:w="3024" w:type="dxa"/>
          </w:tcPr>
          <w:p w14:paraId="47DE30B0" w14:textId="77777777" w:rsidR="00293BDE" w:rsidRDefault="00000000">
            <w:pPr>
              <w:pStyle w:val="Compact"/>
            </w:pPr>
            <w:r>
              <w:t>Text</w:t>
            </w:r>
          </w:p>
        </w:tc>
      </w:tr>
      <w:tr w:rsidR="00293BDE" w14:paraId="23F8C197" w14:textId="77777777" w:rsidTr="00293BDE">
        <w:tc>
          <w:tcPr>
            <w:tcW w:w="3024" w:type="dxa"/>
          </w:tcPr>
          <w:p w14:paraId="0FCCFF9A" w14:textId="77777777" w:rsidR="00293BDE" w:rsidRDefault="00000000">
            <w:pPr>
              <w:pStyle w:val="Compact"/>
            </w:pPr>
            <w:r>
              <w:t>3</w:t>
            </w:r>
          </w:p>
        </w:tc>
        <w:tc>
          <w:tcPr>
            <w:tcW w:w="3024" w:type="dxa"/>
          </w:tcPr>
          <w:p w14:paraId="46766241" w14:textId="77777777" w:rsidR="00293BDE" w:rsidRDefault="00000000">
            <w:pPr>
              <w:pStyle w:val="Compact"/>
            </w:pPr>
            <w:r>
              <w:t>Vessel class (A to H per Article 10)</w:t>
            </w:r>
          </w:p>
        </w:tc>
        <w:tc>
          <w:tcPr>
            <w:tcW w:w="3024" w:type="dxa"/>
          </w:tcPr>
          <w:p w14:paraId="46A43101" w14:textId="77777777" w:rsidR="00293BDE" w:rsidRDefault="00000000">
            <w:pPr>
              <w:pStyle w:val="Compact"/>
            </w:pPr>
            <w:r>
              <w:t>Code</w:t>
            </w:r>
          </w:p>
        </w:tc>
      </w:tr>
      <w:tr w:rsidR="00293BDE" w14:paraId="36215BF5" w14:textId="77777777" w:rsidTr="00293BDE">
        <w:tc>
          <w:tcPr>
            <w:tcW w:w="3024" w:type="dxa"/>
          </w:tcPr>
          <w:p w14:paraId="1927899C" w14:textId="77777777" w:rsidR="00293BDE" w:rsidRDefault="00000000">
            <w:pPr>
              <w:pStyle w:val="Compact"/>
            </w:pPr>
            <w:r>
              <w:t>4</w:t>
            </w:r>
          </w:p>
        </w:tc>
        <w:tc>
          <w:tcPr>
            <w:tcW w:w="3024" w:type="dxa"/>
          </w:tcPr>
          <w:p w14:paraId="1CD6F1A7" w14:textId="77777777" w:rsidR="00293BDE" w:rsidRDefault="00000000">
            <w:pPr>
              <w:pStyle w:val="Compact"/>
            </w:pPr>
            <w:r>
              <w:t>Length overall, beam</w:t>
            </w:r>
          </w:p>
        </w:tc>
        <w:tc>
          <w:tcPr>
            <w:tcW w:w="3024" w:type="dxa"/>
          </w:tcPr>
          <w:p w14:paraId="7D014E2F" w14:textId="77777777" w:rsidR="00293BDE" w:rsidRDefault="00000000">
            <w:pPr>
              <w:pStyle w:val="Compact"/>
            </w:pPr>
            <w:r>
              <w:t>Metres</w:t>
            </w:r>
          </w:p>
        </w:tc>
      </w:tr>
      <w:tr w:rsidR="00293BDE" w14:paraId="5D7C8F76" w14:textId="77777777" w:rsidTr="00293BDE">
        <w:tc>
          <w:tcPr>
            <w:tcW w:w="3024" w:type="dxa"/>
          </w:tcPr>
          <w:p w14:paraId="38D19BA6" w14:textId="77777777" w:rsidR="00293BDE" w:rsidRDefault="00000000">
            <w:pPr>
              <w:pStyle w:val="Compact"/>
            </w:pPr>
            <w:r>
              <w:t>5</w:t>
            </w:r>
          </w:p>
        </w:tc>
        <w:tc>
          <w:tcPr>
            <w:tcW w:w="3024" w:type="dxa"/>
          </w:tcPr>
          <w:p w14:paraId="5C4CFA62" w14:textId="77777777" w:rsidR="00293BDE" w:rsidRDefault="00000000">
            <w:pPr>
              <w:pStyle w:val="Compact"/>
            </w:pPr>
            <w:r>
              <w:t>Current draft, fore and aft</w:t>
            </w:r>
          </w:p>
        </w:tc>
        <w:tc>
          <w:tcPr>
            <w:tcW w:w="3024" w:type="dxa"/>
          </w:tcPr>
          <w:p w14:paraId="102E5B98" w14:textId="77777777" w:rsidR="00293BDE" w:rsidRDefault="00000000">
            <w:pPr>
              <w:pStyle w:val="Compact"/>
            </w:pPr>
            <w:r>
              <w:t>Metres, decimetres</w:t>
            </w:r>
          </w:p>
        </w:tc>
      </w:tr>
      <w:tr w:rsidR="00293BDE" w14:paraId="4C081E6E" w14:textId="77777777" w:rsidTr="00293BDE">
        <w:tc>
          <w:tcPr>
            <w:tcW w:w="3024" w:type="dxa"/>
          </w:tcPr>
          <w:p w14:paraId="0E989962" w14:textId="77777777" w:rsidR="00293BDE" w:rsidRDefault="00000000">
            <w:pPr>
              <w:pStyle w:val="Compact"/>
            </w:pPr>
            <w:r>
              <w:t>6</w:t>
            </w:r>
          </w:p>
        </w:tc>
        <w:tc>
          <w:tcPr>
            <w:tcW w:w="3024" w:type="dxa"/>
          </w:tcPr>
          <w:p w14:paraId="0F40ED37" w14:textId="77777777" w:rsidR="00293BDE" w:rsidRDefault="00000000">
            <w:pPr>
              <w:pStyle w:val="Compact"/>
            </w:pPr>
            <w:r>
              <w:t>Cargo category (bulk liquid, gas, bulk solid, container, general, passengers, other)</w:t>
            </w:r>
          </w:p>
        </w:tc>
        <w:tc>
          <w:tcPr>
            <w:tcW w:w="3024" w:type="dxa"/>
          </w:tcPr>
          <w:p w14:paraId="48D91BB1" w14:textId="77777777" w:rsidR="00293BDE" w:rsidRDefault="00000000">
            <w:pPr>
              <w:pStyle w:val="Compact"/>
            </w:pPr>
            <w:r>
              <w:t>Code</w:t>
            </w:r>
          </w:p>
        </w:tc>
      </w:tr>
      <w:tr w:rsidR="00293BDE" w14:paraId="0E646B8C" w14:textId="77777777" w:rsidTr="00293BDE">
        <w:tc>
          <w:tcPr>
            <w:tcW w:w="3024" w:type="dxa"/>
          </w:tcPr>
          <w:p w14:paraId="6E844696" w14:textId="77777777" w:rsidR="00293BDE" w:rsidRDefault="00000000">
            <w:pPr>
              <w:pStyle w:val="Compact"/>
            </w:pPr>
            <w:r>
              <w:t>7</w:t>
            </w:r>
          </w:p>
        </w:tc>
        <w:tc>
          <w:tcPr>
            <w:tcW w:w="3024" w:type="dxa"/>
          </w:tcPr>
          <w:p w14:paraId="6394E685" w14:textId="77777777" w:rsidR="00293BDE" w:rsidRDefault="00000000">
            <w:pPr>
              <w:pStyle w:val="Compact"/>
            </w:pPr>
            <w:r>
              <w:t>Last port of call</w:t>
            </w:r>
          </w:p>
        </w:tc>
        <w:tc>
          <w:tcPr>
            <w:tcW w:w="3024" w:type="dxa"/>
          </w:tcPr>
          <w:p w14:paraId="625C6A3C" w14:textId="77777777" w:rsidR="00293BDE" w:rsidRDefault="00000000">
            <w:pPr>
              <w:pStyle w:val="Compact"/>
            </w:pPr>
            <w:r>
              <w:t>UN/LOCODE</w:t>
            </w:r>
          </w:p>
        </w:tc>
      </w:tr>
      <w:tr w:rsidR="00293BDE" w14:paraId="3E5B22F6" w14:textId="77777777" w:rsidTr="00293BDE">
        <w:tc>
          <w:tcPr>
            <w:tcW w:w="3024" w:type="dxa"/>
          </w:tcPr>
          <w:p w14:paraId="3D7E94FA" w14:textId="77777777" w:rsidR="00293BDE" w:rsidRDefault="00000000">
            <w:pPr>
              <w:pStyle w:val="Compact"/>
            </w:pPr>
            <w:r>
              <w:t>8</w:t>
            </w:r>
          </w:p>
        </w:tc>
        <w:tc>
          <w:tcPr>
            <w:tcW w:w="3024" w:type="dxa"/>
          </w:tcPr>
          <w:p w14:paraId="3C2620B9" w14:textId="77777777" w:rsidR="00293BDE" w:rsidRDefault="00000000">
            <w:pPr>
              <w:pStyle w:val="Compact"/>
            </w:pPr>
            <w:r>
              <w:t>Next port of call</w:t>
            </w:r>
          </w:p>
        </w:tc>
        <w:tc>
          <w:tcPr>
            <w:tcW w:w="3024" w:type="dxa"/>
          </w:tcPr>
          <w:p w14:paraId="1DC2343F" w14:textId="77777777" w:rsidR="00293BDE" w:rsidRDefault="00000000">
            <w:pPr>
              <w:pStyle w:val="Compact"/>
            </w:pPr>
            <w:r>
              <w:t>UN/LOCODE</w:t>
            </w:r>
          </w:p>
        </w:tc>
      </w:tr>
      <w:tr w:rsidR="00293BDE" w14:paraId="4C2E35B1" w14:textId="77777777" w:rsidTr="00293BDE">
        <w:tc>
          <w:tcPr>
            <w:tcW w:w="3024" w:type="dxa"/>
          </w:tcPr>
          <w:p w14:paraId="49591B8C" w14:textId="77777777" w:rsidR="00293BDE" w:rsidRDefault="00000000">
            <w:pPr>
              <w:pStyle w:val="Compact"/>
            </w:pPr>
            <w:r>
              <w:t>9</w:t>
            </w:r>
          </w:p>
        </w:tc>
        <w:tc>
          <w:tcPr>
            <w:tcW w:w="3024" w:type="dxa"/>
          </w:tcPr>
          <w:p w14:paraId="7A829E13" w14:textId="77777777" w:rsidR="00293BDE" w:rsidRDefault="00000000">
            <w:pPr>
              <w:pStyle w:val="Compact"/>
            </w:pPr>
            <w:r>
              <w:t>Persons on board</w:t>
            </w:r>
          </w:p>
        </w:tc>
        <w:tc>
          <w:tcPr>
            <w:tcW w:w="3024" w:type="dxa"/>
          </w:tcPr>
          <w:p w14:paraId="7FF74565" w14:textId="77777777" w:rsidR="00293BDE" w:rsidRDefault="00000000">
            <w:pPr>
              <w:pStyle w:val="Compact"/>
            </w:pPr>
            <w:r>
              <w:t>Number</w:t>
            </w:r>
          </w:p>
        </w:tc>
      </w:tr>
      <w:tr w:rsidR="00293BDE" w14:paraId="726E50B6" w14:textId="77777777" w:rsidTr="00293BDE">
        <w:tc>
          <w:tcPr>
            <w:tcW w:w="3024" w:type="dxa"/>
          </w:tcPr>
          <w:p w14:paraId="23CEA6D6" w14:textId="77777777" w:rsidR="00293BDE" w:rsidRDefault="00000000">
            <w:pPr>
              <w:pStyle w:val="Compact"/>
            </w:pPr>
            <w:r>
              <w:t>10</w:t>
            </w:r>
          </w:p>
        </w:tc>
        <w:tc>
          <w:tcPr>
            <w:tcW w:w="3024" w:type="dxa"/>
          </w:tcPr>
          <w:p w14:paraId="49E329EC" w14:textId="77777777" w:rsidR="00293BDE" w:rsidRDefault="00000000">
            <w:pPr>
              <w:pStyle w:val="Compact"/>
            </w:pPr>
            <w:r>
              <w:t>AIS identifier (MMSI)</w:t>
            </w:r>
          </w:p>
        </w:tc>
        <w:tc>
          <w:tcPr>
            <w:tcW w:w="3024" w:type="dxa"/>
          </w:tcPr>
          <w:p w14:paraId="2ACC15D5" w14:textId="77777777" w:rsidR="00293BDE" w:rsidRDefault="00000000">
            <w:pPr>
              <w:pStyle w:val="Compact"/>
            </w:pPr>
            <w:r>
              <w:t>Number</w:t>
            </w:r>
          </w:p>
        </w:tc>
      </w:tr>
      <w:tr w:rsidR="00293BDE" w14:paraId="1A8B418F" w14:textId="77777777" w:rsidTr="00293BDE">
        <w:tc>
          <w:tcPr>
            <w:tcW w:w="3024" w:type="dxa"/>
          </w:tcPr>
          <w:p w14:paraId="0D1B4923" w14:textId="77777777" w:rsidR="00293BDE" w:rsidRDefault="00000000">
            <w:pPr>
              <w:pStyle w:val="Compact"/>
            </w:pPr>
            <w:r>
              <w:t>11</w:t>
            </w:r>
          </w:p>
        </w:tc>
        <w:tc>
          <w:tcPr>
            <w:tcW w:w="3024" w:type="dxa"/>
          </w:tcPr>
          <w:p w14:paraId="6AD1704B" w14:textId="77777777" w:rsidR="00293BDE" w:rsidRDefault="00000000">
            <w:pPr>
              <w:pStyle w:val="Compact"/>
            </w:pPr>
            <w:r>
              <w:t>Working contact channel</w:t>
            </w:r>
          </w:p>
        </w:tc>
        <w:tc>
          <w:tcPr>
            <w:tcW w:w="3024" w:type="dxa"/>
          </w:tcPr>
          <w:p w14:paraId="7FCDF05E" w14:textId="77777777" w:rsidR="00293BDE" w:rsidRDefault="00000000">
            <w:pPr>
              <w:pStyle w:val="Compact"/>
            </w:pPr>
            <w:r>
              <w:t>VHF channel or satcom number</w:t>
            </w:r>
          </w:p>
        </w:tc>
      </w:tr>
      <w:tr w:rsidR="00293BDE" w14:paraId="18B32C81" w14:textId="77777777" w:rsidTr="00293BDE">
        <w:tc>
          <w:tcPr>
            <w:tcW w:w="3024" w:type="dxa"/>
          </w:tcPr>
          <w:p w14:paraId="6B5EC4B7" w14:textId="77777777" w:rsidR="00293BDE" w:rsidRDefault="00000000">
            <w:pPr>
              <w:pStyle w:val="Compact"/>
            </w:pPr>
            <w:r>
              <w:t>12</w:t>
            </w:r>
          </w:p>
        </w:tc>
        <w:tc>
          <w:tcPr>
            <w:tcW w:w="3024" w:type="dxa"/>
          </w:tcPr>
          <w:p w14:paraId="2DADA268" w14:textId="77777777" w:rsidR="00293BDE" w:rsidRDefault="00000000">
            <w:pPr>
              <w:pStyle w:val="Compact"/>
            </w:pPr>
            <w:r>
              <w:t>Requested services (pilot, tug, data, none)</w:t>
            </w:r>
          </w:p>
        </w:tc>
        <w:tc>
          <w:tcPr>
            <w:tcW w:w="3024" w:type="dxa"/>
          </w:tcPr>
          <w:p w14:paraId="793C486B" w14:textId="77777777" w:rsidR="00293BDE" w:rsidRDefault="00000000">
            <w:pPr>
              <w:pStyle w:val="Compact"/>
            </w:pPr>
            <w:r>
              <w:t>Code</w:t>
            </w:r>
          </w:p>
        </w:tc>
      </w:tr>
    </w:tbl>
    <w:p w14:paraId="2CBF1F9D" w14:textId="77777777" w:rsidR="00293BDE" w:rsidRDefault="00000000">
      <w:pPr>
        <w:pStyle w:val="BodyText"/>
      </w:pPr>
      <w:bookmarkStart w:id="438" w:name="d.1-the-twelve-field-transit-notice"/>
      <w:r>
        <w:t>Filing channels: the Authority’s secure web portal; the vessel’s registered agent; or the voice procedure of Section D.2. Acknowledgment issues automatically within fifteen minutes. The notice requests nothing and receives no permission, because passage requires none.</w:t>
      </w:r>
      <w:bookmarkEnd w:id="438"/>
    </w:p>
    <w:p w14:paraId="3B2CA034" w14:textId="77777777" w:rsidR="00293BDE" w:rsidRDefault="00000000">
      <w:pPr>
        <w:pStyle w:val="Heading2"/>
      </w:pPr>
      <w:bookmarkStart w:id="439" w:name="__RefHeading___Toc10976_3324765499"/>
      <w:bookmarkEnd w:id="439"/>
      <w:r>
        <w:t>D.2 The voice discipline</w:t>
      </w:r>
    </w:p>
    <w:p w14:paraId="3A0AC062" w14:textId="77777777" w:rsidR="00293BDE" w:rsidRDefault="00000000">
      <w:pPr>
        <w:pStyle w:val="FirstParagraph"/>
      </w:pPr>
      <w:bookmarkStart w:id="440" w:name="d.2-the-voice-discipline"/>
      <w:r>
        <w:t>Voice traffic uses the IMO Standard Marine Communication Phrases on the published working channels: Channel 16 for distress and calling; the working channel published on the Bulletin for traffic coordination; the liaison channel for military de-confliction under Article 23.4. Watch officers identify as Horizon Traffic, state the corridor, and keep transmissions short, plain, and procedural. No political content transits any working channel, ever; a political transmission logs as a procedure event and draws the standard correction.</w:t>
      </w:r>
      <w:bookmarkEnd w:id="440"/>
    </w:p>
    <w:p w14:paraId="4983531B" w14:textId="77777777" w:rsidR="00293BDE" w:rsidRDefault="00000000">
      <w:pPr>
        <w:pStyle w:val="Heading2"/>
      </w:pPr>
      <w:bookmarkStart w:id="441" w:name="__RefHeading___Toc10978_3324765499"/>
      <w:bookmarkEnd w:id="441"/>
      <w:r>
        <w:t>D.3 The non-telemetry mode</w:t>
      </w:r>
    </w:p>
    <w:p w14:paraId="4E18150A" w14:textId="77777777" w:rsidR="00293BDE" w:rsidRDefault="00000000">
      <w:pPr>
        <w:pStyle w:val="FirstParagraph"/>
      </w:pPr>
      <w:bookmarkStart w:id="442" w:name="d.3-the-non-telemetry-mode"/>
      <w:r>
        <w:t>A vessel without data links, or with AIS casualty, transits in non-telemetry mode: it reports by voice at each reporting point, maintains continuous listening watch on the working channel, and receives an escorted routing window where the watch floor assesses density requires it. Non-telemetry mode changes nothing about passage rights; it changes only how the vessel talks to the system.</w:t>
      </w:r>
      <w:bookmarkEnd w:id="442"/>
    </w:p>
    <w:p w14:paraId="0CEBFF7F" w14:textId="77777777" w:rsidR="00293BDE" w:rsidRDefault="00000000">
      <w:pPr>
        <w:pStyle w:val="Heading2"/>
      </w:pPr>
      <w:bookmarkStart w:id="443" w:name="__RefHeading___Toc10980_3324765499"/>
      <w:bookmarkEnd w:id="443"/>
      <w:r>
        <w:t>D.4 The standing pre-authorization for clearance</w:t>
      </w:r>
    </w:p>
    <w:p w14:paraId="54B55CF7" w14:textId="77777777" w:rsidR="00293BDE" w:rsidRDefault="00000000">
      <w:pPr>
        <w:pStyle w:val="FirstParagraph"/>
      </w:pPr>
      <w:bookmarkStart w:id="444" w:name="Xb08fd6c44b9f6e785735370a1780c03bd36be87"/>
      <w:r>
        <w:t>Vessels on the standing pre-authorization list file the short notice (fields 1, 7, 8, 12 only) and receive automatic acknowledgment. Listing follows one compliant filed transit; delisting follows three consecutive non-compliant filed transits and engages only the convenience, never the passage.</w:t>
      </w:r>
      <w:bookmarkEnd w:id="444"/>
    </w:p>
    <w:p w14:paraId="4CBC418D" w14:textId="77777777" w:rsidR="00293BDE" w:rsidRDefault="00000000">
      <w:pPr>
        <w:pStyle w:val="Heading2"/>
      </w:pPr>
      <w:bookmarkStart w:id="445" w:name="__RefHeading___Toc10982_3324765499"/>
      <w:bookmarkEnd w:id="445"/>
      <w:r>
        <w:t>D.5 The one-page cards</w:t>
      </w:r>
    </w:p>
    <w:p w14:paraId="6D2BA58C" w14:textId="77777777" w:rsidR="00293BDE" w:rsidRDefault="00000000">
      <w:pPr>
        <w:pStyle w:val="FirstParagraph"/>
      </w:pPr>
      <w:r>
        <w:t>The Mariners’ Handbook consists of one-page cards, each a complete procedure, in the three authoritative languages and the working languages of the principal crewing states:</w:t>
      </w:r>
    </w:p>
    <w:p w14:paraId="3E7AD835" w14:textId="77777777" w:rsidR="00293BDE" w:rsidRDefault="00000000">
      <w:pPr>
        <w:pStyle w:val="Compact"/>
        <w:numPr>
          <w:ilvl w:val="0"/>
          <w:numId w:val="61"/>
        </w:numPr>
      </w:pPr>
      <w:r>
        <w:t>Card 1: Transiting inbound (six steps).</w:t>
      </w:r>
    </w:p>
    <w:p w14:paraId="09C535E9" w14:textId="77777777" w:rsidR="00293BDE" w:rsidRDefault="00000000">
      <w:pPr>
        <w:pStyle w:val="Compact"/>
        <w:numPr>
          <w:ilvl w:val="0"/>
          <w:numId w:val="62"/>
        </w:numPr>
      </w:pPr>
      <w:r>
        <w:t>Card 2: Transiting outbound (six steps).</w:t>
      </w:r>
    </w:p>
    <w:p w14:paraId="6DB1D826" w14:textId="77777777" w:rsidR="00293BDE" w:rsidRDefault="00000000">
      <w:pPr>
        <w:pStyle w:val="Compact"/>
        <w:numPr>
          <w:ilvl w:val="0"/>
          <w:numId w:val="63"/>
        </w:numPr>
      </w:pPr>
      <w:r>
        <w:t>Card 3: Using the Buffer Corridor (emergency only).</w:t>
      </w:r>
    </w:p>
    <w:p w14:paraId="5ABE25F6" w14:textId="77777777" w:rsidR="00293BDE" w:rsidRDefault="00000000">
      <w:pPr>
        <w:pStyle w:val="Compact"/>
        <w:numPr>
          <w:ilvl w:val="0"/>
          <w:numId w:val="64"/>
        </w:numPr>
      </w:pPr>
      <w:r>
        <w:t>Card 4: Requesting pilot or tug.</w:t>
      </w:r>
    </w:p>
    <w:p w14:paraId="4BC32775" w14:textId="77777777" w:rsidR="00293BDE" w:rsidRDefault="00000000">
      <w:pPr>
        <w:pStyle w:val="Compact"/>
        <w:numPr>
          <w:ilvl w:val="0"/>
          <w:numId w:val="65"/>
        </w:numPr>
      </w:pPr>
      <w:r>
        <w:t>Card 5: What to do in a Flow State change.</w:t>
      </w:r>
    </w:p>
    <w:p w14:paraId="18CD8C39" w14:textId="77777777" w:rsidR="00293BDE" w:rsidRDefault="00000000">
      <w:pPr>
        <w:pStyle w:val="Compact"/>
        <w:numPr>
          <w:ilvl w:val="0"/>
          <w:numId w:val="66"/>
        </w:numPr>
      </w:pPr>
      <w:r>
        <w:t>Card 6: Distress and assistance.</w:t>
      </w:r>
    </w:p>
    <w:p w14:paraId="20891C95" w14:textId="77777777" w:rsidR="00293BDE" w:rsidRDefault="00000000">
      <w:pPr>
        <w:pStyle w:val="Compact"/>
        <w:numPr>
          <w:ilvl w:val="0"/>
          <w:numId w:val="67"/>
        </w:numPr>
      </w:pPr>
      <w:r>
        <w:t>Card 7: Class H anchorage procedure.</w:t>
      </w:r>
    </w:p>
    <w:p w14:paraId="471A4A9C" w14:textId="77777777" w:rsidR="00293BDE" w:rsidRDefault="00000000">
      <w:pPr>
        <w:pStyle w:val="Compact"/>
        <w:numPr>
          <w:ilvl w:val="0"/>
          <w:numId w:val="68"/>
        </w:numPr>
      </w:pPr>
      <w:r>
        <w:t>Card 8: Non-telemetry transit.</w:t>
      </w:r>
    </w:p>
    <w:p w14:paraId="56AD0B47" w14:textId="77777777" w:rsidR="00293BDE" w:rsidRDefault="00000000">
      <w:pPr>
        <w:pStyle w:val="Compact"/>
        <w:numPr>
          <w:ilvl w:val="0"/>
          <w:numId w:val="69"/>
        </w:numPr>
      </w:pPr>
      <w:r>
        <w:t>Card 9: Small craft and the inshore bands.</w:t>
      </w:r>
    </w:p>
    <w:p w14:paraId="47967D02" w14:textId="77777777" w:rsidR="00293BDE" w:rsidRDefault="00000000">
      <w:pPr>
        <w:pStyle w:val="Compact"/>
        <w:numPr>
          <w:ilvl w:val="0"/>
          <w:numId w:val="70"/>
        </w:numPr>
      </w:pPr>
      <w:r>
        <w:t>Card 10: How services invoice (for operators).</w:t>
      </w:r>
    </w:p>
    <w:p w14:paraId="734683E0" w14:textId="77777777" w:rsidR="00293BDE" w:rsidRDefault="00000000">
      <w:pPr>
        <w:pStyle w:val="FirstParagraph"/>
      </w:pPr>
      <w:bookmarkStart w:id="446" w:name="d.5-the-one-page-cards"/>
      <w:r>
        <w:t>Each card carries the same footer: passage is free; services carry charges; the Bulletin governs; distress outranks everything.</w:t>
      </w:r>
      <w:bookmarkEnd w:id="446"/>
    </w:p>
    <w:p w14:paraId="733E1385" w14:textId="77777777" w:rsidR="00293BDE" w:rsidRDefault="00000000">
      <w:pPr>
        <w:pStyle w:val="Heading2"/>
      </w:pPr>
      <w:bookmarkStart w:id="447" w:name="__RefHeading___Toc10984_3324765499"/>
      <w:bookmarkEnd w:id="447"/>
      <w:r>
        <w:t>D.6 Notification formats</w:t>
      </w:r>
    </w:p>
    <w:p w14:paraId="2F7FCBEE" w14:textId="77777777" w:rsidR="00293BDE" w:rsidRDefault="00000000">
      <w:pPr>
        <w:pStyle w:val="FirstParagraph"/>
      </w:pPr>
      <w:bookmarkStart w:id="448" w:name="d.6-notification-formats"/>
      <w:r>
        <w:t>Registry-logged notifications use the standard formats: the hazard notice (segment, nature, position, time, source); the Flow State declaration (segment, state, constraint, expected duration); the exercise notification (area, window, activity); the military transit notification (vessel type, gate, window); the incident initial entry (time, position, nature, assets); and the survey certificate notice (segment, certificate number, date). Every format fits one screen; every notification logs on dispatch and receipt.</w:t>
      </w:r>
      <w:bookmarkEnd w:id="448"/>
    </w:p>
    <w:p w14:paraId="54BF319E" w14:textId="77777777" w:rsidR="00293BDE" w:rsidRDefault="00000000">
      <w:pPr>
        <w:pStyle w:val="Heading2"/>
      </w:pPr>
      <w:bookmarkStart w:id="449" w:name="__RefHeading___Toc10986_3324765499"/>
      <w:bookmarkEnd w:id="449"/>
      <w:r>
        <w:t>D.7 Service completion report</w:t>
      </w:r>
    </w:p>
    <w:p w14:paraId="45DF512A" w14:textId="77777777" w:rsidR="00293BDE" w:rsidRDefault="00000000">
      <w:pPr>
        <w:pStyle w:val="FirstParagraph"/>
      </w:pPr>
      <w:bookmarkStart w:id="450" w:name="d.7-service-completion-report"/>
      <w:r>
        <w:t>Chargeable on-request services verify through the service completion report: service, vessel, time commenced, time completed, performing unit, vessel acknowledgment. The report files electronically within twenty-four hours of service; the registry matches it against position records; invoicing follows the match.</w:t>
      </w:r>
      <w:bookmarkEnd w:id="450"/>
    </w:p>
    <w:p w14:paraId="23399F23" w14:textId="77777777" w:rsidR="00293BDE" w:rsidRDefault="00000000">
      <w:pPr>
        <w:pStyle w:val="Heading2"/>
      </w:pPr>
      <w:bookmarkStart w:id="451" w:name="__RefHeading___Toc10988_3324765499"/>
      <w:bookmarkEnd w:id="451"/>
      <w:r>
        <w:t>D.8 Data retention</w:t>
      </w:r>
    </w:p>
    <w:p w14:paraId="749AC440" w14:textId="77777777" w:rsidR="00293BDE" w:rsidRDefault="00000000">
      <w:pPr>
        <w:pStyle w:val="FirstParagraph"/>
      </w:pPr>
      <w:bookmarkStart w:id="452" w:name="d.8-data-retention"/>
      <w:r>
        <w:t>Vessel-specific notice and report data retains for twelve months, then aggregates into anonymized statistics. Incident and verification data retains per Annex H. Personal data of seafarers retains only as the safety function requires and never publishes.</w:t>
      </w:r>
      <w:bookmarkEnd w:id="452"/>
    </w:p>
    <w:p w14:paraId="7067B07A" w14:textId="77777777" w:rsidR="00293BDE" w:rsidRDefault="00000000">
      <w:pPr>
        <w:pStyle w:val="Heading2"/>
      </w:pPr>
      <w:bookmarkStart w:id="453" w:name="__RefHeading___Toc10990_3324765499"/>
      <w:bookmarkEnd w:id="453"/>
      <w:r>
        <w:t>D.9 Publication channels</w:t>
      </w:r>
    </w:p>
    <w:p w14:paraId="54EA2172" w14:textId="77777777" w:rsidR="00293BDE" w:rsidRDefault="00000000">
      <w:pPr>
        <w:pStyle w:val="FirstParagraph"/>
      </w:pPr>
      <w:bookmarkStart w:id="454" w:name="d.9-publication-channels"/>
      <w:r>
        <w:t>The system’s public outputs publish through: the working channel and the satellite safety broadcast (operational traffic); the public website (Bulletin, Assurance Registry, accounts, statistics); the IMO and IHO channels (geometry and chart matters); and the market data channel of Article 16.4 (machine-readable feeds). Every channel publishes the same content simultaneously; no subscriber of any class receives earlier access than the public.</w:t>
      </w:r>
      <w:bookmarkEnd w:id="454"/>
    </w:p>
    <w:p w14:paraId="3511E643" w14:textId="77777777" w:rsidR="00293BDE" w:rsidRDefault="00000000">
      <w:pPr>
        <w:pStyle w:val="Heading2"/>
      </w:pPr>
      <w:bookmarkStart w:id="455" w:name="__RefHeading___Toc10992_3324765499"/>
      <w:bookmarkEnd w:id="455"/>
      <w:r>
        <w:t>D.10 Handbook maintenance</w:t>
      </w:r>
    </w:p>
    <w:p w14:paraId="0ABB55A3" w14:textId="77777777" w:rsidR="00293BDE" w:rsidRDefault="00000000">
      <w:pPr>
        <w:pStyle w:val="FirstParagraph"/>
      </w:pPr>
      <w:r>
        <w:t>The Technical and Standards Committee reviews the Handbook quarterly against the mariner feedback loop of Article 12.7, amends cards through the silence procedure, and re-issues the full Handbook annually in all languages. Every card carries its edition date; masters always work from the current edition published on the public site.</w:t>
      </w:r>
    </w:p>
    <w:bookmarkStart w:id="456" w:name="X68b07e41dfe611ed1631d6788569234b6e8a53e"/>
    <w:bookmarkStart w:id="457" w:name="d.10-handbook-maintenance"/>
    <w:p w14:paraId="4FD0F1A8" w14:textId="63891957" w:rsidR="00293BDE" w:rsidRDefault="00622008">
      <w:r>
        <w:rPr>
          <w:noProof/>
        </w:rPr>
      </w:r>
      <w:r>
        <w:pict w14:anchorId="0F938CB0">
          <v:rect id="Rectangle 19" o:spid="_x0000_s103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56"/>
      <w:bookmarkEnd w:id="457"/>
    </w:p>
    <w:p w14:paraId="1DD390A7" w14:textId="77777777" w:rsidR="00293BDE" w:rsidRDefault="00000000">
      <w:pPr>
        <w:pStyle w:val="Heading1"/>
      </w:pPr>
      <w:bookmarkStart w:id="458" w:name="__RefHeading___Toc10994_3324765499"/>
      <w:bookmarkEnd w:id="458"/>
      <w:r>
        <w:t>ANNEX E: IMPLEMENTATION TIMELINE, ACTIVATION CHECKLISTS, AND STAFFING TABLE</w:t>
      </w:r>
    </w:p>
    <w:p w14:paraId="5861093E" w14:textId="77777777" w:rsidR="00293BDE" w:rsidRDefault="00000000">
      <w:pPr>
        <w:pStyle w:val="Heading2"/>
      </w:pPr>
      <w:bookmarkStart w:id="459" w:name="__RefHeading___Toc10996_3324765499"/>
      <w:bookmarkEnd w:id="459"/>
      <w:r>
        <w:t>E.1 The activation phases</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58006261"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1DAC80AB" w14:textId="77777777" w:rsidR="00293BDE" w:rsidRDefault="00000000">
            <w:pPr>
              <w:pStyle w:val="Compact"/>
            </w:pPr>
            <w:r>
              <w:t>Phase</w:t>
            </w:r>
          </w:p>
        </w:tc>
        <w:tc>
          <w:tcPr>
            <w:tcW w:w="2268" w:type="dxa"/>
            <w:tcBorders>
              <w:bottom w:val="single" w:sz="6" w:space="0" w:color="000000"/>
            </w:tcBorders>
          </w:tcPr>
          <w:p w14:paraId="7DD0DE3C" w14:textId="77777777" w:rsidR="00293BDE" w:rsidRDefault="00000000">
            <w:pPr>
              <w:pStyle w:val="Compact"/>
            </w:pPr>
            <w:r>
              <w:t>Days</w:t>
            </w:r>
          </w:p>
        </w:tc>
        <w:tc>
          <w:tcPr>
            <w:tcW w:w="2268" w:type="dxa"/>
            <w:tcBorders>
              <w:bottom w:val="single" w:sz="6" w:space="0" w:color="000000"/>
            </w:tcBorders>
          </w:tcPr>
          <w:p w14:paraId="50EA93E4" w14:textId="77777777" w:rsidR="00293BDE" w:rsidRDefault="00000000">
            <w:pPr>
              <w:pStyle w:val="Compact"/>
            </w:pPr>
            <w:r>
              <w:t>Content</w:t>
            </w:r>
          </w:p>
        </w:tc>
        <w:tc>
          <w:tcPr>
            <w:tcW w:w="2268" w:type="dxa"/>
            <w:tcBorders>
              <w:bottom w:val="single" w:sz="6" w:space="0" w:color="000000"/>
            </w:tcBorders>
          </w:tcPr>
          <w:p w14:paraId="5238617A" w14:textId="77777777" w:rsidR="00293BDE" w:rsidRDefault="00000000">
            <w:pPr>
              <w:pStyle w:val="Compact"/>
            </w:pPr>
            <w:r>
              <w:t>Exit test</w:t>
            </w:r>
          </w:p>
        </w:tc>
      </w:tr>
      <w:tr w:rsidR="00293BDE" w14:paraId="5BA166F0" w14:textId="77777777" w:rsidTr="00293BDE">
        <w:tc>
          <w:tcPr>
            <w:tcW w:w="2267" w:type="dxa"/>
          </w:tcPr>
          <w:p w14:paraId="21CB1402" w14:textId="77777777" w:rsidR="00293BDE" w:rsidRDefault="00000000">
            <w:pPr>
              <w:pStyle w:val="Compact"/>
            </w:pPr>
            <w:r>
              <w:t>Foundation</w:t>
            </w:r>
          </w:p>
        </w:tc>
        <w:tc>
          <w:tcPr>
            <w:tcW w:w="2268" w:type="dxa"/>
          </w:tcPr>
          <w:p w14:paraId="06CB525E" w14:textId="77777777" w:rsidR="00293BDE" w:rsidRDefault="00000000">
            <w:pPr>
              <w:pStyle w:val="Compact"/>
            </w:pPr>
            <w:r>
              <w:t>0 to 10</w:t>
            </w:r>
          </w:p>
        </w:tc>
        <w:tc>
          <w:tcPr>
            <w:tcW w:w="2268" w:type="dxa"/>
          </w:tcPr>
          <w:p w14:paraId="4123981F" w14:textId="77777777" w:rsidR="00293BDE" w:rsidRDefault="00000000">
            <w:pPr>
              <w:pStyle w:val="Compact"/>
            </w:pPr>
            <w:r>
              <w:t>Signature; entry into force; monitoring activates; Watch Office convenes (72 hours virtual, 10 days physical); hazard declarations; provisional guidance; pilot rate card posts</w:t>
            </w:r>
          </w:p>
        </w:tc>
        <w:tc>
          <w:tcPr>
            <w:tcW w:w="2268" w:type="dxa"/>
          </w:tcPr>
          <w:p w14:paraId="0D8FAB0A" w14:textId="77777777" w:rsidR="00293BDE" w:rsidRDefault="00000000">
            <w:pPr>
              <w:pStyle w:val="Compact"/>
            </w:pPr>
            <w:r>
              <w:t>All systems live; declarations logged</w:t>
            </w:r>
          </w:p>
        </w:tc>
      </w:tr>
      <w:tr w:rsidR="00293BDE" w14:paraId="341BF0A9" w14:textId="77777777" w:rsidTr="00293BDE">
        <w:tc>
          <w:tcPr>
            <w:tcW w:w="2267" w:type="dxa"/>
          </w:tcPr>
          <w:p w14:paraId="59F6E9E4" w14:textId="77777777" w:rsidR="00293BDE" w:rsidRDefault="00000000">
            <w:pPr>
              <w:pStyle w:val="Compact"/>
            </w:pPr>
            <w:r>
              <w:t>Announcement</w:t>
            </w:r>
          </w:p>
        </w:tc>
        <w:tc>
          <w:tcPr>
            <w:tcW w:w="2268" w:type="dxa"/>
          </w:tcPr>
          <w:p w14:paraId="7077AE76" w14:textId="77777777" w:rsidR="00293BDE" w:rsidRDefault="00000000">
            <w:pPr>
              <w:pStyle w:val="Compact"/>
            </w:pPr>
            <w:r>
              <w:t>10 to 20</w:t>
            </w:r>
          </w:p>
        </w:tc>
        <w:tc>
          <w:tcPr>
            <w:tcW w:w="2268" w:type="dxa"/>
          </w:tcPr>
          <w:p w14:paraId="3A6CCE84" w14:textId="77777777" w:rsidR="00293BDE" w:rsidRDefault="00000000">
            <w:pPr>
              <w:pStyle w:val="Compact"/>
            </w:pPr>
            <w:r>
              <w:t>Public declaration of the Assurance Phase; market and flag-state notifications; Voluntary Contribution Facility opens; pre-routing guidance</w:t>
            </w:r>
          </w:p>
        </w:tc>
        <w:tc>
          <w:tcPr>
            <w:tcW w:w="2268" w:type="dxa"/>
          </w:tcPr>
          <w:p w14:paraId="7B3B7C49" w14:textId="77777777" w:rsidR="00293BDE" w:rsidRDefault="00000000">
            <w:pPr>
              <w:pStyle w:val="Compact"/>
            </w:pPr>
            <w:r>
              <w:t>Notification circuit complete</w:t>
            </w:r>
          </w:p>
        </w:tc>
      </w:tr>
      <w:tr w:rsidR="00293BDE" w14:paraId="6C8C6313" w14:textId="77777777" w:rsidTr="00293BDE">
        <w:tc>
          <w:tcPr>
            <w:tcW w:w="2267" w:type="dxa"/>
          </w:tcPr>
          <w:p w14:paraId="2EEC4BDA" w14:textId="77777777" w:rsidR="00293BDE" w:rsidRDefault="00000000">
            <w:pPr>
              <w:pStyle w:val="Compact"/>
            </w:pPr>
            <w:r>
              <w:t>Sequential activation</w:t>
            </w:r>
          </w:p>
        </w:tc>
        <w:tc>
          <w:tcPr>
            <w:tcW w:w="2268" w:type="dxa"/>
          </w:tcPr>
          <w:p w14:paraId="3A26B679" w14:textId="77777777" w:rsidR="00293BDE" w:rsidRDefault="00000000">
            <w:pPr>
              <w:pStyle w:val="Compact"/>
            </w:pPr>
            <w:r>
              <w:t>20 to 40</w:t>
            </w:r>
          </w:p>
        </w:tc>
        <w:tc>
          <w:tcPr>
            <w:tcW w:w="2268" w:type="dxa"/>
          </w:tcPr>
          <w:p w14:paraId="7A331659" w14:textId="77777777" w:rsidR="00293BDE" w:rsidRDefault="00000000">
            <w:pPr>
              <w:pStyle w:val="Compact"/>
            </w:pPr>
            <w:r>
              <w:t>Buffer (20 to 25), Outbound (25 to 35), Inbound (35 to 40), each behind its Survey Certificate; synchronized termination of impediments (IPR-16); wartime routing absorbs</w:t>
            </w:r>
          </w:p>
        </w:tc>
        <w:tc>
          <w:tcPr>
            <w:tcW w:w="2268" w:type="dxa"/>
          </w:tcPr>
          <w:p w14:paraId="14ED3EBC" w14:textId="77777777" w:rsidR="00293BDE" w:rsidRDefault="00000000">
            <w:pPr>
              <w:pStyle w:val="Compact"/>
            </w:pPr>
            <w:r>
              <w:t>Three certificates; zero impediments logged</w:t>
            </w:r>
          </w:p>
        </w:tc>
      </w:tr>
      <w:tr w:rsidR="00293BDE" w14:paraId="40DEE416" w14:textId="77777777" w:rsidTr="00293BDE">
        <w:tc>
          <w:tcPr>
            <w:tcW w:w="2267" w:type="dxa"/>
          </w:tcPr>
          <w:p w14:paraId="60C1B341" w14:textId="77777777" w:rsidR="00293BDE" w:rsidRDefault="00000000">
            <w:pPr>
              <w:pStyle w:val="Compact"/>
            </w:pPr>
            <w:r>
              <w:t>Financial activation</w:t>
            </w:r>
          </w:p>
        </w:tc>
        <w:tc>
          <w:tcPr>
            <w:tcW w:w="2268" w:type="dxa"/>
          </w:tcPr>
          <w:p w14:paraId="0206BF6D" w14:textId="77777777" w:rsidR="00293BDE" w:rsidRDefault="00000000">
            <w:pPr>
              <w:pStyle w:val="Compact"/>
            </w:pPr>
            <w:r>
              <w:t>40 to 55</w:t>
            </w:r>
          </w:p>
        </w:tc>
        <w:tc>
          <w:tcPr>
            <w:tcW w:w="2268" w:type="dxa"/>
          </w:tcPr>
          <w:p w14:paraId="57EA60E8" w14:textId="77777777" w:rsidR="00293BDE" w:rsidRDefault="00000000">
            <w:pPr>
              <w:pStyle w:val="Compact"/>
            </w:pPr>
            <w:r>
              <w:t>Escrow and clearing live; pilot invoicing; Firewall first cycle; routing tests</w:t>
            </w:r>
          </w:p>
        </w:tc>
        <w:tc>
          <w:tcPr>
            <w:tcW w:w="2268" w:type="dxa"/>
          </w:tcPr>
          <w:p w14:paraId="559499D8" w14:textId="77777777" w:rsidR="00293BDE" w:rsidRDefault="00000000">
            <w:pPr>
              <w:pStyle w:val="Compact"/>
            </w:pPr>
            <w:r>
              <w:t>First clean payment cycle</w:t>
            </w:r>
          </w:p>
        </w:tc>
      </w:tr>
      <w:tr w:rsidR="00293BDE" w14:paraId="1E877EB4" w14:textId="77777777" w:rsidTr="00293BDE">
        <w:tc>
          <w:tcPr>
            <w:tcW w:w="2267" w:type="dxa"/>
          </w:tcPr>
          <w:p w14:paraId="41E0FA0E" w14:textId="77777777" w:rsidR="00293BDE" w:rsidRDefault="00000000">
            <w:pPr>
              <w:pStyle w:val="Compact"/>
            </w:pPr>
            <w:r>
              <w:t>Activation Review</w:t>
            </w:r>
          </w:p>
        </w:tc>
        <w:tc>
          <w:tcPr>
            <w:tcW w:w="2268" w:type="dxa"/>
          </w:tcPr>
          <w:p w14:paraId="6EE5D1A9" w14:textId="77777777" w:rsidR="00293BDE" w:rsidRDefault="00000000">
            <w:pPr>
              <w:pStyle w:val="Compact"/>
            </w:pPr>
            <w:r>
              <w:t>55 to 90</w:t>
            </w:r>
          </w:p>
        </w:tc>
        <w:tc>
          <w:tcPr>
            <w:tcW w:w="2268" w:type="dxa"/>
          </w:tcPr>
          <w:p w14:paraId="01A933CA" w14:textId="77777777" w:rsidR="00293BDE" w:rsidRDefault="00000000">
            <w:pPr>
              <w:pStyle w:val="Compact"/>
            </w:pPr>
            <w:r>
              <w:t>Five-domain audit per Annex I</w:t>
            </w:r>
          </w:p>
        </w:tc>
        <w:tc>
          <w:tcPr>
            <w:tcW w:w="2268" w:type="dxa"/>
          </w:tcPr>
          <w:p w14:paraId="5334755E" w14:textId="77777777" w:rsidR="00293BDE" w:rsidRDefault="00000000">
            <w:pPr>
              <w:pStyle w:val="Compact"/>
            </w:pPr>
            <w:r>
              <w:t>Review conclusion adopted</w:t>
            </w:r>
          </w:p>
        </w:tc>
      </w:tr>
      <w:tr w:rsidR="00293BDE" w14:paraId="57E9E6A3" w14:textId="77777777" w:rsidTr="00293BDE">
        <w:tc>
          <w:tcPr>
            <w:tcW w:w="2267" w:type="dxa"/>
          </w:tcPr>
          <w:p w14:paraId="4F147F61" w14:textId="77777777" w:rsidR="00293BDE" w:rsidRDefault="00000000">
            <w:pPr>
              <w:pStyle w:val="Compact"/>
            </w:pPr>
            <w:r>
              <w:t>Full Activation</w:t>
            </w:r>
          </w:p>
        </w:tc>
        <w:tc>
          <w:tcPr>
            <w:tcW w:w="2268" w:type="dxa"/>
          </w:tcPr>
          <w:p w14:paraId="60678AB9" w14:textId="77777777" w:rsidR="00293BDE" w:rsidRDefault="00000000">
            <w:pPr>
              <w:pStyle w:val="Compact"/>
            </w:pPr>
            <w:r>
              <w:t>90 to 120</w:t>
            </w:r>
          </w:p>
        </w:tc>
        <w:tc>
          <w:tcPr>
            <w:tcW w:w="2268" w:type="dxa"/>
          </w:tcPr>
          <w:p w14:paraId="7F41B6EA" w14:textId="77777777" w:rsidR="00293BDE" w:rsidRDefault="00000000">
            <w:pPr>
              <w:pStyle w:val="Compact"/>
            </w:pPr>
            <w:r>
              <w:t>IMO/IHO registration; standard rate card; Joint Openness Declaration; wartime lanes sunset</w:t>
            </w:r>
          </w:p>
        </w:tc>
        <w:tc>
          <w:tcPr>
            <w:tcW w:w="2268" w:type="dxa"/>
          </w:tcPr>
          <w:p w14:paraId="17133BCD" w14:textId="77777777" w:rsidR="00293BDE" w:rsidRDefault="00000000">
            <w:pPr>
              <w:pStyle w:val="Compact"/>
            </w:pPr>
            <w:bookmarkStart w:id="460" w:name="e.1-the-activation-phases"/>
            <w:r>
              <w:t>Declaration published</w:t>
            </w:r>
            <w:bookmarkEnd w:id="460"/>
          </w:p>
        </w:tc>
      </w:tr>
    </w:tbl>
    <w:p w14:paraId="4341D9C6" w14:textId="77777777" w:rsidR="00293BDE" w:rsidRDefault="00000000">
      <w:pPr>
        <w:pStyle w:val="Heading2"/>
      </w:pPr>
      <w:bookmarkStart w:id="461" w:name="__RefHeading___Toc10998_3324765499"/>
      <w:bookmarkEnd w:id="461"/>
      <w:r>
        <w:t>E.2 Day One checklist</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2020E160"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504C639C" w14:textId="77777777" w:rsidR="00293BDE" w:rsidRDefault="00000000">
            <w:pPr>
              <w:pStyle w:val="Compact"/>
            </w:pPr>
            <w:r>
              <w:t>Item</w:t>
            </w:r>
          </w:p>
        </w:tc>
        <w:tc>
          <w:tcPr>
            <w:tcW w:w="3024" w:type="dxa"/>
            <w:tcBorders>
              <w:bottom w:val="single" w:sz="6" w:space="0" w:color="000000"/>
            </w:tcBorders>
          </w:tcPr>
          <w:p w14:paraId="1D9639FB" w14:textId="77777777" w:rsidR="00293BDE" w:rsidRDefault="00000000">
            <w:pPr>
              <w:pStyle w:val="Compact"/>
            </w:pPr>
            <w:r>
              <w:t>Owner</w:t>
            </w:r>
          </w:p>
        </w:tc>
        <w:tc>
          <w:tcPr>
            <w:tcW w:w="3024" w:type="dxa"/>
            <w:tcBorders>
              <w:bottom w:val="single" w:sz="6" w:space="0" w:color="000000"/>
            </w:tcBorders>
          </w:tcPr>
          <w:p w14:paraId="273B11A6" w14:textId="77777777" w:rsidR="00293BDE" w:rsidRDefault="00000000">
            <w:pPr>
              <w:pStyle w:val="Compact"/>
            </w:pPr>
            <w:r>
              <w:t>Standard</w:t>
            </w:r>
          </w:p>
        </w:tc>
      </w:tr>
      <w:tr w:rsidR="00293BDE" w14:paraId="08F01F7F" w14:textId="77777777" w:rsidTr="00293BDE">
        <w:tc>
          <w:tcPr>
            <w:tcW w:w="3024" w:type="dxa"/>
          </w:tcPr>
          <w:p w14:paraId="2872F213" w14:textId="77777777" w:rsidR="00293BDE" w:rsidRDefault="00000000">
            <w:pPr>
              <w:pStyle w:val="Compact"/>
            </w:pPr>
            <w:r>
              <w:t>Instruments signed and deposited</w:t>
            </w:r>
          </w:p>
        </w:tc>
        <w:tc>
          <w:tcPr>
            <w:tcW w:w="3024" w:type="dxa"/>
          </w:tcPr>
          <w:p w14:paraId="5CBD8058" w14:textId="77777777" w:rsidR="00293BDE" w:rsidRDefault="00000000">
            <w:pPr>
              <w:pStyle w:val="Compact"/>
            </w:pPr>
            <w:r>
              <w:t>Coastal Two, depositary</w:t>
            </w:r>
          </w:p>
        </w:tc>
        <w:tc>
          <w:tcPr>
            <w:tcW w:w="3024" w:type="dxa"/>
          </w:tcPr>
          <w:p w14:paraId="6CF187B5" w14:textId="77777777" w:rsidR="00293BDE" w:rsidRDefault="00000000">
            <w:pPr>
              <w:pStyle w:val="Compact"/>
            </w:pPr>
            <w:r>
              <w:t>Registry entry</w:t>
            </w:r>
          </w:p>
        </w:tc>
      </w:tr>
      <w:tr w:rsidR="00293BDE" w14:paraId="6F4D9C68" w14:textId="77777777" w:rsidTr="00293BDE">
        <w:tc>
          <w:tcPr>
            <w:tcW w:w="3024" w:type="dxa"/>
          </w:tcPr>
          <w:p w14:paraId="7EF4FE9C" w14:textId="77777777" w:rsidR="00293BDE" w:rsidRDefault="00000000">
            <w:pPr>
              <w:pStyle w:val="Compact"/>
            </w:pPr>
            <w:r>
              <w:t>Hazard declarations issued</w:t>
            </w:r>
          </w:p>
        </w:tc>
        <w:tc>
          <w:tcPr>
            <w:tcW w:w="3024" w:type="dxa"/>
          </w:tcPr>
          <w:p w14:paraId="17D89EB6" w14:textId="77777777" w:rsidR="00293BDE" w:rsidRDefault="00000000">
            <w:pPr>
              <w:pStyle w:val="Compact"/>
            </w:pPr>
            <w:r>
              <w:t>Both Coastal Parties</w:t>
            </w:r>
          </w:p>
        </w:tc>
        <w:tc>
          <w:tcPr>
            <w:tcW w:w="3024" w:type="dxa"/>
          </w:tcPr>
          <w:p w14:paraId="6C4D5F4A" w14:textId="77777777" w:rsidR="00293BDE" w:rsidRDefault="00000000">
            <w:pPr>
              <w:pStyle w:val="Compact"/>
            </w:pPr>
            <w:r>
              <w:t>To Authority, Neutral Administrator, UNMAS</w:t>
            </w:r>
          </w:p>
        </w:tc>
      </w:tr>
      <w:tr w:rsidR="00293BDE" w14:paraId="57C71365" w14:textId="77777777" w:rsidTr="00293BDE">
        <w:tc>
          <w:tcPr>
            <w:tcW w:w="3024" w:type="dxa"/>
          </w:tcPr>
          <w:p w14:paraId="0F762BCF" w14:textId="77777777" w:rsidR="00293BDE" w:rsidRDefault="00000000">
            <w:pPr>
              <w:pStyle w:val="Compact"/>
            </w:pPr>
            <w:r>
              <w:t>Watch Office convened virtually</w:t>
            </w:r>
          </w:p>
        </w:tc>
        <w:tc>
          <w:tcPr>
            <w:tcW w:w="3024" w:type="dxa"/>
          </w:tcPr>
          <w:p w14:paraId="437B5893" w14:textId="77777777" w:rsidR="00293BDE" w:rsidRDefault="00000000">
            <w:pPr>
              <w:pStyle w:val="Compact"/>
            </w:pPr>
            <w:r>
              <w:t>Neutral Administrator</w:t>
            </w:r>
          </w:p>
        </w:tc>
        <w:tc>
          <w:tcPr>
            <w:tcW w:w="3024" w:type="dxa"/>
          </w:tcPr>
          <w:p w14:paraId="6E01D7F7" w14:textId="77777777" w:rsidR="00293BDE" w:rsidRDefault="00000000">
            <w:pPr>
              <w:pStyle w:val="Compact"/>
            </w:pPr>
            <w:r>
              <w:t>Within 72 hours</w:t>
            </w:r>
          </w:p>
        </w:tc>
      </w:tr>
      <w:tr w:rsidR="00293BDE" w14:paraId="2B417A33" w14:textId="77777777" w:rsidTr="00293BDE">
        <w:tc>
          <w:tcPr>
            <w:tcW w:w="3024" w:type="dxa"/>
          </w:tcPr>
          <w:p w14:paraId="0B3FDC7E" w14:textId="77777777" w:rsidR="00293BDE" w:rsidRDefault="00000000">
            <w:pPr>
              <w:pStyle w:val="Compact"/>
            </w:pPr>
            <w:r>
              <w:t>Satellite AIS feeds live</w:t>
            </w:r>
          </w:p>
        </w:tc>
        <w:tc>
          <w:tcPr>
            <w:tcW w:w="3024" w:type="dxa"/>
          </w:tcPr>
          <w:p w14:paraId="2BFA763C" w14:textId="77777777" w:rsidR="00293BDE" w:rsidRDefault="00000000">
            <w:pPr>
              <w:pStyle w:val="Compact"/>
            </w:pPr>
            <w:r>
              <w:t>Authority</w:t>
            </w:r>
          </w:p>
        </w:tc>
        <w:tc>
          <w:tcPr>
            <w:tcW w:w="3024" w:type="dxa"/>
          </w:tcPr>
          <w:p w14:paraId="4296B8EF" w14:textId="77777777" w:rsidR="00293BDE" w:rsidRDefault="00000000">
            <w:pPr>
              <w:pStyle w:val="Compact"/>
            </w:pPr>
            <w:r>
              <w:t>Primary and secondary feeds</w:t>
            </w:r>
          </w:p>
        </w:tc>
      </w:tr>
      <w:tr w:rsidR="00293BDE" w14:paraId="79A350CA" w14:textId="77777777" w:rsidTr="00293BDE">
        <w:tc>
          <w:tcPr>
            <w:tcW w:w="3024" w:type="dxa"/>
          </w:tcPr>
          <w:p w14:paraId="09F9B40C" w14:textId="77777777" w:rsidR="00293BDE" w:rsidRDefault="00000000">
            <w:pPr>
              <w:pStyle w:val="Compact"/>
            </w:pPr>
            <w:r>
              <w:t>Coastal radar integration live</w:t>
            </w:r>
          </w:p>
        </w:tc>
        <w:tc>
          <w:tcPr>
            <w:tcW w:w="3024" w:type="dxa"/>
          </w:tcPr>
          <w:p w14:paraId="4B7CE8B5" w14:textId="77777777" w:rsidR="00293BDE" w:rsidRDefault="00000000">
            <w:pPr>
              <w:pStyle w:val="Compact"/>
            </w:pPr>
            <w:r>
              <w:t>Both Coastal Parties</w:t>
            </w:r>
          </w:p>
        </w:tc>
        <w:tc>
          <w:tcPr>
            <w:tcW w:w="3024" w:type="dxa"/>
          </w:tcPr>
          <w:p w14:paraId="11F83203" w14:textId="77777777" w:rsidR="00293BDE" w:rsidRDefault="00000000">
            <w:pPr>
              <w:pStyle w:val="Compact"/>
            </w:pPr>
            <w:r>
              <w:t>All listed stations transmitting</w:t>
            </w:r>
          </w:p>
        </w:tc>
      </w:tr>
      <w:tr w:rsidR="00293BDE" w14:paraId="18DC5C14" w14:textId="77777777" w:rsidTr="00293BDE">
        <w:tc>
          <w:tcPr>
            <w:tcW w:w="3024" w:type="dxa"/>
          </w:tcPr>
          <w:p w14:paraId="095F3BF7" w14:textId="77777777" w:rsidR="00293BDE" w:rsidRDefault="00000000">
            <w:pPr>
              <w:pStyle w:val="Compact"/>
            </w:pPr>
            <w:r>
              <w:t>Registry logging</w:t>
            </w:r>
          </w:p>
        </w:tc>
        <w:tc>
          <w:tcPr>
            <w:tcW w:w="3024" w:type="dxa"/>
          </w:tcPr>
          <w:p w14:paraId="258C1978" w14:textId="77777777" w:rsidR="00293BDE" w:rsidRDefault="00000000">
            <w:pPr>
              <w:pStyle w:val="Compact"/>
            </w:pPr>
            <w:r>
              <w:t>Neutral Watch Office</w:t>
            </w:r>
          </w:p>
        </w:tc>
        <w:tc>
          <w:tcPr>
            <w:tcW w:w="3024" w:type="dxa"/>
          </w:tcPr>
          <w:p w14:paraId="0AB9E6EA" w14:textId="77777777" w:rsidR="00293BDE" w:rsidRDefault="00000000">
            <w:pPr>
              <w:pStyle w:val="Compact"/>
            </w:pPr>
            <w:r>
              <w:t>Chain-of-custody active</w:t>
            </w:r>
          </w:p>
        </w:tc>
      </w:tr>
      <w:tr w:rsidR="00293BDE" w14:paraId="0F4F392B" w14:textId="77777777" w:rsidTr="00293BDE">
        <w:tc>
          <w:tcPr>
            <w:tcW w:w="3024" w:type="dxa"/>
          </w:tcPr>
          <w:p w14:paraId="58C5202A" w14:textId="77777777" w:rsidR="00293BDE" w:rsidRDefault="00000000">
            <w:pPr>
              <w:pStyle w:val="Compact"/>
            </w:pPr>
            <w:r>
              <w:t>Bulletin first edition</w:t>
            </w:r>
          </w:p>
        </w:tc>
        <w:tc>
          <w:tcPr>
            <w:tcW w:w="3024" w:type="dxa"/>
          </w:tcPr>
          <w:p w14:paraId="1D6FCE3E" w14:textId="77777777" w:rsidR="00293BDE" w:rsidRDefault="00000000">
            <w:pPr>
              <w:pStyle w:val="Compact"/>
            </w:pPr>
            <w:r>
              <w:t>Watch floor</w:t>
            </w:r>
          </w:p>
        </w:tc>
        <w:tc>
          <w:tcPr>
            <w:tcW w:w="3024" w:type="dxa"/>
          </w:tcPr>
          <w:p w14:paraId="6547D1F9" w14:textId="77777777" w:rsidR="00293BDE" w:rsidRDefault="00000000">
            <w:pPr>
              <w:pStyle w:val="Compact"/>
            </w:pPr>
            <w:r>
              <w:t>Published three languages</w:t>
            </w:r>
          </w:p>
        </w:tc>
      </w:tr>
      <w:tr w:rsidR="00293BDE" w14:paraId="55C50A67" w14:textId="77777777" w:rsidTr="00293BDE">
        <w:tc>
          <w:tcPr>
            <w:tcW w:w="3024" w:type="dxa"/>
          </w:tcPr>
          <w:p w14:paraId="6D50D5D3" w14:textId="77777777" w:rsidR="00293BDE" w:rsidRDefault="00000000">
            <w:pPr>
              <w:pStyle w:val="Compact"/>
            </w:pPr>
            <w:r>
              <w:t>Provisional guidance to mariners</w:t>
            </w:r>
          </w:p>
        </w:tc>
        <w:tc>
          <w:tcPr>
            <w:tcW w:w="3024" w:type="dxa"/>
          </w:tcPr>
          <w:p w14:paraId="5127EA20" w14:textId="77777777" w:rsidR="00293BDE" w:rsidRDefault="00000000">
            <w:pPr>
              <w:pStyle w:val="Compact"/>
            </w:pPr>
            <w:r>
              <w:t>Authority with IMO channel</w:t>
            </w:r>
          </w:p>
        </w:tc>
        <w:tc>
          <w:tcPr>
            <w:tcW w:w="3024" w:type="dxa"/>
          </w:tcPr>
          <w:p w14:paraId="034DABD0" w14:textId="77777777" w:rsidR="00293BDE" w:rsidRDefault="00000000">
            <w:pPr>
              <w:pStyle w:val="Compact"/>
            </w:pPr>
            <w:r>
              <w:t>Notice to Mariners issued</w:t>
            </w:r>
          </w:p>
        </w:tc>
      </w:tr>
      <w:tr w:rsidR="00293BDE" w14:paraId="22B99E43" w14:textId="77777777" w:rsidTr="00293BDE">
        <w:tc>
          <w:tcPr>
            <w:tcW w:w="3024" w:type="dxa"/>
          </w:tcPr>
          <w:p w14:paraId="032CE1F9" w14:textId="77777777" w:rsidR="00293BDE" w:rsidRDefault="00000000">
            <w:pPr>
              <w:pStyle w:val="Compact"/>
            </w:pPr>
            <w:r>
              <w:t>Escrow and clearing accounts open</w:t>
            </w:r>
          </w:p>
        </w:tc>
        <w:tc>
          <w:tcPr>
            <w:tcW w:w="3024" w:type="dxa"/>
          </w:tcPr>
          <w:p w14:paraId="6BE5BBAF" w14:textId="77777777" w:rsidR="00293BDE" w:rsidRDefault="00000000">
            <w:pPr>
              <w:pStyle w:val="Compact"/>
            </w:pPr>
            <w:r>
              <w:t>Neutral Administrator</w:t>
            </w:r>
          </w:p>
        </w:tc>
        <w:tc>
          <w:tcPr>
            <w:tcW w:w="3024" w:type="dxa"/>
          </w:tcPr>
          <w:p w14:paraId="675E2B8D" w14:textId="77777777" w:rsidR="00293BDE" w:rsidRDefault="00000000">
            <w:pPr>
              <w:pStyle w:val="Compact"/>
            </w:pPr>
            <w:r>
              <w:t>Confirmations logged</w:t>
            </w:r>
          </w:p>
        </w:tc>
      </w:tr>
      <w:tr w:rsidR="00293BDE" w14:paraId="6406A26C" w14:textId="77777777" w:rsidTr="00293BDE">
        <w:tc>
          <w:tcPr>
            <w:tcW w:w="3024" w:type="dxa"/>
          </w:tcPr>
          <w:p w14:paraId="45F9223E" w14:textId="77777777" w:rsidR="00293BDE" w:rsidRDefault="00000000">
            <w:pPr>
              <w:pStyle w:val="Compact"/>
            </w:pPr>
            <w:r>
              <w:t>Hotline first test</w:t>
            </w:r>
          </w:p>
        </w:tc>
        <w:tc>
          <w:tcPr>
            <w:tcW w:w="3024" w:type="dxa"/>
          </w:tcPr>
          <w:p w14:paraId="01A37D51" w14:textId="77777777" w:rsidR="00293BDE" w:rsidRDefault="00000000">
            <w:pPr>
              <w:pStyle w:val="Compact"/>
            </w:pPr>
            <w:r>
              <w:t>Liaison suite</w:t>
            </w:r>
          </w:p>
        </w:tc>
        <w:tc>
          <w:tcPr>
            <w:tcW w:w="3024" w:type="dxa"/>
          </w:tcPr>
          <w:p w14:paraId="780B4944" w14:textId="77777777" w:rsidR="00293BDE" w:rsidRDefault="00000000">
            <w:pPr>
              <w:pStyle w:val="Compact"/>
            </w:pPr>
            <w:r>
              <w:t>06:00 UTC drill passed</w:t>
            </w:r>
          </w:p>
        </w:tc>
      </w:tr>
    </w:tbl>
    <w:p w14:paraId="6D920430" w14:textId="77777777" w:rsidR="00293BDE" w:rsidRDefault="00000000">
      <w:pPr>
        <w:pStyle w:val="Heading2"/>
      </w:pPr>
      <w:bookmarkStart w:id="462" w:name="__RefHeading___Toc11000_3324765499"/>
      <w:bookmarkEnd w:id="462"/>
      <w:r>
        <w:t>E.3 Early harvest</w:t>
      </w:r>
    </w:p>
    <w:p w14:paraId="15B7A86A" w14:textId="77777777" w:rsidR="00293BDE" w:rsidRDefault="00000000">
      <w:pPr>
        <w:pStyle w:val="FirstParagraph"/>
      </w:pPr>
      <w:r>
        <w:t>The following publish as they occur: first Survey Certificate; first Bulletin; first verified transit in each corridor; first service invoice and payment; first apportionment; first Transit Assurance Certificate; first voluntary contribution; first observer accreditation. Each publication is one page, factual, and permanent.</w:t>
      </w:r>
    </w:p>
    <w:p w14:paraId="41C4B177" w14:textId="77777777" w:rsidR="00293BDE" w:rsidRDefault="00000000">
      <w:pPr>
        <w:pStyle w:val="Heading2"/>
      </w:pPr>
      <w:bookmarkStart w:id="463" w:name="__RefHeading___Toc11002_3324765499"/>
      <w:bookmarkEnd w:id="463"/>
      <w:r>
        <w:t>E.4 Staffing table and parity band</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06446960"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31D8FC98" w14:textId="77777777" w:rsidR="00293BDE" w:rsidRDefault="00000000">
            <w:pPr>
              <w:pStyle w:val="Compact"/>
            </w:pPr>
            <w:r>
              <w:t>Function</w:t>
            </w:r>
          </w:p>
        </w:tc>
        <w:tc>
          <w:tcPr>
            <w:tcW w:w="3024" w:type="dxa"/>
            <w:tcBorders>
              <w:bottom w:val="single" w:sz="6" w:space="0" w:color="000000"/>
            </w:tcBorders>
          </w:tcPr>
          <w:p w14:paraId="6C5F2F4E" w14:textId="77777777" w:rsidR="00293BDE" w:rsidRDefault="00000000">
            <w:pPr>
              <w:pStyle w:val="Compact"/>
            </w:pPr>
            <w:r>
              <w:t>Establishment</w:t>
            </w:r>
          </w:p>
        </w:tc>
        <w:tc>
          <w:tcPr>
            <w:tcW w:w="3024" w:type="dxa"/>
            <w:tcBorders>
              <w:bottom w:val="single" w:sz="6" w:space="0" w:color="000000"/>
            </w:tcBorders>
          </w:tcPr>
          <w:p w14:paraId="1AA6A63E" w14:textId="77777777" w:rsidR="00293BDE" w:rsidRDefault="00000000">
            <w:pPr>
              <w:pStyle w:val="Compact"/>
            </w:pPr>
            <w:r>
              <w:t>Source</w:t>
            </w:r>
          </w:p>
        </w:tc>
      </w:tr>
      <w:tr w:rsidR="00293BDE" w14:paraId="5EF42358" w14:textId="77777777" w:rsidTr="00293BDE">
        <w:tc>
          <w:tcPr>
            <w:tcW w:w="3024" w:type="dxa"/>
          </w:tcPr>
          <w:p w14:paraId="098B3AFB" w14:textId="77777777" w:rsidR="00293BDE" w:rsidRDefault="00000000">
            <w:pPr>
              <w:pStyle w:val="Compact"/>
            </w:pPr>
            <w:r>
              <w:t>Watch floor officers</w:t>
            </w:r>
          </w:p>
        </w:tc>
        <w:tc>
          <w:tcPr>
            <w:tcW w:w="3024" w:type="dxa"/>
          </w:tcPr>
          <w:p w14:paraId="3D625E04" w14:textId="77777777" w:rsidR="00293BDE" w:rsidRDefault="00000000">
            <w:pPr>
              <w:pStyle w:val="Compact"/>
            </w:pPr>
            <w:r>
              <w:t>36 (12 per watch x 3 watches)</w:t>
            </w:r>
          </w:p>
        </w:tc>
        <w:tc>
          <w:tcPr>
            <w:tcW w:w="3024" w:type="dxa"/>
          </w:tcPr>
          <w:p w14:paraId="01BD8717" w14:textId="77777777" w:rsidR="00293BDE" w:rsidRDefault="00000000">
            <w:pPr>
              <w:pStyle w:val="Compact"/>
            </w:pPr>
            <w:r>
              <w:t>Coastal Two parity band 40 to 60 percent each per shift</w:t>
            </w:r>
          </w:p>
        </w:tc>
      </w:tr>
      <w:tr w:rsidR="00293BDE" w14:paraId="77CF6D9B" w14:textId="77777777" w:rsidTr="00293BDE">
        <w:tc>
          <w:tcPr>
            <w:tcW w:w="3024" w:type="dxa"/>
          </w:tcPr>
          <w:p w14:paraId="56FCC455" w14:textId="77777777" w:rsidR="00293BDE" w:rsidRDefault="00000000">
            <w:pPr>
              <w:pStyle w:val="Compact"/>
            </w:pPr>
            <w:r>
              <w:t>Verification officers</w:t>
            </w:r>
          </w:p>
        </w:tc>
        <w:tc>
          <w:tcPr>
            <w:tcW w:w="3024" w:type="dxa"/>
          </w:tcPr>
          <w:p w14:paraId="3A04C7CC" w14:textId="77777777" w:rsidR="00293BDE" w:rsidRDefault="00000000">
            <w:pPr>
              <w:pStyle w:val="Compact"/>
            </w:pPr>
            <w:r>
              <w:t>12</w:t>
            </w:r>
          </w:p>
        </w:tc>
        <w:tc>
          <w:tcPr>
            <w:tcW w:w="3024" w:type="dxa"/>
          </w:tcPr>
          <w:p w14:paraId="6471AB8F" w14:textId="77777777" w:rsidR="00293BDE" w:rsidRDefault="00000000">
            <w:pPr>
              <w:pStyle w:val="Compact"/>
            </w:pPr>
            <w:r>
              <w:t>Neutral Administrator and Facilitators</w:t>
            </w:r>
          </w:p>
        </w:tc>
      </w:tr>
      <w:tr w:rsidR="00293BDE" w14:paraId="5AB857F3" w14:textId="77777777" w:rsidTr="00293BDE">
        <w:tc>
          <w:tcPr>
            <w:tcW w:w="3024" w:type="dxa"/>
          </w:tcPr>
          <w:p w14:paraId="6BACB949" w14:textId="77777777" w:rsidR="00293BDE" w:rsidRDefault="00000000">
            <w:pPr>
              <w:pStyle w:val="Compact"/>
            </w:pPr>
            <w:r>
              <w:t>Registry and data officers</w:t>
            </w:r>
          </w:p>
        </w:tc>
        <w:tc>
          <w:tcPr>
            <w:tcW w:w="3024" w:type="dxa"/>
          </w:tcPr>
          <w:p w14:paraId="5C4D0799" w14:textId="77777777" w:rsidR="00293BDE" w:rsidRDefault="00000000">
            <w:pPr>
              <w:pStyle w:val="Compact"/>
            </w:pPr>
            <w:r>
              <w:t>9</w:t>
            </w:r>
          </w:p>
        </w:tc>
        <w:tc>
          <w:tcPr>
            <w:tcW w:w="3024" w:type="dxa"/>
          </w:tcPr>
          <w:p w14:paraId="12296FF2" w14:textId="77777777" w:rsidR="00293BDE" w:rsidRDefault="00000000">
            <w:pPr>
              <w:pStyle w:val="Compact"/>
            </w:pPr>
            <w:r>
              <w:t>Authority</w:t>
            </w:r>
          </w:p>
        </w:tc>
      </w:tr>
      <w:tr w:rsidR="00293BDE" w14:paraId="64F54BDE" w14:textId="77777777" w:rsidTr="00293BDE">
        <w:tc>
          <w:tcPr>
            <w:tcW w:w="3024" w:type="dxa"/>
          </w:tcPr>
          <w:p w14:paraId="6D12F897" w14:textId="77777777" w:rsidR="00293BDE" w:rsidRDefault="00000000">
            <w:pPr>
              <w:pStyle w:val="Compact"/>
            </w:pPr>
            <w:r>
              <w:t>Environmental and incident desk</w:t>
            </w:r>
          </w:p>
        </w:tc>
        <w:tc>
          <w:tcPr>
            <w:tcW w:w="3024" w:type="dxa"/>
          </w:tcPr>
          <w:p w14:paraId="0BD7A79A" w14:textId="77777777" w:rsidR="00293BDE" w:rsidRDefault="00000000">
            <w:pPr>
              <w:pStyle w:val="Compact"/>
            </w:pPr>
            <w:r>
              <w:t>6</w:t>
            </w:r>
          </w:p>
        </w:tc>
        <w:tc>
          <w:tcPr>
            <w:tcW w:w="3024" w:type="dxa"/>
          </w:tcPr>
          <w:p w14:paraId="6B458467" w14:textId="77777777" w:rsidR="00293BDE" w:rsidRDefault="00000000">
            <w:pPr>
              <w:pStyle w:val="Compact"/>
            </w:pPr>
            <w:r>
              <w:t>Authority with littoral secondments</w:t>
            </w:r>
          </w:p>
        </w:tc>
      </w:tr>
      <w:tr w:rsidR="00293BDE" w14:paraId="448D8CF1" w14:textId="77777777" w:rsidTr="00293BDE">
        <w:tc>
          <w:tcPr>
            <w:tcW w:w="3024" w:type="dxa"/>
          </w:tcPr>
          <w:p w14:paraId="316C6595" w14:textId="77777777" w:rsidR="00293BDE" w:rsidRDefault="00000000">
            <w:pPr>
              <w:pStyle w:val="Compact"/>
            </w:pPr>
            <w:r>
              <w:t>Technical and Standards Committee secretariat</w:t>
            </w:r>
          </w:p>
        </w:tc>
        <w:tc>
          <w:tcPr>
            <w:tcW w:w="3024" w:type="dxa"/>
          </w:tcPr>
          <w:p w14:paraId="2681C81E" w14:textId="77777777" w:rsidR="00293BDE" w:rsidRDefault="00000000">
            <w:pPr>
              <w:pStyle w:val="Compact"/>
            </w:pPr>
            <w:r>
              <w:t>6</w:t>
            </w:r>
          </w:p>
        </w:tc>
        <w:tc>
          <w:tcPr>
            <w:tcW w:w="3024" w:type="dxa"/>
          </w:tcPr>
          <w:p w14:paraId="5BE6E935" w14:textId="77777777" w:rsidR="00293BDE" w:rsidRDefault="00000000">
            <w:pPr>
              <w:pStyle w:val="Compact"/>
            </w:pPr>
            <w:r>
              <w:t>Authority</w:t>
            </w:r>
          </w:p>
        </w:tc>
      </w:tr>
      <w:tr w:rsidR="00293BDE" w14:paraId="46CA5F5B" w14:textId="77777777" w:rsidTr="00293BDE">
        <w:tc>
          <w:tcPr>
            <w:tcW w:w="3024" w:type="dxa"/>
          </w:tcPr>
          <w:p w14:paraId="0564C89B" w14:textId="77777777" w:rsidR="00293BDE" w:rsidRDefault="00000000">
            <w:pPr>
              <w:pStyle w:val="Compact"/>
            </w:pPr>
            <w:r>
              <w:t>Liaison suite (de-confliction)</w:t>
            </w:r>
          </w:p>
        </w:tc>
        <w:tc>
          <w:tcPr>
            <w:tcW w:w="3024" w:type="dxa"/>
          </w:tcPr>
          <w:p w14:paraId="067087A0" w14:textId="77777777" w:rsidR="00293BDE" w:rsidRDefault="00000000">
            <w:pPr>
              <w:pStyle w:val="Compact"/>
            </w:pPr>
            <w:r>
              <w:t>8</w:t>
            </w:r>
          </w:p>
        </w:tc>
        <w:tc>
          <w:tcPr>
            <w:tcW w:w="3024" w:type="dxa"/>
          </w:tcPr>
          <w:p w14:paraId="260FCA23" w14:textId="77777777" w:rsidR="00293BDE" w:rsidRDefault="00000000">
            <w:pPr>
              <w:pStyle w:val="Compact"/>
            </w:pPr>
            <w:r>
              <w:t>Parties and Endorsing Stakeholders (separate suite, Article 14.7)</w:t>
            </w:r>
          </w:p>
        </w:tc>
      </w:tr>
      <w:tr w:rsidR="00293BDE" w14:paraId="65A01BAE" w14:textId="77777777" w:rsidTr="00293BDE">
        <w:tc>
          <w:tcPr>
            <w:tcW w:w="3024" w:type="dxa"/>
          </w:tcPr>
          <w:p w14:paraId="5CB8FA34" w14:textId="77777777" w:rsidR="00293BDE" w:rsidRDefault="00000000">
            <w:pPr>
              <w:pStyle w:val="Compact"/>
            </w:pPr>
            <w:r>
              <w:t>Administration and publication</w:t>
            </w:r>
          </w:p>
        </w:tc>
        <w:tc>
          <w:tcPr>
            <w:tcW w:w="3024" w:type="dxa"/>
          </w:tcPr>
          <w:p w14:paraId="3F63760E" w14:textId="77777777" w:rsidR="00293BDE" w:rsidRDefault="00000000">
            <w:pPr>
              <w:pStyle w:val="Compact"/>
            </w:pPr>
            <w:r>
              <w:t>9</w:t>
            </w:r>
          </w:p>
        </w:tc>
        <w:tc>
          <w:tcPr>
            <w:tcW w:w="3024" w:type="dxa"/>
          </w:tcPr>
          <w:p w14:paraId="65B4D6C4" w14:textId="77777777" w:rsidR="00293BDE" w:rsidRDefault="00000000">
            <w:pPr>
              <w:pStyle w:val="Compact"/>
            </w:pPr>
            <w:r>
              <w:t>Authority</w:t>
            </w:r>
          </w:p>
        </w:tc>
      </w:tr>
      <w:tr w:rsidR="00293BDE" w14:paraId="0C6DCF1F" w14:textId="77777777" w:rsidTr="00293BDE">
        <w:tc>
          <w:tcPr>
            <w:tcW w:w="3024" w:type="dxa"/>
          </w:tcPr>
          <w:p w14:paraId="4A52D36D" w14:textId="77777777" w:rsidR="00293BDE" w:rsidRDefault="00000000">
            <w:pPr>
              <w:pStyle w:val="Compact"/>
            </w:pPr>
            <w:r>
              <w:t>Mirror Facility staff</w:t>
            </w:r>
          </w:p>
        </w:tc>
        <w:tc>
          <w:tcPr>
            <w:tcW w:w="3024" w:type="dxa"/>
          </w:tcPr>
          <w:p w14:paraId="6685E80B" w14:textId="77777777" w:rsidR="00293BDE" w:rsidRDefault="00000000">
            <w:pPr>
              <w:pStyle w:val="Compact"/>
            </w:pPr>
            <w:r>
              <w:t>18</w:t>
            </w:r>
          </w:p>
        </w:tc>
        <w:tc>
          <w:tcPr>
            <w:tcW w:w="3024" w:type="dxa"/>
          </w:tcPr>
          <w:p w14:paraId="3A23D9F8" w14:textId="77777777" w:rsidR="00293BDE" w:rsidRDefault="00000000">
            <w:pPr>
              <w:pStyle w:val="Compact"/>
            </w:pPr>
            <w:r>
              <w:t>Coastal Two parity band</w:t>
            </w:r>
          </w:p>
        </w:tc>
      </w:tr>
      <w:tr w:rsidR="00293BDE" w14:paraId="11621D3A" w14:textId="77777777" w:rsidTr="00293BDE">
        <w:tc>
          <w:tcPr>
            <w:tcW w:w="3024" w:type="dxa"/>
          </w:tcPr>
          <w:p w14:paraId="6BAF8B6F" w14:textId="77777777" w:rsidR="00293BDE" w:rsidRDefault="00000000">
            <w:pPr>
              <w:pStyle w:val="Compact"/>
            </w:pPr>
            <w:r>
              <w:t>Total</w:t>
            </w:r>
          </w:p>
        </w:tc>
        <w:tc>
          <w:tcPr>
            <w:tcW w:w="3024" w:type="dxa"/>
          </w:tcPr>
          <w:p w14:paraId="488523D9" w14:textId="77777777" w:rsidR="00293BDE" w:rsidRDefault="00000000">
            <w:pPr>
              <w:pStyle w:val="Compact"/>
            </w:pPr>
            <w:r>
              <w:t>104</w:t>
            </w:r>
          </w:p>
        </w:tc>
        <w:tc>
          <w:tcPr>
            <w:tcW w:w="3024" w:type="dxa"/>
          </w:tcPr>
          <w:p w14:paraId="36BD25DB" w14:textId="77777777" w:rsidR="00293BDE" w:rsidRDefault="00000000">
            <w:pPr>
              <w:pStyle w:val="Compact"/>
            </w:pPr>
            <w:r>
              <w:t>Within Annex B budget cap</w:t>
            </w:r>
          </w:p>
        </w:tc>
      </w:tr>
    </w:tbl>
    <w:p w14:paraId="7C07E54D" w14:textId="77777777" w:rsidR="00293BDE" w:rsidRDefault="00000000">
      <w:pPr>
        <w:pStyle w:val="BodyText"/>
      </w:pPr>
      <w:bookmarkStart w:id="464" w:name="e.4-staffing-table-and-parity-band"/>
      <w:r>
        <w:t>Parity applies per shift, per grade, and per function. Seconded officers serve in civilian capacity under Article 14.7.</w:t>
      </w:r>
      <w:bookmarkEnd w:id="464"/>
    </w:p>
    <w:p w14:paraId="55F4B3C2" w14:textId="77777777" w:rsidR="00293BDE" w:rsidRDefault="00000000">
      <w:pPr>
        <w:pStyle w:val="Heading2"/>
      </w:pPr>
      <w:bookmarkStart w:id="465" w:name="__RefHeading___Toc11004_3324765499"/>
      <w:bookmarkEnd w:id="465"/>
      <w:r>
        <w:t>E.5 Essential Functions Protocol list</w:t>
      </w:r>
    </w:p>
    <w:p w14:paraId="27A0EBD3" w14:textId="77777777" w:rsidR="00293BDE" w:rsidRDefault="00000000">
      <w:pPr>
        <w:pStyle w:val="FirstParagraph"/>
      </w:pPr>
      <w:bookmarkStart w:id="466" w:name="e.5-essential-functions-protocol-list"/>
      <w:r>
        <w:t>The functions that never stop: passage and the corridor geometry; the Bulletin; distress response; the hotline; verification and the registry; the escrow’s mechanical payments; the Humanitarian Window. The continuity-of-operations plan assigns each function a primary holder, an alternate holder, and a fallback procedure, reviewed annually and tested once per year in a full simulation.</w:t>
      </w:r>
      <w:bookmarkEnd w:id="466"/>
    </w:p>
    <w:p w14:paraId="6383C907" w14:textId="77777777" w:rsidR="00293BDE" w:rsidRDefault="00000000">
      <w:pPr>
        <w:pStyle w:val="Heading2"/>
      </w:pPr>
      <w:bookmarkStart w:id="467" w:name="__RefHeading___Toc11006_3324765499"/>
      <w:bookmarkEnd w:id="467"/>
      <w:r>
        <w:t>E.6 Weekly cadence during the Assurance Phase</w:t>
      </w:r>
    </w:p>
    <w:p w14:paraId="51C40768" w14:textId="77777777" w:rsidR="00293BDE" w:rsidRDefault="00000000">
      <w:pPr>
        <w:pStyle w:val="FirstParagraph"/>
      </w:pPr>
      <w:r>
        <w:t>During the Assurance Phase, the Corridor Management Council meets twice weekly, the Horizon Council meets weekly, and the Neutral Watch Office reports to all participants weekly. The intensified cadence ends at Full Activation, when the standing cadence of the Articles takes over. The phase runs on rhythm, not improvisation: everyone knows which day each thing happens.</w:t>
      </w:r>
    </w:p>
    <w:bookmarkStart w:id="468" w:name="X8f241c621497aee4eb2d4b2a9e067290c20c91f"/>
    <w:bookmarkStart w:id="469" w:name="Xa6550532c917b66b2770c3189f3f6008bd07fe1"/>
    <w:p w14:paraId="685CEFE7" w14:textId="07089675" w:rsidR="00293BDE" w:rsidRDefault="00622008">
      <w:r>
        <w:rPr>
          <w:noProof/>
        </w:rPr>
      </w:r>
      <w:r>
        <w:pict w14:anchorId="2357A297">
          <v:rect id="Rectangle 20" o:spid="_x0000_s1035"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68"/>
      <w:bookmarkEnd w:id="469"/>
    </w:p>
    <w:p w14:paraId="506C69ED" w14:textId="77777777" w:rsidR="00293BDE" w:rsidRDefault="00000000">
      <w:pPr>
        <w:pStyle w:val="Heading1"/>
      </w:pPr>
      <w:bookmarkStart w:id="470" w:name="__RefHeading___Toc11008_3324765499"/>
      <w:bookmarkEnd w:id="470"/>
      <w:r>
        <w:t>ANNEX F: ACCESSION, ADHERENCE, ATTACHMENT, AND PARTICIPATION INSTRUMENTS</w:t>
      </w:r>
    </w:p>
    <w:p w14:paraId="6A289059" w14:textId="77777777" w:rsidR="00293BDE" w:rsidRDefault="00000000">
      <w:pPr>
        <w:pStyle w:val="Heading2"/>
      </w:pPr>
      <w:bookmarkStart w:id="471" w:name="__RefHeading___Toc11010_3324765499"/>
      <w:bookmarkEnd w:id="471"/>
      <w:r>
        <w:t>F.1 Model accession instrument (Littoral Parties)</w:t>
      </w:r>
    </w:p>
    <w:p w14:paraId="31368BB6" w14:textId="77777777" w:rsidR="00293BDE" w:rsidRDefault="00000000">
      <w:pPr>
        <w:pStyle w:val="FirstParagraph"/>
      </w:pPr>
      <w:bookmarkStart w:id="472" w:name="X7a6189ba948f7ae8bf90d84ac0ceb1006359225"/>
      <w:r>
        <w:t>The model instrument runs one page: the acceding state declares accession to the Compact as it stands; designates its Council member and liaison officers; records its acceptance of the Inviolable Principles Register; and deposits the instrument with the depositary. The instrument takes effect on deposit; the seat activates at the next Council session.</w:t>
      </w:r>
      <w:bookmarkEnd w:id="472"/>
    </w:p>
    <w:p w14:paraId="149A95BE" w14:textId="77777777" w:rsidR="00293BDE" w:rsidRDefault="00000000">
      <w:pPr>
        <w:pStyle w:val="Heading2"/>
      </w:pPr>
      <w:bookmarkStart w:id="473" w:name="__RefHeading___Toc11012_3324765499"/>
      <w:bookmarkEnd w:id="473"/>
      <w:r>
        <w:t>F.2 Model endorsement instrument (Endorsing Stakeholders)</w:t>
      </w:r>
    </w:p>
    <w:p w14:paraId="096F5E96" w14:textId="77777777" w:rsidR="00293BDE" w:rsidRDefault="00000000">
      <w:pPr>
        <w:pStyle w:val="FirstParagraph"/>
      </w:pPr>
      <w:bookmarkStart w:id="474" w:name="X7c2a0c821b7d7250c732b608ee06e57b599360e"/>
      <w:r>
        <w:t>The model instrument runs one page: the endorsing state endorses the Compact; accepts the monitoring access rules; designates its observer and, where applicable, its naval liaison; records the non-prejudice statement of Article 2.6; and deposits the instrument. Endorsement creates no funding obligation, no command role, and no conditioning right.</w:t>
      </w:r>
      <w:bookmarkEnd w:id="474"/>
    </w:p>
    <w:p w14:paraId="108C5BB0" w14:textId="77777777" w:rsidR="00293BDE" w:rsidRDefault="00000000">
      <w:pPr>
        <w:pStyle w:val="Heading2"/>
      </w:pPr>
      <w:bookmarkStart w:id="475" w:name="__RefHeading___Toc11014_3324765499"/>
      <w:bookmarkEnd w:id="475"/>
      <w:r>
        <w:t>F.3 Model adherence instrument (security liaisons)</w:t>
      </w:r>
    </w:p>
    <w:p w14:paraId="73A63571" w14:textId="77777777" w:rsidR="00293BDE" w:rsidRDefault="00000000">
      <w:pPr>
        <w:pStyle w:val="FirstParagraph"/>
      </w:pPr>
      <w:bookmarkStart w:id="476" w:name="X026ed93a4348fbdc49fc05b9770471c804c608a"/>
      <w:r>
        <w:t>The model instrument runs one page: the adhering state accepts the de-confliction geometry of Article 23, the notification formats of Annex D, and the channel discipline; designates its liaison; and deposits the instrument. Adherence implies no position on the Compact’s other provisions.</w:t>
      </w:r>
      <w:bookmarkEnd w:id="476"/>
    </w:p>
    <w:p w14:paraId="4A5D2D55" w14:textId="77777777" w:rsidR="00293BDE" w:rsidRDefault="00000000">
      <w:pPr>
        <w:pStyle w:val="Heading2"/>
      </w:pPr>
      <w:bookmarkStart w:id="477" w:name="__RefHeading___Toc11016_3324765499"/>
      <w:bookmarkEnd w:id="477"/>
      <w:r>
        <w:t>F.4 Model attachment instruments</w:t>
      </w:r>
    </w:p>
    <w:p w14:paraId="73A0E453" w14:textId="77777777" w:rsidR="00293BDE" w:rsidRDefault="00000000">
      <w:pPr>
        <w:pStyle w:val="FirstParagraph"/>
      </w:pPr>
      <w:bookmarkStart w:id="478" w:name="f.4-model-attachment-instruments"/>
      <w:r>
        <w:t>Attachments (bilateral service contracts, data-sharing arrangements, port coordination protocols) use the standard attachment form: parties, scope, reference to the Compact, duration, deposit. Attachments bind their parties only.</w:t>
      </w:r>
      <w:bookmarkEnd w:id="478"/>
    </w:p>
    <w:p w14:paraId="7E644B2B" w14:textId="77777777" w:rsidR="00293BDE" w:rsidRDefault="00000000">
      <w:pPr>
        <w:pStyle w:val="Heading2"/>
      </w:pPr>
      <w:bookmarkStart w:id="479" w:name="__RefHeading___Toc11018_3324765499"/>
      <w:bookmarkEnd w:id="479"/>
      <w:r>
        <w:t>F.5 Domestic law reconciliation instrument</w:t>
      </w:r>
    </w:p>
    <w:p w14:paraId="68A4BD1C" w14:textId="77777777" w:rsidR="00293BDE" w:rsidRDefault="00000000">
      <w:pPr>
        <w:pStyle w:val="FirstParagraph"/>
      </w:pPr>
      <w:bookmarkStart w:id="480" w:name="Xc7b603daf01bde3791c74436283ea317bff80a8"/>
      <w:r>
        <w:t>Each Party deposits its reconciliation instrument confirming that passage-charging instruments stand disapplied within the Governance Area and that service-charging instruments align to the Verified Services Catalog, with the domestic instruments listed in a schedule.</w:t>
      </w:r>
      <w:bookmarkEnd w:id="480"/>
    </w:p>
    <w:p w14:paraId="12F7CB31" w14:textId="77777777" w:rsidR="00293BDE" w:rsidRDefault="00000000">
      <w:pPr>
        <w:pStyle w:val="Heading2"/>
      </w:pPr>
      <w:bookmarkStart w:id="481" w:name="__RefHeading___Toc11020_3324765499"/>
      <w:bookmarkEnd w:id="481"/>
      <w:r>
        <w:t>F.6 Standing invitations</w:t>
      </w:r>
    </w:p>
    <w:p w14:paraId="473ADF7B" w14:textId="77777777" w:rsidR="00293BDE" w:rsidRDefault="00000000">
      <w:pPr>
        <w:pStyle w:val="FirstParagraph"/>
      </w:pPr>
      <w:bookmarkStart w:id="482" w:name="f.6-standing-invitations"/>
      <w:r>
        <w:t>Standing invitations issue at signature to: the six named littoral states (accession); the European Union, the United Kingdom, and the French Republic (endorsement); the IMO and IHO (technical interface confirmation); and the recognized bodies of the insurance market, shipowners, and seafarers (Stakeholder Panel accreditation). Invitations remain open without expiry under the Standing Continuity Guarantee.</w:t>
      </w:r>
      <w:bookmarkEnd w:id="482"/>
    </w:p>
    <w:p w14:paraId="389C52DE" w14:textId="77777777" w:rsidR="00293BDE" w:rsidRDefault="00000000">
      <w:pPr>
        <w:pStyle w:val="Heading2"/>
      </w:pPr>
      <w:bookmarkStart w:id="483" w:name="__RefHeading___Toc11022_3324765499"/>
      <w:bookmarkEnd w:id="483"/>
      <w:r>
        <w:t>F.7 The fast-track accreditation schedule</w:t>
      </w:r>
    </w:p>
    <w:p w14:paraId="6023D8AD" w14:textId="77777777" w:rsidR="00293BDE" w:rsidRDefault="00000000">
      <w:pPr>
        <w:pStyle w:val="FirstParagraph"/>
      </w:pPr>
      <w:r>
        <w:t>During the Assurance Phase, observer and Panel accreditations process in five working days against the published criteria. After Full Activation, the standard schedule of fifteen working days applies. Accreditation never requires approval by any individual Party; the criteria decide, and the registry logs.</w:t>
      </w:r>
    </w:p>
    <w:bookmarkStart w:id="484" w:name="X7cd5903da4c4d9eaa81f6574d50f561d6606c5f"/>
    <w:bookmarkStart w:id="485" w:name="Xda04939dfbccced1d74089a8cd1c84c4749405b"/>
    <w:p w14:paraId="5A3C505E" w14:textId="1E407087" w:rsidR="00293BDE" w:rsidRDefault="00622008">
      <w:r>
        <w:rPr>
          <w:noProof/>
        </w:rPr>
      </w:r>
      <w:r>
        <w:pict w14:anchorId="0C28C761">
          <v:rect id="Rectangle 21" o:spid="_x0000_s1034"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84"/>
      <w:bookmarkEnd w:id="485"/>
    </w:p>
    <w:p w14:paraId="56E41916" w14:textId="77777777" w:rsidR="00293BDE" w:rsidRDefault="00000000">
      <w:pPr>
        <w:pStyle w:val="Heading1"/>
      </w:pPr>
      <w:bookmarkStart w:id="486" w:name="__RefHeading___Toc11024_3324765499"/>
      <w:bookmarkEnd w:id="486"/>
      <w:r>
        <w:t>ANNEX G: THE INVIOLABLE PRINCIPLES REGISTER (FULL OPERATIVE TEXT)</w:t>
      </w:r>
    </w:p>
    <w:p w14:paraId="07A35343" w14:textId="77777777" w:rsidR="00293BDE" w:rsidRDefault="00000000">
      <w:pPr>
        <w:pStyle w:val="Heading2"/>
      </w:pPr>
      <w:bookmarkStart w:id="487" w:name="__RefHeading___Toc11026_3324765499"/>
      <w:bookmarkEnd w:id="487"/>
      <w:r>
        <w:t>G.1 Method</w:t>
      </w:r>
    </w:p>
    <w:p w14:paraId="1FBDE4E5" w14:textId="77777777" w:rsidR="00293BDE" w:rsidRDefault="00000000">
      <w:pPr>
        <w:pStyle w:val="FirstParagraph"/>
      </w:pPr>
      <w:bookmarkStart w:id="488" w:name="g.1-method"/>
      <w:r>
        <w:t>Each principle below states: the line; the reason; the safeguard; and the approach procedure. The Perimeter Test of Article 5.2 applies every principle to every measure. Principles do not trade (Article 5.3). The Register amends only under Article 32.2 with unanimity for the protected core.</w:t>
      </w:r>
      <w:bookmarkEnd w:id="488"/>
    </w:p>
    <w:p w14:paraId="5302D778" w14:textId="77777777" w:rsidR="00293BDE" w:rsidRDefault="00000000">
      <w:pPr>
        <w:pStyle w:val="Heading2"/>
      </w:pPr>
      <w:bookmarkStart w:id="489" w:name="__RefHeading___Toc11028_3324765499"/>
      <w:bookmarkStart w:id="490" w:name="g.2-the-sixteen-principles"/>
      <w:bookmarkEnd w:id="489"/>
      <w:r>
        <w:t>G.2 The sixteen principles</w:t>
      </w:r>
    </w:p>
    <w:p w14:paraId="2F10EBDD" w14:textId="77777777" w:rsidR="00293BDE" w:rsidRDefault="00000000">
      <w:pPr>
        <w:pStyle w:val="FirstParagraph"/>
      </w:pPr>
      <w:r>
        <w:rPr>
          <w:b/>
          <w:bCs/>
        </w:rPr>
        <w:t>IPR-1: Passage carries no charge, in any corridor, for any vessel, ever.</w:t>
      </w:r>
      <w:r>
        <w:t xml:space="preserve"> Reason: tolls on an international strait price insecurity and violate the settled expectations of every maritime nation. Safeguard: the Open Passage Rule of Article 17; invoicing architecture that cannot attach a charge to passage. Approach procedure: any measure linking any payment to the act of transit fails at origin.</w:t>
      </w:r>
    </w:p>
    <w:p w14:paraId="37354BE3" w14:textId="77777777" w:rsidR="00293BDE" w:rsidRDefault="00000000">
      <w:pPr>
        <w:pStyle w:val="BodyText"/>
      </w:pPr>
      <w:r>
        <w:rPr>
          <w:b/>
          <w:bCs/>
        </w:rPr>
        <w:t>IPR-2: The Southern Outbound Corridor transits unconditionally, without any notification layer.</w:t>
      </w:r>
      <w:r>
        <w:t xml:space="preserve"> Reason: an unconditional lane proves the system’s openness every hour of every day. Safeguard: Articles 8.3 and 12.3; the notice system’s voluntary design. Approach procedure: any measure making outbound filing operative fails at origin.</w:t>
      </w:r>
    </w:p>
    <w:p w14:paraId="12AD0BB3" w14:textId="77777777" w:rsidR="00293BDE" w:rsidRDefault="00000000">
      <w:pPr>
        <w:pStyle w:val="BodyText"/>
      </w:pPr>
      <w:r>
        <w:rPr>
          <w:b/>
          <w:bCs/>
        </w:rPr>
        <w:t>IPR-3: The northern littoral holds a recognized, formal, continuous service role in the inbound corridor.</w:t>
      </w:r>
      <w:r>
        <w:t xml:space="preserve"> Reason: durable systems rest on recognized roles, not contested ones. Safeguard: Articles 8.2 and 18.1; the Verified Services Catalog; the apportionment formula. Approach procedure: any measure stripping, suspending, or hollowing the inbound service functions fails at origin; Dual-Concurrence and oversight bound the role without erasing it.</w:t>
      </w:r>
    </w:p>
    <w:p w14:paraId="13A68967" w14:textId="77777777" w:rsidR="00293BDE" w:rsidRDefault="00000000">
      <w:pPr>
        <w:pStyle w:val="BodyText"/>
      </w:pPr>
      <w:r>
        <w:rPr>
          <w:b/>
          <w:bCs/>
        </w:rPr>
        <w:t>IPR-4: No permission regime operates anywhere in this Compact.</w:t>
      </w:r>
      <w:r>
        <w:t xml:space="preserve"> Reason: permission is closure in waiting. Safeguard: Articles 2.2, 11, and 12; the notice system’s informative design; standing pre-authorization framed as convenience only. Approach procedure: any measure requiring consent, clearance, or approval for transit fails at origin.</w:t>
      </w:r>
    </w:p>
    <w:p w14:paraId="76F1F0CF" w14:textId="77777777" w:rsidR="00293BDE" w:rsidRDefault="00000000">
      <w:pPr>
        <w:pStyle w:val="BodyText"/>
      </w:pPr>
      <w:r>
        <w:rPr>
          <w:b/>
          <w:bCs/>
        </w:rPr>
        <w:t>IPR-5: No boarding, diversion, seizure, or inspection occurs inside a corridor.</w:t>
      </w:r>
      <w:r>
        <w:t xml:space="preserve"> Reason: interdiction inside the corridor is the crisis this Compact ends. Safeguard: Article 11; the standoff geometry; automatic incident generation on any approach. Approach procedure: any measure assigning an interdiction function fails at origin; Class H verification occurs at anchorages, outside corridors, on safety documentation only.</w:t>
      </w:r>
    </w:p>
    <w:p w14:paraId="3AB01E79" w14:textId="77777777" w:rsidR="00293BDE" w:rsidRDefault="00000000">
      <w:pPr>
        <w:pStyle w:val="BodyText"/>
      </w:pPr>
      <w:r>
        <w:rPr>
          <w:b/>
          <w:bCs/>
        </w:rPr>
        <w:t>IPR-6: The Compact’s operational bodies remain civilian, always.</w:t>
      </w:r>
      <w:r>
        <w:t xml:space="preserve"> Reason: civilian machinery cannot become a military instrument. Safeguard: Articles 3.4 and 14.7; the separate liaison suite; annual certification. Approach procedure: any measure staffing operational functions with military personnel in military capacity fails at origin.</w:t>
      </w:r>
    </w:p>
    <w:p w14:paraId="118DE9BE" w14:textId="77777777" w:rsidR="00293BDE" w:rsidRDefault="00000000">
      <w:pPr>
        <w:pStyle w:val="BodyText"/>
      </w:pPr>
      <w:r>
        <w:rPr>
          <w:b/>
          <w:bCs/>
        </w:rPr>
        <w:t>IPR-7: No shipper or operator pays any Party directly for anything.</w:t>
      </w:r>
      <w:r>
        <w:t xml:space="preserve"> Reason: direct payment politicizes commerce and invites leverage. Safeguard: Article 20.4 Firewall; Fund-only invoicing. Approach procedure: any measure creating a direct payer-to-Party channel fails at origin.</w:t>
      </w:r>
    </w:p>
    <w:p w14:paraId="0C4CD313" w14:textId="77777777" w:rsidR="00293BDE" w:rsidRDefault="00000000">
      <w:pPr>
        <w:pStyle w:val="BodyText"/>
      </w:pPr>
      <w:r>
        <w:rPr>
          <w:b/>
          <w:bCs/>
        </w:rPr>
        <w:t>IPR-8: Each Party’s sovereignty over its own waters stands intact.</w:t>
      </w:r>
      <w:r>
        <w:t xml:space="preserve"> Reason: the Compact assigns functions; it touches no title. Safeguard: Articles 1.6 and 2.1; the non-prejudice rule of Article 2.6. Approach procedure: any measure adjudicating, implying, or recording any position on title fails at origin.</w:t>
      </w:r>
    </w:p>
    <w:p w14:paraId="7A4A4A74" w14:textId="77777777" w:rsidR="00293BDE" w:rsidRDefault="00000000">
      <w:pPr>
        <w:pStyle w:val="BodyText"/>
      </w:pPr>
      <w:r>
        <w:rPr>
          <w:b/>
          <w:bCs/>
        </w:rPr>
        <w:t>IPR-9: No commitment expires, lapses, or dilutes by time, silence, or routine.</w:t>
      </w:r>
      <w:r>
        <w:t xml:space="preserve"> Reason: erosion is the silent killer of maritime regimes. Safeguard: Article 4 in full; default continuity; renewal by silence. Approach procedure: any measure introducing a sunset, review-or-expire, or use-it-or-lose-it mechanic fails at origin.</w:t>
      </w:r>
    </w:p>
    <w:p w14:paraId="0F173A15" w14:textId="77777777" w:rsidR="00293BDE" w:rsidRDefault="00000000">
      <w:pPr>
        <w:pStyle w:val="BodyText"/>
      </w:pPr>
      <w:r>
        <w:rPr>
          <w:b/>
          <w:bCs/>
        </w:rPr>
        <w:t>IPR-10: Humanitarian traffic moves in every flow state, dispute, pause, and transition.</w:t>
      </w:r>
      <w:r>
        <w:t xml:space="preserve"> Reason: hunger and medicine wait on no politics. Safeguard: Articles 8.6, 19.2, and 25.4; the humanitarian firewall. Approach procedure: any measure touching humanitarian flows fails at origin without exception.</w:t>
      </w:r>
    </w:p>
    <w:p w14:paraId="091BE783" w14:textId="77777777" w:rsidR="00293BDE" w:rsidRDefault="00000000">
      <w:pPr>
        <w:pStyle w:val="BodyText"/>
      </w:pPr>
      <w:r>
        <w:rPr>
          <w:b/>
          <w:bCs/>
        </w:rPr>
        <w:t>IPR-11: No finding of fact rests on a single input.</w:t>
      </w:r>
      <w:r>
        <w:t xml:space="preserve"> Reason: single-source findings priced a war once already. Safeguard: the Convergence Standard of Article 22.2; the tie-breaker layer of Article 22.8. Approach procedure: any finding procedure resting on one layer fails at origin.</w:t>
      </w:r>
    </w:p>
    <w:p w14:paraId="0E8D42B1" w14:textId="77777777" w:rsidR="00293BDE" w:rsidRDefault="00000000">
      <w:pPr>
        <w:pStyle w:val="BodyText"/>
      </w:pPr>
      <w:r>
        <w:rPr>
          <w:b/>
          <w:bCs/>
        </w:rPr>
        <w:t>IPR-12: Compact assets, data, and channels never support kinetic action by any actor.</w:t>
      </w:r>
      <w:r>
        <w:t xml:space="preserve"> Reason: a system that feeds targeting dies as a system and takes the strait with it. Safeguard: Articles 12.6, 14.4, and 23.6; access classes; annual supply-chain certification. Approach procedure: any measure routing Compact data or assets to any weapons or targeting function fails at origin.</w:t>
      </w:r>
    </w:p>
    <w:p w14:paraId="5C443952" w14:textId="77777777" w:rsidR="00293BDE" w:rsidRDefault="00000000">
      <w:pPr>
        <w:pStyle w:val="BodyText"/>
      </w:pPr>
      <w:r>
        <w:rPr>
          <w:b/>
          <w:bCs/>
        </w:rPr>
        <w:t>IPR-13: No single coastal state governs the Strait alone.</w:t>
      </w:r>
      <w:r>
        <w:t xml:space="preserve"> Reason: shared water requires shared stewardship. Safeguard: the Coastal Two structure; Dual-Concurrence; the Council’s composition. Approach procedure: any measure concentrating corridor governance in one flag fails at origin.</w:t>
      </w:r>
    </w:p>
    <w:p w14:paraId="4057E165" w14:textId="77777777" w:rsidR="00293BDE" w:rsidRDefault="00000000">
      <w:pPr>
        <w:pStyle w:val="BodyText"/>
      </w:pPr>
      <w:r>
        <w:rPr>
          <w:b/>
          <w:bCs/>
        </w:rPr>
        <w:t>IPR-14: No external state or body commands any element of this Compact.</w:t>
      </w:r>
      <w:r>
        <w:t xml:space="preserve"> Reason: regional ownership is the Compact’s legitimacy. Safeguard: Articles 6.3, 6.9, and 16.5; the endorsement framework’s no-command design. Approach procedure: any measure vesting command, veto, or enforcement authority in any external state or body fails at origin.</w:t>
      </w:r>
    </w:p>
    <w:p w14:paraId="066EBB08" w14:textId="77777777" w:rsidR="00293BDE" w:rsidRDefault="00000000">
      <w:pPr>
        <w:pStyle w:val="BodyText"/>
      </w:pPr>
      <w:r>
        <w:rPr>
          <w:b/>
          <w:bCs/>
        </w:rPr>
        <w:t>IPR-15: No military vessel operates inside a corridor except under the transit and de-confliction geometry of Article 23.</w:t>
      </w:r>
      <w:r>
        <w:t xml:space="preserve"> Reason: separation of military movement from commercial flow prevents the incident that becomes the crisis. Safeguard: the standoff belts, crossing gates, and notification discipline of Article 23 and Annex A. Approach procedure: any measure creating an unnotified or unbounded military presence inside a corridor fails at origin.</w:t>
      </w:r>
    </w:p>
    <w:p w14:paraId="6109E57D" w14:textId="77777777" w:rsidR="00293BDE" w:rsidRDefault="00000000">
      <w:pPr>
        <w:pStyle w:val="BodyText"/>
      </w:pPr>
      <w:r>
        <w:rPr>
          <w:b/>
          <w:bCs/>
        </w:rPr>
        <w:t>IPR-16: Corridor activation and the termination of all impediments to commercial traffic synchronize as one indivisible event.</w:t>
      </w:r>
      <w:r>
        <w:t xml:space="preserve"> Reason: sequencing disputes killed every prior attempt; simultaneity kills the sequencing dispute. Safeguard: Articles 3.7, 9.5, and 30.1; the registry’s synchronized logging. Approach procedure: any measure splitting the synchronized event into sequential concessions fails at origin.</w:t>
      </w:r>
      <w:bookmarkEnd w:id="490"/>
    </w:p>
    <w:p w14:paraId="53B5E678" w14:textId="77777777" w:rsidR="00293BDE" w:rsidRDefault="00000000">
      <w:pPr>
        <w:pStyle w:val="Heading2"/>
      </w:pPr>
      <w:bookmarkStart w:id="491" w:name="__RefHeading___Toc11030_3324765499"/>
      <w:bookmarkEnd w:id="491"/>
      <w:r>
        <w:t>G.3 The consultation record</w:t>
      </w:r>
    </w:p>
    <w:p w14:paraId="04575F51" w14:textId="77777777" w:rsidR="00293BDE" w:rsidRDefault="00000000">
      <w:pPr>
        <w:pStyle w:val="FirstParagraph"/>
      </w:pPr>
      <w:bookmarkStart w:id="492" w:name="g.3-the-consultation-record"/>
      <w:r>
        <w:t>Every Principle Consultation under Article 5.4 logs with its notice, assessment, and resolution. The record publishes annually and stands as the Register’s case law: how the architecture reads its own lines, in practice, over time.</w:t>
      </w:r>
      <w:bookmarkEnd w:id="492"/>
    </w:p>
    <w:p w14:paraId="26F0521C" w14:textId="77777777" w:rsidR="00293BDE" w:rsidRDefault="00000000">
      <w:pPr>
        <w:pStyle w:val="Heading2"/>
      </w:pPr>
      <w:bookmarkStart w:id="493" w:name="__RefHeading___Toc11032_3324765499"/>
      <w:bookmarkEnd w:id="493"/>
      <w:r>
        <w:t>G.4 The Register in plain language</w:t>
      </w:r>
    </w:p>
    <w:p w14:paraId="6C8AD20A" w14:textId="77777777" w:rsidR="00293BDE" w:rsidRDefault="00000000">
      <w:pPr>
        <w:pStyle w:val="FirstParagraph"/>
      </w:pPr>
      <w:r>
        <w:t>For public communication, the Register compresses to five sentences: The sea is free. The work is paid. The watch is shared. No one commands. Nothing fades. These five sentences publish with every State of the Strait report, in all three languages, as the system’s promise to the public in words a child holds.</w:t>
      </w:r>
    </w:p>
    <w:bookmarkStart w:id="494" w:name="X1996b05f4bdeb71976a8e82323b1976cbbd7797"/>
    <w:bookmarkStart w:id="495" w:name="g.4-the-register-in-plain-language"/>
    <w:p w14:paraId="24A8A99E" w14:textId="2A45E8DA" w:rsidR="00293BDE" w:rsidRDefault="00622008">
      <w:r>
        <w:rPr>
          <w:noProof/>
        </w:rPr>
      </w:r>
      <w:r>
        <w:pict w14:anchorId="7D35889C">
          <v:rect id="Rectangle 22" o:spid="_x0000_s1033"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494"/>
      <w:bookmarkEnd w:id="495"/>
    </w:p>
    <w:p w14:paraId="757FE019" w14:textId="77777777" w:rsidR="00293BDE" w:rsidRDefault="00000000">
      <w:pPr>
        <w:pStyle w:val="Heading1"/>
      </w:pPr>
      <w:bookmarkStart w:id="496" w:name="__RefHeading___Toc11034_3324765499"/>
      <w:bookmarkEnd w:id="496"/>
      <w:r>
        <w:t>ANNEX H: VERIFICATION SCHEDULE</w:t>
      </w:r>
    </w:p>
    <w:p w14:paraId="45C506C8" w14:textId="77777777" w:rsidR="00293BDE" w:rsidRDefault="00000000">
      <w:pPr>
        <w:pStyle w:val="Heading2"/>
      </w:pPr>
      <w:bookmarkStart w:id="497" w:name="__RefHeading___Toc11036_3324765499"/>
      <w:bookmarkEnd w:id="497"/>
      <w:r>
        <w:t>H.1 The monitoring systems table</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5AE9F3DE"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32A20F7B" w14:textId="77777777" w:rsidR="00293BDE" w:rsidRDefault="00000000">
            <w:pPr>
              <w:pStyle w:val="Compact"/>
            </w:pPr>
            <w:r>
              <w:t>Layer</w:t>
            </w:r>
          </w:p>
        </w:tc>
        <w:tc>
          <w:tcPr>
            <w:tcW w:w="1814" w:type="dxa"/>
            <w:tcBorders>
              <w:bottom w:val="single" w:sz="6" w:space="0" w:color="000000"/>
            </w:tcBorders>
          </w:tcPr>
          <w:p w14:paraId="0E38BFF2" w14:textId="77777777" w:rsidR="00293BDE" w:rsidRDefault="00000000">
            <w:pPr>
              <w:pStyle w:val="Compact"/>
            </w:pPr>
            <w:r>
              <w:t>System</w:t>
            </w:r>
          </w:p>
        </w:tc>
        <w:tc>
          <w:tcPr>
            <w:tcW w:w="1815" w:type="dxa"/>
            <w:tcBorders>
              <w:bottom w:val="single" w:sz="6" w:space="0" w:color="000000"/>
            </w:tcBorders>
          </w:tcPr>
          <w:p w14:paraId="32286DB9" w14:textId="77777777" w:rsidR="00293BDE" w:rsidRDefault="00000000">
            <w:pPr>
              <w:pStyle w:val="Compact"/>
            </w:pPr>
            <w:r>
              <w:t>Custody</w:t>
            </w:r>
          </w:p>
        </w:tc>
        <w:tc>
          <w:tcPr>
            <w:tcW w:w="1814" w:type="dxa"/>
            <w:tcBorders>
              <w:bottom w:val="single" w:sz="6" w:space="0" w:color="000000"/>
            </w:tcBorders>
          </w:tcPr>
          <w:p w14:paraId="54061EA2" w14:textId="77777777" w:rsidR="00293BDE" w:rsidRDefault="00000000">
            <w:pPr>
              <w:pStyle w:val="Compact"/>
            </w:pPr>
            <w:r>
              <w:t>Update cycle</w:t>
            </w:r>
          </w:p>
        </w:tc>
        <w:tc>
          <w:tcPr>
            <w:tcW w:w="1815" w:type="dxa"/>
            <w:tcBorders>
              <w:bottom w:val="single" w:sz="6" w:space="0" w:color="000000"/>
            </w:tcBorders>
          </w:tcPr>
          <w:p w14:paraId="09D2112F" w14:textId="77777777" w:rsidR="00293BDE" w:rsidRDefault="00000000">
            <w:pPr>
              <w:pStyle w:val="Compact"/>
            </w:pPr>
            <w:r>
              <w:t>Feeds</w:t>
            </w:r>
          </w:p>
        </w:tc>
      </w:tr>
      <w:tr w:rsidR="00293BDE" w14:paraId="364DEA29" w14:textId="77777777" w:rsidTr="00293BDE">
        <w:tc>
          <w:tcPr>
            <w:tcW w:w="1814" w:type="dxa"/>
          </w:tcPr>
          <w:p w14:paraId="5C3D638A" w14:textId="77777777" w:rsidR="00293BDE" w:rsidRDefault="00000000">
            <w:pPr>
              <w:pStyle w:val="Compact"/>
            </w:pPr>
            <w:r>
              <w:t>Layer 1</w:t>
            </w:r>
          </w:p>
        </w:tc>
        <w:tc>
          <w:tcPr>
            <w:tcW w:w="1814" w:type="dxa"/>
          </w:tcPr>
          <w:p w14:paraId="3A208172" w14:textId="77777777" w:rsidR="00293BDE" w:rsidRDefault="00000000">
            <w:pPr>
              <w:pStyle w:val="Compact"/>
            </w:pPr>
            <w:r>
              <w:t>Satellite AIS (primary and secondary providers)</w:t>
            </w:r>
          </w:p>
        </w:tc>
        <w:tc>
          <w:tcPr>
            <w:tcW w:w="1815" w:type="dxa"/>
          </w:tcPr>
          <w:p w14:paraId="0C12C3DD" w14:textId="77777777" w:rsidR="00293BDE" w:rsidRDefault="00000000">
            <w:pPr>
              <w:pStyle w:val="Compact"/>
            </w:pPr>
            <w:r>
              <w:t>Neutral Administrator contract</w:t>
            </w:r>
          </w:p>
        </w:tc>
        <w:tc>
          <w:tcPr>
            <w:tcW w:w="1814" w:type="dxa"/>
          </w:tcPr>
          <w:p w14:paraId="46F0B9C5" w14:textId="77777777" w:rsidR="00293BDE" w:rsidRDefault="00000000">
            <w:pPr>
              <w:pStyle w:val="Compact"/>
            </w:pPr>
            <w:r>
              <w:t>Continuous</w:t>
            </w:r>
          </w:p>
        </w:tc>
        <w:tc>
          <w:tcPr>
            <w:tcW w:w="1815" w:type="dxa"/>
          </w:tcPr>
          <w:p w14:paraId="1C139528" w14:textId="77777777" w:rsidR="00293BDE" w:rsidRDefault="00000000">
            <w:pPr>
              <w:pStyle w:val="Compact"/>
            </w:pPr>
            <w:r>
              <w:t>Registry, watch floor, mirror</w:t>
            </w:r>
          </w:p>
        </w:tc>
      </w:tr>
      <w:tr w:rsidR="00293BDE" w14:paraId="7EAD6F5A" w14:textId="77777777" w:rsidTr="00293BDE">
        <w:tc>
          <w:tcPr>
            <w:tcW w:w="1814" w:type="dxa"/>
          </w:tcPr>
          <w:p w14:paraId="661CFD6F" w14:textId="77777777" w:rsidR="00293BDE" w:rsidRDefault="00000000">
            <w:pPr>
              <w:pStyle w:val="Compact"/>
            </w:pPr>
            <w:r>
              <w:t>Layer 1</w:t>
            </w:r>
          </w:p>
        </w:tc>
        <w:tc>
          <w:tcPr>
            <w:tcW w:w="1814" w:type="dxa"/>
          </w:tcPr>
          <w:p w14:paraId="013383AA" w14:textId="77777777" w:rsidR="00293BDE" w:rsidRDefault="00000000">
            <w:pPr>
              <w:pStyle w:val="Compact"/>
            </w:pPr>
            <w:r>
              <w:t>Coastal radar stations (listed sites, both Coastal Parties)</w:t>
            </w:r>
          </w:p>
        </w:tc>
        <w:tc>
          <w:tcPr>
            <w:tcW w:w="1815" w:type="dxa"/>
          </w:tcPr>
          <w:p w14:paraId="304EB94C" w14:textId="77777777" w:rsidR="00293BDE" w:rsidRDefault="00000000">
            <w:pPr>
              <w:pStyle w:val="Compact"/>
            </w:pPr>
            <w:r>
              <w:t>Two-key custody, Article 14.5</w:t>
            </w:r>
          </w:p>
        </w:tc>
        <w:tc>
          <w:tcPr>
            <w:tcW w:w="1814" w:type="dxa"/>
          </w:tcPr>
          <w:p w14:paraId="5727565A" w14:textId="77777777" w:rsidR="00293BDE" w:rsidRDefault="00000000">
            <w:pPr>
              <w:pStyle w:val="Compact"/>
            </w:pPr>
            <w:r>
              <w:t>Continuous</w:t>
            </w:r>
          </w:p>
        </w:tc>
        <w:tc>
          <w:tcPr>
            <w:tcW w:w="1815" w:type="dxa"/>
          </w:tcPr>
          <w:p w14:paraId="1B289373" w14:textId="77777777" w:rsidR="00293BDE" w:rsidRDefault="00000000">
            <w:pPr>
              <w:pStyle w:val="Compact"/>
            </w:pPr>
            <w:r>
              <w:t>Watch floor, mirror</w:t>
            </w:r>
          </w:p>
        </w:tc>
      </w:tr>
      <w:tr w:rsidR="00293BDE" w14:paraId="13628FB5" w14:textId="77777777" w:rsidTr="00293BDE">
        <w:tc>
          <w:tcPr>
            <w:tcW w:w="1814" w:type="dxa"/>
          </w:tcPr>
          <w:p w14:paraId="5E95C1F6" w14:textId="77777777" w:rsidR="00293BDE" w:rsidRDefault="00000000">
            <w:pPr>
              <w:pStyle w:val="Compact"/>
            </w:pPr>
            <w:r>
              <w:t>Layer 1</w:t>
            </w:r>
          </w:p>
        </w:tc>
        <w:tc>
          <w:tcPr>
            <w:tcW w:w="1814" w:type="dxa"/>
          </w:tcPr>
          <w:p w14:paraId="323ED45B" w14:textId="77777777" w:rsidR="00293BDE" w:rsidRDefault="00000000">
            <w:pPr>
              <w:pStyle w:val="Compact"/>
            </w:pPr>
            <w:r>
              <w:t>VHF voice watch (channels per Annex D)</w:t>
            </w:r>
          </w:p>
        </w:tc>
        <w:tc>
          <w:tcPr>
            <w:tcW w:w="1815" w:type="dxa"/>
          </w:tcPr>
          <w:p w14:paraId="2F6586AB" w14:textId="77777777" w:rsidR="00293BDE" w:rsidRDefault="00000000">
            <w:pPr>
              <w:pStyle w:val="Compact"/>
            </w:pPr>
            <w:r>
              <w:t>Watch floor</w:t>
            </w:r>
          </w:p>
        </w:tc>
        <w:tc>
          <w:tcPr>
            <w:tcW w:w="1814" w:type="dxa"/>
          </w:tcPr>
          <w:p w14:paraId="64EC1F44" w14:textId="77777777" w:rsidR="00293BDE" w:rsidRDefault="00000000">
            <w:pPr>
              <w:pStyle w:val="Compact"/>
            </w:pPr>
            <w:r>
              <w:t>Continuous</w:t>
            </w:r>
          </w:p>
        </w:tc>
        <w:tc>
          <w:tcPr>
            <w:tcW w:w="1815" w:type="dxa"/>
          </w:tcPr>
          <w:p w14:paraId="5178690A" w14:textId="77777777" w:rsidR="00293BDE" w:rsidRDefault="00000000">
            <w:pPr>
              <w:pStyle w:val="Compact"/>
            </w:pPr>
            <w:r>
              <w:t>Voice log</w:t>
            </w:r>
          </w:p>
        </w:tc>
      </w:tr>
      <w:tr w:rsidR="00293BDE" w14:paraId="4CB55596" w14:textId="77777777" w:rsidTr="00293BDE">
        <w:tc>
          <w:tcPr>
            <w:tcW w:w="1814" w:type="dxa"/>
          </w:tcPr>
          <w:p w14:paraId="472FDBE2" w14:textId="77777777" w:rsidR="00293BDE" w:rsidRDefault="00000000">
            <w:pPr>
              <w:pStyle w:val="Compact"/>
            </w:pPr>
            <w:r>
              <w:t>Layer 2</w:t>
            </w:r>
          </w:p>
        </w:tc>
        <w:tc>
          <w:tcPr>
            <w:tcW w:w="1814" w:type="dxa"/>
          </w:tcPr>
          <w:p w14:paraId="121351BC" w14:textId="77777777" w:rsidR="00293BDE" w:rsidRDefault="00000000">
            <w:pPr>
              <w:pStyle w:val="Compact"/>
            </w:pPr>
            <w:r>
              <w:t>Fixed cameras at designated waypoints</w:t>
            </w:r>
          </w:p>
        </w:tc>
        <w:tc>
          <w:tcPr>
            <w:tcW w:w="1815" w:type="dxa"/>
          </w:tcPr>
          <w:p w14:paraId="0A334A9A" w14:textId="77777777" w:rsidR="00293BDE" w:rsidRDefault="00000000">
            <w:pPr>
              <w:pStyle w:val="Compact"/>
            </w:pPr>
            <w:r>
              <w:t>Two-key custody</w:t>
            </w:r>
          </w:p>
        </w:tc>
        <w:tc>
          <w:tcPr>
            <w:tcW w:w="1814" w:type="dxa"/>
          </w:tcPr>
          <w:p w14:paraId="6CC1BD59" w14:textId="77777777" w:rsidR="00293BDE" w:rsidRDefault="00000000">
            <w:pPr>
              <w:pStyle w:val="Compact"/>
            </w:pPr>
            <w:r>
              <w:t>Continuous</w:t>
            </w:r>
          </w:p>
        </w:tc>
        <w:tc>
          <w:tcPr>
            <w:tcW w:w="1815" w:type="dxa"/>
          </w:tcPr>
          <w:p w14:paraId="5F8A0381" w14:textId="77777777" w:rsidR="00293BDE" w:rsidRDefault="00000000">
            <w:pPr>
              <w:pStyle w:val="Compact"/>
            </w:pPr>
            <w:r>
              <w:t>Watch floor</w:t>
            </w:r>
          </w:p>
        </w:tc>
      </w:tr>
      <w:tr w:rsidR="00293BDE" w14:paraId="05DC3793" w14:textId="77777777" w:rsidTr="00293BDE">
        <w:tc>
          <w:tcPr>
            <w:tcW w:w="1814" w:type="dxa"/>
          </w:tcPr>
          <w:p w14:paraId="63A140A5" w14:textId="77777777" w:rsidR="00293BDE" w:rsidRDefault="00000000">
            <w:pPr>
              <w:pStyle w:val="Compact"/>
            </w:pPr>
            <w:r>
              <w:t>Layer 2</w:t>
            </w:r>
          </w:p>
        </w:tc>
        <w:tc>
          <w:tcPr>
            <w:tcW w:w="1814" w:type="dxa"/>
          </w:tcPr>
          <w:p w14:paraId="3C39DC06" w14:textId="77777777" w:rsidR="00293BDE" w:rsidRDefault="00000000">
            <w:pPr>
              <w:pStyle w:val="Compact"/>
            </w:pPr>
            <w:r>
              <w:t>Ocean-class patrol craft (civilian livery, camera and radar)</w:t>
            </w:r>
          </w:p>
        </w:tc>
        <w:tc>
          <w:tcPr>
            <w:tcW w:w="1815" w:type="dxa"/>
          </w:tcPr>
          <w:p w14:paraId="12BAA31B" w14:textId="77777777" w:rsidR="00293BDE" w:rsidRDefault="00000000">
            <w:pPr>
              <w:pStyle w:val="Compact"/>
            </w:pPr>
            <w:r>
              <w:t>Joint crewing</w:t>
            </w:r>
          </w:p>
        </w:tc>
        <w:tc>
          <w:tcPr>
            <w:tcW w:w="1814" w:type="dxa"/>
          </w:tcPr>
          <w:p w14:paraId="1D0FFCE1" w14:textId="77777777" w:rsidR="00293BDE" w:rsidRDefault="00000000">
            <w:pPr>
              <w:pStyle w:val="Compact"/>
            </w:pPr>
            <w:r>
              <w:t>Per patrol plan</w:t>
            </w:r>
          </w:p>
        </w:tc>
        <w:tc>
          <w:tcPr>
            <w:tcW w:w="1815" w:type="dxa"/>
          </w:tcPr>
          <w:p w14:paraId="096514D0" w14:textId="77777777" w:rsidR="00293BDE" w:rsidRDefault="00000000">
            <w:pPr>
              <w:pStyle w:val="Compact"/>
            </w:pPr>
            <w:r>
              <w:t>Watch floor, mirror</w:t>
            </w:r>
          </w:p>
        </w:tc>
      </w:tr>
      <w:tr w:rsidR="00293BDE" w14:paraId="067E8EC0" w14:textId="77777777" w:rsidTr="00293BDE">
        <w:tc>
          <w:tcPr>
            <w:tcW w:w="1814" w:type="dxa"/>
          </w:tcPr>
          <w:p w14:paraId="6C4CA4DE" w14:textId="77777777" w:rsidR="00293BDE" w:rsidRDefault="00000000">
            <w:pPr>
              <w:pStyle w:val="Compact"/>
            </w:pPr>
            <w:r>
              <w:t>Layer 3</w:t>
            </w:r>
          </w:p>
        </w:tc>
        <w:tc>
          <w:tcPr>
            <w:tcW w:w="1814" w:type="dxa"/>
          </w:tcPr>
          <w:p w14:paraId="535DC7C4" w14:textId="77777777" w:rsidR="00293BDE" w:rsidRDefault="00000000">
            <w:pPr>
              <w:pStyle w:val="Compact"/>
            </w:pPr>
            <w:r>
              <w:t>Optical satellite imagery tasking (commercial)</w:t>
            </w:r>
          </w:p>
        </w:tc>
        <w:tc>
          <w:tcPr>
            <w:tcW w:w="1815" w:type="dxa"/>
          </w:tcPr>
          <w:p w14:paraId="4FC5926E" w14:textId="77777777" w:rsidR="00293BDE" w:rsidRDefault="00000000">
            <w:pPr>
              <w:pStyle w:val="Compact"/>
            </w:pPr>
            <w:r>
              <w:t>Neutral Facilitation Troika</w:t>
            </w:r>
          </w:p>
        </w:tc>
        <w:tc>
          <w:tcPr>
            <w:tcW w:w="1814" w:type="dxa"/>
          </w:tcPr>
          <w:p w14:paraId="698F52D6" w14:textId="77777777" w:rsidR="00293BDE" w:rsidRDefault="00000000">
            <w:pPr>
              <w:pStyle w:val="Compact"/>
            </w:pPr>
            <w:r>
              <w:t>24-hour standard, 3-hour surge</w:t>
            </w:r>
          </w:p>
        </w:tc>
        <w:tc>
          <w:tcPr>
            <w:tcW w:w="1815" w:type="dxa"/>
          </w:tcPr>
          <w:p w14:paraId="3A69C385" w14:textId="77777777" w:rsidR="00293BDE" w:rsidRDefault="00000000">
            <w:pPr>
              <w:pStyle w:val="Compact"/>
            </w:pPr>
            <w:r>
              <w:t>Tie-breaker file</w:t>
            </w:r>
          </w:p>
        </w:tc>
      </w:tr>
      <w:tr w:rsidR="00293BDE" w14:paraId="7488B166" w14:textId="77777777" w:rsidTr="00293BDE">
        <w:tc>
          <w:tcPr>
            <w:tcW w:w="1814" w:type="dxa"/>
          </w:tcPr>
          <w:p w14:paraId="40370F87" w14:textId="77777777" w:rsidR="00293BDE" w:rsidRDefault="00000000">
            <w:pPr>
              <w:pStyle w:val="Compact"/>
            </w:pPr>
            <w:r>
              <w:t>Layer 3</w:t>
            </w:r>
          </w:p>
        </w:tc>
        <w:tc>
          <w:tcPr>
            <w:tcW w:w="1814" w:type="dxa"/>
          </w:tcPr>
          <w:p w14:paraId="1B5B753A" w14:textId="77777777" w:rsidR="00293BDE" w:rsidRDefault="00000000">
            <w:pPr>
              <w:pStyle w:val="Compact"/>
            </w:pPr>
            <w:r>
              <w:t>Synthetic aperture radar tasking (commercial)</w:t>
            </w:r>
          </w:p>
        </w:tc>
        <w:tc>
          <w:tcPr>
            <w:tcW w:w="1815" w:type="dxa"/>
          </w:tcPr>
          <w:p w14:paraId="1EACFAFA" w14:textId="77777777" w:rsidR="00293BDE" w:rsidRDefault="00000000">
            <w:pPr>
              <w:pStyle w:val="Compact"/>
            </w:pPr>
            <w:r>
              <w:t>Neutral Facilitation Troika</w:t>
            </w:r>
          </w:p>
        </w:tc>
        <w:tc>
          <w:tcPr>
            <w:tcW w:w="1814" w:type="dxa"/>
          </w:tcPr>
          <w:p w14:paraId="6D25188B" w14:textId="77777777" w:rsidR="00293BDE" w:rsidRDefault="00000000">
            <w:pPr>
              <w:pStyle w:val="Compact"/>
            </w:pPr>
            <w:r>
              <w:t>24-hour standard</w:t>
            </w:r>
          </w:p>
        </w:tc>
        <w:tc>
          <w:tcPr>
            <w:tcW w:w="1815" w:type="dxa"/>
          </w:tcPr>
          <w:p w14:paraId="432B7087" w14:textId="77777777" w:rsidR="00293BDE" w:rsidRDefault="00000000">
            <w:pPr>
              <w:pStyle w:val="Compact"/>
            </w:pPr>
            <w:r>
              <w:t>Tie-breaker file</w:t>
            </w:r>
          </w:p>
        </w:tc>
      </w:tr>
      <w:tr w:rsidR="00293BDE" w14:paraId="1AC148C5" w14:textId="77777777" w:rsidTr="00293BDE">
        <w:tc>
          <w:tcPr>
            <w:tcW w:w="1814" w:type="dxa"/>
          </w:tcPr>
          <w:p w14:paraId="3B0A8566" w14:textId="77777777" w:rsidR="00293BDE" w:rsidRDefault="00000000">
            <w:pPr>
              <w:pStyle w:val="Compact"/>
            </w:pPr>
            <w:r>
              <w:t>Auxiliary</w:t>
            </w:r>
          </w:p>
        </w:tc>
        <w:tc>
          <w:tcPr>
            <w:tcW w:w="1814" w:type="dxa"/>
          </w:tcPr>
          <w:p w14:paraId="1DAC70E6" w14:textId="77777777" w:rsidR="00293BDE" w:rsidRDefault="00000000">
            <w:pPr>
              <w:pStyle w:val="Compact"/>
            </w:pPr>
            <w:r>
              <w:t>Environmental sensors (spill detection, water quality)</w:t>
            </w:r>
          </w:p>
        </w:tc>
        <w:tc>
          <w:tcPr>
            <w:tcW w:w="1815" w:type="dxa"/>
          </w:tcPr>
          <w:p w14:paraId="7B73EF08" w14:textId="77777777" w:rsidR="00293BDE" w:rsidRDefault="00000000">
            <w:pPr>
              <w:pStyle w:val="Compact"/>
            </w:pPr>
            <w:r>
              <w:t>Authority</w:t>
            </w:r>
          </w:p>
        </w:tc>
        <w:tc>
          <w:tcPr>
            <w:tcW w:w="1814" w:type="dxa"/>
          </w:tcPr>
          <w:p w14:paraId="29A6110D" w14:textId="77777777" w:rsidR="00293BDE" w:rsidRDefault="00000000">
            <w:pPr>
              <w:pStyle w:val="Compact"/>
            </w:pPr>
            <w:r>
              <w:t>Continuous</w:t>
            </w:r>
          </w:p>
        </w:tc>
        <w:tc>
          <w:tcPr>
            <w:tcW w:w="1815" w:type="dxa"/>
          </w:tcPr>
          <w:p w14:paraId="62E8DF09" w14:textId="77777777" w:rsidR="00293BDE" w:rsidRDefault="00000000">
            <w:pPr>
              <w:pStyle w:val="Compact"/>
            </w:pPr>
            <w:r>
              <w:t>Environmental desk</w:t>
            </w:r>
          </w:p>
        </w:tc>
      </w:tr>
      <w:tr w:rsidR="00293BDE" w14:paraId="6862F770" w14:textId="77777777" w:rsidTr="00293BDE">
        <w:tc>
          <w:tcPr>
            <w:tcW w:w="1814" w:type="dxa"/>
          </w:tcPr>
          <w:p w14:paraId="041161A5" w14:textId="77777777" w:rsidR="00293BDE" w:rsidRDefault="00000000">
            <w:pPr>
              <w:pStyle w:val="Compact"/>
            </w:pPr>
            <w:r>
              <w:t>Auxiliary</w:t>
            </w:r>
          </w:p>
        </w:tc>
        <w:tc>
          <w:tcPr>
            <w:tcW w:w="1814" w:type="dxa"/>
          </w:tcPr>
          <w:p w14:paraId="29DBB3A3" w14:textId="77777777" w:rsidR="00293BDE" w:rsidRDefault="00000000">
            <w:pPr>
              <w:pStyle w:val="Compact"/>
            </w:pPr>
            <w:r>
              <w:t>Underwater hazard survey data</w:t>
            </w:r>
          </w:p>
        </w:tc>
        <w:tc>
          <w:tcPr>
            <w:tcW w:w="1815" w:type="dxa"/>
          </w:tcPr>
          <w:p w14:paraId="6C872CA2" w14:textId="77777777" w:rsidR="00293BDE" w:rsidRDefault="00000000">
            <w:pPr>
              <w:pStyle w:val="Compact"/>
            </w:pPr>
            <w:r>
              <w:t>IHO-aligned surveyor, Article 9</w:t>
            </w:r>
          </w:p>
        </w:tc>
        <w:tc>
          <w:tcPr>
            <w:tcW w:w="1814" w:type="dxa"/>
          </w:tcPr>
          <w:p w14:paraId="18C83A71" w14:textId="77777777" w:rsidR="00293BDE" w:rsidRDefault="00000000">
            <w:pPr>
              <w:pStyle w:val="Compact"/>
            </w:pPr>
            <w:r>
              <w:t>Per survey cycle</w:t>
            </w:r>
          </w:p>
        </w:tc>
        <w:tc>
          <w:tcPr>
            <w:tcW w:w="1815" w:type="dxa"/>
          </w:tcPr>
          <w:p w14:paraId="5476B0A1" w14:textId="77777777" w:rsidR="00293BDE" w:rsidRDefault="00000000">
            <w:pPr>
              <w:pStyle w:val="Compact"/>
            </w:pPr>
            <w:r>
              <w:t>Survey Certificates</w:t>
            </w:r>
          </w:p>
        </w:tc>
      </w:tr>
    </w:tbl>
    <w:p w14:paraId="37BB738E" w14:textId="77777777" w:rsidR="00293BDE" w:rsidRDefault="00000000">
      <w:pPr>
        <w:pStyle w:val="BodyText"/>
      </w:pPr>
      <w:bookmarkStart w:id="498" w:name="h.1-the-monitoring-systems-table"/>
      <w:r>
        <w:t>No single layer ever grounds a finding of fact (IPR-11). The Convergence Standard of Article 22.2 governs every determination.</w:t>
      </w:r>
      <w:bookmarkEnd w:id="498"/>
    </w:p>
    <w:p w14:paraId="2D4CEFB2" w14:textId="77777777" w:rsidR="00293BDE" w:rsidRDefault="00000000">
      <w:pPr>
        <w:pStyle w:val="Heading2"/>
      </w:pPr>
      <w:bookmarkStart w:id="499" w:name="__RefHeading___Toc11038_3324765499"/>
      <w:bookmarkEnd w:id="499"/>
      <w:r>
        <w:t>H.2 Data standards</w:t>
      </w:r>
    </w:p>
    <w:p w14:paraId="7B9442B9" w14:textId="77777777" w:rsidR="00293BDE" w:rsidRDefault="00000000">
      <w:pPr>
        <w:pStyle w:val="FirstParagraph"/>
      </w:pPr>
      <w:bookmarkStart w:id="500" w:name="h.2-data-standards"/>
      <w:r>
        <w:t>All feeds conform to the published data standard: timestamp to the second, position to five decimal places, source identifier on every record, and hash-chained logging from ingestion. The registry stores raw and processed copies under the two-key custody model. Any feed degradation beyond four hours triggers a Layer 2 alert and a published service notice.</w:t>
      </w:r>
      <w:bookmarkEnd w:id="500"/>
    </w:p>
    <w:p w14:paraId="01D0A2DB" w14:textId="77777777" w:rsidR="00293BDE" w:rsidRDefault="00000000">
      <w:pPr>
        <w:pStyle w:val="Heading2"/>
      </w:pPr>
      <w:bookmarkStart w:id="501" w:name="__RefHeading___Toc11040_3324765499"/>
      <w:bookmarkEnd w:id="501"/>
      <w:r>
        <w:t>H.3 The tie-breaker tolerance</w:t>
      </w:r>
    </w:p>
    <w:p w14:paraId="3C04518C" w14:textId="77777777" w:rsidR="00293BDE" w:rsidRDefault="00000000">
      <w:pPr>
        <w:pStyle w:val="FirstParagraph"/>
      </w:pPr>
      <w:bookmarkStart w:id="502" w:name="h.3-the-tie-breaker-tolerance"/>
      <w:r>
        <w:t>The Neutral Facilitation Troika’s Layer 3 role activates only when Layer 1 and Layer 2 diverge beyond the published tolerance: position divergence beyond 0.3 nautical miles, track divergence beyond 10 degrees, or event-time divergence beyond 120 seconds. The Troika renders a technical determination within 72 hours on the record of all layers. The determination states the fact and nothing else.</w:t>
      </w:r>
      <w:bookmarkEnd w:id="502"/>
    </w:p>
    <w:p w14:paraId="0CB9453A" w14:textId="77777777" w:rsidR="00293BDE" w:rsidRDefault="00000000">
      <w:pPr>
        <w:pStyle w:val="Heading2"/>
      </w:pPr>
      <w:bookmarkStart w:id="503" w:name="__RefHeading___Toc11042_3324765499"/>
      <w:bookmarkEnd w:id="503"/>
      <w:r>
        <w:t>H.4 The technical truth escalation chain</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096FCA9C"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3AA172A0" w14:textId="77777777" w:rsidR="00293BDE" w:rsidRDefault="00000000">
            <w:pPr>
              <w:pStyle w:val="Compact"/>
            </w:pPr>
            <w:r>
              <w:t>Day</w:t>
            </w:r>
          </w:p>
        </w:tc>
        <w:tc>
          <w:tcPr>
            <w:tcW w:w="2268" w:type="dxa"/>
            <w:tcBorders>
              <w:bottom w:val="single" w:sz="6" w:space="0" w:color="000000"/>
            </w:tcBorders>
          </w:tcPr>
          <w:p w14:paraId="5EB73293" w14:textId="77777777" w:rsidR="00293BDE" w:rsidRDefault="00000000">
            <w:pPr>
              <w:pStyle w:val="Compact"/>
            </w:pPr>
            <w:r>
              <w:t>Step</w:t>
            </w:r>
          </w:p>
        </w:tc>
        <w:tc>
          <w:tcPr>
            <w:tcW w:w="2268" w:type="dxa"/>
            <w:tcBorders>
              <w:bottom w:val="single" w:sz="6" w:space="0" w:color="000000"/>
            </w:tcBorders>
          </w:tcPr>
          <w:p w14:paraId="351C1210" w14:textId="77777777" w:rsidR="00293BDE" w:rsidRDefault="00000000">
            <w:pPr>
              <w:pStyle w:val="Compact"/>
            </w:pPr>
            <w:r>
              <w:t>Actor</w:t>
            </w:r>
          </w:p>
        </w:tc>
        <w:tc>
          <w:tcPr>
            <w:tcW w:w="2268" w:type="dxa"/>
            <w:tcBorders>
              <w:bottom w:val="single" w:sz="6" w:space="0" w:color="000000"/>
            </w:tcBorders>
          </w:tcPr>
          <w:p w14:paraId="10EDAF6E" w14:textId="77777777" w:rsidR="00293BDE" w:rsidRDefault="00000000">
            <w:pPr>
              <w:pStyle w:val="Compact"/>
            </w:pPr>
            <w:r>
              <w:t>Product</w:t>
            </w:r>
          </w:p>
        </w:tc>
      </w:tr>
      <w:tr w:rsidR="00293BDE" w14:paraId="184A935E" w14:textId="77777777" w:rsidTr="00293BDE">
        <w:tc>
          <w:tcPr>
            <w:tcW w:w="2267" w:type="dxa"/>
          </w:tcPr>
          <w:p w14:paraId="20BC6644" w14:textId="77777777" w:rsidR="00293BDE" w:rsidRDefault="00000000">
            <w:pPr>
              <w:pStyle w:val="Compact"/>
            </w:pPr>
            <w:r>
              <w:t>Day 0</w:t>
            </w:r>
          </w:p>
        </w:tc>
        <w:tc>
          <w:tcPr>
            <w:tcW w:w="2268" w:type="dxa"/>
          </w:tcPr>
          <w:p w14:paraId="76ABFCE4" w14:textId="77777777" w:rsidR="00293BDE" w:rsidRDefault="00000000">
            <w:pPr>
              <w:pStyle w:val="Compact"/>
            </w:pPr>
            <w:r>
              <w:t>Alert logs; watch floor compiles raw record</w:t>
            </w:r>
          </w:p>
        </w:tc>
        <w:tc>
          <w:tcPr>
            <w:tcW w:w="2268" w:type="dxa"/>
          </w:tcPr>
          <w:p w14:paraId="3F11ADE4" w14:textId="77777777" w:rsidR="00293BDE" w:rsidRDefault="00000000">
            <w:pPr>
              <w:pStyle w:val="Compact"/>
            </w:pPr>
            <w:r>
              <w:t>Watch floor</w:t>
            </w:r>
          </w:p>
        </w:tc>
        <w:tc>
          <w:tcPr>
            <w:tcW w:w="2268" w:type="dxa"/>
          </w:tcPr>
          <w:p w14:paraId="2448CF6F" w14:textId="77777777" w:rsidR="00293BDE" w:rsidRDefault="00000000">
            <w:pPr>
              <w:pStyle w:val="Compact"/>
            </w:pPr>
            <w:r>
              <w:t>Raw record with hash chain</w:t>
            </w:r>
          </w:p>
        </w:tc>
      </w:tr>
      <w:tr w:rsidR="00293BDE" w14:paraId="018FC8AD" w14:textId="77777777" w:rsidTr="00293BDE">
        <w:tc>
          <w:tcPr>
            <w:tcW w:w="2267" w:type="dxa"/>
          </w:tcPr>
          <w:p w14:paraId="00043FEA" w14:textId="77777777" w:rsidR="00293BDE" w:rsidRDefault="00000000">
            <w:pPr>
              <w:pStyle w:val="Compact"/>
            </w:pPr>
            <w:r>
              <w:t>Day 1</w:t>
            </w:r>
          </w:p>
        </w:tc>
        <w:tc>
          <w:tcPr>
            <w:tcW w:w="2268" w:type="dxa"/>
          </w:tcPr>
          <w:p w14:paraId="3E14A16A" w14:textId="77777777" w:rsidR="00293BDE" w:rsidRDefault="00000000">
            <w:pPr>
              <w:pStyle w:val="Compact"/>
            </w:pPr>
            <w:r>
              <w:t>Verification officers reconcile Layer 1 and Layer 2</w:t>
            </w:r>
          </w:p>
        </w:tc>
        <w:tc>
          <w:tcPr>
            <w:tcW w:w="2268" w:type="dxa"/>
          </w:tcPr>
          <w:p w14:paraId="38813C32" w14:textId="77777777" w:rsidR="00293BDE" w:rsidRDefault="00000000">
            <w:pPr>
              <w:pStyle w:val="Compact"/>
            </w:pPr>
            <w:r>
              <w:t>Verification desk</w:t>
            </w:r>
          </w:p>
        </w:tc>
        <w:tc>
          <w:tcPr>
            <w:tcW w:w="2268" w:type="dxa"/>
          </w:tcPr>
          <w:p w14:paraId="50EF25F3" w14:textId="77777777" w:rsidR="00293BDE" w:rsidRDefault="00000000">
            <w:pPr>
              <w:pStyle w:val="Compact"/>
            </w:pPr>
            <w:r>
              <w:t>Reconciliation note</w:t>
            </w:r>
          </w:p>
        </w:tc>
      </w:tr>
      <w:tr w:rsidR="00293BDE" w14:paraId="7963DDEA" w14:textId="77777777" w:rsidTr="00293BDE">
        <w:tc>
          <w:tcPr>
            <w:tcW w:w="2267" w:type="dxa"/>
          </w:tcPr>
          <w:p w14:paraId="04124FD2" w14:textId="77777777" w:rsidR="00293BDE" w:rsidRDefault="00000000">
            <w:pPr>
              <w:pStyle w:val="Compact"/>
            </w:pPr>
            <w:r>
              <w:t>Day 3</w:t>
            </w:r>
          </w:p>
        </w:tc>
        <w:tc>
          <w:tcPr>
            <w:tcW w:w="2268" w:type="dxa"/>
          </w:tcPr>
          <w:p w14:paraId="4D8CDCE4" w14:textId="77777777" w:rsidR="00293BDE" w:rsidRDefault="00000000">
            <w:pPr>
              <w:pStyle w:val="Compact"/>
            </w:pPr>
            <w:r>
              <w:t>If divergence persists, Troika tasking activates</w:t>
            </w:r>
          </w:p>
        </w:tc>
        <w:tc>
          <w:tcPr>
            <w:tcW w:w="2268" w:type="dxa"/>
          </w:tcPr>
          <w:p w14:paraId="3003059B" w14:textId="77777777" w:rsidR="00293BDE" w:rsidRDefault="00000000">
            <w:pPr>
              <w:pStyle w:val="Compact"/>
            </w:pPr>
            <w:r>
              <w:t>Neutral Facilitation Troika</w:t>
            </w:r>
          </w:p>
        </w:tc>
        <w:tc>
          <w:tcPr>
            <w:tcW w:w="2268" w:type="dxa"/>
          </w:tcPr>
          <w:p w14:paraId="7EFADFAD" w14:textId="77777777" w:rsidR="00293BDE" w:rsidRDefault="00000000">
            <w:pPr>
              <w:pStyle w:val="Compact"/>
            </w:pPr>
            <w:r>
              <w:t>Tasked imagery and analysis</w:t>
            </w:r>
          </w:p>
        </w:tc>
      </w:tr>
      <w:tr w:rsidR="00293BDE" w14:paraId="3242A541" w14:textId="77777777" w:rsidTr="00293BDE">
        <w:tc>
          <w:tcPr>
            <w:tcW w:w="2267" w:type="dxa"/>
          </w:tcPr>
          <w:p w14:paraId="074553C5" w14:textId="77777777" w:rsidR="00293BDE" w:rsidRDefault="00000000">
            <w:pPr>
              <w:pStyle w:val="Compact"/>
            </w:pPr>
            <w:r>
              <w:t>Day 5</w:t>
            </w:r>
          </w:p>
        </w:tc>
        <w:tc>
          <w:tcPr>
            <w:tcW w:w="2268" w:type="dxa"/>
          </w:tcPr>
          <w:p w14:paraId="09AB667D" w14:textId="77777777" w:rsidR="00293BDE" w:rsidRDefault="00000000">
            <w:pPr>
              <w:pStyle w:val="Compact"/>
            </w:pPr>
            <w:r>
              <w:t>Technical determination issues to all Parties</w:t>
            </w:r>
          </w:p>
        </w:tc>
        <w:tc>
          <w:tcPr>
            <w:tcW w:w="2268" w:type="dxa"/>
          </w:tcPr>
          <w:p w14:paraId="0F878C8D" w14:textId="77777777" w:rsidR="00293BDE" w:rsidRDefault="00000000">
            <w:pPr>
              <w:pStyle w:val="Compact"/>
            </w:pPr>
            <w:r>
              <w:t>Neutral Facilitation Troika</w:t>
            </w:r>
          </w:p>
        </w:tc>
        <w:tc>
          <w:tcPr>
            <w:tcW w:w="2268" w:type="dxa"/>
          </w:tcPr>
          <w:p w14:paraId="5E27A71B" w14:textId="77777777" w:rsidR="00293BDE" w:rsidRDefault="00000000">
            <w:pPr>
              <w:pStyle w:val="Compact"/>
            </w:pPr>
            <w:r>
              <w:t>Determination, published after 7 days</w:t>
            </w:r>
          </w:p>
        </w:tc>
      </w:tr>
    </w:tbl>
    <w:p w14:paraId="41CA7E6A" w14:textId="77777777" w:rsidR="00293BDE" w:rsidRDefault="00000000">
      <w:pPr>
        <w:pStyle w:val="BodyText"/>
      </w:pPr>
      <w:bookmarkStart w:id="504" w:name="h.4-the-technical-truth-escalation-chain"/>
      <w:r>
        <w:t>The chain runs on elapsed time, not on anyone’s consent. Every step logs automatically. The determination binds the compliance assessment of the event unless the Independent Review Panel, on appeal, finds a material technical error.</w:t>
      </w:r>
      <w:bookmarkEnd w:id="504"/>
    </w:p>
    <w:p w14:paraId="10606D25" w14:textId="77777777" w:rsidR="00293BDE" w:rsidRDefault="00000000">
      <w:pPr>
        <w:pStyle w:val="Heading2"/>
      </w:pPr>
      <w:bookmarkStart w:id="505" w:name="__RefHeading___Toc11044_3324765499"/>
      <w:bookmarkEnd w:id="505"/>
      <w:r>
        <w:t>H.5 Alert severity levels</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0EE006E1"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5E47E69A" w14:textId="77777777" w:rsidR="00293BDE" w:rsidRDefault="00000000">
            <w:pPr>
              <w:pStyle w:val="Compact"/>
            </w:pPr>
            <w:r>
              <w:t>Level</w:t>
            </w:r>
          </w:p>
        </w:tc>
        <w:tc>
          <w:tcPr>
            <w:tcW w:w="2268" w:type="dxa"/>
            <w:tcBorders>
              <w:bottom w:val="single" w:sz="6" w:space="0" w:color="000000"/>
            </w:tcBorders>
          </w:tcPr>
          <w:p w14:paraId="07668AB3" w14:textId="77777777" w:rsidR="00293BDE" w:rsidRDefault="00000000">
            <w:pPr>
              <w:pStyle w:val="Compact"/>
            </w:pPr>
            <w:r>
              <w:t>Name</w:t>
            </w:r>
          </w:p>
        </w:tc>
        <w:tc>
          <w:tcPr>
            <w:tcW w:w="2268" w:type="dxa"/>
            <w:tcBorders>
              <w:bottom w:val="single" w:sz="6" w:space="0" w:color="000000"/>
            </w:tcBorders>
          </w:tcPr>
          <w:p w14:paraId="03E3A5F6" w14:textId="77777777" w:rsidR="00293BDE" w:rsidRDefault="00000000">
            <w:pPr>
              <w:pStyle w:val="Compact"/>
            </w:pPr>
            <w:r>
              <w:t>Examples</w:t>
            </w:r>
          </w:p>
        </w:tc>
        <w:tc>
          <w:tcPr>
            <w:tcW w:w="2268" w:type="dxa"/>
            <w:tcBorders>
              <w:bottom w:val="single" w:sz="6" w:space="0" w:color="000000"/>
            </w:tcBorders>
          </w:tcPr>
          <w:p w14:paraId="4F6272EE" w14:textId="77777777" w:rsidR="00293BDE" w:rsidRDefault="00000000">
            <w:pPr>
              <w:pStyle w:val="Compact"/>
            </w:pPr>
            <w:r>
              <w:t>Response clock</w:t>
            </w:r>
          </w:p>
        </w:tc>
      </w:tr>
      <w:tr w:rsidR="00293BDE" w14:paraId="5E07D79A" w14:textId="77777777" w:rsidTr="00293BDE">
        <w:tc>
          <w:tcPr>
            <w:tcW w:w="2267" w:type="dxa"/>
          </w:tcPr>
          <w:p w14:paraId="4374A73A" w14:textId="77777777" w:rsidR="00293BDE" w:rsidRDefault="00000000">
            <w:pPr>
              <w:pStyle w:val="Compact"/>
            </w:pPr>
            <w:r>
              <w:t>L1</w:t>
            </w:r>
          </w:p>
        </w:tc>
        <w:tc>
          <w:tcPr>
            <w:tcW w:w="2268" w:type="dxa"/>
          </w:tcPr>
          <w:p w14:paraId="6D402C77" w14:textId="77777777" w:rsidR="00293BDE" w:rsidRDefault="00000000">
            <w:pPr>
              <w:pStyle w:val="Compact"/>
            </w:pPr>
            <w:r>
              <w:t>Notice</w:t>
            </w:r>
          </w:p>
        </w:tc>
        <w:tc>
          <w:tcPr>
            <w:tcW w:w="2268" w:type="dxa"/>
          </w:tcPr>
          <w:p w14:paraId="51F6CD9C" w14:textId="77777777" w:rsidR="00293BDE" w:rsidRDefault="00000000">
            <w:pPr>
              <w:pStyle w:val="Compact"/>
            </w:pPr>
            <w:r>
              <w:t>Radar outage under four hours; single AIS gap</w:t>
            </w:r>
          </w:p>
        </w:tc>
        <w:tc>
          <w:tcPr>
            <w:tcW w:w="2268" w:type="dxa"/>
          </w:tcPr>
          <w:p w14:paraId="043AC798" w14:textId="77777777" w:rsidR="00293BDE" w:rsidRDefault="00000000">
            <w:pPr>
              <w:pStyle w:val="Compact"/>
            </w:pPr>
            <w:r>
              <w:t>Log; routine bulletin line</w:t>
            </w:r>
          </w:p>
        </w:tc>
      </w:tr>
      <w:tr w:rsidR="00293BDE" w14:paraId="4831296F" w14:textId="77777777" w:rsidTr="00293BDE">
        <w:tc>
          <w:tcPr>
            <w:tcW w:w="2267" w:type="dxa"/>
          </w:tcPr>
          <w:p w14:paraId="6DE7106D" w14:textId="77777777" w:rsidR="00293BDE" w:rsidRDefault="00000000">
            <w:pPr>
              <w:pStyle w:val="Compact"/>
            </w:pPr>
            <w:r>
              <w:t>L2</w:t>
            </w:r>
          </w:p>
        </w:tc>
        <w:tc>
          <w:tcPr>
            <w:tcW w:w="2268" w:type="dxa"/>
          </w:tcPr>
          <w:p w14:paraId="546E0B80" w14:textId="77777777" w:rsidR="00293BDE" w:rsidRDefault="00000000">
            <w:pPr>
              <w:pStyle w:val="Compact"/>
            </w:pPr>
            <w:r>
              <w:t>Attention</w:t>
            </w:r>
          </w:p>
        </w:tc>
        <w:tc>
          <w:tcPr>
            <w:tcW w:w="2268" w:type="dxa"/>
          </w:tcPr>
          <w:p w14:paraId="1CBC088A" w14:textId="77777777" w:rsidR="00293BDE" w:rsidRDefault="00000000">
            <w:pPr>
              <w:pStyle w:val="Compact"/>
            </w:pPr>
            <w:r>
              <w:t>Radar outage over four hours; service craft inside 2.0 nautical miles; notification failure</w:t>
            </w:r>
          </w:p>
        </w:tc>
        <w:tc>
          <w:tcPr>
            <w:tcW w:w="2268" w:type="dxa"/>
          </w:tcPr>
          <w:p w14:paraId="74A06435" w14:textId="77777777" w:rsidR="00293BDE" w:rsidRDefault="00000000">
            <w:pPr>
              <w:pStyle w:val="Compact"/>
            </w:pPr>
            <w:r>
              <w:t>Investigation opens within 24 hours</w:t>
            </w:r>
          </w:p>
        </w:tc>
      </w:tr>
      <w:tr w:rsidR="00293BDE" w14:paraId="0DBC46AF" w14:textId="77777777" w:rsidTr="00293BDE">
        <w:tc>
          <w:tcPr>
            <w:tcW w:w="2267" w:type="dxa"/>
          </w:tcPr>
          <w:p w14:paraId="210F5B9F" w14:textId="77777777" w:rsidR="00293BDE" w:rsidRDefault="00000000">
            <w:pPr>
              <w:pStyle w:val="Compact"/>
            </w:pPr>
            <w:r>
              <w:t>L3</w:t>
            </w:r>
          </w:p>
        </w:tc>
        <w:tc>
          <w:tcPr>
            <w:tcW w:w="2268" w:type="dxa"/>
          </w:tcPr>
          <w:p w14:paraId="653AA37F" w14:textId="77777777" w:rsidR="00293BDE" w:rsidRDefault="00000000">
            <w:pPr>
              <w:pStyle w:val="Compact"/>
            </w:pPr>
            <w:r>
              <w:t>Incident</w:t>
            </w:r>
          </w:p>
        </w:tc>
        <w:tc>
          <w:tcPr>
            <w:tcW w:w="2268" w:type="dxa"/>
          </w:tcPr>
          <w:p w14:paraId="159F3CF2" w14:textId="77777777" w:rsidR="00293BDE" w:rsidRDefault="00000000">
            <w:pPr>
              <w:pStyle w:val="Compact"/>
            </w:pPr>
            <w:r>
              <w:t>Military vessel inside notification belt without notice; approach within standoff; any weapon discharge</w:t>
            </w:r>
          </w:p>
        </w:tc>
        <w:tc>
          <w:tcPr>
            <w:tcW w:w="2268" w:type="dxa"/>
          </w:tcPr>
          <w:p w14:paraId="18F1C26B" w14:textId="77777777" w:rsidR="00293BDE" w:rsidRDefault="00000000">
            <w:pPr>
              <w:pStyle w:val="Compact"/>
            </w:pPr>
            <w:r>
              <w:t>Watch floor convenes immediately; Human Anchor contacts; finding within 48 hours</w:t>
            </w:r>
          </w:p>
        </w:tc>
      </w:tr>
      <w:tr w:rsidR="00293BDE" w14:paraId="7D169B13" w14:textId="77777777" w:rsidTr="00293BDE">
        <w:tc>
          <w:tcPr>
            <w:tcW w:w="2267" w:type="dxa"/>
          </w:tcPr>
          <w:p w14:paraId="0AF069D0" w14:textId="77777777" w:rsidR="00293BDE" w:rsidRDefault="00000000">
            <w:pPr>
              <w:pStyle w:val="Compact"/>
            </w:pPr>
            <w:r>
              <w:t>L4</w:t>
            </w:r>
          </w:p>
        </w:tc>
        <w:tc>
          <w:tcPr>
            <w:tcW w:w="2268" w:type="dxa"/>
          </w:tcPr>
          <w:p w14:paraId="441819EB" w14:textId="77777777" w:rsidR="00293BDE" w:rsidRDefault="00000000">
            <w:pPr>
              <w:pStyle w:val="Compact"/>
            </w:pPr>
            <w:r>
              <w:t>Emergency</w:t>
            </w:r>
          </w:p>
        </w:tc>
        <w:tc>
          <w:tcPr>
            <w:tcW w:w="2268" w:type="dxa"/>
          </w:tcPr>
          <w:p w14:paraId="6BA71F8A" w14:textId="77777777" w:rsidR="00293BDE" w:rsidRDefault="00000000">
            <w:pPr>
              <w:pStyle w:val="Compact"/>
            </w:pPr>
            <w:r>
              <w:t>Strike on a vessel; mine detection; mass-casualty event</w:t>
            </w:r>
          </w:p>
        </w:tc>
        <w:tc>
          <w:tcPr>
            <w:tcW w:w="2268" w:type="dxa"/>
          </w:tcPr>
          <w:p w14:paraId="0571E2CE" w14:textId="77777777" w:rsidR="00293BDE" w:rsidRDefault="00000000">
            <w:pPr>
              <w:pStyle w:val="Compact"/>
            </w:pPr>
            <w:r>
              <w:t>Emergency session within 4 hours; distress posture; daily public reporting</w:t>
            </w:r>
          </w:p>
        </w:tc>
      </w:tr>
    </w:tbl>
    <w:p w14:paraId="6748287A" w14:textId="77777777" w:rsidR="00293BDE" w:rsidRDefault="00000000">
      <w:pPr>
        <w:pStyle w:val="BodyText"/>
      </w:pPr>
      <w:bookmarkStart w:id="506" w:name="h.5-alert-severity-levels"/>
      <w:r>
        <w:t>Severity assigns automatically by rule, not by discretion. The rulebook, not the mood of the day, sets the level.</w:t>
      </w:r>
      <w:bookmarkEnd w:id="506"/>
    </w:p>
    <w:p w14:paraId="5645C4D5" w14:textId="77777777" w:rsidR="00293BDE" w:rsidRDefault="00000000">
      <w:pPr>
        <w:pStyle w:val="Heading2"/>
      </w:pPr>
      <w:bookmarkStart w:id="507" w:name="__RefHeading___Toc11046_3324765499"/>
      <w:bookmarkEnd w:id="507"/>
      <w:r>
        <w:t>H.6 Retention and purge schedule</w:t>
      </w:r>
    </w:p>
    <w:p w14:paraId="4D9D0A87" w14:textId="77777777" w:rsidR="00293BDE" w:rsidRDefault="00000000">
      <w:pPr>
        <w:pStyle w:val="FirstParagraph"/>
      </w:pPr>
      <w:bookmarkStart w:id="508" w:name="h.6-retention-and-purge-schedule"/>
      <w:r>
        <w:t>Voice recordings and raw imagery: 90 days, then purge unless an open incident or investigation flags them. Registry extracts and hash chains: permanent. Personal data: minimized at ingestion per the data standard. The purge log itself is permanent, proving that deletion happened by rule rather than by choice.</w:t>
      </w:r>
      <w:bookmarkEnd w:id="508"/>
    </w:p>
    <w:p w14:paraId="1CA9AD25" w14:textId="77777777" w:rsidR="00293BDE" w:rsidRDefault="00000000">
      <w:pPr>
        <w:pStyle w:val="Heading2"/>
      </w:pPr>
      <w:bookmarkStart w:id="509" w:name="__RefHeading___Toc11048_3324765499"/>
      <w:bookmarkEnd w:id="509"/>
      <w:r>
        <w:t>H.7 Incident classification</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747C0222"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34641E96" w14:textId="77777777" w:rsidR="00293BDE" w:rsidRDefault="00000000">
            <w:pPr>
              <w:pStyle w:val="Compact"/>
            </w:pPr>
            <w:r>
              <w:t>Class</w:t>
            </w:r>
          </w:p>
        </w:tc>
        <w:tc>
          <w:tcPr>
            <w:tcW w:w="2268" w:type="dxa"/>
            <w:tcBorders>
              <w:bottom w:val="single" w:sz="6" w:space="0" w:color="000000"/>
            </w:tcBorders>
          </w:tcPr>
          <w:p w14:paraId="7FF63888" w14:textId="77777777" w:rsidR="00293BDE" w:rsidRDefault="00000000">
            <w:pPr>
              <w:pStyle w:val="Compact"/>
            </w:pPr>
            <w:r>
              <w:t>Name</w:t>
            </w:r>
          </w:p>
        </w:tc>
        <w:tc>
          <w:tcPr>
            <w:tcW w:w="2268" w:type="dxa"/>
            <w:tcBorders>
              <w:bottom w:val="single" w:sz="6" w:space="0" w:color="000000"/>
            </w:tcBorders>
          </w:tcPr>
          <w:p w14:paraId="23E3A3A8" w14:textId="77777777" w:rsidR="00293BDE" w:rsidRDefault="00000000">
            <w:pPr>
              <w:pStyle w:val="Compact"/>
            </w:pPr>
            <w:r>
              <w:t>Definition</w:t>
            </w:r>
          </w:p>
        </w:tc>
        <w:tc>
          <w:tcPr>
            <w:tcW w:w="2268" w:type="dxa"/>
            <w:tcBorders>
              <w:bottom w:val="single" w:sz="6" w:space="0" w:color="000000"/>
            </w:tcBorders>
          </w:tcPr>
          <w:p w14:paraId="6F0A2D62" w14:textId="77777777" w:rsidR="00293BDE" w:rsidRDefault="00000000">
            <w:pPr>
              <w:pStyle w:val="Compact"/>
            </w:pPr>
            <w:r>
              <w:t>Path</w:t>
            </w:r>
          </w:p>
        </w:tc>
      </w:tr>
      <w:tr w:rsidR="00293BDE" w14:paraId="79AC1FFB" w14:textId="77777777" w:rsidTr="00293BDE">
        <w:tc>
          <w:tcPr>
            <w:tcW w:w="2267" w:type="dxa"/>
          </w:tcPr>
          <w:p w14:paraId="546AC42B" w14:textId="77777777" w:rsidR="00293BDE" w:rsidRDefault="00000000">
            <w:pPr>
              <w:pStyle w:val="Compact"/>
            </w:pPr>
            <w:r>
              <w:t>I</w:t>
            </w:r>
          </w:p>
        </w:tc>
        <w:tc>
          <w:tcPr>
            <w:tcW w:w="2268" w:type="dxa"/>
          </w:tcPr>
          <w:p w14:paraId="1EF47C2A" w14:textId="77777777" w:rsidR="00293BDE" w:rsidRDefault="00000000">
            <w:pPr>
              <w:pStyle w:val="Compact"/>
            </w:pPr>
            <w:r>
              <w:t>Mishap</w:t>
            </w:r>
          </w:p>
        </w:tc>
        <w:tc>
          <w:tcPr>
            <w:tcW w:w="2268" w:type="dxa"/>
          </w:tcPr>
          <w:p w14:paraId="244C293B" w14:textId="77777777" w:rsidR="00293BDE" w:rsidRDefault="00000000">
            <w:pPr>
              <w:pStyle w:val="Compact"/>
            </w:pPr>
            <w:r>
              <w:t>Unintentional event with damage or injury</w:t>
            </w:r>
          </w:p>
        </w:tc>
        <w:tc>
          <w:tcPr>
            <w:tcW w:w="2268" w:type="dxa"/>
          </w:tcPr>
          <w:p w14:paraId="18D68B56" w14:textId="77777777" w:rsidR="00293BDE" w:rsidRDefault="00000000">
            <w:pPr>
              <w:pStyle w:val="Compact"/>
            </w:pPr>
            <w:r>
              <w:t>Mishap Protocol, Article 24.2</w:t>
            </w:r>
          </w:p>
        </w:tc>
      </w:tr>
      <w:tr w:rsidR="00293BDE" w14:paraId="1EB54ED0" w14:textId="77777777" w:rsidTr="00293BDE">
        <w:tc>
          <w:tcPr>
            <w:tcW w:w="2267" w:type="dxa"/>
          </w:tcPr>
          <w:p w14:paraId="5B53D3CC" w14:textId="77777777" w:rsidR="00293BDE" w:rsidRDefault="00000000">
            <w:pPr>
              <w:pStyle w:val="Compact"/>
            </w:pPr>
            <w:r>
              <w:t>II</w:t>
            </w:r>
          </w:p>
        </w:tc>
        <w:tc>
          <w:tcPr>
            <w:tcW w:w="2268" w:type="dxa"/>
          </w:tcPr>
          <w:p w14:paraId="39F11D70" w14:textId="77777777" w:rsidR="00293BDE" w:rsidRDefault="00000000">
            <w:pPr>
              <w:pStyle w:val="Compact"/>
            </w:pPr>
            <w:r>
              <w:t>Violation</w:t>
            </w:r>
          </w:p>
        </w:tc>
        <w:tc>
          <w:tcPr>
            <w:tcW w:w="2268" w:type="dxa"/>
          </w:tcPr>
          <w:p w14:paraId="720333D7" w14:textId="77777777" w:rsidR="00293BDE" w:rsidRDefault="00000000">
            <w:pPr>
              <w:pStyle w:val="Compact"/>
            </w:pPr>
            <w:r>
              <w:t>Breach of a rule without hostile intent found</w:t>
            </w:r>
          </w:p>
        </w:tc>
        <w:tc>
          <w:tcPr>
            <w:tcW w:w="2268" w:type="dxa"/>
          </w:tcPr>
          <w:p w14:paraId="7FE8BD5B" w14:textId="77777777" w:rsidR="00293BDE" w:rsidRDefault="00000000">
            <w:pPr>
              <w:pStyle w:val="Compact"/>
            </w:pPr>
            <w:r>
              <w:t>Compliance engine, Article 25</w:t>
            </w:r>
          </w:p>
        </w:tc>
      </w:tr>
      <w:tr w:rsidR="00293BDE" w14:paraId="6BF47D5E" w14:textId="77777777" w:rsidTr="00293BDE">
        <w:tc>
          <w:tcPr>
            <w:tcW w:w="2267" w:type="dxa"/>
          </w:tcPr>
          <w:p w14:paraId="2C9D33B1" w14:textId="77777777" w:rsidR="00293BDE" w:rsidRDefault="00000000">
            <w:pPr>
              <w:pStyle w:val="Compact"/>
            </w:pPr>
            <w:r>
              <w:t>III</w:t>
            </w:r>
          </w:p>
        </w:tc>
        <w:tc>
          <w:tcPr>
            <w:tcW w:w="2268" w:type="dxa"/>
          </w:tcPr>
          <w:p w14:paraId="25D4D4A2" w14:textId="77777777" w:rsidR="00293BDE" w:rsidRDefault="00000000">
            <w:pPr>
              <w:pStyle w:val="Compact"/>
            </w:pPr>
            <w:r>
              <w:t>Grave event</w:t>
            </w:r>
          </w:p>
        </w:tc>
        <w:tc>
          <w:tcPr>
            <w:tcW w:w="2268" w:type="dxa"/>
          </w:tcPr>
          <w:p w14:paraId="70EE21B1" w14:textId="77777777" w:rsidR="00293BDE" w:rsidRDefault="00000000">
            <w:pPr>
              <w:pStyle w:val="Compact"/>
            </w:pPr>
            <w:r>
              <w:t>Strike, interdiction, or mine event with hostile character</w:t>
            </w:r>
          </w:p>
        </w:tc>
        <w:tc>
          <w:tcPr>
            <w:tcW w:w="2268" w:type="dxa"/>
          </w:tcPr>
          <w:p w14:paraId="7A8F7124" w14:textId="77777777" w:rsidR="00293BDE" w:rsidRDefault="00000000">
            <w:pPr>
              <w:pStyle w:val="Compact"/>
            </w:pPr>
            <w:r>
              <w:t>L4 response; Assessment Conference; Article 23.8</w:t>
            </w:r>
          </w:p>
        </w:tc>
      </w:tr>
    </w:tbl>
    <w:p w14:paraId="1D7A72C4" w14:textId="77777777" w:rsidR="00293BDE" w:rsidRDefault="00000000">
      <w:pPr>
        <w:pStyle w:val="BodyText"/>
      </w:pPr>
      <w:bookmarkStart w:id="510" w:name="h.7-incident-classification"/>
      <w:r>
        <w:t>Classification assigns from the technical record. The Human Anchor Method governs Class I and II; Class III activates the emergency machinery.</w:t>
      </w:r>
      <w:bookmarkEnd w:id="510"/>
    </w:p>
    <w:p w14:paraId="7D91872A" w14:textId="77777777" w:rsidR="00293BDE" w:rsidRDefault="00000000">
      <w:pPr>
        <w:pStyle w:val="Heading2"/>
      </w:pPr>
      <w:bookmarkStart w:id="511" w:name="__RefHeading___Toc11050_3324765499"/>
      <w:bookmarkEnd w:id="511"/>
      <w:r>
        <w:t>H.8 The human-in-the-loop audit</w:t>
      </w:r>
    </w:p>
    <w:p w14:paraId="52FB5EC7" w14:textId="77777777" w:rsidR="00293BDE" w:rsidRDefault="00000000">
      <w:pPr>
        <w:pStyle w:val="FirstParagraph"/>
      </w:pPr>
      <w:r>
        <w:t>Once per quarter, the Neutral Watch Office audits a random sample of events across all alert levels to verify that the Human Anchor Method operated: human review preceded every finding, named contact occurred where required, and the 24-hour review window ran. The audit publishes its sample size, method, and result. Automation assists; people decide.</w:t>
      </w:r>
    </w:p>
    <w:bookmarkStart w:id="512" w:name="annex-h-verification-schedule"/>
    <w:bookmarkStart w:id="513" w:name="h.8-the-human-in-the-loop-audit"/>
    <w:p w14:paraId="106FD056" w14:textId="1C26404A" w:rsidR="00293BDE" w:rsidRDefault="00622008">
      <w:r>
        <w:rPr>
          <w:noProof/>
        </w:rPr>
      </w:r>
      <w:r>
        <w:pict w14:anchorId="7DD6502E">
          <v:rect id="Rectangle 23" o:spid="_x0000_s1032"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12"/>
      <w:bookmarkEnd w:id="513"/>
    </w:p>
    <w:p w14:paraId="2C983721" w14:textId="77777777" w:rsidR="00293BDE" w:rsidRDefault="00000000">
      <w:pPr>
        <w:pStyle w:val="Heading1"/>
      </w:pPr>
      <w:bookmarkStart w:id="514" w:name="__RefHeading___Toc11052_3324765499"/>
      <w:bookmarkEnd w:id="514"/>
      <w:r>
        <w:t>ANNEX I: ACTIVATION REVIEW</w:t>
      </w:r>
    </w:p>
    <w:p w14:paraId="6687B631" w14:textId="77777777" w:rsidR="00293BDE" w:rsidRDefault="00000000">
      <w:pPr>
        <w:pStyle w:val="Heading2"/>
      </w:pPr>
      <w:bookmarkStart w:id="515" w:name="__RefHeading___Toc11054_3324765499"/>
      <w:bookmarkEnd w:id="515"/>
      <w:r>
        <w:t>I.1 Purpose and timing</w:t>
      </w:r>
    </w:p>
    <w:p w14:paraId="7F656165" w14:textId="77777777" w:rsidR="00293BDE" w:rsidRDefault="00000000">
      <w:pPr>
        <w:pStyle w:val="FirstParagraph"/>
      </w:pPr>
      <w:bookmarkStart w:id="516" w:name="i.1-purpose-and-timing"/>
      <w:r>
        <w:t>The Activation Review runs from Day 55 to Day 90 of the Assurance Phase and determines whether the Compact moves to Full Activation. The Neutral Watch Office conducts the Review with the Verification Desk and publishes its conclusion in full. The Review audits the system, not the politics: five domains, published metrics, three grades.</w:t>
      </w:r>
      <w:bookmarkEnd w:id="516"/>
    </w:p>
    <w:p w14:paraId="6F565999" w14:textId="77777777" w:rsidR="00293BDE" w:rsidRDefault="00000000">
      <w:pPr>
        <w:pStyle w:val="Heading2"/>
      </w:pPr>
      <w:bookmarkStart w:id="517" w:name="__RefHeading___Toc11056_3324765499"/>
      <w:bookmarkEnd w:id="517"/>
      <w:r>
        <w:t>I.2 Domain One: passage performance</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79C41B70"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5EB830CD" w14:textId="77777777" w:rsidR="00293BDE" w:rsidRDefault="00000000">
            <w:pPr>
              <w:pStyle w:val="Compact"/>
            </w:pPr>
            <w:r>
              <w:t>Metric</w:t>
            </w:r>
          </w:p>
        </w:tc>
        <w:tc>
          <w:tcPr>
            <w:tcW w:w="2268" w:type="dxa"/>
            <w:tcBorders>
              <w:bottom w:val="single" w:sz="6" w:space="0" w:color="000000"/>
            </w:tcBorders>
          </w:tcPr>
          <w:p w14:paraId="5B3509CE" w14:textId="77777777" w:rsidR="00293BDE" w:rsidRDefault="00000000">
            <w:pPr>
              <w:pStyle w:val="Compact"/>
            </w:pPr>
            <w:r>
              <w:t>Pass</w:t>
            </w:r>
          </w:p>
        </w:tc>
        <w:tc>
          <w:tcPr>
            <w:tcW w:w="2268" w:type="dxa"/>
            <w:tcBorders>
              <w:bottom w:val="single" w:sz="6" w:space="0" w:color="000000"/>
            </w:tcBorders>
          </w:tcPr>
          <w:p w14:paraId="1CC5FBCE" w14:textId="77777777" w:rsidR="00293BDE" w:rsidRDefault="00000000">
            <w:pPr>
              <w:pStyle w:val="Compact"/>
            </w:pPr>
            <w:r>
              <w:t>Conditional</w:t>
            </w:r>
          </w:p>
        </w:tc>
        <w:tc>
          <w:tcPr>
            <w:tcW w:w="2268" w:type="dxa"/>
            <w:tcBorders>
              <w:bottom w:val="single" w:sz="6" w:space="0" w:color="000000"/>
            </w:tcBorders>
          </w:tcPr>
          <w:p w14:paraId="7259CAC0" w14:textId="77777777" w:rsidR="00293BDE" w:rsidRDefault="00000000">
            <w:pPr>
              <w:pStyle w:val="Compact"/>
            </w:pPr>
            <w:r>
              <w:t>Fail</w:t>
            </w:r>
          </w:p>
        </w:tc>
      </w:tr>
      <w:tr w:rsidR="00293BDE" w14:paraId="7801369C" w14:textId="77777777" w:rsidTr="00293BDE">
        <w:tc>
          <w:tcPr>
            <w:tcW w:w="2267" w:type="dxa"/>
          </w:tcPr>
          <w:p w14:paraId="735D82E8" w14:textId="77777777" w:rsidR="00293BDE" w:rsidRDefault="00000000">
            <w:pPr>
              <w:pStyle w:val="Compact"/>
            </w:pPr>
            <w:r>
              <w:t>Transits completed without impedance</w:t>
            </w:r>
          </w:p>
        </w:tc>
        <w:tc>
          <w:tcPr>
            <w:tcW w:w="2268" w:type="dxa"/>
          </w:tcPr>
          <w:p w14:paraId="6573FBC9" w14:textId="77777777" w:rsidR="00293BDE" w:rsidRDefault="00000000">
            <w:pPr>
              <w:pStyle w:val="Compact"/>
            </w:pPr>
            <w:r>
              <w:t>97 percent or above</w:t>
            </w:r>
          </w:p>
        </w:tc>
        <w:tc>
          <w:tcPr>
            <w:tcW w:w="2268" w:type="dxa"/>
          </w:tcPr>
          <w:p w14:paraId="2D8F3173" w14:textId="77777777" w:rsidR="00293BDE" w:rsidRDefault="00000000">
            <w:pPr>
              <w:pStyle w:val="Compact"/>
            </w:pPr>
            <w:r>
              <w:t>90 to 97 percent</w:t>
            </w:r>
          </w:p>
        </w:tc>
        <w:tc>
          <w:tcPr>
            <w:tcW w:w="2268" w:type="dxa"/>
          </w:tcPr>
          <w:p w14:paraId="6968E40A" w14:textId="77777777" w:rsidR="00293BDE" w:rsidRDefault="00000000">
            <w:pPr>
              <w:pStyle w:val="Compact"/>
            </w:pPr>
            <w:r>
              <w:t>Below 90 percent</w:t>
            </w:r>
          </w:p>
        </w:tc>
      </w:tr>
      <w:tr w:rsidR="00293BDE" w14:paraId="75D1CC9B" w14:textId="77777777" w:rsidTr="00293BDE">
        <w:tc>
          <w:tcPr>
            <w:tcW w:w="2267" w:type="dxa"/>
          </w:tcPr>
          <w:p w14:paraId="6198FCD9" w14:textId="77777777" w:rsidR="00293BDE" w:rsidRDefault="00000000">
            <w:pPr>
              <w:pStyle w:val="Compact"/>
            </w:pPr>
            <w:r>
              <w:t>Average corridor transit time vs baseline</w:t>
            </w:r>
          </w:p>
        </w:tc>
        <w:tc>
          <w:tcPr>
            <w:tcW w:w="2268" w:type="dxa"/>
          </w:tcPr>
          <w:p w14:paraId="45290C8A" w14:textId="77777777" w:rsidR="00293BDE" w:rsidRDefault="00000000">
            <w:pPr>
              <w:pStyle w:val="Compact"/>
            </w:pPr>
            <w:r>
              <w:t>Within 15 percent</w:t>
            </w:r>
          </w:p>
        </w:tc>
        <w:tc>
          <w:tcPr>
            <w:tcW w:w="2268" w:type="dxa"/>
          </w:tcPr>
          <w:p w14:paraId="52D2DFB3" w14:textId="77777777" w:rsidR="00293BDE" w:rsidRDefault="00000000">
            <w:pPr>
              <w:pStyle w:val="Compact"/>
            </w:pPr>
            <w:r>
              <w:t>Within 30 percent</w:t>
            </w:r>
          </w:p>
        </w:tc>
        <w:tc>
          <w:tcPr>
            <w:tcW w:w="2268" w:type="dxa"/>
          </w:tcPr>
          <w:p w14:paraId="7EDCC07F" w14:textId="77777777" w:rsidR="00293BDE" w:rsidRDefault="00000000">
            <w:pPr>
              <w:pStyle w:val="Compact"/>
            </w:pPr>
            <w:r>
              <w:t>Beyond 30 percent</w:t>
            </w:r>
          </w:p>
        </w:tc>
      </w:tr>
      <w:tr w:rsidR="00293BDE" w14:paraId="63EB473B" w14:textId="77777777" w:rsidTr="00293BDE">
        <w:tc>
          <w:tcPr>
            <w:tcW w:w="2267" w:type="dxa"/>
          </w:tcPr>
          <w:p w14:paraId="0CA35BE9" w14:textId="77777777" w:rsidR="00293BDE" w:rsidRDefault="00000000">
            <w:pPr>
              <w:pStyle w:val="Compact"/>
            </w:pPr>
            <w:r>
              <w:t>L4 events</w:t>
            </w:r>
          </w:p>
        </w:tc>
        <w:tc>
          <w:tcPr>
            <w:tcW w:w="2268" w:type="dxa"/>
          </w:tcPr>
          <w:p w14:paraId="7209A806" w14:textId="77777777" w:rsidR="00293BDE" w:rsidRDefault="00000000">
            <w:pPr>
              <w:pStyle w:val="Compact"/>
            </w:pPr>
            <w:r>
              <w:t>Zero</w:t>
            </w:r>
          </w:p>
        </w:tc>
        <w:tc>
          <w:tcPr>
            <w:tcW w:w="2268" w:type="dxa"/>
          </w:tcPr>
          <w:p w14:paraId="777FD8BA" w14:textId="77777777" w:rsidR="00293BDE" w:rsidRDefault="00000000">
            <w:pPr>
              <w:pStyle w:val="Compact"/>
            </w:pPr>
            <w:r>
              <w:t>Zero with full response record</w:t>
            </w:r>
          </w:p>
        </w:tc>
        <w:tc>
          <w:tcPr>
            <w:tcW w:w="2268" w:type="dxa"/>
          </w:tcPr>
          <w:p w14:paraId="7EAA3CCC" w14:textId="77777777" w:rsidR="00293BDE" w:rsidRDefault="00000000">
            <w:pPr>
              <w:pStyle w:val="Compact"/>
            </w:pPr>
            <w:r>
              <w:t>Any unresolved</w:t>
            </w:r>
          </w:p>
        </w:tc>
      </w:tr>
      <w:tr w:rsidR="00293BDE" w14:paraId="0D7D5D41" w14:textId="77777777" w:rsidTr="00293BDE">
        <w:tc>
          <w:tcPr>
            <w:tcW w:w="2267" w:type="dxa"/>
          </w:tcPr>
          <w:p w14:paraId="54189CA4" w14:textId="77777777" w:rsidR="00293BDE" w:rsidRDefault="00000000">
            <w:pPr>
              <w:pStyle w:val="Compact"/>
            </w:pPr>
            <w:r>
              <w:t>Bulletin publication punctuality</w:t>
            </w:r>
          </w:p>
        </w:tc>
        <w:tc>
          <w:tcPr>
            <w:tcW w:w="2268" w:type="dxa"/>
          </w:tcPr>
          <w:p w14:paraId="4F3E233B" w14:textId="77777777" w:rsidR="00293BDE" w:rsidRDefault="00000000">
            <w:pPr>
              <w:pStyle w:val="Compact"/>
            </w:pPr>
            <w:r>
              <w:t>95 percent or above</w:t>
            </w:r>
          </w:p>
        </w:tc>
        <w:tc>
          <w:tcPr>
            <w:tcW w:w="2268" w:type="dxa"/>
          </w:tcPr>
          <w:p w14:paraId="1DDA7E9B" w14:textId="77777777" w:rsidR="00293BDE" w:rsidRDefault="00000000">
            <w:pPr>
              <w:pStyle w:val="Compact"/>
            </w:pPr>
            <w:r>
              <w:t>85 to 95 percent</w:t>
            </w:r>
          </w:p>
        </w:tc>
        <w:tc>
          <w:tcPr>
            <w:tcW w:w="2268" w:type="dxa"/>
          </w:tcPr>
          <w:p w14:paraId="6237B090" w14:textId="77777777" w:rsidR="00293BDE" w:rsidRDefault="00000000">
            <w:pPr>
              <w:pStyle w:val="Compact"/>
            </w:pPr>
            <w:bookmarkStart w:id="518" w:name="i.2-domain-one-passage-performance"/>
            <w:r>
              <w:t>Below 85 percent</w:t>
            </w:r>
            <w:bookmarkEnd w:id="518"/>
          </w:p>
        </w:tc>
      </w:tr>
    </w:tbl>
    <w:p w14:paraId="1D6F5165" w14:textId="77777777" w:rsidR="00293BDE" w:rsidRDefault="00000000">
      <w:pPr>
        <w:pStyle w:val="Heading2"/>
      </w:pPr>
      <w:bookmarkStart w:id="519" w:name="__RefHeading___Toc11058_3324765499"/>
      <w:bookmarkEnd w:id="519"/>
      <w:r>
        <w:t>I.3 Domain Two: financial integrity</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12DAE834"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52924DCE" w14:textId="77777777" w:rsidR="00293BDE" w:rsidRDefault="00000000">
            <w:pPr>
              <w:pStyle w:val="Compact"/>
            </w:pPr>
            <w:r>
              <w:t>Metric</w:t>
            </w:r>
          </w:p>
        </w:tc>
        <w:tc>
          <w:tcPr>
            <w:tcW w:w="2268" w:type="dxa"/>
            <w:tcBorders>
              <w:bottom w:val="single" w:sz="6" w:space="0" w:color="000000"/>
            </w:tcBorders>
          </w:tcPr>
          <w:p w14:paraId="51BFC7EE" w14:textId="77777777" w:rsidR="00293BDE" w:rsidRDefault="00000000">
            <w:pPr>
              <w:pStyle w:val="Compact"/>
            </w:pPr>
            <w:r>
              <w:t>Pass</w:t>
            </w:r>
          </w:p>
        </w:tc>
        <w:tc>
          <w:tcPr>
            <w:tcW w:w="2268" w:type="dxa"/>
            <w:tcBorders>
              <w:bottom w:val="single" w:sz="6" w:space="0" w:color="000000"/>
            </w:tcBorders>
          </w:tcPr>
          <w:p w14:paraId="4565C51C" w14:textId="77777777" w:rsidR="00293BDE" w:rsidRDefault="00000000">
            <w:pPr>
              <w:pStyle w:val="Compact"/>
            </w:pPr>
            <w:r>
              <w:t>Conditional</w:t>
            </w:r>
          </w:p>
        </w:tc>
        <w:tc>
          <w:tcPr>
            <w:tcW w:w="2268" w:type="dxa"/>
            <w:tcBorders>
              <w:bottom w:val="single" w:sz="6" w:space="0" w:color="000000"/>
            </w:tcBorders>
          </w:tcPr>
          <w:p w14:paraId="6C47A03B" w14:textId="77777777" w:rsidR="00293BDE" w:rsidRDefault="00000000">
            <w:pPr>
              <w:pStyle w:val="Compact"/>
            </w:pPr>
            <w:r>
              <w:t>Fail</w:t>
            </w:r>
          </w:p>
        </w:tc>
      </w:tr>
      <w:tr w:rsidR="00293BDE" w14:paraId="180FF704" w14:textId="77777777" w:rsidTr="00293BDE">
        <w:tc>
          <w:tcPr>
            <w:tcW w:w="2267" w:type="dxa"/>
          </w:tcPr>
          <w:p w14:paraId="730AD49A" w14:textId="77777777" w:rsidR="00293BDE" w:rsidRDefault="00000000">
            <w:pPr>
              <w:pStyle w:val="Compact"/>
            </w:pPr>
            <w:r>
              <w:t>Invoice accuracy vs Catalog</w:t>
            </w:r>
          </w:p>
        </w:tc>
        <w:tc>
          <w:tcPr>
            <w:tcW w:w="2268" w:type="dxa"/>
          </w:tcPr>
          <w:p w14:paraId="018AFD41" w14:textId="77777777" w:rsidR="00293BDE" w:rsidRDefault="00000000">
            <w:pPr>
              <w:pStyle w:val="Compact"/>
            </w:pPr>
            <w:r>
              <w:t>98 percent or above</w:t>
            </w:r>
          </w:p>
        </w:tc>
        <w:tc>
          <w:tcPr>
            <w:tcW w:w="2268" w:type="dxa"/>
          </w:tcPr>
          <w:p w14:paraId="4C2249E7" w14:textId="77777777" w:rsidR="00293BDE" w:rsidRDefault="00000000">
            <w:pPr>
              <w:pStyle w:val="Compact"/>
            </w:pPr>
            <w:r>
              <w:t>95 to 98 percent</w:t>
            </w:r>
          </w:p>
        </w:tc>
        <w:tc>
          <w:tcPr>
            <w:tcW w:w="2268" w:type="dxa"/>
          </w:tcPr>
          <w:p w14:paraId="5A7A11F6" w14:textId="77777777" w:rsidR="00293BDE" w:rsidRDefault="00000000">
            <w:pPr>
              <w:pStyle w:val="Compact"/>
            </w:pPr>
            <w:r>
              <w:t>Below 95 percent</w:t>
            </w:r>
          </w:p>
        </w:tc>
      </w:tr>
      <w:tr w:rsidR="00293BDE" w14:paraId="5CF2BF96" w14:textId="77777777" w:rsidTr="00293BDE">
        <w:tc>
          <w:tcPr>
            <w:tcW w:w="2267" w:type="dxa"/>
          </w:tcPr>
          <w:p w14:paraId="37841677" w14:textId="77777777" w:rsidR="00293BDE" w:rsidRDefault="00000000">
            <w:pPr>
              <w:pStyle w:val="Compact"/>
            </w:pPr>
            <w:r>
              <w:t>Payment completion in cycle</w:t>
            </w:r>
          </w:p>
        </w:tc>
        <w:tc>
          <w:tcPr>
            <w:tcW w:w="2268" w:type="dxa"/>
          </w:tcPr>
          <w:p w14:paraId="615EAE0B" w14:textId="77777777" w:rsidR="00293BDE" w:rsidRDefault="00000000">
            <w:pPr>
              <w:pStyle w:val="Compact"/>
            </w:pPr>
            <w:r>
              <w:t>90 percent or above</w:t>
            </w:r>
          </w:p>
        </w:tc>
        <w:tc>
          <w:tcPr>
            <w:tcW w:w="2268" w:type="dxa"/>
          </w:tcPr>
          <w:p w14:paraId="0847BB89" w14:textId="77777777" w:rsidR="00293BDE" w:rsidRDefault="00000000">
            <w:pPr>
              <w:pStyle w:val="Compact"/>
            </w:pPr>
            <w:r>
              <w:t>80 to 90 percent</w:t>
            </w:r>
          </w:p>
        </w:tc>
        <w:tc>
          <w:tcPr>
            <w:tcW w:w="2268" w:type="dxa"/>
          </w:tcPr>
          <w:p w14:paraId="42F21A96" w14:textId="77777777" w:rsidR="00293BDE" w:rsidRDefault="00000000">
            <w:pPr>
              <w:pStyle w:val="Compact"/>
            </w:pPr>
            <w:r>
              <w:t>Below 80 percent</w:t>
            </w:r>
          </w:p>
        </w:tc>
      </w:tr>
      <w:tr w:rsidR="00293BDE" w14:paraId="2296781E" w14:textId="77777777" w:rsidTr="00293BDE">
        <w:tc>
          <w:tcPr>
            <w:tcW w:w="2267" w:type="dxa"/>
          </w:tcPr>
          <w:p w14:paraId="67ACC830" w14:textId="77777777" w:rsidR="00293BDE" w:rsidRDefault="00000000">
            <w:pPr>
              <w:pStyle w:val="Compact"/>
            </w:pPr>
            <w:r>
              <w:t>Firewall cycles clean</w:t>
            </w:r>
          </w:p>
        </w:tc>
        <w:tc>
          <w:tcPr>
            <w:tcW w:w="2268" w:type="dxa"/>
          </w:tcPr>
          <w:p w14:paraId="6A88CC73" w14:textId="77777777" w:rsidR="00293BDE" w:rsidRDefault="00000000">
            <w:pPr>
              <w:pStyle w:val="Compact"/>
            </w:pPr>
            <w:r>
              <w:t>All cycles</w:t>
            </w:r>
          </w:p>
        </w:tc>
        <w:tc>
          <w:tcPr>
            <w:tcW w:w="2268" w:type="dxa"/>
          </w:tcPr>
          <w:p w14:paraId="1D185104" w14:textId="77777777" w:rsidR="00293BDE" w:rsidRDefault="00000000">
            <w:pPr>
              <w:pStyle w:val="Compact"/>
            </w:pPr>
            <w:r>
              <w:t>One exception resolved</w:t>
            </w:r>
          </w:p>
        </w:tc>
        <w:tc>
          <w:tcPr>
            <w:tcW w:w="2268" w:type="dxa"/>
          </w:tcPr>
          <w:p w14:paraId="48E8B5E2" w14:textId="77777777" w:rsidR="00293BDE" w:rsidRDefault="00000000">
            <w:pPr>
              <w:pStyle w:val="Compact"/>
            </w:pPr>
            <w:r>
              <w:t>Any unresolved exception</w:t>
            </w:r>
          </w:p>
        </w:tc>
      </w:tr>
      <w:tr w:rsidR="00293BDE" w14:paraId="2D9BD45D" w14:textId="77777777" w:rsidTr="00293BDE">
        <w:tc>
          <w:tcPr>
            <w:tcW w:w="2267" w:type="dxa"/>
          </w:tcPr>
          <w:p w14:paraId="018AE8A6" w14:textId="77777777" w:rsidR="00293BDE" w:rsidRDefault="00000000">
            <w:pPr>
              <w:pStyle w:val="Compact"/>
            </w:pPr>
            <w:r>
              <w:t>Audit trail completeness</w:t>
            </w:r>
          </w:p>
        </w:tc>
        <w:tc>
          <w:tcPr>
            <w:tcW w:w="2268" w:type="dxa"/>
          </w:tcPr>
          <w:p w14:paraId="490BE24D" w14:textId="77777777" w:rsidR="00293BDE" w:rsidRDefault="00000000">
            <w:pPr>
              <w:pStyle w:val="Compact"/>
            </w:pPr>
            <w:r>
              <w:t>100 percent</w:t>
            </w:r>
          </w:p>
        </w:tc>
        <w:tc>
          <w:tcPr>
            <w:tcW w:w="2268" w:type="dxa"/>
          </w:tcPr>
          <w:p w14:paraId="67F56E13" w14:textId="77777777" w:rsidR="00293BDE" w:rsidRDefault="00000000">
            <w:pPr>
              <w:pStyle w:val="Compact"/>
            </w:pPr>
            <w:r>
              <w:t>98 to 100 percent</w:t>
            </w:r>
          </w:p>
        </w:tc>
        <w:tc>
          <w:tcPr>
            <w:tcW w:w="2268" w:type="dxa"/>
          </w:tcPr>
          <w:p w14:paraId="4D8CCCDB" w14:textId="77777777" w:rsidR="00293BDE" w:rsidRDefault="00000000">
            <w:pPr>
              <w:pStyle w:val="Compact"/>
            </w:pPr>
            <w:r>
              <w:t>Below 98 percent</w:t>
            </w:r>
          </w:p>
        </w:tc>
      </w:tr>
    </w:tbl>
    <w:p w14:paraId="4E2EAF5A" w14:textId="77777777" w:rsidR="00293BDE" w:rsidRDefault="00000000">
      <w:pPr>
        <w:pStyle w:val="Heading2"/>
      </w:pPr>
      <w:bookmarkStart w:id="520" w:name="__RefHeading___Toc11060_3324765499"/>
      <w:bookmarkEnd w:id="520"/>
      <w:r>
        <w:t>I.4 Domain Three: verification credibility</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2D56A5D2"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7009F90B" w14:textId="77777777" w:rsidR="00293BDE" w:rsidRDefault="00000000">
            <w:pPr>
              <w:pStyle w:val="Compact"/>
            </w:pPr>
            <w:r>
              <w:t>Metric</w:t>
            </w:r>
          </w:p>
        </w:tc>
        <w:tc>
          <w:tcPr>
            <w:tcW w:w="2268" w:type="dxa"/>
            <w:tcBorders>
              <w:bottom w:val="single" w:sz="6" w:space="0" w:color="000000"/>
            </w:tcBorders>
          </w:tcPr>
          <w:p w14:paraId="49A403AC" w14:textId="77777777" w:rsidR="00293BDE" w:rsidRDefault="00000000">
            <w:pPr>
              <w:pStyle w:val="Compact"/>
            </w:pPr>
            <w:r>
              <w:t>Pass</w:t>
            </w:r>
          </w:p>
        </w:tc>
        <w:tc>
          <w:tcPr>
            <w:tcW w:w="2268" w:type="dxa"/>
            <w:tcBorders>
              <w:bottom w:val="single" w:sz="6" w:space="0" w:color="000000"/>
            </w:tcBorders>
          </w:tcPr>
          <w:p w14:paraId="342DADE2" w14:textId="77777777" w:rsidR="00293BDE" w:rsidRDefault="00000000">
            <w:pPr>
              <w:pStyle w:val="Compact"/>
            </w:pPr>
            <w:r>
              <w:t>Conditional</w:t>
            </w:r>
          </w:p>
        </w:tc>
        <w:tc>
          <w:tcPr>
            <w:tcW w:w="2268" w:type="dxa"/>
            <w:tcBorders>
              <w:bottom w:val="single" w:sz="6" w:space="0" w:color="000000"/>
            </w:tcBorders>
          </w:tcPr>
          <w:p w14:paraId="57748D1E" w14:textId="77777777" w:rsidR="00293BDE" w:rsidRDefault="00000000">
            <w:pPr>
              <w:pStyle w:val="Compact"/>
            </w:pPr>
            <w:r>
              <w:t>Fail</w:t>
            </w:r>
          </w:p>
        </w:tc>
      </w:tr>
      <w:tr w:rsidR="00293BDE" w14:paraId="2E5221CC" w14:textId="77777777" w:rsidTr="00293BDE">
        <w:tc>
          <w:tcPr>
            <w:tcW w:w="2267" w:type="dxa"/>
          </w:tcPr>
          <w:p w14:paraId="70242EAC" w14:textId="77777777" w:rsidR="00293BDE" w:rsidRDefault="00000000">
            <w:pPr>
              <w:pStyle w:val="Compact"/>
            </w:pPr>
            <w:r>
              <w:t>Feed uptime</w:t>
            </w:r>
          </w:p>
        </w:tc>
        <w:tc>
          <w:tcPr>
            <w:tcW w:w="2268" w:type="dxa"/>
          </w:tcPr>
          <w:p w14:paraId="371F5DF8" w14:textId="77777777" w:rsidR="00293BDE" w:rsidRDefault="00000000">
            <w:pPr>
              <w:pStyle w:val="Compact"/>
            </w:pPr>
            <w:r>
              <w:t>99 percent or above</w:t>
            </w:r>
          </w:p>
        </w:tc>
        <w:tc>
          <w:tcPr>
            <w:tcW w:w="2268" w:type="dxa"/>
          </w:tcPr>
          <w:p w14:paraId="4964B2B5" w14:textId="77777777" w:rsidR="00293BDE" w:rsidRDefault="00000000">
            <w:pPr>
              <w:pStyle w:val="Compact"/>
            </w:pPr>
            <w:r>
              <w:t>97 to 99 percent</w:t>
            </w:r>
          </w:p>
        </w:tc>
        <w:tc>
          <w:tcPr>
            <w:tcW w:w="2268" w:type="dxa"/>
          </w:tcPr>
          <w:p w14:paraId="3728ABC3" w14:textId="77777777" w:rsidR="00293BDE" w:rsidRDefault="00000000">
            <w:pPr>
              <w:pStyle w:val="Compact"/>
            </w:pPr>
            <w:r>
              <w:t>Below 97 percent</w:t>
            </w:r>
          </w:p>
        </w:tc>
      </w:tr>
      <w:tr w:rsidR="00293BDE" w14:paraId="198452EE" w14:textId="77777777" w:rsidTr="00293BDE">
        <w:tc>
          <w:tcPr>
            <w:tcW w:w="2267" w:type="dxa"/>
          </w:tcPr>
          <w:p w14:paraId="1FE74D4D" w14:textId="77777777" w:rsidR="00293BDE" w:rsidRDefault="00000000">
            <w:pPr>
              <w:pStyle w:val="Compact"/>
            </w:pPr>
            <w:r>
              <w:t>Findings issued on clock</w:t>
            </w:r>
          </w:p>
        </w:tc>
        <w:tc>
          <w:tcPr>
            <w:tcW w:w="2268" w:type="dxa"/>
          </w:tcPr>
          <w:p w14:paraId="078D53AD" w14:textId="77777777" w:rsidR="00293BDE" w:rsidRDefault="00000000">
            <w:pPr>
              <w:pStyle w:val="Compact"/>
            </w:pPr>
            <w:r>
              <w:t>95 percent or above</w:t>
            </w:r>
          </w:p>
        </w:tc>
        <w:tc>
          <w:tcPr>
            <w:tcW w:w="2268" w:type="dxa"/>
          </w:tcPr>
          <w:p w14:paraId="53CFB903" w14:textId="77777777" w:rsidR="00293BDE" w:rsidRDefault="00000000">
            <w:pPr>
              <w:pStyle w:val="Compact"/>
            </w:pPr>
            <w:r>
              <w:t>85 to 95 percent</w:t>
            </w:r>
          </w:p>
        </w:tc>
        <w:tc>
          <w:tcPr>
            <w:tcW w:w="2268" w:type="dxa"/>
          </w:tcPr>
          <w:p w14:paraId="62F98586" w14:textId="77777777" w:rsidR="00293BDE" w:rsidRDefault="00000000">
            <w:pPr>
              <w:pStyle w:val="Compact"/>
            </w:pPr>
            <w:r>
              <w:t>Below 85 percent</w:t>
            </w:r>
          </w:p>
        </w:tc>
      </w:tr>
      <w:tr w:rsidR="00293BDE" w14:paraId="4C4C1FE7" w14:textId="77777777" w:rsidTr="00293BDE">
        <w:tc>
          <w:tcPr>
            <w:tcW w:w="2267" w:type="dxa"/>
          </w:tcPr>
          <w:p w14:paraId="046E217F" w14:textId="77777777" w:rsidR="00293BDE" w:rsidRDefault="00000000">
            <w:pPr>
              <w:pStyle w:val="Compact"/>
            </w:pPr>
            <w:r>
              <w:t>Single-input findings</w:t>
            </w:r>
          </w:p>
        </w:tc>
        <w:tc>
          <w:tcPr>
            <w:tcW w:w="2268" w:type="dxa"/>
          </w:tcPr>
          <w:p w14:paraId="1007BEFC" w14:textId="77777777" w:rsidR="00293BDE" w:rsidRDefault="00000000">
            <w:pPr>
              <w:pStyle w:val="Compact"/>
            </w:pPr>
            <w:r>
              <w:t>Zero</w:t>
            </w:r>
          </w:p>
        </w:tc>
        <w:tc>
          <w:tcPr>
            <w:tcW w:w="2268" w:type="dxa"/>
          </w:tcPr>
          <w:p w14:paraId="143685B8" w14:textId="77777777" w:rsidR="00293BDE" w:rsidRDefault="00000000">
            <w:pPr>
              <w:pStyle w:val="Compact"/>
            </w:pPr>
            <w:r>
              <w:t>Zero</w:t>
            </w:r>
          </w:p>
        </w:tc>
        <w:tc>
          <w:tcPr>
            <w:tcW w:w="2268" w:type="dxa"/>
          </w:tcPr>
          <w:p w14:paraId="0AB491DA" w14:textId="77777777" w:rsidR="00293BDE" w:rsidRDefault="00000000">
            <w:pPr>
              <w:pStyle w:val="Compact"/>
            </w:pPr>
            <w:r>
              <w:t>Any</w:t>
            </w:r>
          </w:p>
        </w:tc>
      </w:tr>
      <w:tr w:rsidR="00293BDE" w14:paraId="4F17A3FA" w14:textId="77777777" w:rsidTr="00293BDE">
        <w:tc>
          <w:tcPr>
            <w:tcW w:w="2267" w:type="dxa"/>
          </w:tcPr>
          <w:p w14:paraId="1F70B43E" w14:textId="77777777" w:rsidR="00293BDE" w:rsidRDefault="00000000">
            <w:pPr>
              <w:pStyle w:val="Compact"/>
            </w:pPr>
            <w:r>
              <w:t>Tie-breaker determinations on clock</w:t>
            </w:r>
          </w:p>
        </w:tc>
        <w:tc>
          <w:tcPr>
            <w:tcW w:w="2268" w:type="dxa"/>
          </w:tcPr>
          <w:p w14:paraId="41BF6166" w14:textId="77777777" w:rsidR="00293BDE" w:rsidRDefault="00000000">
            <w:pPr>
              <w:pStyle w:val="Compact"/>
            </w:pPr>
            <w:r>
              <w:t>100 percent</w:t>
            </w:r>
          </w:p>
        </w:tc>
        <w:tc>
          <w:tcPr>
            <w:tcW w:w="2268" w:type="dxa"/>
          </w:tcPr>
          <w:p w14:paraId="66086CB4" w14:textId="77777777" w:rsidR="00293BDE" w:rsidRDefault="00000000">
            <w:pPr>
              <w:pStyle w:val="Compact"/>
            </w:pPr>
            <w:r>
              <w:t>One late</w:t>
            </w:r>
          </w:p>
        </w:tc>
        <w:tc>
          <w:tcPr>
            <w:tcW w:w="2268" w:type="dxa"/>
          </w:tcPr>
          <w:p w14:paraId="6C3F2FBF" w14:textId="77777777" w:rsidR="00293BDE" w:rsidRDefault="00000000">
            <w:pPr>
              <w:pStyle w:val="Compact"/>
            </w:pPr>
            <w:r>
              <w:t>Two or more late</w:t>
            </w:r>
          </w:p>
        </w:tc>
      </w:tr>
    </w:tbl>
    <w:p w14:paraId="58FA95BF" w14:textId="77777777" w:rsidR="00293BDE" w:rsidRDefault="00000000">
      <w:pPr>
        <w:pStyle w:val="Heading2"/>
      </w:pPr>
      <w:bookmarkStart w:id="521" w:name="__RefHeading___Toc11062_3324765499"/>
      <w:bookmarkEnd w:id="521"/>
      <w:r>
        <w:t>I.5 Domain Four: compliance and de-escalation</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01E2CAF4"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204F97C1" w14:textId="77777777" w:rsidR="00293BDE" w:rsidRDefault="00000000">
            <w:pPr>
              <w:pStyle w:val="Compact"/>
            </w:pPr>
            <w:r>
              <w:t>Metric</w:t>
            </w:r>
          </w:p>
        </w:tc>
        <w:tc>
          <w:tcPr>
            <w:tcW w:w="2268" w:type="dxa"/>
            <w:tcBorders>
              <w:bottom w:val="single" w:sz="6" w:space="0" w:color="000000"/>
            </w:tcBorders>
          </w:tcPr>
          <w:p w14:paraId="287D9903" w14:textId="77777777" w:rsidR="00293BDE" w:rsidRDefault="00000000">
            <w:pPr>
              <w:pStyle w:val="Compact"/>
            </w:pPr>
            <w:r>
              <w:t>Pass</w:t>
            </w:r>
          </w:p>
        </w:tc>
        <w:tc>
          <w:tcPr>
            <w:tcW w:w="2268" w:type="dxa"/>
            <w:tcBorders>
              <w:bottom w:val="single" w:sz="6" w:space="0" w:color="000000"/>
            </w:tcBorders>
          </w:tcPr>
          <w:p w14:paraId="7563D005" w14:textId="77777777" w:rsidR="00293BDE" w:rsidRDefault="00000000">
            <w:pPr>
              <w:pStyle w:val="Compact"/>
            </w:pPr>
            <w:r>
              <w:t>Conditional</w:t>
            </w:r>
          </w:p>
        </w:tc>
        <w:tc>
          <w:tcPr>
            <w:tcW w:w="2268" w:type="dxa"/>
            <w:tcBorders>
              <w:bottom w:val="single" w:sz="6" w:space="0" w:color="000000"/>
            </w:tcBorders>
          </w:tcPr>
          <w:p w14:paraId="1130380B" w14:textId="77777777" w:rsidR="00293BDE" w:rsidRDefault="00000000">
            <w:pPr>
              <w:pStyle w:val="Compact"/>
            </w:pPr>
            <w:r>
              <w:t>Fail</w:t>
            </w:r>
          </w:p>
        </w:tc>
      </w:tr>
      <w:tr w:rsidR="00293BDE" w14:paraId="560EF6A6" w14:textId="77777777" w:rsidTr="00293BDE">
        <w:tc>
          <w:tcPr>
            <w:tcW w:w="2267" w:type="dxa"/>
          </w:tcPr>
          <w:p w14:paraId="749094A8" w14:textId="77777777" w:rsidR="00293BDE" w:rsidRDefault="00000000">
            <w:pPr>
              <w:pStyle w:val="Compact"/>
            </w:pPr>
            <w:r>
              <w:t>Points per Party (rolling)</w:t>
            </w:r>
          </w:p>
        </w:tc>
        <w:tc>
          <w:tcPr>
            <w:tcW w:w="2268" w:type="dxa"/>
          </w:tcPr>
          <w:p w14:paraId="69A3DCB4" w14:textId="77777777" w:rsidR="00293BDE" w:rsidRDefault="00000000">
            <w:pPr>
              <w:pStyle w:val="Compact"/>
            </w:pPr>
            <w:r>
              <w:t>All under 5</w:t>
            </w:r>
          </w:p>
        </w:tc>
        <w:tc>
          <w:tcPr>
            <w:tcW w:w="2268" w:type="dxa"/>
          </w:tcPr>
          <w:p w14:paraId="4E56D6E8" w14:textId="77777777" w:rsidR="00293BDE" w:rsidRDefault="00000000">
            <w:pPr>
              <w:pStyle w:val="Compact"/>
            </w:pPr>
            <w:r>
              <w:t>Any 5 to 7 with restoration on clock</w:t>
            </w:r>
          </w:p>
        </w:tc>
        <w:tc>
          <w:tcPr>
            <w:tcW w:w="2268" w:type="dxa"/>
          </w:tcPr>
          <w:p w14:paraId="747F633C" w14:textId="77777777" w:rsidR="00293BDE" w:rsidRDefault="00000000">
            <w:pPr>
              <w:pStyle w:val="Compact"/>
            </w:pPr>
            <w:r>
              <w:t>Any 8 or above</w:t>
            </w:r>
          </w:p>
        </w:tc>
      </w:tr>
      <w:tr w:rsidR="00293BDE" w14:paraId="4A8B5D51" w14:textId="77777777" w:rsidTr="00293BDE">
        <w:tc>
          <w:tcPr>
            <w:tcW w:w="2267" w:type="dxa"/>
          </w:tcPr>
          <w:p w14:paraId="17190FE8" w14:textId="77777777" w:rsidR="00293BDE" w:rsidRDefault="00000000">
            <w:pPr>
              <w:pStyle w:val="Compact"/>
            </w:pPr>
            <w:r>
              <w:t>Hotline test success</w:t>
            </w:r>
          </w:p>
        </w:tc>
        <w:tc>
          <w:tcPr>
            <w:tcW w:w="2268" w:type="dxa"/>
          </w:tcPr>
          <w:p w14:paraId="3783E357" w14:textId="77777777" w:rsidR="00293BDE" w:rsidRDefault="00000000">
            <w:pPr>
              <w:pStyle w:val="Compact"/>
            </w:pPr>
            <w:r>
              <w:t>100 percent</w:t>
            </w:r>
          </w:p>
        </w:tc>
        <w:tc>
          <w:tcPr>
            <w:tcW w:w="2268" w:type="dxa"/>
          </w:tcPr>
          <w:p w14:paraId="59B552F3" w14:textId="77777777" w:rsidR="00293BDE" w:rsidRDefault="00000000">
            <w:pPr>
              <w:pStyle w:val="Compact"/>
            </w:pPr>
            <w:r>
              <w:t>97 to 100 percent</w:t>
            </w:r>
          </w:p>
        </w:tc>
        <w:tc>
          <w:tcPr>
            <w:tcW w:w="2268" w:type="dxa"/>
          </w:tcPr>
          <w:p w14:paraId="1C3C2605" w14:textId="77777777" w:rsidR="00293BDE" w:rsidRDefault="00000000">
            <w:pPr>
              <w:pStyle w:val="Compact"/>
            </w:pPr>
            <w:r>
              <w:t>Below 97 percent</w:t>
            </w:r>
          </w:p>
        </w:tc>
      </w:tr>
      <w:tr w:rsidR="00293BDE" w14:paraId="559FFA30" w14:textId="77777777" w:rsidTr="00293BDE">
        <w:tc>
          <w:tcPr>
            <w:tcW w:w="2267" w:type="dxa"/>
          </w:tcPr>
          <w:p w14:paraId="5F87BB8C" w14:textId="77777777" w:rsidR="00293BDE" w:rsidRDefault="00000000">
            <w:pPr>
              <w:pStyle w:val="Compact"/>
            </w:pPr>
            <w:r>
              <w:t>Standoff geometry breaches</w:t>
            </w:r>
          </w:p>
        </w:tc>
        <w:tc>
          <w:tcPr>
            <w:tcW w:w="2268" w:type="dxa"/>
          </w:tcPr>
          <w:p w14:paraId="7532E2DE" w14:textId="77777777" w:rsidR="00293BDE" w:rsidRDefault="00000000">
            <w:pPr>
              <w:pStyle w:val="Compact"/>
            </w:pPr>
            <w:r>
              <w:t>Zero L3</w:t>
            </w:r>
          </w:p>
        </w:tc>
        <w:tc>
          <w:tcPr>
            <w:tcW w:w="2268" w:type="dxa"/>
          </w:tcPr>
          <w:p w14:paraId="3C3645E6" w14:textId="77777777" w:rsidR="00293BDE" w:rsidRDefault="00000000">
            <w:pPr>
              <w:pStyle w:val="Compact"/>
            </w:pPr>
            <w:r>
              <w:t>L3 events with full response record</w:t>
            </w:r>
          </w:p>
        </w:tc>
        <w:tc>
          <w:tcPr>
            <w:tcW w:w="2268" w:type="dxa"/>
          </w:tcPr>
          <w:p w14:paraId="09246E16" w14:textId="77777777" w:rsidR="00293BDE" w:rsidRDefault="00000000">
            <w:pPr>
              <w:pStyle w:val="Compact"/>
            </w:pPr>
            <w:r>
              <w:t>Unresolved L3 events</w:t>
            </w:r>
          </w:p>
        </w:tc>
      </w:tr>
      <w:tr w:rsidR="00293BDE" w14:paraId="3B70CC34" w14:textId="77777777" w:rsidTr="00293BDE">
        <w:tc>
          <w:tcPr>
            <w:tcW w:w="2267" w:type="dxa"/>
          </w:tcPr>
          <w:p w14:paraId="754DE61D" w14:textId="77777777" w:rsidR="00293BDE" w:rsidRDefault="00000000">
            <w:pPr>
              <w:pStyle w:val="Compact"/>
            </w:pPr>
            <w:r>
              <w:t>Human Anchor Method applied</w:t>
            </w:r>
          </w:p>
        </w:tc>
        <w:tc>
          <w:tcPr>
            <w:tcW w:w="2268" w:type="dxa"/>
          </w:tcPr>
          <w:p w14:paraId="4881EF34" w14:textId="77777777" w:rsidR="00293BDE" w:rsidRDefault="00000000">
            <w:pPr>
              <w:pStyle w:val="Compact"/>
            </w:pPr>
            <w:r>
              <w:t>100 percent of events</w:t>
            </w:r>
          </w:p>
        </w:tc>
        <w:tc>
          <w:tcPr>
            <w:tcW w:w="2268" w:type="dxa"/>
          </w:tcPr>
          <w:p w14:paraId="3BC283B8" w14:textId="77777777" w:rsidR="00293BDE" w:rsidRDefault="00000000">
            <w:pPr>
              <w:pStyle w:val="Compact"/>
            </w:pPr>
            <w:r>
              <w:t>95 to 100 percent</w:t>
            </w:r>
          </w:p>
        </w:tc>
        <w:tc>
          <w:tcPr>
            <w:tcW w:w="2268" w:type="dxa"/>
          </w:tcPr>
          <w:p w14:paraId="3043FDEA" w14:textId="77777777" w:rsidR="00293BDE" w:rsidRDefault="00000000">
            <w:pPr>
              <w:pStyle w:val="Compact"/>
            </w:pPr>
            <w:r>
              <w:t>Below 95 percent</w:t>
            </w:r>
          </w:p>
        </w:tc>
      </w:tr>
    </w:tbl>
    <w:p w14:paraId="7156CAB1" w14:textId="77777777" w:rsidR="00293BDE" w:rsidRDefault="00000000">
      <w:pPr>
        <w:pStyle w:val="Heading2"/>
      </w:pPr>
      <w:bookmarkStart w:id="522" w:name="__RefHeading___Toc11064_3324765499"/>
      <w:bookmarkEnd w:id="522"/>
      <w:r>
        <w:t>I.6 Domain Five: acceptance and market response</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1ABCC8E3"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29AAE668" w14:textId="77777777" w:rsidR="00293BDE" w:rsidRDefault="00000000">
            <w:pPr>
              <w:pStyle w:val="Compact"/>
            </w:pPr>
            <w:r>
              <w:t>Metric</w:t>
            </w:r>
          </w:p>
        </w:tc>
        <w:tc>
          <w:tcPr>
            <w:tcW w:w="2268" w:type="dxa"/>
            <w:tcBorders>
              <w:bottom w:val="single" w:sz="6" w:space="0" w:color="000000"/>
            </w:tcBorders>
          </w:tcPr>
          <w:p w14:paraId="1C55F23C" w14:textId="77777777" w:rsidR="00293BDE" w:rsidRDefault="00000000">
            <w:pPr>
              <w:pStyle w:val="Compact"/>
            </w:pPr>
            <w:r>
              <w:t>Pass</w:t>
            </w:r>
          </w:p>
        </w:tc>
        <w:tc>
          <w:tcPr>
            <w:tcW w:w="2268" w:type="dxa"/>
            <w:tcBorders>
              <w:bottom w:val="single" w:sz="6" w:space="0" w:color="000000"/>
            </w:tcBorders>
          </w:tcPr>
          <w:p w14:paraId="283AA218" w14:textId="77777777" w:rsidR="00293BDE" w:rsidRDefault="00000000">
            <w:pPr>
              <w:pStyle w:val="Compact"/>
            </w:pPr>
            <w:r>
              <w:t>Conditional</w:t>
            </w:r>
          </w:p>
        </w:tc>
        <w:tc>
          <w:tcPr>
            <w:tcW w:w="2268" w:type="dxa"/>
            <w:tcBorders>
              <w:bottom w:val="single" w:sz="6" w:space="0" w:color="000000"/>
            </w:tcBorders>
          </w:tcPr>
          <w:p w14:paraId="6C693255" w14:textId="77777777" w:rsidR="00293BDE" w:rsidRDefault="00000000">
            <w:pPr>
              <w:pStyle w:val="Compact"/>
            </w:pPr>
            <w:r>
              <w:t>Fail</w:t>
            </w:r>
          </w:p>
        </w:tc>
      </w:tr>
      <w:tr w:rsidR="00293BDE" w14:paraId="443BFC27" w14:textId="77777777" w:rsidTr="00293BDE">
        <w:tc>
          <w:tcPr>
            <w:tcW w:w="2267" w:type="dxa"/>
          </w:tcPr>
          <w:p w14:paraId="5773766B" w14:textId="77777777" w:rsidR="00293BDE" w:rsidRDefault="00000000">
            <w:pPr>
              <w:pStyle w:val="Compact"/>
            </w:pPr>
            <w:r>
              <w:t>Transit Assurance Certificate uptake</w:t>
            </w:r>
          </w:p>
        </w:tc>
        <w:tc>
          <w:tcPr>
            <w:tcW w:w="2268" w:type="dxa"/>
          </w:tcPr>
          <w:p w14:paraId="0392CB6E" w14:textId="77777777" w:rsidR="00293BDE" w:rsidRDefault="00000000">
            <w:pPr>
              <w:pStyle w:val="Compact"/>
            </w:pPr>
            <w:r>
              <w:t>60 percent or above of transits</w:t>
            </w:r>
          </w:p>
        </w:tc>
        <w:tc>
          <w:tcPr>
            <w:tcW w:w="2268" w:type="dxa"/>
          </w:tcPr>
          <w:p w14:paraId="3192E54C" w14:textId="77777777" w:rsidR="00293BDE" w:rsidRDefault="00000000">
            <w:pPr>
              <w:pStyle w:val="Compact"/>
            </w:pPr>
            <w:r>
              <w:t>40 to 60 percent</w:t>
            </w:r>
          </w:p>
        </w:tc>
        <w:tc>
          <w:tcPr>
            <w:tcW w:w="2268" w:type="dxa"/>
          </w:tcPr>
          <w:p w14:paraId="6B736023" w14:textId="77777777" w:rsidR="00293BDE" w:rsidRDefault="00000000">
            <w:pPr>
              <w:pStyle w:val="Compact"/>
            </w:pPr>
            <w:r>
              <w:t>Below 40 percent</w:t>
            </w:r>
          </w:p>
        </w:tc>
      </w:tr>
      <w:tr w:rsidR="00293BDE" w14:paraId="2BBABB58" w14:textId="77777777" w:rsidTr="00293BDE">
        <w:tc>
          <w:tcPr>
            <w:tcW w:w="2267" w:type="dxa"/>
          </w:tcPr>
          <w:p w14:paraId="4C452B20" w14:textId="77777777" w:rsidR="00293BDE" w:rsidRDefault="00000000">
            <w:pPr>
              <w:pStyle w:val="Compact"/>
            </w:pPr>
            <w:r>
              <w:t>War-risk premium trend</w:t>
            </w:r>
          </w:p>
        </w:tc>
        <w:tc>
          <w:tcPr>
            <w:tcW w:w="2268" w:type="dxa"/>
          </w:tcPr>
          <w:p w14:paraId="149444FE" w14:textId="77777777" w:rsidR="00293BDE" w:rsidRDefault="00000000">
            <w:pPr>
              <w:pStyle w:val="Compact"/>
            </w:pPr>
            <w:r>
              <w:t>Falling</w:t>
            </w:r>
          </w:p>
        </w:tc>
        <w:tc>
          <w:tcPr>
            <w:tcW w:w="2268" w:type="dxa"/>
          </w:tcPr>
          <w:p w14:paraId="17277A00" w14:textId="77777777" w:rsidR="00293BDE" w:rsidRDefault="00000000">
            <w:pPr>
              <w:pStyle w:val="Compact"/>
            </w:pPr>
            <w:r>
              <w:t>Flat</w:t>
            </w:r>
          </w:p>
        </w:tc>
        <w:tc>
          <w:tcPr>
            <w:tcW w:w="2268" w:type="dxa"/>
          </w:tcPr>
          <w:p w14:paraId="60800E8A" w14:textId="77777777" w:rsidR="00293BDE" w:rsidRDefault="00000000">
            <w:pPr>
              <w:pStyle w:val="Compact"/>
            </w:pPr>
            <w:r>
              <w:t>Rising</w:t>
            </w:r>
          </w:p>
        </w:tc>
      </w:tr>
      <w:tr w:rsidR="00293BDE" w14:paraId="59F783D9" w14:textId="77777777" w:rsidTr="00293BDE">
        <w:tc>
          <w:tcPr>
            <w:tcW w:w="2267" w:type="dxa"/>
          </w:tcPr>
          <w:p w14:paraId="35B1F86F" w14:textId="77777777" w:rsidR="00293BDE" w:rsidRDefault="00000000">
            <w:pPr>
              <w:pStyle w:val="Compact"/>
            </w:pPr>
            <w:r>
              <w:t>Notice usage (voluntary lanes)</w:t>
            </w:r>
          </w:p>
        </w:tc>
        <w:tc>
          <w:tcPr>
            <w:tcW w:w="2268" w:type="dxa"/>
          </w:tcPr>
          <w:p w14:paraId="07948F85" w14:textId="77777777" w:rsidR="00293BDE" w:rsidRDefault="00000000">
            <w:pPr>
              <w:pStyle w:val="Compact"/>
            </w:pPr>
            <w:r>
              <w:t>70 percent or above</w:t>
            </w:r>
          </w:p>
        </w:tc>
        <w:tc>
          <w:tcPr>
            <w:tcW w:w="2268" w:type="dxa"/>
          </w:tcPr>
          <w:p w14:paraId="6952A8F2" w14:textId="77777777" w:rsidR="00293BDE" w:rsidRDefault="00000000">
            <w:pPr>
              <w:pStyle w:val="Compact"/>
            </w:pPr>
            <w:r>
              <w:t>50 to 70 percent</w:t>
            </w:r>
          </w:p>
        </w:tc>
        <w:tc>
          <w:tcPr>
            <w:tcW w:w="2268" w:type="dxa"/>
          </w:tcPr>
          <w:p w14:paraId="23283EA2" w14:textId="77777777" w:rsidR="00293BDE" w:rsidRDefault="00000000">
            <w:pPr>
              <w:pStyle w:val="Compact"/>
            </w:pPr>
            <w:r>
              <w:t>Below 50 percent</w:t>
            </w:r>
          </w:p>
        </w:tc>
      </w:tr>
      <w:tr w:rsidR="00293BDE" w14:paraId="4199BB60" w14:textId="77777777" w:rsidTr="00293BDE">
        <w:tc>
          <w:tcPr>
            <w:tcW w:w="2267" w:type="dxa"/>
          </w:tcPr>
          <w:p w14:paraId="078A021D" w14:textId="77777777" w:rsidR="00293BDE" w:rsidRDefault="00000000">
            <w:pPr>
              <w:pStyle w:val="Compact"/>
            </w:pPr>
            <w:r>
              <w:t>Observer and Panel accreditation</w:t>
            </w:r>
          </w:p>
        </w:tc>
        <w:tc>
          <w:tcPr>
            <w:tcW w:w="2268" w:type="dxa"/>
          </w:tcPr>
          <w:p w14:paraId="547FC3B0" w14:textId="77777777" w:rsidR="00293BDE" w:rsidRDefault="00000000">
            <w:pPr>
              <w:pStyle w:val="Compact"/>
            </w:pPr>
            <w:r>
              <w:t>All applications processed on clock</w:t>
            </w:r>
          </w:p>
        </w:tc>
        <w:tc>
          <w:tcPr>
            <w:tcW w:w="2268" w:type="dxa"/>
          </w:tcPr>
          <w:p w14:paraId="448316C5" w14:textId="77777777" w:rsidR="00293BDE" w:rsidRDefault="00000000">
            <w:pPr>
              <w:pStyle w:val="Compact"/>
            </w:pPr>
            <w:r>
              <w:t>Delays under 10 days</w:t>
            </w:r>
          </w:p>
        </w:tc>
        <w:tc>
          <w:tcPr>
            <w:tcW w:w="2268" w:type="dxa"/>
          </w:tcPr>
          <w:p w14:paraId="740D699E" w14:textId="77777777" w:rsidR="00293BDE" w:rsidRDefault="00000000">
            <w:pPr>
              <w:pStyle w:val="Compact"/>
            </w:pPr>
            <w:r>
              <w:t>Delays over 10 days</w:t>
            </w:r>
          </w:p>
        </w:tc>
      </w:tr>
    </w:tbl>
    <w:p w14:paraId="41B617C9" w14:textId="77777777" w:rsidR="00293BDE" w:rsidRDefault="00000000">
      <w:pPr>
        <w:pStyle w:val="Heading2"/>
      </w:pPr>
      <w:bookmarkStart w:id="523" w:name="__RefHeading___Toc11066_3324765499"/>
      <w:bookmarkEnd w:id="523"/>
      <w:r>
        <w:t>I.7 The conclusion</w:t>
      </w:r>
    </w:p>
    <w:p w14:paraId="01BB3F8F" w14:textId="77777777" w:rsidR="00293BDE" w:rsidRDefault="00000000">
      <w:pPr>
        <w:pStyle w:val="FirstParagraph"/>
      </w:pPr>
      <w:r>
        <w:t>Five Passes: Full Activation proceeds on schedule. Any Conditional: the affected domain’s measures run a further 30 days with weekly publication, then re-review; Full Activation proceeds on the remaining domains. Any Fail: the Horizon Council convenes within five days; the domain resets with a corrective plan; the Review repeats for that domain within 30 days. The Review never produces a verdict of the whole Compact’s failure; it produces a map of what runs and what needs another month. The system moves forward by domain, always forward, never back to zero.</w:t>
      </w:r>
    </w:p>
    <w:bookmarkStart w:id="524" w:name="annex-i-activation-review"/>
    <w:p w14:paraId="0781F3A5" w14:textId="45BDC349" w:rsidR="00293BDE" w:rsidRDefault="00622008">
      <w:r>
        <w:rPr>
          <w:noProof/>
        </w:rPr>
      </w:r>
      <w:r>
        <w:pict w14:anchorId="7961DE0A">
          <v:rect id="Rectangle 24" o:spid="_x0000_s1031"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24"/>
    </w:p>
    <w:p w14:paraId="1F6CB83E" w14:textId="77777777" w:rsidR="00293BDE" w:rsidRDefault="00000000">
      <w:pPr>
        <w:pStyle w:val="Heading1"/>
      </w:pPr>
      <w:bookmarkStart w:id="525" w:name="__RefHeading___Toc11068_3324765499"/>
      <w:bookmarkEnd w:id="525"/>
      <w:r>
        <w:t>ANNEX J: ENVIRONMENTAL PROTECTION AND SEARCH AND RESCUE</w:t>
      </w:r>
    </w:p>
    <w:p w14:paraId="28E4EEF1" w14:textId="77777777" w:rsidR="00293BDE" w:rsidRDefault="00000000">
      <w:pPr>
        <w:pStyle w:val="Heading2"/>
      </w:pPr>
      <w:bookmarkStart w:id="526" w:name="__RefHeading___Toc11070_3324765499"/>
      <w:bookmarkEnd w:id="526"/>
      <w:r>
        <w:t>J.1 The environmental baseline</w:t>
      </w:r>
    </w:p>
    <w:p w14:paraId="71AF68A1" w14:textId="77777777" w:rsidR="00293BDE" w:rsidRDefault="00000000">
      <w:pPr>
        <w:pStyle w:val="FirstParagraph"/>
      </w:pPr>
      <w:bookmarkStart w:id="527" w:name="j.1-the-environmental-baseline"/>
      <w:r>
        <w:t>The Authority maintains a rolling environmental baseline for the Governance Area: water quality, marine traffic emissions, spill incidence, and sensitive habitat mapping, published annually. The baseline gives every incident a before picture, which makes damage assessment mechanical rather than arguable. The first baseline publishes at Day 60 of the Assurance Phase from existing survey data and the Authority’s sensor layer.</w:t>
      </w:r>
      <w:bookmarkEnd w:id="527"/>
    </w:p>
    <w:p w14:paraId="714DDF36" w14:textId="77777777" w:rsidR="00293BDE" w:rsidRDefault="00000000">
      <w:pPr>
        <w:pStyle w:val="Heading2"/>
      </w:pPr>
      <w:bookmarkStart w:id="528" w:name="__RefHeading___Toc11072_3324765499"/>
      <w:bookmarkEnd w:id="528"/>
      <w:r>
        <w:t>J.2 Spill prevention and response</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6CECF437"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53790072" w14:textId="77777777" w:rsidR="00293BDE" w:rsidRDefault="00000000">
            <w:pPr>
              <w:pStyle w:val="Compact"/>
            </w:pPr>
            <w:r>
              <w:t>Element</w:t>
            </w:r>
          </w:p>
        </w:tc>
        <w:tc>
          <w:tcPr>
            <w:tcW w:w="3024" w:type="dxa"/>
            <w:tcBorders>
              <w:bottom w:val="single" w:sz="6" w:space="0" w:color="000000"/>
            </w:tcBorders>
          </w:tcPr>
          <w:p w14:paraId="6412E98F" w14:textId="77777777" w:rsidR="00293BDE" w:rsidRDefault="00000000">
            <w:pPr>
              <w:pStyle w:val="Compact"/>
            </w:pPr>
            <w:r>
              <w:t>Rule</w:t>
            </w:r>
          </w:p>
        </w:tc>
        <w:tc>
          <w:tcPr>
            <w:tcW w:w="3024" w:type="dxa"/>
            <w:tcBorders>
              <w:bottom w:val="single" w:sz="6" w:space="0" w:color="000000"/>
            </w:tcBorders>
          </w:tcPr>
          <w:p w14:paraId="4496EC1D" w14:textId="77777777" w:rsidR="00293BDE" w:rsidRDefault="00000000">
            <w:pPr>
              <w:pStyle w:val="Compact"/>
            </w:pPr>
            <w:r>
              <w:t>Standard</w:t>
            </w:r>
          </w:p>
        </w:tc>
      </w:tr>
      <w:tr w:rsidR="00293BDE" w14:paraId="62AD29DA" w14:textId="77777777" w:rsidTr="00293BDE">
        <w:tc>
          <w:tcPr>
            <w:tcW w:w="3024" w:type="dxa"/>
          </w:tcPr>
          <w:p w14:paraId="5961E075" w14:textId="77777777" w:rsidR="00293BDE" w:rsidRDefault="00000000">
            <w:pPr>
              <w:pStyle w:val="Compact"/>
            </w:pPr>
            <w:r>
              <w:t>Reporting</w:t>
            </w:r>
          </w:p>
        </w:tc>
        <w:tc>
          <w:tcPr>
            <w:tcW w:w="3024" w:type="dxa"/>
          </w:tcPr>
          <w:p w14:paraId="1AECD9B9" w14:textId="77777777" w:rsidR="00293BDE" w:rsidRDefault="00000000">
            <w:pPr>
              <w:pStyle w:val="Compact"/>
            </w:pPr>
            <w:r>
              <w:t>Any discharge, observed or suspected, reports to the environmental desk within one hour</w:t>
            </w:r>
          </w:p>
        </w:tc>
        <w:tc>
          <w:tcPr>
            <w:tcW w:w="3024" w:type="dxa"/>
          </w:tcPr>
          <w:p w14:paraId="0B69534B" w14:textId="77777777" w:rsidR="00293BDE" w:rsidRDefault="00000000">
            <w:pPr>
              <w:pStyle w:val="Compact"/>
            </w:pPr>
            <w:r>
              <w:t>Form D-6, severity L2 minimum</w:t>
            </w:r>
          </w:p>
        </w:tc>
      </w:tr>
      <w:tr w:rsidR="00293BDE" w14:paraId="43DBB308" w14:textId="77777777" w:rsidTr="00293BDE">
        <w:tc>
          <w:tcPr>
            <w:tcW w:w="3024" w:type="dxa"/>
          </w:tcPr>
          <w:p w14:paraId="282B8695" w14:textId="77777777" w:rsidR="00293BDE" w:rsidRDefault="00000000">
            <w:pPr>
              <w:pStyle w:val="Compact"/>
            </w:pPr>
            <w:r>
              <w:t>Response tiers</w:t>
            </w:r>
          </w:p>
        </w:tc>
        <w:tc>
          <w:tcPr>
            <w:tcW w:w="3024" w:type="dxa"/>
          </w:tcPr>
          <w:p w14:paraId="28D6DBAC" w14:textId="77777777" w:rsidR="00293BDE" w:rsidRDefault="00000000">
            <w:pPr>
              <w:pStyle w:val="Compact"/>
            </w:pPr>
            <w:r>
              <w:t>Tier 1: vessel-level, shipboard resources. Tier 2: corridor-level, Authority response craft. Tier 3: area-level, littoral coordination through the Authority</w:t>
            </w:r>
          </w:p>
        </w:tc>
        <w:tc>
          <w:tcPr>
            <w:tcW w:w="3024" w:type="dxa"/>
          </w:tcPr>
          <w:p w14:paraId="55B60B48" w14:textId="77777777" w:rsidR="00293BDE" w:rsidRDefault="00000000">
            <w:pPr>
              <w:pStyle w:val="Compact"/>
            </w:pPr>
            <w:r>
              <w:t>Tier assigns by rule from quantity and location</w:t>
            </w:r>
          </w:p>
        </w:tc>
      </w:tr>
      <w:tr w:rsidR="00293BDE" w14:paraId="370D02D9" w14:textId="77777777" w:rsidTr="00293BDE">
        <w:tc>
          <w:tcPr>
            <w:tcW w:w="3024" w:type="dxa"/>
          </w:tcPr>
          <w:p w14:paraId="5E7006A2" w14:textId="77777777" w:rsidR="00293BDE" w:rsidRDefault="00000000">
            <w:pPr>
              <w:pStyle w:val="Compact"/>
            </w:pPr>
            <w:r>
              <w:t>Response assets</w:t>
            </w:r>
          </w:p>
        </w:tc>
        <w:tc>
          <w:tcPr>
            <w:tcW w:w="3024" w:type="dxa"/>
          </w:tcPr>
          <w:p w14:paraId="0ABB4EB2" w14:textId="77777777" w:rsidR="00293BDE" w:rsidRDefault="00000000">
            <w:pPr>
              <w:pStyle w:val="Compact"/>
            </w:pPr>
            <w:r>
              <w:t>Two ocean-class response craft, one per corridor, with dispersant, boom, and skimmer sets</w:t>
            </w:r>
          </w:p>
        </w:tc>
        <w:tc>
          <w:tcPr>
            <w:tcW w:w="3024" w:type="dxa"/>
          </w:tcPr>
          <w:p w14:paraId="4EC6ADF9" w14:textId="77777777" w:rsidR="00293BDE" w:rsidRDefault="00000000">
            <w:pPr>
              <w:pStyle w:val="Compact"/>
            </w:pPr>
            <w:r>
              <w:t>4-hour on-scene standard inside the Governance Area</w:t>
            </w:r>
          </w:p>
        </w:tc>
      </w:tr>
      <w:tr w:rsidR="00293BDE" w14:paraId="56028788" w14:textId="77777777" w:rsidTr="00293BDE">
        <w:tc>
          <w:tcPr>
            <w:tcW w:w="3024" w:type="dxa"/>
          </w:tcPr>
          <w:p w14:paraId="09330D10" w14:textId="77777777" w:rsidR="00293BDE" w:rsidRDefault="00000000">
            <w:pPr>
              <w:pStyle w:val="Compact"/>
            </w:pPr>
            <w:r>
              <w:t>Cost recovery</w:t>
            </w:r>
          </w:p>
        </w:tc>
        <w:tc>
          <w:tcPr>
            <w:tcW w:w="3024" w:type="dxa"/>
          </w:tcPr>
          <w:p w14:paraId="0688C435" w14:textId="77777777" w:rsidR="00293BDE" w:rsidRDefault="00000000">
            <w:pPr>
              <w:pStyle w:val="Compact"/>
            </w:pPr>
            <w:r>
              <w:t>Response costs bill through the Fund to the responsible operator; unrecovered costs draw on the Compensation Window</w:t>
            </w:r>
          </w:p>
        </w:tc>
        <w:tc>
          <w:tcPr>
            <w:tcW w:w="3024" w:type="dxa"/>
          </w:tcPr>
          <w:p w14:paraId="47DBCADE" w14:textId="77777777" w:rsidR="00293BDE" w:rsidRDefault="00000000">
            <w:pPr>
              <w:pStyle w:val="Compact"/>
            </w:pPr>
            <w:r>
              <w:t>Catalog item 5 applies</w:t>
            </w:r>
          </w:p>
        </w:tc>
      </w:tr>
      <w:tr w:rsidR="00293BDE" w14:paraId="4F409470" w14:textId="77777777" w:rsidTr="00293BDE">
        <w:tc>
          <w:tcPr>
            <w:tcW w:w="3024" w:type="dxa"/>
          </w:tcPr>
          <w:p w14:paraId="3A1640ED" w14:textId="77777777" w:rsidR="00293BDE" w:rsidRDefault="00000000">
            <w:pPr>
              <w:pStyle w:val="Compact"/>
            </w:pPr>
            <w:r>
              <w:t>Sensitive zones</w:t>
            </w:r>
          </w:p>
        </w:tc>
        <w:tc>
          <w:tcPr>
            <w:tcW w:w="3024" w:type="dxa"/>
          </w:tcPr>
          <w:p w14:paraId="02C599BF" w14:textId="77777777" w:rsidR="00293BDE" w:rsidRDefault="00000000">
            <w:pPr>
              <w:pStyle w:val="Compact"/>
            </w:pPr>
            <w:r>
              <w:t>Published zones carry speed and anchoring restrictions in the Bulletin</w:t>
            </w:r>
          </w:p>
        </w:tc>
        <w:tc>
          <w:tcPr>
            <w:tcW w:w="3024" w:type="dxa"/>
          </w:tcPr>
          <w:p w14:paraId="71A7D919" w14:textId="77777777" w:rsidR="00293BDE" w:rsidRDefault="00000000">
            <w:pPr>
              <w:pStyle w:val="Compact"/>
            </w:pPr>
            <w:bookmarkStart w:id="529" w:name="j.2-spill-prevention-and-response"/>
            <w:r>
              <w:t>Updated quarterly</w:t>
            </w:r>
            <w:bookmarkEnd w:id="529"/>
          </w:p>
        </w:tc>
      </w:tr>
    </w:tbl>
    <w:p w14:paraId="7B8B5CEF" w14:textId="77777777" w:rsidR="00293BDE" w:rsidRDefault="00000000">
      <w:pPr>
        <w:pStyle w:val="Heading2"/>
      </w:pPr>
      <w:bookmarkStart w:id="530" w:name="__RefHeading___Toc11074_3324765499"/>
      <w:bookmarkEnd w:id="530"/>
      <w:r>
        <w:t>J.3 Search and rescue coordination</w:t>
      </w:r>
    </w:p>
    <w:p w14:paraId="2C792B45" w14:textId="77777777" w:rsidR="00293BDE" w:rsidRDefault="00000000">
      <w:pPr>
        <w:pStyle w:val="FirstParagraph"/>
      </w:pPr>
      <w:r>
        <w:t>Distress response sits inside the Essential Functions Protocol: it never pauses, degrades, or conditions on anything. The watch floor maintains the distress watch on the published channels. The nearest capable unit responds, regardless of flag, nationality of persons, or flow state. Coordination follows the littoral states’ existing SAR plans with the Authority as the shared picture holder. Every SAR event generates a one-page factual report within 48 hours, published in the Bulletin. Rescued persons land at the nearest safe port; the Compact touches no asylum or migration question.</w:t>
      </w:r>
    </w:p>
    <w:p w14:paraId="3F7DC604" w14:textId="77777777" w:rsidR="00293BDE" w:rsidRDefault="00000000">
      <w:pPr>
        <w:pStyle w:val="Heading2"/>
      </w:pPr>
      <w:bookmarkStart w:id="531" w:name="__RefHeading___Toc11076_3324765499"/>
      <w:bookmarkEnd w:id="531"/>
      <w:r>
        <w:t>J.4 Salvage and wreck</w:t>
      </w:r>
    </w:p>
    <w:p w14:paraId="57225A06" w14:textId="77777777" w:rsidR="00293BDE" w:rsidRDefault="00000000">
      <w:pPr>
        <w:pStyle w:val="FirstParagraph"/>
      </w:pPr>
      <w:bookmarkStart w:id="532" w:name="j.4-salvage-and-wreck"/>
      <w:r>
        <w:t>Wreck marking and removal in the corridors coordinate through the Authority to keep lanes clear. Salvage notification copies the Authority so the Bulletin warns traffic. Wreck removal costs follow the same recovery path as spill response.</w:t>
      </w:r>
      <w:bookmarkEnd w:id="532"/>
    </w:p>
    <w:p w14:paraId="5BE47876" w14:textId="77777777" w:rsidR="00293BDE" w:rsidRDefault="00000000">
      <w:pPr>
        <w:pStyle w:val="Heading2"/>
      </w:pPr>
      <w:bookmarkStart w:id="533" w:name="__RefHeading___Toc11078_3324765499"/>
      <w:bookmarkEnd w:id="533"/>
      <w:r>
        <w:t>J.5 The annual environmental audit</w:t>
      </w:r>
    </w:p>
    <w:p w14:paraId="66EE305D" w14:textId="77777777" w:rsidR="00293BDE" w:rsidRDefault="00000000">
      <w:pPr>
        <w:pStyle w:val="FirstParagraph"/>
      </w:pPr>
      <w:r>
        <w:t>The environmental desk publishes an annual audit: incidents, response times, cost recovery, sensitive-zone compliance, and the baseline trend. The audit goes to the Horizon Council, the Technical and Standards Committee, and the public, in all three languages.</w:t>
      </w:r>
    </w:p>
    <w:bookmarkStart w:id="534" w:name="X894de6bf97a21b4e3074e48491ad4984195bd6e"/>
    <w:bookmarkStart w:id="535" w:name="j.5-the-annual-environmental-audit"/>
    <w:p w14:paraId="5AC25665" w14:textId="682D7EC1" w:rsidR="00293BDE" w:rsidRDefault="00622008">
      <w:r>
        <w:rPr>
          <w:noProof/>
        </w:rPr>
      </w:r>
      <w:r>
        <w:pict w14:anchorId="766EDB3B">
          <v:rect id="Rectangle 25" o:spid="_x0000_s1030"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34"/>
      <w:bookmarkEnd w:id="535"/>
    </w:p>
    <w:p w14:paraId="6C794F22" w14:textId="77777777" w:rsidR="00293BDE" w:rsidRDefault="00000000">
      <w:pPr>
        <w:pStyle w:val="Heading1"/>
      </w:pPr>
      <w:bookmarkStart w:id="536" w:name="__RefHeading___Toc11080_3324765499"/>
      <w:bookmarkEnd w:id="536"/>
      <w:r>
        <w:t>ANNEX K: DEMAND RECONCILIATION REGISTER</w:t>
      </w:r>
    </w:p>
    <w:p w14:paraId="04DDC184" w14:textId="77777777" w:rsidR="00293BDE" w:rsidRDefault="00000000">
      <w:pPr>
        <w:pStyle w:val="Heading2"/>
      </w:pPr>
      <w:bookmarkStart w:id="537" w:name="__RefHeading___Toc11082_3324765499"/>
      <w:bookmarkEnd w:id="537"/>
      <w:r>
        <w:t>K.1 Purpose and method</w:t>
      </w:r>
    </w:p>
    <w:p w14:paraId="4A55A9A9" w14:textId="77777777" w:rsidR="00293BDE" w:rsidRDefault="00000000">
      <w:pPr>
        <w:pStyle w:val="FirstParagraph"/>
      </w:pPr>
      <w:bookmarkStart w:id="538" w:name="k.1-purpose-and-method"/>
      <w:r>
        <w:t>This Register maps every significant stated position of every participant group to the Compact provision that addresses it. The mapping demonstrates the Compact’s core claim: every red line survives intact, and every demand finds an address inside the architecture. The Register records positions as stated in public declarations and negotiating records through August 2026. Where a position conflicts with another position, the Register shows the architectural resolution rather than a winner.</w:t>
      </w:r>
      <w:bookmarkEnd w:id="538"/>
    </w:p>
    <w:p w14:paraId="535AA7E3" w14:textId="77777777" w:rsidR="00293BDE" w:rsidRDefault="00000000">
      <w:pPr>
        <w:pStyle w:val="Heading2"/>
      </w:pPr>
      <w:bookmarkStart w:id="539" w:name="__RefHeading___Toc11084_3324765499"/>
      <w:bookmarkEnd w:id="539"/>
      <w:r>
        <w:t>K.2 The United States: fifteen positions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1F2EF753"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57E79418" w14:textId="77777777" w:rsidR="00293BDE" w:rsidRDefault="00000000">
            <w:pPr>
              <w:pStyle w:val="Compact"/>
            </w:pPr>
            <w:r>
              <w:t>No.</w:t>
            </w:r>
          </w:p>
        </w:tc>
        <w:tc>
          <w:tcPr>
            <w:tcW w:w="3024" w:type="dxa"/>
            <w:tcBorders>
              <w:bottom w:val="single" w:sz="6" w:space="0" w:color="000000"/>
            </w:tcBorders>
          </w:tcPr>
          <w:p w14:paraId="6A293462" w14:textId="77777777" w:rsidR="00293BDE" w:rsidRDefault="00000000">
            <w:pPr>
              <w:pStyle w:val="Compact"/>
            </w:pPr>
            <w:r>
              <w:t>Position as stated</w:t>
            </w:r>
          </w:p>
        </w:tc>
        <w:tc>
          <w:tcPr>
            <w:tcW w:w="3024" w:type="dxa"/>
            <w:tcBorders>
              <w:bottom w:val="single" w:sz="6" w:space="0" w:color="000000"/>
            </w:tcBorders>
          </w:tcPr>
          <w:p w14:paraId="49CB815F" w14:textId="77777777" w:rsidR="00293BDE" w:rsidRDefault="00000000">
            <w:pPr>
              <w:pStyle w:val="Compact"/>
            </w:pPr>
            <w:r>
              <w:t>Compact address</w:t>
            </w:r>
          </w:p>
        </w:tc>
      </w:tr>
      <w:tr w:rsidR="00293BDE" w14:paraId="611EC7BB" w14:textId="77777777" w:rsidTr="00293BDE">
        <w:tc>
          <w:tcPr>
            <w:tcW w:w="3024" w:type="dxa"/>
          </w:tcPr>
          <w:p w14:paraId="67D2EE83" w14:textId="77777777" w:rsidR="00293BDE" w:rsidRDefault="00000000">
            <w:pPr>
              <w:pStyle w:val="Compact"/>
            </w:pPr>
            <w:r>
              <w:t>US-1</w:t>
            </w:r>
          </w:p>
        </w:tc>
        <w:tc>
          <w:tcPr>
            <w:tcW w:w="3024" w:type="dxa"/>
          </w:tcPr>
          <w:p w14:paraId="2214FCBF" w14:textId="77777777" w:rsidR="00293BDE" w:rsidRDefault="00000000">
            <w:pPr>
              <w:pStyle w:val="Compact"/>
            </w:pPr>
            <w:r>
              <w:t>No tolls on passage</w:t>
            </w:r>
          </w:p>
        </w:tc>
        <w:tc>
          <w:tcPr>
            <w:tcW w:w="3024" w:type="dxa"/>
          </w:tcPr>
          <w:p w14:paraId="1A30E71B" w14:textId="77777777" w:rsidR="00293BDE" w:rsidRDefault="00000000">
            <w:pPr>
              <w:pStyle w:val="Compact"/>
            </w:pPr>
            <w:r>
              <w:t>IPR-1; Open Passage Rule, Article 17</w:t>
            </w:r>
          </w:p>
        </w:tc>
      </w:tr>
      <w:tr w:rsidR="00293BDE" w14:paraId="33711321" w14:textId="77777777" w:rsidTr="00293BDE">
        <w:tc>
          <w:tcPr>
            <w:tcW w:w="3024" w:type="dxa"/>
          </w:tcPr>
          <w:p w14:paraId="74E1315D" w14:textId="77777777" w:rsidR="00293BDE" w:rsidRDefault="00000000">
            <w:pPr>
              <w:pStyle w:val="Compact"/>
            </w:pPr>
            <w:r>
              <w:t>US-2</w:t>
            </w:r>
          </w:p>
        </w:tc>
        <w:tc>
          <w:tcPr>
            <w:tcW w:w="3024" w:type="dxa"/>
          </w:tcPr>
          <w:p w14:paraId="7E2FB438" w14:textId="77777777" w:rsidR="00293BDE" w:rsidRDefault="00000000">
            <w:pPr>
              <w:pStyle w:val="Compact"/>
            </w:pPr>
            <w:r>
              <w:t>No Iranian unilateral control of the Strait</w:t>
            </w:r>
          </w:p>
        </w:tc>
        <w:tc>
          <w:tcPr>
            <w:tcW w:w="3024" w:type="dxa"/>
          </w:tcPr>
          <w:p w14:paraId="0721B6DE" w14:textId="77777777" w:rsidR="00293BDE" w:rsidRDefault="00000000">
            <w:pPr>
              <w:pStyle w:val="Compact"/>
            </w:pPr>
            <w:r>
              <w:t>IPR-13; Dual-Concurrence Rule, Article 15.4</w:t>
            </w:r>
          </w:p>
        </w:tc>
      </w:tr>
      <w:tr w:rsidR="00293BDE" w14:paraId="6A6C9810" w14:textId="77777777" w:rsidTr="00293BDE">
        <w:tc>
          <w:tcPr>
            <w:tcW w:w="3024" w:type="dxa"/>
          </w:tcPr>
          <w:p w14:paraId="13F7A079" w14:textId="77777777" w:rsidR="00293BDE" w:rsidRDefault="00000000">
            <w:pPr>
              <w:pStyle w:val="Compact"/>
            </w:pPr>
            <w:r>
              <w:t>US-3</w:t>
            </w:r>
          </w:p>
        </w:tc>
        <w:tc>
          <w:tcPr>
            <w:tcW w:w="3024" w:type="dxa"/>
          </w:tcPr>
          <w:p w14:paraId="1DD40060" w14:textId="77777777" w:rsidR="00293BDE" w:rsidRDefault="00000000">
            <w:pPr>
              <w:pStyle w:val="Compact"/>
            </w:pPr>
            <w:r>
              <w:t>No permission or clearance regime</w:t>
            </w:r>
          </w:p>
        </w:tc>
        <w:tc>
          <w:tcPr>
            <w:tcW w:w="3024" w:type="dxa"/>
          </w:tcPr>
          <w:p w14:paraId="691F221D" w14:textId="77777777" w:rsidR="00293BDE" w:rsidRDefault="00000000">
            <w:pPr>
              <w:pStyle w:val="Compact"/>
            </w:pPr>
            <w:r>
              <w:t>IPR-4; Article 12 notice design</w:t>
            </w:r>
          </w:p>
        </w:tc>
      </w:tr>
      <w:tr w:rsidR="00293BDE" w14:paraId="7570C6A2" w14:textId="77777777" w:rsidTr="00293BDE">
        <w:tc>
          <w:tcPr>
            <w:tcW w:w="3024" w:type="dxa"/>
          </w:tcPr>
          <w:p w14:paraId="63127C5F" w14:textId="77777777" w:rsidR="00293BDE" w:rsidRDefault="00000000">
            <w:pPr>
              <w:pStyle w:val="Compact"/>
            </w:pPr>
            <w:r>
              <w:t>US-4</w:t>
            </w:r>
          </w:p>
        </w:tc>
        <w:tc>
          <w:tcPr>
            <w:tcW w:w="3024" w:type="dxa"/>
          </w:tcPr>
          <w:p w14:paraId="573A2B31" w14:textId="77777777" w:rsidR="00293BDE" w:rsidRDefault="00000000">
            <w:pPr>
              <w:pStyle w:val="Compact"/>
            </w:pPr>
            <w:r>
              <w:t>Unconditional outbound lane</w:t>
            </w:r>
          </w:p>
        </w:tc>
        <w:tc>
          <w:tcPr>
            <w:tcW w:w="3024" w:type="dxa"/>
          </w:tcPr>
          <w:p w14:paraId="6D97D91B" w14:textId="77777777" w:rsidR="00293BDE" w:rsidRDefault="00000000">
            <w:pPr>
              <w:pStyle w:val="Compact"/>
            </w:pPr>
            <w:r>
              <w:t>IPR-2; Article 8.3</w:t>
            </w:r>
          </w:p>
        </w:tc>
      </w:tr>
      <w:tr w:rsidR="00293BDE" w14:paraId="2A4EE65C" w14:textId="77777777" w:rsidTr="00293BDE">
        <w:tc>
          <w:tcPr>
            <w:tcW w:w="3024" w:type="dxa"/>
          </w:tcPr>
          <w:p w14:paraId="02812F5D" w14:textId="77777777" w:rsidR="00293BDE" w:rsidRDefault="00000000">
            <w:pPr>
              <w:pStyle w:val="Compact"/>
            </w:pPr>
            <w:r>
              <w:t>US-5</w:t>
            </w:r>
          </w:p>
        </w:tc>
        <w:tc>
          <w:tcPr>
            <w:tcW w:w="3024" w:type="dxa"/>
          </w:tcPr>
          <w:p w14:paraId="3102B5AA" w14:textId="77777777" w:rsidR="00293BDE" w:rsidRDefault="00000000">
            <w:pPr>
              <w:pStyle w:val="Compact"/>
            </w:pPr>
            <w:r>
              <w:t>No revenue stream to sanctioned entities</w:t>
            </w:r>
          </w:p>
        </w:tc>
        <w:tc>
          <w:tcPr>
            <w:tcW w:w="3024" w:type="dxa"/>
          </w:tcPr>
          <w:p w14:paraId="4FFFFB0C" w14:textId="77777777" w:rsidR="00293BDE" w:rsidRDefault="00000000">
            <w:pPr>
              <w:pStyle w:val="Compact"/>
            </w:pPr>
            <w:r>
              <w:t>IPR-7; Firewall, Article 20.4; escrow architecture</w:t>
            </w:r>
          </w:p>
        </w:tc>
      </w:tr>
      <w:tr w:rsidR="00293BDE" w14:paraId="583889E9" w14:textId="77777777" w:rsidTr="00293BDE">
        <w:tc>
          <w:tcPr>
            <w:tcW w:w="3024" w:type="dxa"/>
          </w:tcPr>
          <w:p w14:paraId="2FE81996" w14:textId="77777777" w:rsidR="00293BDE" w:rsidRDefault="00000000">
            <w:pPr>
              <w:pStyle w:val="Compact"/>
            </w:pPr>
            <w:r>
              <w:t>US-6</w:t>
            </w:r>
          </w:p>
        </w:tc>
        <w:tc>
          <w:tcPr>
            <w:tcW w:w="3024" w:type="dxa"/>
          </w:tcPr>
          <w:p w14:paraId="762A51E0" w14:textId="77777777" w:rsidR="00293BDE" w:rsidRDefault="00000000">
            <w:pPr>
              <w:pStyle w:val="Compact"/>
            </w:pPr>
            <w:r>
              <w:t>Verification that does not depend on Tehran</w:t>
            </w:r>
          </w:p>
        </w:tc>
        <w:tc>
          <w:tcPr>
            <w:tcW w:w="3024" w:type="dxa"/>
          </w:tcPr>
          <w:p w14:paraId="5093FC07" w14:textId="77777777" w:rsidR="00293BDE" w:rsidRDefault="00000000">
            <w:pPr>
              <w:pStyle w:val="Compact"/>
            </w:pPr>
            <w:r>
              <w:t>Article 22; two-key data custody; Layer 3 Troika</w:t>
            </w:r>
          </w:p>
        </w:tc>
      </w:tr>
      <w:tr w:rsidR="00293BDE" w14:paraId="2AF74892" w14:textId="77777777" w:rsidTr="00293BDE">
        <w:tc>
          <w:tcPr>
            <w:tcW w:w="3024" w:type="dxa"/>
          </w:tcPr>
          <w:p w14:paraId="0C0F82AB" w14:textId="77777777" w:rsidR="00293BDE" w:rsidRDefault="00000000">
            <w:pPr>
              <w:pStyle w:val="Compact"/>
            </w:pPr>
            <w:r>
              <w:t>US-7</w:t>
            </w:r>
          </w:p>
        </w:tc>
        <w:tc>
          <w:tcPr>
            <w:tcW w:w="3024" w:type="dxa"/>
          </w:tcPr>
          <w:p w14:paraId="4A14977D" w14:textId="77777777" w:rsidR="00293BDE" w:rsidRDefault="00000000">
            <w:pPr>
              <w:pStyle w:val="Compact"/>
            </w:pPr>
            <w:r>
              <w:t>Naval freedom of navigation preserved</w:t>
            </w:r>
          </w:p>
        </w:tc>
        <w:tc>
          <w:tcPr>
            <w:tcW w:w="3024" w:type="dxa"/>
          </w:tcPr>
          <w:p w14:paraId="13046730" w14:textId="77777777" w:rsidR="00293BDE" w:rsidRDefault="00000000">
            <w:pPr>
              <w:pStyle w:val="Compact"/>
            </w:pPr>
            <w:r>
              <w:t>Article 23 transit regime; notification only</w:t>
            </w:r>
          </w:p>
        </w:tc>
      </w:tr>
      <w:tr w:rsidR="00293BDE" w14:paraId="0E142073" w14:textId="77777777" w:rsidTr="00293BDE">
        <w:tc>
          <w:tcPr>
            <w:tcW w:w="3024" w:type="dxa"/>
          </w:tcPr>
          <w:p w14:paraId="6BA7E25A" w14:textId="77777777" w:rsidR="00293BDE" w:rsidRDefault="00000000">
            <w:pPr>
              <w:pStyle w:val="Compact"/>
            </w:pPr>
            <w:r>
              <w:t>US-8</w:t>
            </w:r>
          </w:p>
        </w:tc>
        <w:tc>
          <w:tcPr>
            <w:tcW w:w="3024" w:type="dxa"/>
          </w:tcPr>
          <w:p w14:paraId="22A38451" w14:textId="77777777" w:rsidR="00293BDE" w:rsidRDefault="00000000">
            <w:pPr>
              <w:pStyle w:val="Compact"/>
            </w:pPr>
            <w:r>
              <w:t>No external command, including American</w:t>
            </w:r>
          </w:p>
        </w:tc>
        <w:tc>
          <w:tcPr>
            <w:tcW w:w="3024" w:type="dxa"/>
          </w:tcPr>
          <w:p w14:paraId="7617E75F" w14:textId="77777777" w:rsidR="00293BDE" w:rsidRDefault="00000000">
            <w:pPr>
              <w:pStyle w:val="Compact"/>
            </w:pPr>
            <w:r>
              <w:t>IPR-14; Article 16.5</w:t>
            </w:r>
          </w:p>
        </w:tc>
      </w:tr>
      <w:tr w:rsidR="00293BDE" w14:paraId="38CA61B7" w14:textId="77777777" w:rsidTr="00293BDE">
        <w:tc>
          <w:tcPr>
            <w:tcW w:w="3024" w:type="dxa"/>
          </w:tcPr>
          <w:p w14:paraId="352D95D9" w14:textId="77777777" w:rsidR="00293BDE" w:rsidRDefault="00000000">
            <w:pPr>
              <w:pStyle w:val="Compact"/>
            </w:pPr>
            <w:r>
              <w:t>US-9</w:t>
            </w:r>
          </w:p>
        </w:tc>
        <w:tc>
          <w:tcPr>
            <w:tcW w:w="3024" w:type="dxa"/>
          </w:tcPr>
          <w:p w14:paraId="30DA76E8" w14:textId="77777777" w:rsidR="00293BDE" w:rsidRDefault="00000000">
            <w:pPr>
              <w:pStyle w:val="Compact"/>
            </w:pPr>
            <w:r>
              <w:t>End of attacks on commercial shipping</w:t>
            </w:r>
          </w:p>
        </w:tc>
        <w:tc>
          <w:tcPr>
            <w:tcW w:w="3024" w:type="dxa"/>
          </w:tcPr>
          <w:p w14:paraId="48106A4A" w14:textId="77777777" w:rsidR="00293BDE" w:rsidRDefault="00000000">
            <w:pPr>
              <w:pStyle w:val="Compact"/>
            </w:pPr>
            <w:r>
              <w:t>Article 11; Non-Interdiction Protocol; L4 machinery</w:t>
            </w:r>
          </w:p>
        </w:tc>
      </w:tr>
      <w:tr w:rsidR="00293BDE" w14:paraId="1CC56DF9" w14:textId="77777777" w:rsidTr="00293BDE">
        <w:tc>
          <w:tcPr>
            <w:tcW w:w="3024" w:type="dxa"/>
          </w:tcPr>
          <w:p w14:paraId="4713723C" w14:textId="77777777" w:rsidR="00293BDE" w:rsidRDefault="00000000">
            <w:pPr>
              <w:pStyle w:val="Compact"/>
            </w:pPr>
            <w:r>
              <w:t>US-10</w:t>
            </w:r>
          </w:p>
        </w:tc>
        <w:tc>
          <w:tcPr>
            <w:tcW w:w="3024" w:type="dxa"/>
          </w:tcPr>
          <w:p w14:paraId="50124FF2" w14:textId="77777777" w:rsidR="00293BDE" w:rsidRDefault="00000000">
            <w:pPr>
              <w:pStyle w:val="Compact"/>
            </w:pPr>
            <w:r>
              <w:t>No hostage-taking of crews</w:t>
            </w:r>
          </w:p>
        </w:tc>
        <w:tc>
          <w:tcPr>
            <w:tcW w:w="3024" w:type="dxa"/>
          </w:tcPr>
          <w:p w14:paraId="6991E32F" w14:textId="77777777" w:rsidR="00293BDE" w:rsidRDefault="00000000">
            <w:pPr>
              <w:pStyle w:val="Compact"/>
            </w:pPr>
            <w:r>
              <w:t>Article 24.6; Protection Covenant, Article 28</w:t>
            </w:r>
          </w:p>
        </w:tc>
      </w:tr>
      <w:tr w:rsidR="00293BDE" w14:paraId="251A3EAB" w14:textId="77777777" w:rsidTr="00293BDE">
        <w:tc>
          <w:tcPr>
            <w:tcW w:w="3024" w:type="dxa"/>
          </w:tcPr>
          <w:p w14:paraId="5D18B283" w14:textId="77777777" w:rsidR="00293BDE" w:rsidRDefault="00000000">
            <w:pPr>
              <w:pStyle w:val="Compact"/>
            </w:pPr>
            <w:r>
              <w:t>US-11</w:t>
            </w:r>
          </w:p>
        </w:tc>
        <w:tc>
          <w:tcPr>
            <w:tcW w:w="3024" w:type="dxa"/>
          </w:tcPr>
          <w:p w14:paraId="17852941" w14:textId="77777777" w:rsidR="00293BDE" w:rsidRDefault="00000000">
            <w:pPr>
              <w:pStyle w:val="Compact"/>
            </w:pPr>
            <w:r>
              <w:t>Sanctions architecture untouched</w:t>
            </w:r>
          </w:p>
        </w:tc>
        <w:tc>
          <w:tcPr>
            <w:tcW w:w="3024" w:type="dxa"/>
          </w:tcPr>
          <w:p w14:paraId="6A8C5809" w14:textId="77777777" w:rsidR="00293BDE" w:rsidRDefault="00000000">
            <w:pPr>
              <w:pStyle w:val="Compact"/>
            </w:pPr>
            <w:r>
              <w:t>Article 2.7; Firewall; non-prejudice clauses</w:t>
            </w:r>
          </w:p>
        </w:tc>
      </w:tr>
      <w:tr w:rsidR="00293BDE" w14:paraId="458B17AE" w14:textId="77777777" w:rsidTr="00293BDE">
        <w:tc>
          <w:tcPr>
            <w:tcW w:w="3024" w:type="dxa"/>
          </w:tcPr>
          <w:p w14:paraId="7AE2E116" w14:textId="77777777" w:rsidR="00293BDE" w:rsidRDefault="00000000">
            <w:pPr>
              <w:pStyle w:val="Compact"/>
            </w:pPr>
            <w:r>
              <w:t>US-12</w:t>
            </w:r>
          </w:p>
        </w:tc>
        <w:tc>
          <w:tcPr>
            <w:tcW w:w="3024" w:type="dxa"/>
          </w:tcPr>
          <w:p w14:paraId="6CE20752" w14:textId="77777777" w:rsidR="00293BDE" w:rsidRDefault="00000000">
            <w:pPr>
              <w:pStyle w:val="Compact"/>
            </w:pPr>
            <w:r>
              <w:t>Enforcement with teeth, not paper</w:t>
            </w:r>
          </w:p>
        </w:tc>
        <w:tc>
          <w:tcPr>
            <w:tcW w:w="3024" w:type="dxa"/>
          </w:tcPr>
          <w:p w14:paraId="363FB838" w14:textId="77777777" w:rsidR="00293BDE" w:rsidRDefault="00000000">
            <w:pPr>
              <w:pStyle w:val="Compact"/>
            </w:pPr>
            <w:r>
              <w:t>Compliance engine, Article 25; point schedule, Annex C</w:t>
            </w:r>
          </w:p>
        </w:tc>
      </w:tr>
      <w:tr w:rsidR="00293BDE" w14:paraId="26BF2773" w14:textId="77777777" w:rsidTr="00293BDE">
        <w:tc>
          <w:tcPr>
            <w:tcW w:w="3024" w:type="dxa"/>
          </w:tcPr>
          <w:p w14:paraId="0418582A" w14:textId="77777777" w:rsidR="00293BDE" w:rsidRDefault="00000000">
            <w:pPr>
              <w:pStyle w:val="Compact"/>
            </w:pPr>
            <w:r>
              <w:t>US-13</w:t>
            </w:r>
          </w:p>
        </w:tc>
        <w:tc>
          <w:tcPr>
            <w:tcW w:w="3024" w:type="dxa"/>
          </w:tcPr>
          <w:p w14:paraId="34FAF097" w14:textId="77777777" w:rsidR="00293BDE" w:rsidRDefault="00000000">
            <w:pPr>
              <w:pStyle w:val="Compact"/>
            </w:pPr>
            <w:r>
              <w:t>Snapback capacity</w:t>
            </w:r>
          </w:p>
        </w:tc>
        <w:tc>
          <w:tcPr>
            <w:tcW w:w="3024" w:type="dxa"/>
          </w:tcPr>
          <w:p w14:paraId="19ECA693" w14:textId="77777777" w:rsidR="00293BDE" w:rsidRDefault="00000000">
            <w:pPr>
              <w:pStyle w:val="Compact"/>
            </w:pPr>
            <w:r>
              <w:t>Graduated Pause Ladder, Article 25.4; Restoration Pathway</w:t>
            </w:r>
          </w:p>
        </w:tc>
      </w:tr>
      <w:tr w:rsidR="00293BDE" w14:paraId="53D453F0" w14:textId="77777777" w:rsidTr="00293BDE">
        <w:tc>
          <w:tcPr>
            <w:tcW w:w="3024" w:type="dxa"/>
          </w:tcPr>
          <w:p w14:paraId="0E593CA6" w14:textId="77777777" w:rsidR="00293BDE" w:rsidRDefault="00000000">
            <w:pPr>
              <w:pStyle w:val="Compact"/>
            </w:pPr>
            <w:r>
              <w:t>US-14</w:t>
            </w:r>
          </w:p>
        </w:tc>
        <w:tc>
          <w:tcPr>
            <w:tcW w:w="3024" w:type="dxa"/>
          </w:tcPr>
          <w:p w14:paraId="107865EE" w14:textId="77777777" w:rsidR="00293BDE" w:rsidRDefault="00000000">
            <w:pPr>
              <w:pStyle w:val="Compact"/>
            </w:pPr>
            <w:r>
              <w:t>American observer seat</w:t>
            </w:r>
          </w:p>
        </w:tc>
        <w:tc>
          <w:tcPr>
            <w:tcW w:w="3024" w:type="dxa"/>
          </w:tcPr>
          <w:p w14:paraId="75EB02B8" w14:textId="77777777" w:rsidR="00293BDE" w:rsidRDefault="00000000">
            <w:pPr>
              <w:pStyle w:val="Compact"/>
            </w:pPr>
            <w:r>
              <w:t>Article 16.1; endorsement instrument, Annex F</w:t>
            </w:r>
          </w:p>
        </w:tc>
      </w:tr>
      <w:tr w:rsidR="00293BDE" w14:paraId="2840BFA6" w14:textId="77777777" w:rsidTr="00293BDE">
        <w:tc>
          <w:tcPr>
            <w:tcW w:w="3024" w:type="dxa"/>
          </w:tcPr>
          <w:p w14:paraId="13A50B36" w14:textId="77777777" w:rsidR="00293BDE" w:rsidRDefault="00000000">
            <w:pPr>
              <w:pStyle w:val="Compact"/>
            </w:pPr>
            <w:r>
              <w:t>US-15</w:t>
            </w:r>
          </w:p>
        </w:tc>
        <w:tc>
          <w:tcPr>
            <w:tcW w:w="3024" w:type="dxa"/>
          </w:tcPr>
          <w:p w14:paraId="3DABD51C" w14:textId="77777777" w:rsidR="00293BDE" w:rsidRDefault="00000000">
            <w:pPr>
              <w:pStyle w:val="Compact"/>
            </w:pPr>
            <w:r>
              <w:t>Exit ramp for military presence</w:t>
            </w:r>
          </w:p>
        </w:tc>
        <w:tc>
          <w:tcPr>
            <w:tcW w:w="3024" w:type="dxa"/>
          </w:tcPr>
          <w:p w14:paraId="041B5962" w14:textId="77777777" w:rsidR="00293BDE" w:rsidRDefault="00000000">
            <w:pPr>
              <w:pStyle w:val="Compact"/>
            </w:pPr>
            <w:bookmarkStart w:id="540" w:name="k.2-the-united-states-fifteen-positions"/>
            <w:r>
              <w:t>Article 23.7 stand-down schedule; Annex L</w:t>
            </w:r>
            <w:bookmarkEnd w:id="540"/>
          </w:p>
        </w:tc>
      </w:tr>
    </w:tbl>
    <w:p w14:paraId="5704FBE0" w14:textId="77777777" w:rsidR="00293BDE" w:rsidRDefault="00000000">
      <w:pPr>
        <w:pStyle w:val="Heading2"/>
      </w:pPr>
      <w:bookmarkStart w:id="541" w:name="__RefHeading___Toc11086_3324765499"/>
      <w:bookmarkEnd w:id="541"/>
      <w:r>
        <w:t>K.3 Iran: fifteen positions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6A6854F0"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753F9F88" w14:textId="77777777" w:rsidR="00293BDE" w:rsidRDefault="00000000">
            <w:pPr>
              <w:pStyle w:val="Compact"/>
            </w:pPr>
            <w:r>
              <w:t>No.</w:t>
            </w:r>
          </w:p>
        </w:tc>
        <w:tc>
          <w:tcPr>
            <w:tcW w:w="3024" w:type="dxa"/>
            <w:tcBorders>
              <w:bottom w:val="single" w:sz="6" w:space="0" w:color="000000"/>
            </w:tcBorders>
          </w:tcPr>
          <w:p w14:paraId="24D81879" w14:textId="77777777" w:rsidR="00293BDE" w:rsidRDefault="00000000">
            <w:pPr>
              <w:pStyle w:val="Compact"/>
            </w:pPr>
            <w:r>
              <w:t>Position as stated</w:t>
            </w:r>
          </w:p>
        </w:tc>
        <w:tc>
          <w:tcPr>
            <w:tcW w:w="3024" w:type="dxa"/>
            <w:tcBorders>
              <w:bottom w:val="single" w:sz="6" w:space="0" w:color="000000"/>
            </w:tcBorders>
          </w:tcPr>
          <w:p w14:paraId="112F9B5F" w14:textId="77777777" w:rsidR="00293BDE" w:rsidRDefault="00000000">
            <w:pPr>
              <w:pStyle w:val="Compact"/>
            </w:pPr>
            <w:r>
              <w:t>Compact address</w:t>
            </w:r>
          </w:p>
        </w:tc>
      </w:tr>
      <w:tr w:rsidR="00293BDE" w14:paraId="1CFE0571" w14:textId="77777777" w:rsidTr="00293BDE">
        <w:tc>
          <w:tcPr>
            <w:tcW w:w="3024" w:type="dxa"/>
          </w:tcPr>
          <w:p w14:paraId="3F8F7BB1" w14:textId="77777777" w:rsidR="00293BDE" w:rsidRDefault="00000000">
            <w:pPr>
              <w:pStyle w:val="Compact"/>
            </w:pPr>
            <w:r>
              <w:t>IR-1</w:t>
            </w:r>
          </w:p>
        </w:tc>
        <w:tc>
          <w:tcPr>
            <w:tcW w:w="3024" w:type="dxa"/>
          </w:tcPr>
          <w:p w14:paraId="7E88FC7B" w14:textId="77777777" w:rsidR="00293BDE" w:rsidRDefault="00000000">
            <w:pPr>
              <w:pStyle w:val="Compact"/>
            </w:pPr>
            <w:r>
              <w:t>Recognized role in inbound passage</w:t>
            </w:r>
          </w:p>
        </w:tc>
        <w:tc>
          <w:tcPr>
            <w:tcW w:w="3024" w:type="dxa"/>
          </w:tcPr>
          <w:p w14:paraId="684AE9F3" w14:textId="77777777" w:rsidR="00293BDE" w:rsidRDefault="00000000">
            <w:pPr>
              <w:pStyle w:val="Compact"/>
            </w:pPr>
            <w:r>
              <w:t>IPR-3; Article 8.2; Catalog items 1 to 3</w:t>
            </w:r>
          </w:p>
        </w:tc>
      </w:tr>
      <w:tr w:rsidR="00293BDE" w14:paraId="40A8B3AC" w14:textId="77777777" w:rsidTr="00293BDE">
        <w:tc>
          <w:tcPr>
            <w:tcW w:w="3024" w:type="dxa"/>
          </w:tcPr>
          <w:p w14:paraId="582384AF" w14:textId="77777777" w:rsidR="00293BDE" w:rsidRDefault="00000000">
            <w:pPr>
              <w:pStyle w:val="Compact"/>
            </w:pPr>
            <w:r>
              <w:t>IR-2</w:t>
            </w:r>
          </w:p>
        </w:tc>
        <w:tc>
          <w:tcPr>
            <w:tcW w:w="3024" w:type="dxa"/>
          </w:tcPr>
          <w:p w14:paraId="65A61619" w14:textId="77777777" w:rsidR="00293BDE" w:rsidRDefault="00000000">
            <w:pPr>
              <w:pStyle w:val="Compact"/>
            </w:pPr>
            <w:r>
              <w:t>Service revenue for services rendered</w:t>
            </w:r>
          </w:p>
        </w:tc>
        <w:tc>
          <w:tcPr>
            <w:tcW w:w="3024" w:type="dxa"/>
          </w:tcPr>
          <w:p w14:paraId="2FAAA5D5" w14:textId="77777777" w:rsidR="00293BDE" w:rsidRDefault="00000000">
            <w:pPr>
              <w:pStyle w:val="Compact"/>
            </w:pPr>
            <w:r>
              <w:t>Article 18; apportionment, Article 21.3</w:t>
            </w:r>
          </w:p>
        </w:tc>
      </w:tr>
      <w:tr w:rsidR="00293BDE" w14:paraId="0D04FFE0" w14:textId="77777777" w:rsidTr="00293BDE">
        <w:tc>
          <w:tcPr>
            <w:tcW w:w="3024" w:type="dxa"/>
          </w:tcPr>
          <w:p w14:paraId="2301986A" w14:textId="77777777" w:rsidR="00293BDE" w:rsidRDefault="00000000">
            <w:pPr>
              <w:pStyle w:val="Compact"/>
            </w:pPr>
            <w:r>
              <w:t>IR-3</w:t>
            </w:r>
          </w:p>
        </w:tc>
        <w:tc>
          <w:tcPr>
            <w:tcW w:w="3024" w:type="dxa"/>
          </w:tcPr>
          <w:p w14:paraId="0F40E690" w14:textId="77777777" w:rsidR="00293BDE" w:rsidRDefault="00000000">
            <w:pPr>
              <w:pStyle w:val="Compact"/>
            </w:pPr>
            <w:r>
              <w:t>No tolls demanded of anyone</w:t>
            </w:r>
          </w:p>
        </w:tc>
        <w:tc>
          <w:tcPr>
            <w:tcW w:w="3024" w:type="dxa"/>
          </w:tcPr>
          <w:p w14:paraId="47D9E3CD" w14:textId="77777777" w:rsidR="00293BDE" w:rsidRDefault="00000000">
            <w:pPr>
              <w:pStyle w:val="Compact"/>
            </w:pPr>
            <w:r>
              <w:t>IPR-1 alignment; revenue flows from services only</w:t>
            </w:r>
          </w:p>
        </w:tc>
      </w:tr>
      <w:tr w:rsidR="00293BDE" w14:paraId="57061885" w14:textId="77777777" w:rsidTr="00293BDE">
        <w:tc>
          <w:tcPr>
            <w:tcW w:w="3024" w:type="dxa"/>
          </w:tcPr>
          <w:p w14:paraId="13D8E408" w14:textId="77777777" w:rsidR="00293BDE" w:rsidRDefault="00000000">
            <w:pPr>
              <w:pStyle w:val="Compact"/>
            </w:pPr>
            <w:r>
              <w:t>IR-4</w:t>
            </w:r>
          </w:p>
        </w:tc>
        <w:tc>
          <w:tcPr>
            <w:tcW w:w="3024" w:type="dxa"/>
          </w:tcPr>
          <w:p w14:paraId="02B0CE78" w14:textId="77777777" w:rsidR="00293BDE" w:rsidRDefault="00000000">
            <w:pPr>
              <w:pStyle w:val="Compact"/>
            </w:pPr>
            <w:r>
              <w:t>End of the blockade as part of any deal</w:t>
            </w:r>
          </w:p>
        </w:tc>
        <w:tc>
          <w:tcPr>
            <w:tcW w:w="3024" w:type="dxa"/>
          </w:tcPr>
          <w:p w14:paraId="53ED709D" w14:textId="77777777" w:rsidR="00293BDE" w:rsidRDefault="00000000">
            <w:pPr>
              <w:pStyle w:val="Compact"/>
            </w:pPr>
            <w:r>
              <w:t>IPR-16; Article 9.5; Annex L synchronization table</w:t>
            </w:r>
          </w:p>
        </w:tc>
      </w:tr>
      <w:tr w:rsidR="00293BDE" w14:paraId="41AC3376" w14:textId="77777777" w:rsidTr="00293BDE">
        <w:tc>
          <w:tcPr>
            <w:tcW w:w="3024" w:type="dxa"/>
          </w:tcPr>
          <w:p w14:paraId="1FE77CDC" w14:textId="77777777" w:rsidR="00293BDE" w:rsidRDefault="00000000">
            <w:pPr>
              <w:pStyle w:val="Compact"/>
            </w:pPr>
            <w:r>
              <w:t>IR-5</w:t>
            </w:r>
          </w:p>
        </w:tc>
        <w:tc>
          <w:tcPr>
            <w:tcW w:w="3024" w:type="dxa"/>
          </w:tcPr>
          <w:p w14:paraId="0EADD5E6" w14:textId="77777777" w:rsidR="00293BDE" w:rsidRDefault="00000000">
            <w:pPr>
              <w:pStyle w:val="Compact"/>
            </w:pPr>
            <w:r>
              <w:t>Sanctions relief pathway</w:t>
            </w:r>
          </w:p>
        </w:tc>
        <w:tc>
          <w:tcPr>
            <w:tcW w:w="3024" w:type="dxa"/>
          </w:tcPr>
          <w:p w14:paraId="3DF38117" w14:textId="77777777" w:rsidR="00293BDE" w:rsidRDefault="00000000">
            <w:pPr>
              <w:pStyle w:val="Compact"/>
            </w:pPr>
            <w:r>
              <w:t>Article 2.7 sequencing; Annex L phase three</w:t>
            </w:r>
          </w:p>
        </w:tc>
      </w:tr>
      <w:tr w:rsidR="00293BDE" w14:paraId="7DC85011" w14:textId="77777777" w:rsidTr="00293BDE">
        <w:tc>
          <w:tcPr>
            <w:tcW w:w="3024" w:type="dxa"/>
          </w:tcPr>
          <w:p w14:paraId="063F031F" w14:textId="77777777" w:rsidR="00293BDE" w:rsidRDefault="00000000">
            <w:pPr>
              <w:pStyle w:val="Compact"/>
            </w:pPr>
            <w:r>
              <w:t>IR-6</w:t>
            </w:r>
          </w:p>
        </w:tc>
        <w:tc>
          <w:tcPr>
            <w:tcW w:w="3024" w:type="dxa"/>
          </w:tcPr>
          <w:p w14:paraId="3A677A27" w14:textId="77777777" w:rsidR="00293BDE" w:rsidRDefault="00000000">
            <w:pPr>
              <w:pStyle w:val="Compact"/>
            </w:pPr>
            <w:r>
              <w:t>No foreign military presence in Iranian waters</w:t>
            </w:r>
          </w:p>
        </w:tc>
        <w:tc>
          <w:tcPr>
            <w:tcW w:w="3024" w:type="dxa"/>
          </w:tcPr>
          <w:p w14:paraId="2EC6055B" w14:textId="77777777" w:rsidR="00293BDE" w:rsidRDefault="00000000">
            <w:pPr>
              <w:pStyle w:val="Compact"/>
            </w:pPr>
            <w:r>
              <w:t>Article 23.2; standoff geometry; corridor civilian rule</w:t>
            </w:r>
          </w:p>
        </w:tc>
      </w:tr>
      <w:tr w:rsidR="00293BDE" w14:paraId="56724110" w14:textId="77777777" w:rsidTr="00293BDE">
        <w:tc>
          <w:tcPr>
            <w:tcW w:w="3024" w:type="dxa"/>
          </w:tcPr>
          <w:p w14:paraId="08B49E7B" w14:textId="77777777" w:rsidR="00293BDE" w:rsidRDefault="00000000">
            <w:pPr>
              <w:pStyle w:val="Compact"/>
            </w:pPr>
            <w:r>
              <w:t>IR-7</w:t>
            </w:r>
          </w:p>
        </w:tc>
        <w:tc>
          <w:tcPr>
            <w:tcW w:w="3024" w:type="dxa"/>
          </w:tcPr>
          <w:p w14:paraId="1430835E" w14:textId="77777777" w:rsidR="00293BDE" w:rsidRDefault="00000000">
            <w:pPr>
              <w:pStyle w:val="Compact"/>
            </w:pPr>
            <w:r>
              <w:t>Sovereignty respected in text</w:t>
            </w:r>
          </w:p>
        </w:tc>
        <w:tc>
          <w:tcPr>
            <w:tcW w:w="3024" w:type="dxa"/>
          </w:tcPr>
          <w:p w14:paraId="242C66D8" w14:textId="77777777" w:rsidR="00293BDE" w:rsidRDefault="00000000">
            <w:pPr>
              <w:pStyle w:val="Compact"/>
            </w:pPr>
            <w:r>
              <w:t>IPR-8; Article 1.6</w:t>
            </w:r>
          </w:p>
        </w:tc>
      </w:tr>
      <w:tr w:rsidR="00293BDE" w14:paraId="37517A50" w14:textId="77777777" w:rsidTr="00293BDE">
        <w:tc>
          <w:tcPr>
            <w:tcW w:w="3024" w:type="dxa"/>
          </w:tcPr>
          <w:p w14:paraId="7836DF6C" w14:textId="77777777" w:rsidR="00293BDE" w:rsidRDefault="00000000">
            <w:pPr>
              <w:pStyle w:val="Compact"/>
            </w:pPr>
            <w:r>
              <w:t>IR-8</w:t>
            </w:r>
          </w:p>
        </w:tc>
        <w:tc>
          <w:tcPr>
            <w:tcW w:w="3024" w:type="dxa"/>
          </w:tcPr>
          <w:p w14:paraId="6C261F8D" w14:textId="77777777" w:rsidR="00293BDE" w:rsidRDefault="00000000">
            <w:pPr>
              <w:pStyle w:val="Compact"/>
            </w:pPr>
            <w:r>
              <w:t>Mirror institutional standing for Bandar Abbas</w:t>
            </w:r>
          </w:p>
        </w:tc>
        <w:tc>
          <w:tcPr>
            <w:tcW w:w="3024" w:type="dxa"/>
          </w:tcPr>
          <w:p w14:paraId="0D956507" w14:textId="77777777" w:rsidR="00293BDE" w:rsidRDefault="00000000">
            <w:pPr>
              <w:pStyle w:val="Compact"/>
            </w:pPr>
            <w:r>
              <w:t>Article 14.2; Mirror Facility of Equal Rank</w:t>
            </w:r>
          </w:p>
        </w:tc>
      </w:tr>
      <w:tr w:rsidR="00293BDE" w14:paraId="5F52E889" w14:textId="77777777" w:rsidTr="00293BDE">
        <w:tc>
          <w:tcPr>
            <w:tcW w:w="3024" w:type="dxa"/>
          </w:tcPr>
          <w:p w14:paraId="4BCE0E74" w14:textId="77777777" w:rsidR="00293BDE" w:rsidRDefault="00000000">
            <w:pPr>
              <w:pStyle w:val="Compact"/>
            </w:pPr>
            <w:r>
              <w:t>IR-9</w:t>
            </w:r>
          </w:p>
        </w:tc>
        <w:tc>
          <w:tcPr>
            <w:tcW w:w="3024" w:type="dxa"/>
          </w:tcPr>
          <w:p w14:paraId="3B0D453E" w14:textId="77777777" w:rsidR="00293BDE" w:rsidRDefault="00000000">
            <w:pPr>
              <w:pStyle w:val="Compact"/>
            </w:pPr>
            <w:r>
              <w:t>Payments insulated from unilateral freeze</w:t>
            </w:r>
          </w:p>
        </w:tc>
        <w:tc>
          <w:tcPr>
            <w:tcW w:w="3024" w:type="dxa"/>
          </w:tcPr>
          <w:p w14:paraId="072631D8" w14:textId="77777777" w:rsidR="00293BDE" w:rsidRDefault="00000000">
            <w:pPr>
              <w:pStyle w:val="Compact"/>
            </w:pPr>
            <w:r>
              <w:t>Escrow, Article 19.4; Firewall; neutral clearing</w:t>
            </w:r>
          </w:p>
        </w:tc>
      </w:tr>
      <w:tr w:rsidR="00293BDE" w14:paraId="225B5F80" w14:textId="77777777" w:rsidTr="00293BDE">
        <w:tc>
          <w:tcPr>
            <w:tcW w:w="3024" w:type="dxa"/>
          </w:tcPr>
          <w:p w14:paraId="0AAFAB09" w14:textId="77777777" w:rsidR="00293BDE" w:rsidRDefault="00000000">
            <w:pPr>
              <w:pStyle w:val="Compact"/>
            </w:pPr>
            <w:r>
              <w:t>IR-10</w:t>
            </w:r>
          </w:p>
        </w:tc>
        <w:tc>
          <w:tcPr>
            <w:tcW w:w="3024" w:type="dxa"/>
          </w:tcPr>
          <w:p w14:paraId="104134E4" w14:textId="77777777" w:rsidR="00293BDE" w:rsidRDefault="00000000">
            <w:pPr>
              <w:pStyle w:val="Compact"/>
            </w:pPr>
            <w:r>
              <w:t>Verification that does not depend on Washington</w:t>
            </w:r>
          </w:p>
        </w:tc>
        <w:tc>
          <w:tcPr>
            <w:tcW w:w="3024" w:type="dxa"/>
          </w:tcPr>
          <w:p w14:paraId="3096C048" w14:textId="77777777" w:rsidR="00293BDE" w:rsidRDefault="00000000">
            <w:pPr>
              <w:pStyle w:val="Compact"/>
            </w:pPr>
            <w:r>
              <w:t>Article 22; two-key custody; Layer 3 Troika</w:t>
            </w:r>
          </w:p>
        </w:tc>
      </w:tr>
      <w:tr w:rsidR="00293BDE" w14:paraId="4BDA10BE" w14:textId="77777777" w:rsidTr="00293BDE">
        <w:tc>
          <w:tcPr>
            <w:tcW w:w="3024" w:type="dxa"/>
          </w:tcPr>
          <w:p w14:paraId="266B8712" w14:textId="77777777" w:rsidR="00293BDE" w:rsidRDefault="00000000">
            <w:pPr>
              <w:pStyle w:val="Compact"/>
            </w:pPr>
            <w:r>
              <w:t>IR-11</w:t>
            </w:r>
          </w:p>
        </w:tc>
        <w:tc>
          <w:tcPr>
            <w:tcW w:w="3024" w:type="dxa"/>
          </w:tcPr>
          <w:p w14:paraId="062981A7" w14:textId="77777777" w:rsidR="00293BDE" w:rsidRDefault="00000000">
            <w:pPr>
              <w:pStyle w:val="Compact"/>
            </w:pPr>
            <w:r>
              <w:t>No boarding regime in disguise</w:t>
            </w:r>
          </w:p>
        </w:tc>
        <w:tc>
          <w:tcPr>
            <w:tcW w:w="3024" w:type="dxa"/>
          </w:tcPr>
          <w:p w14:paraId="015F9B6B" w14:textId="77777777" w:rsidR="00293BDE" w:rsidRDefault="00000000">
            <w:pPr>
              <w:pStyle w:val="Compact"/>
            </w:pPr>
            <w:r>
              <w:t>IPR-5; Article 11; Class H anchorage rule</w:t>
            </w:r>
          </w:p>
        </w:tc>
      </w:tr>
      <w:tr w:rsidR="00293BDE" w14:paraId="7CDA3D32" w14:textId="77777777" w:rsidTr="00293BDE">
        <w:tc>
          <w:tcPr>
            <w:tcW w:w="3024" w:type="dxa"/>
          </w:tcPr>
          <w:p w14:paraId="07C11DB3" w14:textId="77777777" w:rsidR="00293BDE" w:rsidRDefault="00000000">
            <w:pPr>
              <w:pStyle w:val="Compact"/>
            </w:pPr>
            <w:r>
              <w:t>IR-12</w:t>
            </w:r>
          </w:p>
        </w:tc>
        <w:tc>
          <w:tcPr>
            <w:tcW w:w="3024" w:type="dxa"/>
          </w:tcPr>
          <w:p w14:paraId="169CFE59" w14:textId="77777777" w:rsidR="00293BDE" w:rsidRDefault="00000000">
            <w:pPr>
              <w:pStyle w:val="Compact"/>
            </w:pPr>
            <w:r>
              <w:t>Mine-clearance role recognized and compensated</w:t>
            </w:r>
          </w:p>
        </w:tc>
        <w:tc>
          <w:tcPr>
            <w:tcW w:w="3024" w:type="dxa"/>
          </w:tcPr>
          <w:p w14:paraId="1FD65727" w14:textId="77777777" w:rsidR="00293BDE" w:rsidRDefault="00000000">
            <w:pPr>
              <w:pStyle w:val="Compact"/>
            </w:pPr>
            <w:r>
              <w:t>Article 9.3; Catalog item 5; survey credits, Annex B.5</w:t>
            </w:r>
          </w:p>
        </w:tc>
      </w:tr>
      <w:tr w:rsidR="00293BDE" w14:paraId="2C7DE25D" w14:textId="77777777" w:rsidTr="00293BDE">
        <w:tc>
          <w:tcPr>
            <w:tcW w:w="3024" w:type="dxa"/>
          </w:tcPr>
          <w:p w14:paraId="5B6A92AF" w14:textId="77777777" w:rsidR="00293BDE" w:rsidRDefault="00000000">
            <w:pPr>
              <w:pStyle w:val="Compact"/>
            </w:pPr>
            <w:r>
              <w:t>IR-13</w:t>
            </w:r>
          </w:p>
        </w:tc>
        <w:tc>
          <w:tcPr>
            <w:tcW w:w="3024" w:type="dxa"/>
          </w:tcPr>
          <w:p w14:paraId="228A3697" w14:textId="77777777" w:rsidR="00293BDE" w:rsidRDefault="00000000">
            <w:pPr>
              <w:pStyle w:val="Compact"/>
            </w:pPr>
            <w:r>
              <w:t>Restoration without admission of fault</w:t>
            </w:r>
          </w:p>
        </w:tc>
        <w:tc>
          <w:tcPr>
            <w:tcW w:w="3024" w:type="dxa"/>
          </w:tcPr>
          <w:p w14:paraId="2B5D11BA" w14:textId="77777777" w:rsidR="00293BDE" w:rsidRDefault="00000000">
            <w:pPr>
              <w:pStyle w:val="Compact"/>
            </w:pPr>
            <w:r>
              <w:t>Article 25.6; Restoration Pathway</w:t>
            </w:r>
          </w:p>
        </w:tc>
      </w:tr>
      <w:tr w:rsidR="00293BDE" w14:paraId="0E871B5E" w14:textId="77777777" w:rsidTr="00293BDE">
        <w:tc>
          <w:tcPr>
            <w:tcW w:w="3024" w:type="dxa"/>
          </w:tcPr>
          <w:p w14:paraId="7461E2CC" w14:textId="77777777" w:rsidR="00293BDE" w:rsidRDefault="00000000">
            <w:pPr>
              <w:pStyle w:val="Compact"/>
            </w:pPr>
            <w:r>
              <w:t>IR-14</w:t>
            </w:r>
          </w:p>
        </w:tc>
        <w:tc>
          <w:tcPr>
            <w:tcW w:w="3024" w:type="dxa"/>
          </w:tcPr>
          <w:p w14:paraId="6A46A438" w14:textId="77777777" w:rsidR="00293BDE" w:rsidRDefault="00000000">
            <w:pPr>
              <w:pStyle w:val="Compact"/>
            </w:pPr>
            <w:r>
              <w:t>Equal voice in governance</w:t>
            </w:r>
          </w:p>
        </w:tc>
        <w:tc>
          <w:tcPr>
            <w:tcW w:w="3024" w:type="dxa"/>
          </w:tcPr>
          <w:p w14:paraId="3316D8C7" w14:textId="77777777" w:rsidR="00293BDE" w:rsidRDefault="00000000">
            <w:pPr>
              <w:pStyle w:val="Compact"/>
            </w:pPr>
            <w:r>
              <w:t>Coastal Two structure; Dual-Concurrence; Article 13.4</w:t>
            </w:r>
          </w:p>
        </w:tc>
      </w:tr>
      <w:tr w:rsidR="00293BDE" w14:paraId="19F00E49" w14:textId="77777777" w:rsidTr="00293BDE">
        <w:tc>
          <w:tcPr>
            <w:tcW w:w="3024" w:type="dxa"/>
          </w:tcPr>
          <w:p w14:paraId="7031AD27" w14:textId="77777777" w:rsidR="00293BDE" w:rsidRDefault="00000000">
            <w:pPr>
              <w:pStyle w:val="Compact"/>
            </w:pPr>
            <w:r>
              <w:t>IR-15</w:t>
            </w:r>
          </w:p>
        </w:tc>
        <w:tc>
          <w:tcPr>
            <w:tcW w:w="3024" w:type="dxa"/>
          </w:tcPr>
          <w:p w14:paraId="3CCCA05D" w14:textId="77777777" w:rsidR="00293BDE" w:rsidRDefault="00000000">
            <w:pPr>
              <w:pStyle w:val="Compact"/>
            </w:pPr>
            <w:r>
              <w:t>Dignity of the instrument</w:t>
            </w:r>
          </w:p>
        </w:tc>
        <w:tc>
          <w:tcPr>
            <w:tcW w:w="3024" w:type="dxa"/>
          </w:tcPr>
          <w:p w14:paraId="1130D88B" w14:textId="77777777" w:rsidR="00293BDE" w:rsidRDefault="00000000">
            <w:pPr>
              <w:pStyle w:val="Compact"/>
            </w:pPr>
            <w:r>
              <w:t>Article 29; political wrapper; joint signature</w:t>
            </w:r>
          </w:p>
        </w:tc>
      </w:tr>
    </w:tbl>
    <w:p w14:paraId="2960CC6E" w14:textId="77777777" w:rsidR="00293BDE" w:rsidRDefault="00000000">
      <w:pPr>
        <w:pStyle w:val="Heading2"/>
      </w:pPr>
      <w:bookmarkStart w:id="542" w:name="__RefHeading___Toc11088_3324765499"/>
      <w:bookmarkEnd w:id="542"/>
      <w:r>
        <w:t>K.4 Oman: fifteen positions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5910C131"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018F5D80" w14:textId="77777777" w:rsidR="00293BDE" w:rsidRDefault="00000000">
            <w:pPr>
              <w:pStyle w:val="Compact"/>
            </w:pPr>
            <w:r>
              <w:t>No.</w:t>
            </w:r>
          </w:p>
        </w:tc>
        <w:tc>
          <w:tcPr>
            <w:tcW w:w="3024" w:type="dxa"/>
            <w:tcBorders>
              <w:bottom w:val="single" w:sz="6" w:space="0" w:color="000000"/>
            </w:tcBorders>
          </w:tcPr>
          <w:p w14:paraId="74029A30" w14:textId="77777777" w:rsidR="00293BDE" w:rsidRDefault="00000000">
            <w:pPr>
              <w:pStyle w:val="Compact"/>
            </w:pPr>
            <w:r>
              <w:t>Position as stated</w:t>
            </w:r>
          </w:p>
        </w:tc>
        <w:tc>
          <w:tcPr>
            <w:tcW w:w="3024" w:type="dxa"/>
            <w:tcBorders>
              <w:bottom w:val="single" w:sz="6" w:space="0" w:color="000000"/>
            </w:tcBorders>
          </w:tcPr>
          <w:p w14:paraId="22E22777" w14:textId="77777777" w:rsidR="00293BDE" w:rsidRDefault="00000000">
            <w:pPr>
              <w:pStyle w:val="Compact"/>
            </w:pPr>
            <w:r>
              <w:t>Compact address</w:t>
            </w:r>
          </w:p>
        </w:tc>
      </w:tr>
      <w:tr w:rsidR="00293BDE" w14:paraId="017F26C3" w14:textId="77777777" w:rsidTr="00293BDE">
        <w:tc>
          <w:tcPr>
            <w:tcW w:w="3024" w:type="dxa"/>
          </w:tcPr>
          <w:p w14:paraId="72D06125" w14:textId="77777777" w:rsidR="00293BDE" w:rsidRDefault="00000000">
            <w:pPr>
              <w:pStyle w:val="Compact"/>
            </w:pPr>
            <w:r>
              <w:t>OM-1</w:t>
            </w:r>
          </w:p>
        </w:tc>
        <w:tc>
          <w:tcPr>
            <w:tcW w:w="3024" w:type="dxa"/>
          </w:tcPr>
          <w:p w14:paraId="3F2BBB4F" w14:textId="77777777" w:rsidR="00293BDE" w:rsidRDefault="00000000">
            <w:pPr>
              <w:pStyle w:val="Compact"/>
            </w:pPr>
            <w:r>
              <w:t>Muscat seat of the Authority</w:t>
            </w:r>
          </w:p>
        </w:tc>
        <w:tc>
          <w:tcPr>
            <w:tcW w:w="3024" w:type="dxa"/>
          </w:tcPr>
          <w:p w14:paraId="0BBD8AB6" w14:textId="77777777" w:rsidR="00293BDE" w:rsidRDefault="00000000">
            <w:pPr>
              <w:pStyle w:val="Compact"/>
            </w:pPr>
            <w:r>
              <w:t>Article 14.1; Horizon Operations Center</w:t>
            </w:r>
          </w:p>
        </w:tc>
      </w:tr>
      <w:tr w:rsidR="00293BDE" w14:paraId="598A65EF" w14:textId="77777777" w:rsidTr="00293BDE">
        <w:tc>
          <w:tcPr>
            <w:tcW w:w="3024" w:type="dxa"/>
          </w:tcPr>
          <w:p w14:paraId="05FEB4A0" w14:textId="77777777" w:rsidR="00293BDE" w:rsidRDefault="00000000">
            <w:pPr>
              <w:pStyle w:val="Compact"/>
            </w:pPr>
            <w:r>
              <w:t>OM-2</w:t>
            </w:r>
          </w:p>
        </w:tc>
        <w:tc>
          <w:tcPr>
            <w:tcW w:w="3024" w:type="dxa"/>
          </w:tcPr>
          <w:p w14:paraId="176410EE" w14:textId="77777777" w:rsidR="00293BDE" w:rsidRDefault="00000000">
            <w:pPr>
              <w:pStyle w:val="Compact"/>
            </w:pPr>
            <w:r>
              <w:t>Neutrality protected, not exploited</w:t>
            </w:r>
          </w:p>
        </w:tc>
        <w:tc>
          <w:tcPr>
            <w:tcW w:w="3024" w:type="dxa"/>
          </w:tcPr>
          <w:p w14:paraId="74EA3F46" w14:textId="77777777" w:rsidR="00293BDE" w:rsidRDefault="00000000">
            <w:pPr>
              <w:pStyle w:val="Compact"/>
            </w:pPr>
            <w:r>
              <w:t>Article 16.6; Guarantor Panel; IPR-14</w:t>
            </w:r>
          </w:p>
        </w:tc>
      </w:tr>
      <w:tr w:rsidR="00293BDE" w14:paraId="35814A91" w14:textId="77777777" w:rsidTr="00293BDE">
        <w:tc>
          <w:tcPr>
            <w:tcW w:w="3024" w:type="dxa"/>
          </w:tcPr>
          <w:p w14:paraId="2D755778" w14:textId="77777777" w:rsidR="00293BDE" w:rsidRDefault="00000000">
            <w:pPr>
              <w:pStyle w:val="Compact"/>
            </w:pPr>
            <w:r>
              <w:t>OM-3</w:t>
            </w:r>
          </w:p>
        </w:tc>
        <w:tc>
          <w:tcPr>
            <w:tcW w:w="3024" w:type="dxa"/>
          </w:tcPr>
          <w:p w14:paraId="09A961AD" w14:textId="77777777" w:rsidR="00293BDE" w:rsidRDefault="00000000">
            <w:pPr>
              <w:pStyle w:val="Compact"/>
            </w:pPr>
            <w:r>
              <w:t>Outbound corridor under Omani service leadership</w:t>
            </w:r>
          </w:p>
        </w:tc>
        <w:tc>
          <w:tcPr>
            <w:tcW w:w="3024" w:type="dxa"/>
          </w:tcPr>
          <w:p w14:paraId="4214DD79" w14:textId="77777777" w:rsidR="00293BDE" w:rsidRDefault="00000000">
            <w:pPr>
              <w:pStyle w:val="Compact"/>
            </w:pPr>
            <w:r>
              <w:t>Article 8.3; Catalog; apportionment</w:t>
            </w:r>
          </w:p>
        </w:tc>
      </w:tr>
      <w:tr w:rsidR="00293BDE" w14:paraId="6F6C54A8" w14:textId="77777777" w:rsidTr="00293BDE">
        <w:tc>
          <w:tcPr>
            <w:tcW w:w="3024" w:type="dxa"/>
          </w:tcPr>
          <w:p w14:paraId="3C166DD3" w14:textId="77777777" w:rsidR="00293BDE" w:rsidRDefault="00000000">
            <w:pPr>
              <w:pStyle w:val="Compact"/>
            </w:pPr>
            <w:r>
              <w:t>OM-4</w:t>
            </w:r>
          </w:p>
        </w:tc>
        <w:tc>
          <w:tcPr>
            <w:tcW w:w="3024" w:type="dxa"/>
          </w:tcPr>
          <w:p w14:paraId="438006A0" w14:textId="77777777" w:rsidR="00293BDE" w:rsidRDefault="00000000">
            <w:pPr>
              <w:pStyle w:val="Compact"/>
            </w:pPr>
            <w:r>
              <w:t>No tolls on Omani waters</w:t>
            </w:r>
          </w:p>
        </w:tc>
        <w:tc>
          <w:tcPr>
            <w:tcW w:w="3024" w:type="dxa"/>
          </w:tcPr>
          <w:p w14:paraId="218B1333" w14:textId="77777777" w:rsidR="00293BDE" w:rsidRDefault="00000000">
            <w:pPr>
              <w:pStyle w:val="Compact"/>
            </w:pPr>
            <w:r>
              <w:t>IPR-1; Article 17</w:t>
            </w:r>
          </w:p>
        </w:tc>
      </w:tr>
      <w:tr w:rsidR="00293BDE" w14:paraId="0786B10C" w14:textId="77777777" w:rsidTr="00293BDE">
        <w:tc>
          <w:tcPr>
            <w:tcW w:w="3024" w:type="dxa"/>
          </w:tcPr>
          <w:p w14:paraId="29F895A9" w14:textId="77777777" w:rsidR="00293BDE" w:rsidRDefault="00000000">
            <w:pPr>
              <w:pStyle w:val="Compact"/>
            </w:pPr>
            <w:r>
              <w:t>OM-5</w:t>
            </w:r>
          </w:p>
        </w:tc>
        <w:tc>
          <w:tcPr>
            <w:tcW w:w="3024" w:type="dxa"/>
          </w:tcPr>
          <w:p w14:paraId="40924C23" w14:textId="77777777" w:rsidR="00293BDE" w:rsidRDefault="00000000">
            <w:pPr>
              <w:pStyle w:val="Compact"/>
            </w:pPr>
            <w:r>
              <w:t>Revenue for services rendered</w:t>
            </w:r>
          </w:p>
        </w:tc>
        <w:tc>
          <w:tcPr>
            <w:tcW w:w="3024" w:type="dxa"/>
          </w:tcPr>
          <w:p w14:paraId="477FA917" w14:textId="77777777" w:rsidR="00293BDE" w:rsidRDefault="00000000">
            <w:pPr>
              <w:pStyle w:val="Compact"/>
            </w:pPr>
            <w:r>
              <w:t>Article 18; apportionment, Article 21.3</w:t>
            </w:r>
          </w:p>
        </w:tc>
      </w:tr>
      <w:tr w:rsidR="00293BDE" w14:paraId="589467C8" w14:textId="77777777" w:rsidTr="00293BDE">
        <w:tc>
          <w:tcPr>
            <w:tcW w:w="3024" w:type="dxa"/>
          </w:tcPr>
          <w:p w14:paraId="5542DD18" w14:textId="77777777" w:rsidR="00293BDE" w:rsidRDefault="00000000">
            <w:pPr>
              <w:pStyle w:val="Compact"/>
            </w:pPr>
            <w:r>
              <w:t>OM-6</w:t>
            </w:r>
          </w:p>
        </w:tc>
        <w:tc>
          <w:tcPr>
            <w:tcW w:w="3024" w:type="dxa"/>
          </w:tcPr>
          <w:p w14:paraId="0128C35B" w14:textId="77777777" w:rsidR="00293BDE" w:rsidRDefault="00000000">
            <w:pPr>
              <w:pStyle w:val="Compact"/>
            </w:pPr>
            <w:r>
              <w:t>Mine and hazard clearance support</w:t>
            </w:r>
          </w:p>
        </w:tc>
        <w:tc>
          <w:tcPr>
            <w:tcW w:w="3024" w:type="dxa"/>
          </w:tcPr>
          <w:p w14:paraId="13DB212D" w14:textId="77777777" w:rsidR="00293BDE" w:rsidRDefault="00000000">
            <w:pPr>
              <w:pStyle w:val="Compact"/>
            </w:pPr>
            <w:r>
              <w:t>Article 9; UNMAS interface; survey credits</w:t>
            </w:r>
          </w:p>
        </w:tc>
      </w:tr>
      <w:tr w:rsidR="00293BDE" w14:paraId="4A097B74" w14:textId="77777777" w:rsidTr="00293BDE">
        <w:tc>
          <w:tcPr>
            <w:tcW w:w="3024" w:type="dxa"/>
          </w:tcPr>
          <w:p w14:paraId="505E3DFB" w14:textId="77777777" w:rsidR="00293BDE" w:rsidRDefault="00000000">
            <w:pPr>
              <w:pStyle w:val="Compact"/>
            </w:pPr>
            <w:r>
              <w:t>OM-7</w:t>
            </w:r>
          </w:p>
        </w:tc>
        <w:tc>
          <w:tcPr>
            <w:tcW w:w="3024" w:type="dxa"/>
          </w:tcPr>
          <w:p w14:paraId="4A7CB1EE" w14:textId="77777777" w:rsidR="00293BDE" w:rsidRDefault="00000000">
            <w:pPr>
              <w:pStyle w:val="Compact"/>
            </w:pPr>
            <w:r>
              <w:t>Environmental protection of Omani coasts</w:t>
            </w:r>
          </w:p>
        </w:tc>
        <w:tc>
          <w:tcPr>
            <w:tcW w:w="3024" w:type="dxa"/>
          </w:tcPr>
          <w:p w14:paraId="2CC2D8F2" w14:textId="77777777" w:rsidR="00293BDE" w:rsidRDefault="00000000">
            <w:pPr>
              <w:pStyle w:val="Compact"/>
            </w:pPr>
            <w:r>
              <w:t>Annex J; sensitive zones; response tiers</w:t>
            </w:r>
          </w:p>
        </w:tc>
      </w:tr>
      <w:tr w:rsidR="00293BDE" w14:paraId="0780EDC0" w14:textId="77777777" w:rsidTr="00293BDE">
        <w:tc>
          <w:tcPr>
            <w:tcW w:w="3024" w:type="dxa"/>
          </w:tcPr>
          <w:p w14:paraId="68D1EC2D" w14:textId="77777777" w:rsidR="00293BDE" w:rsidRDefault="00000000">
            <w:pPr>
              <w:pStyle w:val="Compact"/>
            </w:pPr>
            <w:r>
              <w:t>OM-8</w:t>
            </w:r>
          </w:p>
        </w:tc>
        <w:tc>
          <w:tcPr>
            <w:tcW w:w="3024" w:type="dxa"/>
          </w:tcPr>
          <w:p w14:paraId="585E6EC9" w14:textId="77777777" w:rsidR="00293BDE" w:rsidRDefault="00000000">
            <w:pPr>
              <w:pStyle w:val="Compact"/>
            </w:pPr>
            <w:r>
              <w:t>No command role for any party</w:t>
            </w:r>
          </w:p>
        </w:tc>
        <w:tc>
          <w:tcPr>
            <w:tcW w:w="3024" w:type="dxa"/>
          </w:tcPr>
          <w:p w14:paraId="39CCF933" w14:textId="77777777" w:rsidR="00293BDE" w:rsidRDefault="00000000">
            <w:pPr>
              <w:pStyle w:val="Compact"/>
            </w:pPr>
            <w:r>
              <w:t>IPR-14; Article 15</w:t>
            </w:r>
          </w:p>
        </w:tc>
      </w:tr>
      <w:tr w:rsidR="00293BDE" w14:paraId="1C2C7782" w14:textId="77777777" w:rsidTr="00293BDE">
        <w:tc>
          <w:tcPr>
            <w:tcW w:w="3024" w:type="dxa"/>
          </w:tcPr>
          <w:p w14:paraId="782D9884" w14:textId="77777777" w:rsidR="00293BDE" w:rsidRDefault="00000000">
            <w:pPr>
              <w:pStyle w:val="Compact"/>
            </w:pPr>
            <w:r>
              <w:t>OM-9</w:t>
            </w:r>
          </w:p>
        </w:tc>
        <w:tc>
          <w:tcPr>
            <w:tcW w:w="3024" w:type="dxa"/>
          </w:tcPr>
          <w:p w14:paraId="084101E2" w14:textId="77777777" w:rsidR="00293BDE" w:rsidRDefault="00000000">
            <w:pPr>
              <w:pStyle w:val="Compact"/>
            </w:pPr>
            <w:r>
              <w:t>Facilitator role for Qatar and Pakistan honored</w:t>
            </w:r>
          </w:p>
        </w:tc>
        <w:tc>
          <w:tcPr>
            <w:tcW w:w="3024" w:type="dxa"/>
          </w:tcPr>
          <w:p w14:paraId="40F1ED61" w14:textId="77777777" w:rsidR="00293BDE" w:rsidRDefault="00000000">
            <w:pPr>
              <w:pStyle w:val="Compact"/>
            </w:pPr>
            <w:r>
              <w:t>Article 16.2; Neutral Facilitation Troika</w:t>
            </w:r>
          </w:p>
        </w:tc>
      </w:tr>
      <w:tr w:rsidR="00293BDE" w14:paraId="5EBE5597" w14:textId="77777777" w:rsidTr="00293BDE">
        <w:tc>
          <w:tcPr>
            <w:tcW w:w="3024" w:type="dxa"/>
          </w:tcPr>
          <w:p w14:paraId="70F184D3" w14:textId="77777777" w:rsidR="00293BDE" w:rsidRDefault="00000000">
            <w:pPr>
              <w:pStyle w:val="Compact"/>
            </w:pPr>
            <w:r>
              <w:t>OM-10</w:t>
            </w:r>
          </w:p>
        </w:tc>
        <w:tc>
          <w:tcPr>
            <w:tcW w:w="3024" w:type="dxa"/>
          </w:tcPr>
          <w:p w14:paraId="7C81813E" w14:textId="77777777" w:rsidR="00293BDE" w:rsidRDefault="00000000">
            <w:pPr>
              <w:pStyle w:val="Compact"/>
            </w:pPr>
            <w:r>
              <w:t>Escrow and clearing under neutral administration</w:t>
            </w:r>
          </w:p>
        </w:tc>
        <w:tc>
          <w:tcPr>
            <w:tcW w:w="3024" w:type="dxa"/>
          </w:tcPr>
          <w:p w14:paraId="0F482BA0" w14:textId="77777777" w:rsidR="00293BDE" w:rsidRDefault="00000000">
            <w:pPr>
              <w:pStyle w:val="Compact"/>
            </w:pPr>
            <w:r>
              <w:t>Article 19.4; Neutral Administrator</w:t>
            </w:r>
          </w:p>
        </w:tc>
      </w:tr>
      <w:tr w:rsidR="00293BDE" w14:paraId="7627C2B3" w14:textId="77777777" w:rsidTr="00293BDE">
        <w:tc>
          <w:tcPr>
            <w:tcW w:w="3024" w:type="dxa"/>
          </w:tcPr>
          <w:p w14:paraId="46E67219" w14:textId="77777777" w:rsidR="00293BDE" w:rsidRDefault="00000000">
            <w:pPr>
              <w:pStyle w:val="Compact"/>
            </w:pPr>
            <w:r>
              <w:t>OM-11</w:t>
            </w:r>
          </w:p>
        </w:tc>
        <w:tc>
          <w:tcPr>
            <w:tcW w:w="3024" w:type="dxa"/>
          </w:tcPr>
          <w:p w14:paraId="11B406AC" w14:textId="77777777" w:rsidR="00293BDE" w:rsidRDefault="00000000">
            <w:pPr>
              <w:pStyle w:val="Compact"/>
            </w:pPr>
            <w:r>
              <w:t>Costs never defaulted to the host</w:t>
            </w:r>
          </w:p>
        </w:tc>
        <w:tc>
          <w:tcPr>
            <w:tcW w:w="3024" w:type="dxa"/>
          </w:tcPr>
          <w:p w14:paraId="4270A2F1" w14:textId="77777777" w:rsidR="00293BDE" w:rsidRDefault="00000000">
            <w:pPr>
              <w:pStyle w:val="Compact"/>
            </w:pPr>
            <w:r>
              <w:t>Article 21.1; Voluntary Contribution Facility</w:t>
            </w:r>
          </w:p>
        </w:tc>
      </w:tr>
      <w:tr w:rsidR="00293BDE" w14:paraId="24004CAB" w14:textId="77777777" w:rsidTr="00293BDE">
        <w:tc>
          <w:tcPr>
            <w:tcW w:w="3024" w:type="dxa"/>
          </w:tcPr>
          <w:p w14:paraId="6E655458" w14:textId="77777777" w:rsidR="00293BDE" w:rsidRDefault="00000000">
            <w:pPr>
              <w:pStyle w:val="Compact"/>
            </w:pPr>
            <w:r>
              <w:t>OM-12</w:t>
            </w:r>
          </w:p>
        </w:tc>
        <w:tc>
          <w:tcPr>
            <w:tcW w:w="3024" w:type="dxa"/>
          </w:tcPr>
          <w:p w14:paraId="4061B5F8" w14:textId="77777777" w:rsidR="00293BDE" w:rsidRDefault="00000000">
            <w:pPr>
              <w:pStyle w:val="Compact"/>
            </w:pPr>
            <w:r>
              <w:t>Humanitarian corridor permanent</w:t>
            </w:r>
          </w:p>
        </w:tc>
        <w:tc>
          <w:tcPr>
            <w:tcW w:w="3024" w:type="dxa"/>
          </w:tcPr>
          <w:p w14:paraId="7F8ECAA0" w14:textId="77777777" w:rsidR="00293BDE" w:rsidRDefault="00000000">
            <w:pPr>
              <w:pStyle w:val="Compact"/>
            </w:pPr>
            <w:r>
              <w:t>IPR-10; Humanitarian Window</w:t>
            </w:r>
          </w:p>
        </w:tc>
      </w:tr>
      <w:tr w:rsidR="00293BDE" w14:paraId="5B8E478F" w14:textId="77777777" w:rsidTr="00293BDE">
        <w:tc>
          <w:tcPr>
            <w:tcW w:w="3024" w:type="dxa"/>
          </w:tcPr>
          <w:p w14:paraId="3A8A0F5E" w14:textId="77777777" w:rsidR="00293BDE" w:rsidRDefault="00000000">
            <w:pPr>
              <w:pStyle w:val="Compact"/>
            </w:pPr>
            <w:r>
              <w:t>OM-13</w:t>
            </w:r>
          </w:p>
        </w:tc>
        <w:tc>
          <w:tcPr>
            <w:tcW w:w="3024" w:type="dxa"/>
          </w:tcPr>
          <w:p w14:paraId="5D7C5B6B" w14:textId="77777777" w:rsidR="00293BDE" w:rsidRDefault="00000000">
            <w:pPr>
              <w:pStyle w:val="Compact"/>
            </w:pPr>
            <w:r>
              <w:t>Parity in staffing and standing</w:t>
            </w:r>
          </w:p>
        </w:tc>
        <w:tc>
          <w:tcPr>
            <w:tcW w:w="3024" w:type="dxa"/>
          </w:tcPr>
          <w:p w14:paraId="06CC02A6" w14:textId="77777777" w:rsidR="00293BDE" w:rsidRDefault="00000000">
            <w:pPr>
              <w:pStyle w:val="Compact"/>
            </w:pPr>
            <w:r>
              <w:t>Article 14.6; Annex E.4 parity band</w:t>
            </w:r>
          </w:p>
        </w:tc>
      </w:tr>
      <w:tr w:rsidR="00293BDE" w14:paraId="57AD332B" w14:textId="77777777" w:rsidTr="00293BDE">
        <w:tc>
          <w:tcPr>
            <w:tcW w:w="3024" w:type="dxa"/>
          </w:tcPr>
          <w:p w14:paraId="7C5C2E0F" w14:textId="77777777" w:rsidR="00293BDE" w:rsidRDefault="00000000">
            <w:pPr>
              <w:pStyle w:val="Compact"/>
            </w:pPr>
            <w:r>
              <w:t>OM-14</w:t>
            </w:r>
          </w:p>
        </w:tc>
        <w:tc>
          <w:tcPr>
            <w:tcW w:w="3024" w:type="dxa"/>
          </w:tcPr>
          <w:p w14:paraId="775FF1FA" w14:textId="77777777" w:rsidR="00293BDE" w:rsidRDefault="00000000">
            <w:pPr>
              <w:pStyle w:val="Compact"/>
            </w:pPr>
            <w:r>
              <w:t>Withdrawal never collapses the system</w:t>
            </w:r>
          </w:p>
        </w:tc>
        <w:tc>
          <w:tcPr>
            <w:tcW w:w="3024" w:type="dxa"/>
          </w:tcPr>
          <w:p w14:paraId="36D2FFD4" w14:textId="77777777" w:rsidR="00293BDE" w:rsidRDefault="00000000">
            <w:pPr>
              <w:pStyle w:val="Compact"/>
            </w:pPr>
            <w:r>
              <w:t>Article 33; reconstitution mechanics</w:t>
            </w:r>
          </w:p>
        </w:tc>
      </w:tr>
      <w:tr w:rsidR="00293BDE" w14:paraId="08014B2C" w14:textId="77777777" w:rsidTr="00293BDE">
        <w:tc>
          <w:tcPr>
            <w:tcW w:w="3024" w:type="dxa"/>
          </w:tcPr>
          <w:p w14:paraId="2A90D994" w14:textId="77777777" w:rsidR="00293BDE" w:rsidRDefault="00000000">
            <w:pPr>
              <w:pStyle w:val="Compact"/>
            </w:pPr>
            <w:r>
              <w:t>OM-15</w:t>
            </w:r>
          </w:p>
        </w:tc>
        <w:tc>
          <w:tcPr>
            <w:tcW w:w="3024" w:type="dxa"/>
          </w:tcPr>
          <w:p w14:paraId="11F7DE42" w14:textId="77777777" w:rsidR="00293BDE" w:rsidRDefault="00000000">
            <w:pPr>
              <w:pStyle w:val="Compact"/>
            </w:pPr>
            <w:r>
              <w:t>The strait treated as shared water</w:t>
            </w:r>
          </w:p>
        </w:tc>
        <w:tc>
          <w:tcPr>
            <w:tcW w:w="3024" w:type="dxa"/>
          </w:tcPr>
          <w:p w14:paraId="6D163522" w14:textId="77777777" w:rsidR="00293BDE" w:rsidRDefault="00000000">
            <w:pPr>
              <w:pStyle w:val="Compact"/>
            </w:pPr>
            <w:r>
              <w:t>IPR-13; the whole architecture</w:t>
            </w:r>
          </w:p>
        </w:tc>
      </w:tr>
    </w:tbl>
    <w:p w14:paraId="34AD872A" w14:textId="77777777" w:rsidR="00293BDE" w:rsidRDefault="00000000">
      <w:pPr>
        <w:pStyle w:val="Heading2"/>
      </w:pPr>
      <w:bookmarkStart w:id="543" w:name="__RefHeading___Toc11090_3324765499"/>
      <w:bookmarkEnd w:id="543"/>
      <w:r>
        <w:t>K.5 The Gulf Cooperation Council states: fifteen positions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6AD2DD2F"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0027283C" w14:textId="77777777" w:rsidR="00293BDE" w:rsidRDefault="00000000">
            <w:pPr>
              <w:pStyle w:val="Compact"/>
            </w:pPr>
            <w:r>
              <w:t>No.</w:t>
            </w:r>
          </w:p>
        </w:tc>
        <w:tc>
          <w:tcPr>
            <w:tcW w:w="3024" w:type="dxa"/>
            <w:tcBorders>
              <w:bottom w:val="single" w:sz="6" w:space="0" w:color="000000"/>
            </w:tcBorders>
          </w:tcPr>
          <w:p w14:paraId="793F2E54" w14:textId="77777777" w:rsidR="00293BDE" w:rsidRDefault="00000000">
            <w:pPr>
              <w:pStyle w:val="Compact"/>
            </w:pPr>
            <w:r>
              <w:t>Position as stated</w:t>
            </w:r>
          </w:p>
        </w:tc>
        <w:tc>
          <w:tcPr>
            <w:tcW w:w="3024" w:type="dxa"/>
            <w:tcBorders>
              <w:bottom w:val="single" w:sz="6" w:space="0" w:color="000000"/>
            </w:tcBorders>
          </w:tcPr>
          <w:p w14:paraId="07E156FD" w14:textId="77777777" w:rsidR="00293BDE" w:rsidRDefault="00000000">
            <w:pPr>
              <w:pStyle w:val="Compact"/>
            </w:pPr>
            <w:r>
              <w:t>Compact address</w:t>
            </w:r>
          </w:p>
        </w:tc>
      </w:tr>
      <w:tr w:rsidR="00293BDE" w14:paraId="0E3F442A" w14:textId="77777777" w:rsidTr="00293BDE">
        <w:tc>
          <w:tcPr>
            <w:tcW w:w="3024" w:type="dxa"/>
          </w:tcPr>
          <w:p w14:paraId="367C3389" w14:textId="77777777" w:rsidR="00293BDE" w:rsidRDefault="00000000">
            <w:pPr>
              <w:pStyle w:val="Compact"/>
            </w:pPr>
            <w:r>
              <w:t>GC-1</w:t>
            </w:r>
          </w:p>
        </w:tc>
        <w:tc>
          <w:tcPr>
            <w:tcW w:w="3024" w:type="dxa"/>
          </w:tcPr>
          <w:p w14:paraId="55D1D221" w14:textId="77777777" w:rsidR="00293BDE" w:rsidRDefault="00000000">
            <w:pPr>
              <w:pStyle w:val="Compact"/>
            </w:pPr>
            <w:r>
              <w:t>Accession open to all six littoral states</w:t>
            </w:r>
          </w:p>
        </w:tc>
        <w:tc>
          <w:tcPr>
            <w:tcW w:w="3024" w:type="dxa"/>
          </w:tcPr>
          <w:p w14:paraId="6D772124" w14:textId="77777777" w:rsidR="00293BDE" w:rsidRDefault="00000000">
            <w:pPr>
              <w:pStyle w:val="Compact"/>
            </w:pPr>
            <w:r>
              <w:t>Article 31.1; standing invitations, Annex F</w:t>
            </w:r>
          </w:p>
        </w:tc>
      </w:tr>
      <w:tr w:rsidR="00293BDE" w14:paraId="0A58A159" w14:textId="77777777" w:rsidTr="00293BDE">
        <w:tc>
          <w:tcPr>
            <w:tcW w:w="3024" w:type="dxa"/>
          </w:tcPr>
          <w:p w14:paraId="2C26A9E5" w14:textId="77777777" w:rsidR="00293BDE" w:rsidRDefault="00000000">
            <w:pPr>
              <w:pStyle w:val="Compact"/>
            </w:pPr>
            <w:r>
              <w:t>GC-2</w:t>
            </w:r>
          </w:p>
        </w:tc>
        <w:tc>
          <w:tcPr>
            <w:tcW w:w="3024" w:type="dxa"/>
          </w:tcPr>
          <w:p w14:paraId="6250773A" w14:textId="77777777" w:rsidR="00293BDE" w:rsidRDefault="00000000">
            <w:pPr>
              <w:pStyle w:val="Compact"/>
            </w:pPr>
            <w:r>
              <w:t>Energy export flows protected</w:t>
            </w:r>
          </w:p>
        </w:tc>
        <w:tc>
          <w:tcPr>
            <w:tcW w:w="3024" w:type="dxa"/>
          </w:tcPr>
          <w:p w14:paraId="43FADF63" w14:textId="77777777" w:rsidR="00293BDE" w:rsidRDefault="00000000">
            <w:pPr>
              <w:pStyle w:val="Compact"/>
            </w:pPr>
            <w:r>
              <w:t>Article 8; corridor geometry; L4 machinery</w:t>
            </w:r>
          </w:p>
        </w:tc>
      </w:tr>
      <w:tr w:rsidR="00293BDE" w14:paraId="4B0B25E7" w14:textId="77777777" w:rsidTr="00293BDE">
        <w:tc>
          <w:tcPr>
            <w:tcW w:w="3024" w:type="dxa"/>
          </w:tcPr>
          <w:p w14:paraId="053298A5" w14:textId="77777777" w:rsidR="00293BDE" w:rsidRDefault="00000000">
            <w:pPr>
              <w:pStyle w:val="Compact"/>
            </w:pPr>
            <w:r>
              <w:t>GC-3</w:t>
            </w:r>
          </w:p>
        </w:tc>
        <w:tc>
          <w:tcPr>
            <w:tcW w:w="3024" w:type="dxa"/>
          </w:tcPr>
          <w:p w14:paraId="0116A618" w14:textId="77777777" w:rsidR="00293BDE" w:rsidRDefault="00000000">
            <w:pPr>
              <w:pStyle w:val="Compact"/>
            </w:pPr>
            <w:r>
              <w:t>Insurance costs normalized</w:t>
            </w:r>
          </w:p>
        </w:tc>
        <w:tc>
          <w:tcPr>
            <w:tcW w:w="3024" w:type="dxa"/>
          </w:tcPr>
          <w:p w14:paraId="5CEEAA61" w14:textId="77777777" w:rsidR="00293BDE" w:rsidRDefault="00000000">
            <w:pPr>
              <w:pStyle w:val="Compact"/>
            </w:pPr>
            <w:r>
              <w:t>Article 19.7; Transit Assurance Certificate</w:t>
            </w:r>
          </w:p>
        </w:tc>
      </w:tr>
      <w:tr w:rsidR="00293BDE" w14:paraId="2E5DD01C" w14:textId="77777777" w:rsidTr="00293BDE">
        <w:tc>
          <w:tcPr>
            <w:tcW w:w="3024" w:type="dxa"/>
          </w:tcPr>
          <w:p w14:paraId="05B9EBFC" w14:textId="77777777" w:rsidR="00293BDE" w:rsidRDefault="00000000">
            <w:pPr>
              <w:pStyle w:val="Compact"/>
            </w:pPr>
            <w:r>
              <w:t>GC-4</w:t>
            </w:r>
          </w:p>
        </w:tc>
        <w:tc>
          <w:tcPr>
            <w:tcW w:w="3024" w:type="dxa"/>
          </w:tcPr>
          <w:p w14:paraId="489EC696" w14:textId="77777777" w:rsidR="00293BDE" w:rsidRDefault="00000000">
            <w:pPr>
              <w:pStyle w:val="Compact"/>
            </w:pPr>
            <w:r>
              <w:t>No tolls</w:t>
            </w:r>
          </w:p>
        </w:tc>
        <w:tc>
          <w:tcPr>
            <w:tcW w:w="3024" w:type="dxa"/>
          </w:tcPr>
          <w:p w14:paraId="0E35507F" w14:textId="77777777" w:rsidR="00293BDE" w:rsidRDefault="00000000">
            <w:pPr>
              <w:pStyle w:val="Compact"/>
            </w:pPr>
            <w:r>
              <w:t>IPR-1; Article 17</w:t>
            </w:r>
          </w:p>
        </w:tc>
      </w:tr>
      <w:tr w:rsidR="00293BDE" w14:paraId="3FA62F04" w14:textId="77777777" w:rsidTr="00293BDE">
        <w:tc>
          <w:tcPr>
            <w:tcW w:w="3024" w:type="dxa"/>
          </w:tcPr>
          <w:p w14:paraId="60058FF2" w14:textId="77777777" w:rsidR="00293BDE" w:rsidRDefault="00000000">
            <w:pPr>
              <w:pStyle w:val="Compact"/>
            </w:pPr>
            <w:r>
              <w:t>GC-5</w:t>
            </w:r>
          </w:p>
        </w:tc>
        <w:tc>
          <w:tcPr>
            <w:tcW w:w="3024" w:type="dxa"/>
          </w:tcPr>
          <w:p w14:paraId="50702595" w14:textId="77777777" w:rsidR="00293BDE" w:rsidRDefault="00000000">
            <w:pPr>
              <w:pStyle w:val="Compact"/>
            </w:pPr>
            <w:r>
              <w:t>Outbound corridor unconditional</w:t>
            </w:r>
          </w:p>
        </w:tc>
        <w:tc>
          <w:tcPr>
            <w:tcW w:w="3024" w:type="dxa"/>
          </w:tcPr>
          <w:p w14:paraId="795EA9D4" w14:textId="77777777" w:rsidR="00293BDE" w:rsidRDefault="00000000">
            <w:pPr>
              <w:pStyle w:val="Compact"/>
            </w:pPr>
            <w:r>
              <w:t>IPR-2; Article 8.3</w:t>
            </w:r>
          </w:p>
        </w:tc>
      </w:tr>
      <w:tr w:rsidR="00293BDE" w14:paraId="407B763C" w14:textId="77777777" w:rsidTr="00293BDE">
        <w:tc>
          <w:tcPr>
            <w:tcW w:w="3024" w:type="dxa"/>
          </w:tcPr>
          <w:p w14:paraId="65666FD0" w14:textId="77777777" w:rsidR="00293BDE" w:rsidRDefault="00000000">
            <w:pPr>
              <w:pStyle w:val="Compact"/>
            </w:pPr>
            <w:r>
              <w:t>GC-6</w:t>
            </w:r>
          </w:p>
        </w:tc>
        <w:tc>
          <w:tcPr>
            <w:tcW w:w="3024" w:type="dxa"/>
          </w:tcPr>
          <w:p w14:paraId="25DC63B8" w14:textId="77777777" w:rsidR="00293BDE" w:rsidRDefault="00000000">
            <w:pPr>
              <w:pStyle w:val="Compact"/>
            </w:pPr>
            <w:r>
              <w:t>Participation in governance at accession</w:t>
            </w:r>
          </w:p>
        </w:tc>
        <w:tc>
          <w:tcPr>
            <w:tcW w:w="3024" w:type="dxa"/>
          </w:tcPr>
          <w:p w14:paraId="12EA4591" w14:textId="77777777" w:rsidR="00293BDE" w:rsidRDefault="00000000">
            <w:pPr>
              <w:pStyle w:val="Compact"/>
            </w:pPr>
            <w:r>
              <w:t>Article 13.4; Council composition</w:t>
            </w:r>
          </w:p>
        </w:tc>
      </w:tr>
      <w:tr w:rsidR="00293BDE" w14:paraId="00EBB1A2" w14:textId="77777777" w:rsidTr="00293BDE">
        <w:tc>
          <w:tcPr>
            <w:tcW w:w="3024" w:type="dxa"/>
          </w:tcPr>
          <w:p w14:paraId="5B73BC3A" w14:textId="77777777" w:rsidR="00293BDE" w:rsidRDefault="00000000">
            <w:pPr>
              <w:pStyle w:val="Compact"/>
            </w:pPr>
            <w:r>
              <w:t>GC-7</w:t>
            </w:r>
          </w:p>
        </w:tc>
        <w:tc>
          <w:tcPr>
            <w:tcW w:w="3024" w:type="dxa"/>
          </w:tcPr>
          <w:p w14:paraId="0208F483" w14:textId="77777777" w:rsidR="00293BDE" w:rsidRDefault="00000000">
            <w:pPr>
              <w:pStyle w:val="Compact"/>
            </w:pPr>
            <w:r>
              <w:t>De-confliction with Gulf-based forces</w:t>
            </w:r>
          </w:p>
        </w:tc>
        <w:tc>
          <w:tcPr>
            <w:tcW w:w="3024" w:type="dxa"/>
          </w:tcPr>
          <w:p w14:paraId="2C98E73C" w14:textId="77777777" w:rsidR="00293BDE" w:rsidRDefault="00000000">
            <w:pPr>
              <w:pStyle w:val="Compact"/>
            </w:pPr>
            <w:r>
              <w:t>Article 23; Annex D liaison suite</w:t>
            </w:r>
          </w:p>
        </w:tc>
      </w:tr>
      <w:tr w:rsidR="00293BDE" w14:paraId="3FA08C37" w14:textId="77777777" w:rsidTr="00293BDE">
        <w:tc>
          <w:tcPr>
            <w:tcW w:w="3024" w:type="dxa"/>
          </w:tcPr>
          <w:p w14:paraId="6D0A4D3F" w14:textId="77777777" w:rsidR="00293BDE" w:rsidRDefault="00000000">
            <w:pPr>
              <w:pStyle w:val="Compact"/>
            </w:pPr>
            <w:r>
              <w:t>GC-8</w:t>
            </w:r>
          </w:p>
        </w:tc>
        <w:tc>
          <w:tcPr>
            <w:tcW w:w="3024" w:type="dxa"/>
          </w:tcPr>
          <w:p w14:paraId="3F4248F9" w14:textId="77777777" w:rsidR="00293BDE" w:rsidRDefault="00000000">
            <w:pPr>
              <w:pStyle w:val="Compact"/>
            </w:pPr>
            <w:r>
              <w:t>Environmental protection of Gulf coasts</w:t>
            </w:r>
          </w:p>
        </w:tc>
        <w:tc>
          <w:tcPr>
            <w:tcW w:w="3024" w:type="dxa"/>
          </w:tcPr>
          <w:p w14:paraId="6CF64ACD" w14:textId="77777777" w:rsidR="00293BDE" w:rsidRDefault="00000000">
            <w:pPr>
              <w:pStyle w:val="Compact"/>
            </w:pPr>
            <w:r>
              <w:t>Annex J; response tiers</w:t>
            </w:r>
          </w:p>
        </w:tc>
      </w:tr>
      <w:tr w:rsidR="00293BDE" w14:paraId="1C247321" w14:textId="77777777" w:rsidTr="00293BDE">
        <w:tc>
          <w:tcPr>
            <w:tcW w:w="3024" w:type="dxa"/>
          </w:tcPr>
          <w:p w14:paraId="0D2FE9A2" w14:textId="77777777" w:rsidR="00293BDE" w:rsidRDefault="00000000">
            <w:pPr>
              <w:pStyle w:val="Compact"/>
            </w:pPr>
            <w:r>
              <w:t>GC-9</w:t>
            </w:r>
          </w:p>
        </w:tc>
        <w:tc>
          <w:tcPr>
            <w:tcW w:w="3024" w:type="dxa"/>
          </w:tcPr>
          <w:p w14:paraId="0222A28E" w14:textId="77777777" w:rsidR="00293BDE" w:rsidRDefault="00000000">
            <w:pPr>
              <w:pStyle w:val="Compact"/>
            </w:pPr>
            <w:r>
              <w:t>Mine clearance of Gulf approaches</w:t>
            </w:r>
          </w:p>
        </w:tc>
        <w:tc>
          <w:tcPr>
            <w:tcW w:w="3024" w:type="dxa"/>
          </w:tcPr>
          <w:p w14:paraId="05C2C5A1" w14:textId="77777777" w:rsidR="00293BDE" w:rsidRDefault="00000000">
            <w:pPr>
              <w:pStyle w:val="Compact"/>
            </w:pPr>
            <w:r>
              <w:t>Article 9; survey credits</w:t>
            </w:r>
          </w:p>
        </w:tc>
      </w:tr>
      <w:tr w:rsidR="00293BDE" w14:paraId="17AB1F9E" w14:textId="77777777" w:rsidTr="00293BDE">
        <w:tc>
          <w:tcPr>
            <w:tcW w:w="3024" w:type="dxa"/>
          </w:tcPr>
          <w:p w14:paraId="3D6187F4" w14:textId="77777777" w:rsidR="00293BDE" w:rsidRDefault="00000000">
            <w:pPr>
              <w:pStyle w:val="Compact"/>
            </w:pPr>
            <w:r>
              <w:t>GC-10</w:t>
            </w:r>
          </w:p>
        </w:tc>
        <w:tc>
          <w:tcPr>
            <w:tcW w:w="3024" w:type="dxa"/>
          </w:tcPr>
          <w:p w14:paraId="61A97777" w14:textId="77777777" w:rsidR="00293BDE" w:rsidRDefault="00000000">
            <w:pPr>
              <w:pStyle w:val="Compact"/>
            </w:pPr>
            <w:r>
              <w:t>No expansion of any single state’s control</w:t>
            </w:r>
          </w:p>
        </w:tc>
        <w:tc>
          <w:tcPr>
            <w:tcW w:w="3024" w:type="dxa"/>
          </w:tcPr>
          <w:p w14:paraId="3D58EDE4" w14:textId="77777777" w:rsidR="00293BDE" w:rsidRDefault="00000000">
            <w:pPr>
              <w:pStyle w:val="Compact"/>
            </w:pPr>
            <w:r>
              <w:t>IPR-13; IPR-14</w:t>
            </w:r>
          </w:p>
        </w:tc>
      </w:tr>
      <w:tr w:rsidR="00293BDE" w14:paraId="0B2D340D" w14:textId="77777777" w:rsidTr="00293BDE">
        <w:tc>
          <w:tcPr>
            <w:tcW w:w="3024" w:type="dxa"/>
          </w:tcPr>
          <w:p w14:paraId="1AE8B76F" w14:textId="77777777" w:rsidR="00293BDE" w:rsidRDefault="00000000">
            <w:pPr>
              <w:pStyle w:val="Compact"/>
            </w:pPr>
            <w:r>
              <w:t>GC-11</w:t>
            </w:r>
          </w:p>
        </w:tc>
        <w:tc>
          <w:tcPr>
            <w:tcW w:w="3024" w:type="dxa"/>
          </w:tcPr>
          <w:p w14:paraId="6CD1D84A" w14:textId="77777777" w:rsidR="00293BDE" w:rsidRDefault="00000000">
            <w:pPr>
              <w:pStyle w:val="Compact"/>
            </w:pPr>
            <w:r>
              <w:t>Quiet Water Windows respected</w:t>
            </w:r>
          </w:p>
        </w:tc>
        <w:tc>
          <w:tcPr>
            <w:tcW w:w="3024" w:type="dxa"/>
          </w:tcPr>
          <w:p w14:paraId="49638D36" w14:textId="77777777" w:rsidR="00293BDE" w:rsidRDefault="00000000">
            <w:pPr>
              <w:pStyle w:val="Compact"/>
            </w:pPr>
            <w:r>
              <w:t>Annex A.8; Bulletin</w:t>
            </w:r>
          </w:p>
        </w:tc>
      </w:tr>
      <w:tr w:rsidR="00293BDE" w14:paraId="3DD4BA73" w14:textId="77777777" w:rsidTr="00293BDE">
        <w:tc>
          <w:tcPr>
            <w:tcW w:w="3024" w:type="dxa"/>
          </w:tcPr>
          <w:p w14:paraId="60328B9F" w14:textId="77777777" w:rsidR="00293BDE" w:rsidRDefault="00000000">
            <w:pPr>
              <w:pStyle w:val="Compact"/>
            </w:pPr>
            <w:r>
              <w:t>GC-12</w:t>
            </w:r>
          </w:p>
        </w:tc>
        <w:tc>
          <w:tcPr>
            <w:tcW w:w="3024" w:type="dxa"/>
          </w:tcPr>
          <w:p w14:paraId="0E2335BF" w14:textId="77777777" w:rsidR="00293BDE" w:rsidRDefault="00000000">
            <w:pPr>
              <w:pStyle w:val="Compact"/>
            </w:pPr>
            <w:r>
              <w:t>Hotline access for all littorals</w:t>
            </w:r>
          </w:p>
        </w:tc>
        <w:tc>
          <w:tcPr>
            <w:tcW w:w="3024" w:type="dxa"/>
          </w:tcPr>
          <w:p w14:paraId="77D191D6" w14:textId="77777777" w:rsidR="00293BDE" w:rsidRDefault="00000000">
            <w:pPr>
              <w:pStyle w:val="Compact"/>
            </w:pPr>
            <w:r>
              <w:t>Article 14.8; Annex D</w:t>
            </w:r>
          </w:p>
        </w:tc>
      </w:tr>
      <w:tr w:rsidR="00293BDE" w14:paraId="30B16655" w14:textId="77777777" w:rsidTr="00293BDE">
        <w:tc>
          <w:tcPr>
            <w:tcW w:w="3024" w:type="dxa"/>
          </w:tcPr>
          <w:p w14:paraId="2501A36C" w14:textId="77777777" w:rsidR="00293BDE" w:rsidRDefault="00000000">
            <w:pPr>
              <w:pStyle w:val="Compact"/>
            </w:pPr>
            <w:r>
              <w:t>GC-13</w:t>
            </w:r>
          </w:p>
        </w:tc>
        <w:tc>
          <w:tcPr>
            <w:tcW w:w="3024" w:type="dxa"/>
          </w:tcPr>
          <w:p w14:paraId="4AE73150" w14:textId="77777777" w:rsidR="00293BDE" w:rsidRDefault="00000000">
            <w:pPr>
              <w:pStyle w:val="Compact"/>
            </w:pPr>
            <w:r>
              <w:t>Funding formula fair to small states</w:t>
            </w:r>
          </w:p>
        </w:tc>
        <w:tc>
          <w:tcPr>
            <w:tcW w:w="3024" w:type="dxa"/>
          </w:tcPr>
          <w:p w14:paraId="225BA40E" w14:textId="77777777" w:rsidR="00293BDE" w:rsidRDefault="00000000">
            <w:pPr>
              <w:pStyle w:val="Compact"/>
            </w:pPr>
            <w:r>
              <w:t>Article 21; capitalization schedule, Annex B.3</w:t>
            </w:r>
          </w:p>
        </w:tc>
      </w:tr>
      <w:tr w:rsidR="00293BDE" w14:paraId="175EDBAD" w14:textId="77777777" w:rsidTr="00293BDE">
        <w:tc>
          <w:tcPr>
            <w:tcW w:w="3024" w:type="dxa"/>
          </w:tcPr>
          <w:p w14:paraId="20AF9C07" w14:textId="77777777" w:rsidR="00293BDE" w:rsidRDefault="00000000">
            <w:pPr>
              <w:pStyle w:val="Compact"/>
            </w:pPr>
            <w:r>
              <w:t>GC-14</w:t>
            </w:r>
          </w:p>
        </w:tc>
        <w:tc>
          <w:tcPr>
            <w:tcW w:w="3024" w:type="dxa"/>
          </w:tcPr>
          <w:p w14:paraId="0C018785" w14:textId="77777777" w:rsidR="00293BDE" w:rsidRDefault="00000000">
            <w:pPr>
              <w:pStyle w:val="Compact"/>
            </w:pPr>
            <w:r>
              <w:t>Dispute access without veto</w:t>
            </w:r>
          </w:p>
        </w:tc>
        <w:tc>
          <w:tcPr>
            <w:tcW w:w="3024" w:type="dxa"/>
          </w:tcPr>
          <w:p w14:paraId="31B8BE07" w14:textId="77777777" w:rsidR="00293BDE" w:rsidRDefault="00000000">
            <w:pPr>
              <w:pStyle w:val="Compact"/>
            </w:pPr>
            <w:r>
              <w:t>Article 26; four tiers</w:t>
            </w:r>
          </w:p>
        </w:tc>
      </w:tr>
      <w:tr w:rsidR="00293BDE" w14:paraId="0D131D7F" w14:textId="77777777" w:rsidTr="00293BDE">
        <w:tc>
          <w:tcPr>
            <w:tcW w:w="3024" w:type="dxa"/>
          </w:tcPr>
          <w:p w14:paraId="2D1E3A1D" w14:textId="77777777" w:rsidR="00293BDE" w:rsidRDefault="00000000">
            <w:pPr>
              <w:pStyle w:val="Compact"/>
            </w:pPr>
            <w:r>
              <w:t>GC-15</w:t>
            </w:r>
          </w:p>
        </w:tc>
        <w:tc>
          <w:tcPr>
            <w:tcW w:w="3024" w:type="dxa"/>
          </w:tcPr>
          <w:p w14:paraId="7BA84233" w14:textId="77777777" w:rsidR="00293BDE" w:rsidRDefault="00000000">
            <w:pPr>
              <w:pStyle w:val="Compact"/>
            </w:pPr>
            <w:r>
              <w:t>Stability beyond the news cycle</w:t>
            </w:r>
          </w:p>
        </w:tc>
        <w:tc>
          <w:tcPr>
            <w:tcW w:w="3024" w:type="dxa"/>
          </w:tcPr>
          <w:p w14:paraId="01008C4D" w14:textId="77777777" w:rsidR="00293BDE" w:rsidRDefault="00000000">
            <w:pPr>
              <w:pStyle w:val="Compact"/>
            </w:pPr>
            <w:r>
              <w:t>Article 4; Standing Continuity Guarantee</w:t>
            </w:r>
          </w:p>
        </w:tc>
      </w:tr>
    </w:tbl>
    <w:p w14:paraId="315F5B78" w14:textId="77777777" w:rsidR="00293BDE" w:rsidRDefault="00000000">
      <w:pPr>
        <w:pStyle w:val="Heading2"/>
      </w:pPr>
      <w:bookmarkStart w:id="544" w:name="__RefHeading___Toc11092_3324765499"/>
      <w:bookmarkEnd w:id="544"/>
      <w:r>
        <w:t>K.6 Europe: fifteen positions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7DB92C8A"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3244D0C4" w14:textId="77777777" w:rsidR="00293BDE" w:rsidRDefault="00000000">
            <w:pPr>
              <w:pStyle w:val="Compact"/>
            </w:pPr>
            <w:r>
              <w:t>No.</w:t>
            </w:r>
          </w:p>
        </w:tc>
        <w:tc>
          <w:tcPr>
            <w:tcW w:w="3024" w:type="dxa"/>
            <w:tcBorders>
              <w:bottom w:val="single" w:sz="6" w:space="0" w:color="000000"/>
            </w:tcBorders>
          </w:tcPr>
          <w:p w14:paraId="1509B9F2" w14:textId="77777777" w:rsidR="00293BDE" w:rsidRDefault="00000000">
            <w:pPr>
              <w:pStyle w:val="Compact"/>
            </w:pPr>
            <w:r>
              <w:t>Position as stated</w:t>
            </w:r>
          </w:p>
        </w:tc>
        <w:tc>
          <w:tcPr>
            <w:tcW w:w="3024" w:type="dxa"/>
            <w:tcBorders>
              <w:bottom w:val="single" w:sz="6" w:space="0" w:color="000000"/>
            </w:tcBorders>
          </w:tcPr>
          <w:p w14:paraId="312F46BA" w14:textId="77777777" w:rsidR="00293BDE" w:rsidRDefault="00000000">
            <w:pPr>
              <w:pStyle w:val="Compact"/>
            </w:pPr>
            <w:r>
              <w:t>Compact address</w:t>
            </w:r>
          </w:p>
        </w:tc>
      </w:tr>
      <w:tr w:rsidR="00293BDE" w14:paraId="286BFA09" w14:textId="77777777" w:rsidTr="00293BDE">
        <w:tc>
          <w:tcPr>
            <w:tcW w:w="3024" w:type="dxa"/>
          </w:tcPr>
          <w:p w14:paraId="43EE9FF5" w14:textId="77777777" w:rsidR="00293BDE" w:rsidRDefault="00000000">
            <w:pPr>
              <w:pStyle w:val="Compact"/>
            </w:pPr>
            <w:r>
              <w:t>EU-1</w:t>
            </w:r>
          </w:p>
        </w:tc>
        <w:tc>
          <w:tcPr>
            <w:tcW w:w="3024" w:type="dxa"/>
          </w:tcPr>
          <w:p w14:paraId="347B58F0" w14:textId="77777777" w:rsidR="00293BDE" w:rsidRDefault="00000000">
            <w:pPr>
              <w:pStyle w:val="Compact"/>
            </w:pPr>
            <w:r>
              <w:t>Freedom of navigation upheld</w:t>
            </w:r>
          </w:p>
        </w:tc>
        <w:tc>
          <w:tcPr>
            <w:tcW w:w="3024" w:type="dxa"/>
          </w:tcPr>
          <w:p w14:paraId="7B0FCE58" w14:textId="77777777" w:rsidR="00293BDE" w:rsidRDefault="00000000">
            <w:pPr>
              <w:pStyle w:val="Compact"/>
            </w:pPr>
            <w:r>
              <w:t>IPR-1; IPR-2; Article 8</w:t>
            </w:r>
          </w:p>
        </w:tc>
      </w:tr>
      <w:tr w:rsidR="00293BDE" w14:paraId="6405130B" w14:textId="77777777" w:rsidTr="00293BDE">
        <w:tc>
          <w:tcPr>
            <w:tcW w:w="3024" w:type="dxa"/>
          </w:tcPr>
          <w:p w14:paraId="5163ECAE" w14:textId="77777777" w:rsidR="00293BDE" w:rsidRDefault="00000000">
            <w:pPr>
              <w:pStyle w:val="Compact"/>
            </w:pPr>
            <w:r>
              <w:t>EU-2</w:t>
            </w:r>
          </w:p>
        </w:tc>
        <w:tc>
          <w:tcPr>
            <w:tcW w:w="3024" w:type="dxa"/>
          </w:tcPr>
          <w:p w14:paraId="017BBF02" w14:textId="77777777" w:rsidR="00293BDE" w:rsidRDefault="00000000">
            <w:pPr>
              <w:pStyle w:val="Compact"/>
            </w:pPr>
            <w:r>
              <w:t>No tolls</w:t>
            </w:r>
          </w:p>
        </w:tc>
        <w:tc>
          <w:tcPr>
            <w:tcW w:w="3024" w:type="dxa"/>
          </w:tcPr>
          <w:p w14:paraId="035B6382" w14:textId="77777777" w:rsidR="00293BDE" w:rsidRDefault="00000000">
            <w:pPr>
              <w:pStyle w:val="Compact"/>
            </w:pPr>
            <w:r>
              <w:t>Article 17</w:t>
            </w:r>
          </w:p>
        </w:tc>
      </w:tr>
      <w:tr w:rsidR="00293BDE" w14:paraId="4D455AF9" w14:textId="77777777" w:rsidTr="00293BDE">
        <w:tc>
          <w:tcPr>
            <w:tcW w:w="3024" w:type="dxa"/>
          </w:tcPr>
          <w:p w14:paraId="31B887C3" w14:textId="77777777" w:rsidR="00293BDE" w:rsidRDefault="00000000">
            <w:pPr>
              <w:pStyle w:val="Compact"/>
            </w:pPr>
            <w:r>
              <w:t>EU-3</w:t>
            </w:r>
          </w:p>
        </w:tc>
        <w:tc>
          <w:tcPr>
            <w:tcW w:w="3024" w:type="dxa"/>
          </w:tcPr>
          <w:p w14:paraId="0F3D1A9C" w14:textId="77777777" w:rsidR="00293BDE" w:rsidRDefault="00000000">
            <w:pPr>
              <w:pStyle w:val="Compact"/>
            </w:pPr>
            <w:r>
              <w:t>De-escalation without legitimizing coercion</w:t>
            </w:r>
          </w:p>
        </w:tc>
        <w:tc>
          <w:tcPr>
            <w:tcW w:w="3024" w:type="dxa"/>
          </w:tcPr>
          <w:p w14:paraId="36329330" w14:textId="77777777" w:rsidR="00293BDE" w:rsidRDefault="00000000">
            <w:pPr>
              <w:pStyle w:val="Compact"/>
            </w:pPr>
            <w:r>
              <w:t>IPR-16; Annex L sequencing</w:t>
            </w:r>
          </w:p>
        </w:tc>
      </w:tr>
      <w:tr w:rsidR="00293BDE" w14:paraId="2E0147B9" w14:textId="77777777" w:rsidTr="00293BDE">
        <w:tc>
          <w:tcPr>
            <w:tcW w:w="3024" w:type="dxa"/>
          </w:tcPr>
          <w:p w14:paraId="78BFE7AF" w14:textId="77777777" w:rsidR="00293BDE" w:rsidRDefault="00000000">
            <w:pPr>
              <w:pStyle w:val="Compact"/>
            </w:pPr>
            <w:r>
              <w:t>EU-4</w:t>
            </w:r>
          </w:p>
        </w:tc>
        <w:tc>
          <w:tcPr>
            <w:tcW w:w="3024" w:type="dxa"/>
          </w:tcPr>
          <w:p w14:paraId="75280D9F" w14:textId="77777777" w:rsidR="00293BDE" w:rsidRDefault="00000000">
            <w:pPr>
              <w:pStyle w:val="Compact"/>
            </w:pPr>
            <w:r>
              <w:t>Sanctions policy autonomy preserved</w:t>
            </w:r>
          </w:p>
        </w:tc>
        <w:tc>
          <w:tcPr>
            <w:tcW w:w="3024" w:type="dxa"/>
          </w:tcPr>
          <w:p w14:paraId="1C9F8014" w14:textId="77777777" w:rsidR="00293BDE" w:rsidRDefault="00000000">
            <w:pPr>
              <w:pStyle w:val="Compact"/>
            </w:pPr>
            <w:r>
              <w:t>Article 2.7; Firewall; non-prejudice</w:t>
            </w:r>
          </w:p>
        </w:tc>
      </w:tr>
      <w:tr w:rsidR="00293BDE" w14:paraId="7164D420" w14:textId="77777777" w:rsidTr="00293BDE">
        <w:tc>
          <w:tcPr>
            <w:tcW w:w="3024" w:type="dxa"/>
          </w:tcPr>
          <w:p w14:paraId="0229507D" w14:textId="77777777" w:rsidR="00293BDE" w:rsidRDefault="00000000">
            <w:pPr>
              <w:pStyle w:val="Compact"/>
            </w:pPr>
            <w:r>
              <w:t>EU-5</w:t>
            </w:r>
          </w:p>
        </w:tc>
        <w:tc>
          <w:tcPr>
            <w:tcW w:w="3024" w:type="dxa"/>
          </w:tcPr>
          <w:p w14:paraId="06017B71" w14:textId="77777777" w:rsidR="00293BDE" w:rsidRDefault="00000000">
            <w:pPr>
              <w:pStyle w:val="Compact"/>
            </w:pPr>
            <w:r>
              <w:t>Energy security restored</w:t>
            </w:r>
          </w:p>
        </w:tc>
        <w:tc>
          <w:tcPr>
            <w:tcW w:w="3024" w:type="dxa"/>
          </w:tcPr>
          <w:p w14:paraId="01E96218" w14:textId="77777777" w:rsidR="00293BDE" w:rsidRDefault="00000000">
            <w:pPr>
              <w:pStyle w:val="Compact"/>
            </w:pPr>
            <w:r>
              <w:t>Article 8; Assurance Certificate</w:t>
            </w:r>
          </w:p>
        </w:tc>
      </w:tr>
      <w:tr w:rsidR="00293BDE" w14:paraId="77D3B43A" w14:textId="77777777" w:rsidTr="00293BDE">
        <w:tc>
          <w:tcPr>
            <w:tcW w:w="3024" w:type="dxa"/>
          </w:tcPr>
          <w:p w14:paraId="442AC106" w14:textId="77777777" w:rsidR="00293BDE" w:rsidRDefault="00000000">
            <w:pPr>
              <w:pStyle w:val="Compact"/>
            </w:pPr>
            <w:r>
              <w:t>EU-6</w:t>
            </w:r>
          </w:p>
        </w:tc>
        <w:tc>
          <w:tcPr>
            <w:tcW w:w="3024" w:type="dxa"/>
          </w:tcPr>
          <w:p w14:paraId="373BCE55" w14:textId="77777777" w:rsidR="00293BDE" w:rsidRDefault="00000000">
            <w:pPr>
              <w:pStyle w:val="Compact"/>
            </w:pPr>
            <w:r>
              <w:t>Verification credibility</w:t>
            </w:r>
          </w:p>
        </w:tc>
        <w:tc>
          <w:tcPr>
            <w:tcW w:w="3024" w:type="dxa"/>
          </w:tcPr>
          <w:p w14:paraId="0C6773D7" w14:textId="77777777" w:rsidR="00293BDE" w:rsidRDefault="00000000">
            <w:pPr>
              <w:pStyle w:val="Compact"/>
            </w:pPr>
            <w:r>
              <w:t>Article 22; Annex H</w:t>
            </w:r>
          </w:p>
        </w:tc>
      </w:tr>
      <w:tr w:rsidR="00293BDE" w14:paraId="47F58F76" w14:textId="77777777" w:rsidTr="00293BDE">
        <w:tc>
          <w:tcPr>
            <w:tcW w:w="3024" w:type="dxa"/>
          </w:tcPr>
          <w:p w14:paraId="0FB60CF5" w14:textId="77777777" w:rsidR="00293BDE" w:rsidRDefault="00000000">
            <w:pPr>
              <w:pStyle w:val="Compact"/>
            </w:pPr>
            <w:r>
              <w:t>EU-7</w:t>
            </w:r>
          </w:p>
        </w:tc>
        <w:tc>
          <w:tcPr>
            <w:tcW w:w="3024" w:type="dxa"/>
          </w:tcPr>
          <w:p w14:paraId="561BDE75" w14:textId="77777777" w:rsidR="00293BDE" w:rsidRDefault="00000000">
            <w:pPr>
              <w:pStyle w:val="Compact"/>
            </w:pPr>
            <w:r>
              <w:t>Humanitarian protections</w:t>
            </w:r>
          </w:p>
        </w:tc>
        <w:tc>
          <w:tcPr>
            <w:tcW w:w="3024" w:type="dxa"/>
          </w:tcPr>
          <w:p w14:paraId="063204FA" w14:textId="77777777" w:rsidR="00293BDE" w:rsidRDefault="00000000">
            <w:pPr>
              <w:pStyle w:val="Compact"/>
            </w:pPr>
            <w:r>
              <w:t>IPR-10; Humanitarian Window</w:t>
            </w:r>
          </w:p>
        </w:tc>
      </w:tr>
      <w:tr w:rsidR="00293BDE" w14:paraId="21A48BD6" w14:textId="77777777" w:rsidTr="00293BDE">
        <w:tc>
          <w:tcPr>
            <w:tcW w:w="3024" w:type="dxa"/>
          </w:tcPr>
          <w:p w14:paraId="328D74E4" w14:textId="77777777" w:rsidR="00293BDE" w:rsidRDefault="00000000">
            <w:pPr>
              <w:pStyle w:val="Compact"/>
            </w:pPr>
            <w:r>
              <w:t>EU-8</w:t>
            </w:r>
          </w:p>
        </w:tc>
        <w:tc>
          <w:tcPr>
            <w:tcW w:w="3024" w:type="dxa"/>
          </w:tcPr>
          <w:p w14:paraId="77CA0C31" w14:textId="77777777" w:rsidR="00293BDE" w:rsidRDefault="00000000">
            <w:pPr>
              <w:pStyle w:val="Compact"/>
            </w:pPr>
            <w:r>
              <w:t>Environmental standards</w:t>
            </w:r>
          </w:p>
        </w:tc>
        <w:tc>
          <w:tcPr>
            <w:tcW w:w="3024" w:type="dxa"/>
          </w:tcPr>
          <w:p w14:paraId="1D42AAF0" w14:textId="77777777" w:rsidR="00293BDE" w:rsidRDefault="00000000">
            <w:pPr>
              <w:pStyle w:val="Compact"/>
            </w:pPr>
            <w:r>
              <w:t>Annex J; Catalog item 4</w:t>
            </w:r>
          </w:p>
        </w:tc>
      </w:tr>
      <w:tr w:rsidR="00293BDE" w14:paraId="5EE764FD" w14:textId="77777777" w:rsidTr="00293BDE">
        <w:tc>
          <w:tcPr>
            <w:tcW w:w="3024" w:type="dxa"/>
          </w:tcPr>
          <w:p w14:paraId="409551A1" w14:textId="77777777" w:rsidR="00293BDE" w:rsidRDefault="00000000">
            <w:pPr>
              <w:pStyle w:val="Compact"/>
            </w:pPr>
            <w:r>
              <w:t>EU-9</w:t>
            </w:r>
          </w:p>
        </w:tc>
        <w:tc>
          <w:tcPr>
            <w:tcW w:w="3024" w:type="dxa"/>
          </w:tcPr>
          <w:p w14:paraId="3B6972DE" w14:textId="77777777" w:rsidR="00293BDE" w:rsidRDefault="00000000">
            <w:pPr>
              <w:pStyle w:val="Compact"/>
            </w:pPr>
            <w:r>
              <w:t>IMO alignment</w:t>
            </w:r>
          </w:p>
        </w:tc>
        <w:tc>
          <w:tcPr>
            <w:tcW w:w="3024" w:type="dxa"/>
          </w:tcPr>
          <w:p w14:paraId="57687F45" w14:textId="77777777" w:rsidR="00293BDE" w:rsidRDefault="00000000">
            <w:pPr>
              <w:pStyle w:val="Compact"/>
            </w:pPr>
            <w:r>
              <w:t>Article 2.4; Technical Committee interface</w:t>
            </w:r>
          </w:p>
        </w:tc>
      </w:tr>
      <w:tr w:rsidR="00293BDE" w14:paraId="4634D72E" w14:textId="77777777" w:rsidTr="00293BDE">
        <w:tc>
          <w:tcPr>
            <w:tcW w:w="3024" w:type="dxa"/>
          </w:tcPr>
          <w:p w14:paraId="6E1A1F77" w14:textId="77777777" w:rsidR="00293BDE" w:rsidRDefault="00000000">
            <w:pPr>
              <w:pStyle w:val="Compact"/>
            </w:pPr>
            <w:r>
              <w:t>EU-10</w:t>
            </w:r>
          </w:p>
        </w:tc>
        <w:tc>
          <w:tcPr>
            <w:tcW w:w="3024" w:type="dxa"/>
          </w:tcPr>
          <w:p w14:paraId="7B360519" w14:textId="77777777" w:rsidR="00293BDE" w:rsidRDefault="00000000">
            <w:pPr>
              <w:pStyle w:val="Compact"/>
            </w:pPr>
            <w:r>
              <w:t>Observer participation</w:t>
            </w:r>
          </w:p>
        </w:tc>
        <w:tc>
          <w:tcPr>
            <w:tcW w:w="3024" w:type="dxa"/>
          </w:tcPr>
          <w:p w14:paraId="626E8D6F" w14:textId="77777777" w:rsidR="00293BDE" w:rsidRDefault="00000000">
            <w:pPr>
              <w:pStyle w:val="Compact"/>
            </w:pPr>
            <w:r>
              <w:t>Article 16.1; Annex F</w:t>
            </w:r>
          </w:p>
        </w:tc>
      </w:tr>
      <w:tr w:rsidR="00293BDE" w14:paraId="11C0ED76" w14:textId="77777777" w:rsidTr="00293BDE">
        <w:tc>
          <w:tcPr>
            <w:tcW w:w="3024" w:type="dxa"/>
          </w:tcPr>
          <w:p w14:paraId="742FE336" w14:textId="77777777" w:rsidR="00293BDE" w:rsidRDefault="00000000">
            <w:pPr>
              <w:pStyle w:val="Compact"/>
            </w:pPr>
            <w:r>
              <w:t>EU-11</w:t>
            </w:r>
          </w:p>
        </w:tc>
        <w:tc>
          <w:tcPr>
            <w:tcW w:w="3024" w:type="dxa"/>
          </w:tcPr>
          <w:p w14:paraId="6C2C9736" w14:textId="77777777" w:rsidR="00293BDE" w:rsidRDefault="00000000">
            <w:pPr>
              <w:pStyle w:val="Compact"/>
            </w:pPr>
            <w:r>
              <w:t>Burden-sharing on costs</w:t>
            </w:r>
          </w:p>
        </w:tc>
        <w:tc>
          <w:tcPr>
            <w:tcW w:w="3024" w:type="dxa"/>
          </w:tcPr>
          <w:p w14:paraId="05B1D18E" w14:textId="77777777" w:rsidR="00293BDE" w:rsidRDefault="00000000">
            <w:pPr>
              <w:pStyle w:val="Compact"/>
            </w:pPr>
            <w:r>
              <w:t>Article 21.7; Voluntary Contribution Facility</w:t>
            </w:r>
          </w:p>
        </w:tc>
      </w:tr>
      <w:tr w:rsidR="00293BDE" w14:paraId="236CC654" w14:textId="77777777" w:rsidTr="00293BDE">
        <w:tc>
          <w:tcPr>
            <w:tcW w:w="3024" w:type="dxa"/>
          </w:tcPr>
          <w:p w14:paraId="3162762D" w14:textId="77777777" w:rsidR="00293BDE" w:rsidRDefault="00000000">
            <w:pPr>
              <w:pStyle w:val="Compact"/>
            </w:pPr>
            <w:r>
              <w:t>EU-12</w:t>
            </w:r>
          </w:p>
        </w:tc>
        <w:tc>
          <w:tcPr>
            <w:tcW w:w="3024" w:type="dxa"/>
          </w:tcPr>
          <w:p w14:paraId="295C5991" w14:textId="77777777" w:rsidR="00293BDE" w:rsidRDefault="00000000">
            <w:pPr>
              <w:pStyle w:val="Compact"/>
            </w:pPr>
            <w:r>
              <w:t>No command or patrol obligation</w:t>
            </w:r>
          </w:p>
        </w:tc>
        <w:tc>
          <w:tcPr>
            <w:tcW w:w="3024" w:type="dxa"/>
          </w:tcPr>
          <w:p w14:paraId="56E4D283" w14:textId="77777777" w:rsidR="00293BDE" w:rsidRDefault="00000000">
            <w:pPr>
              <w:pStyle w:val="Compact"/>
            </w:pPr>
            <w:r>
              <w:t>Article 16.5; endorsement design</w:t>
            </w:r>
          </w:p>
        </w:tc>
      </w:tr>
      <w:tr w:rsidR="00293BDE" w14:paraId="53DAD7EE" w14:textId="77777777" w:rsidTr="00293BDE">
        <w:tc>
          <w:tcPr>
            <w:tcW w:w="3024" w:type="dxa"/>
          </w:tcPr>
          <w:p w14:paraId="1F015D15" w14:textId="77777777" w:rsidR="00293BDE" w:rsidRDefault="00000000">
            <w:pPr>
              <w:pStyle w:val="Compact"/>
            </w:pPr>
            <w:r>
              <w:t>EU-13</w:t>
            </w:r>
          </w:p>
        </w:tc>
        <w:tc>
          <w:tcPr>
            <w:tcW w:w="3024" w:type="dxa"/>
          </w:tcPr>
          <w:p w14:paraId="125CBCEF" w14:textId="77777777" w:rsidR="00293BDE" w:rsidRDefault="00000000">
            <w:pPr>
              <w:pStyle w:val="Compact"/>
            </w:pPr>
            <w:r>
              <w:t>Data access for European operators</w:t>
            </w:r>
          </w:p>
        </w:tc>
        <w:tc>
          <w:tcPr>
            <w:tcW w:w="3024" w:type="dxa"/>
          </w:tcPr>
          <w:p w14:paraId="0AC8C92F" w14:textId="77777777" w:rsidR="00293BDE" w:rsidRDefault="00000000">
            <w:pPr>
              <w:pStyle w:val="Compact"/>
            </w:pPr>
            <w:r>
              <w:t>Article 18.7; Route Assurance Data Service</w:t>
            </w:r>
          </w:p>
        </w:tc>
      </w:tr>
      <w:tr w:rsidR="00293BDE" w14:paraId="15A0842F" w14:textId="77777777" w:rsidTr="00293BDE">
        <w:tc>
          <w:tcPr>
            <w:tcW w:w="3024" w:type="dxa"/>
          </w:tcPr>
          <w:p w14:paraId="0D9AA6B9" w14:textId="77777777" w:rsidR="00293BDE" w:rsidRDefault="00000000">
            <w:pPr>
              <w:pStyle w:val="Compact"/>
            </w:pPr>
            <w:r>
              <w:t>EU-14</w:t>
            </w:r>
          </w:p>
        </w:tc>
        <w:tc>
          <w:tcPr>
            <w:tcW w:w="3024" w:type="dxa"/>
          </w:tcPr>
          <w:p w14:paraId="00FAB1D8" w14:textId="77777777" w:rsidR="00293BDE" w:rsidRDefault="00000000">
            <w:pPr>
              <w:pStyle w:val="Compact"/>
            </w:pPr>
            <w:r>
              <w:t>Dispute settlement access</w:t>
            </w:r>
          </w:p>
        </w:tc>
        <w:tc>
          <w:tcPr>
            <w:tcW w:w="3024" w:type="dxa"/>
          </w:tcPr>
          <w:p w14:paraId="2C856C82" w14:textId="77777777" w:rsidR="00293BDE" w:rsidRDefault="00000000">
            <w:pPr>
              <w:pStyle w:val="Compact"/>
            </w:pPr>
            <w:r>
              <w:t>Article 26</w:t>
            </w:r>
          </w:p>
        </w:tc>
      </w:tr>
      <w:tr w:rsidR="00293BDE" w14:paraId="6B9B682B" w14:textId="77777777" w:rsidTr="00293BDE">
        <w:tc>
          <w:tcPr>
            <w:tcW w:w="3024" w:type="dxa"/>
          </w:tcPr>
          <w:p w14:paraId="49FBAC98" w14:textId="77777777" w:rsidR="00293BDE" w:rsidRDefault="00000000">
            <w:pPr>
              <w:pStyle w:val="Compact"/>
            </w:pPr>
            <w:r>
              <w:t>EU-15</w:t>
            </w:r>
          </w:p>
        </w:tc>
        <w:tc>
          <w:tcPr>
            <w:tcW w:w="3024" w:type="dxa"/>
          </w:tcPr>
          <w:p w14:paraId="5719172D" w14:textId="77777777" w:rsidR="00293BDE" w:rsidRDefault="00000000">
            <w:pPr>
              <w:pStyle w:val="Compact"/>
            </w:pPr>
            <w:r>
              <w:t>Durability of the regime</w:t>
            </w:r>
          </w:p>
        </w:tc>
        <w:tc>
          <w:tcPr>
            <w:tcW w:w="3024" w:type="dxa"/>
          </w:tcPr>
          <w:p w14:paraId="789AF44F" w14:textId="77777777" w:rsidR="00293BDE" w:rsidRDefault="00000000">
            <w:pPr>
              <w:pStyle w:val="Compact"/>
            </w:pPr>
            <w:r>
              <w:t>Article 4; Article 33.8</w:t>
            </w:r>
          </w:p>
        </w:tc>
      </w:tr>
    </w:tbl>
    <w:p w14:paraId="43F821FF" w14:textId="77777777" w:rsidR="00293BDE" w:rsidRDefault="00000000">
      <w:pPr>
        <w:pStyle w:val="Heading2"/>
      </w:pPr>
      <w:bookmarkStart w:id="545" w:name="__RefHeading___Toc11094_3324765499"/>
      <w:bookmarkEnd w:id="545"/>
      <w:r>
        <w:t>K.7 The insurance market and industry: fifteen positions</w:t>
      </w:r>
    </w:p>
    <w:tbl>
      <w:tblPr>
        <w:tblStyle w:val="Table"/>
        <w:tblW w:w="5000" w:type="pct"/>
        <w:tblInd w:w="0" w:type="dxa"/>
        <w:tblLayout w:type="fixed"/>
        <w:tblLook w:val="0020" w:firstRow="1" w:lastRow="0" w:firstColumn="0" w:lastColumn="0" w:noHBand="0" w:noVBand="0"/>
      </w:tblPr>
      <w:tblGrid>
        <w:gridCol w:w="3096"/>
        <w:gridCol w:w="3096"/>
        <w:gridCol w:w="3096"/>
      </w:tblGrid>
      <w:tr w:rsidR="00293BDE" w14:paraId="30A031D3"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3024" w:type="dxa"/>
            <w:tcBorders>
              <w:bottom w:val="single" w:sz="6" w:space="0" w:color="000000"/>
            </w:tcBorders>
          </w:tcPr>
          <w:p w14:paraId="213D0E87" w14:textId="77777777" w:rsidR="00293BDE" w:rsidRDefault="00000000">
            <w:pPr>
              <w:pStyle w:val="Compact"/>
            </w:pPr>
            <w:r>
              <w:t>No.</w:t>
            </w:r>
          </w:p>
        </w:tc>
        <w:tc>
          <w:tcPr>
            <w:tcW w:w="3024" w:type="dxa"/>
            <w:tcBorders>
              <w:bottom w:val="single" w:sz="6" w:space="0" w:color="000000"/>
            </w:tcBorders>
          </w:tcPr>
          <w:p w14:paraId="3E63112F" w14:textId="77777777" w:rsidR="00293BDE" w:rsidRDefault="00000000">
            <w:pPr>
              <w:pStyle w:val="Compact"/>
            </w:pPr>
            <w:r>
              <w:t>Position as stated</w:t>
            </w:r>
          </w:p>
        </w:tc>
        <w:tc>
          <w:tcPr>
            <w:tcW w:w="3024" w:type="dxa"/>
            <w:tcBorders>
              <w:bottom w:val="single" w:sz="6" w:space="0" w:color="000000"/>
            </w:tcBorders>
          </w:tcPr>
          <w:p w14:paraId="7996FE21" w14:textId="77777777" w:rsidR="00293BDE" w:rsidRDefault="00000000">
            <w:pPr>
              <w:pStyle w:val="Compact"/>
            </w:pPr>
            <w:r>
              <w:t>Compact address</w:t>
            </w:r>
          </w:p>
        </w:tc>
      </w:tr>
      <w:tr w:rsidR="00293BDE" w14:paraId="538F03BE" w14:textId="77777777" w:rsidTr="00293BDE">
        <w:tc>
          <w:tcPr>
            <w:tcW w:w="3024" w:type="dxa"/>
          </w:tcPr>
          <w:p w14:paraId="0CA42C9E" w14:textId="77777777" w:rsidR="00293BDE" w:rsidRDefault="00000000">
            <w:pPr>
              <w:pStyle w:val="Compact"/>
            </w:pPr>
            <w:r>
              <w:t>IN-1</w:t>
            </w:r>
          </w:p>
        </w:tc>
        <w:tc>
          <w:tcPr>
            <w:tcW w:w="3024" w:type="dxa"/>
          </w:tcPr>
          <w:p w14:paraId="11506F62" w14:textId="77777777" w:rsidR="00293BDE" w:rsidRDefault="00000000">
            <w:pPr>
              <w:pStyle w:val="Compact"/>
            </w:pPr>
            <w:r>
              <w:t>Predictable, published risk picture</w:t>
            </w:r>
          </w:p>
        </w:tc>
        <w:tc>
          <w:tcPr>
            <w:tcW w:w="3024" w:type="dxa"/>
          </w:tcPr>
          <w:p w14:paraId="55CDCF1A" w14:textId="77777777" w:rsidR="00293BDE" w:rsidRDefault="00000000">
            <w:pPr>
              <w:pStyle w:val="Compact"/>
            </w:pPr>
            <w:r>
              <w:t>Bulletin, Article 8.7; Assurance Registry</w:t>
            </w:r>
          </w:p>
        </w:tc>
      </w:tr>
      <w:tr w:rsidR="00293BDE" w14:paraId="29878046" w14:textId="77777777" w:rsidTr="00293BDE">
        <w:tc>
          <w:tcPr>
            <w:tcW w:w="3024" w:type="dxa"/>
          </w:tcPr>
          <w:p w14:paraId="308F6E0F" w14:textId="77777777" w:rsidR="00293BDE" w:rsidRDefault="00000000">
            <w:pPr>
              <w:pStyle w:val="Compact"/>
            </w:pPr>
            <w:r>
              <w:t>IN-2</w:t>
            </w:r>
          </w:p>
        </w:tc>
        <w:tc>
          <w:tcPr>
            <w:tcW w:w="3024" w:type="dxa"/>
          </w:tcPr>
          <w:p w14:paraId="097E0DB8" w14:textId="77777777" w:rsidR="00293BDE" w:rsidRDefault="00000000">
            <w:pPr>
              <w:pStyle w:val="Compact"/>
            </w:pPr>
            <w:r>
              <w:t>Verified transit evidence for underwriting</w:t>
            </w:r>
          </w:p>
        </w:tc>
        <w:tc>
          <w:tcPr>
            <w:tcW w:w="3024" w:type="dxa"/>
          </w:tcPr>
          <w:p w14:paraId="43E0FE45" w14:textId="77777777" w:rsidR="00293BDE" w:rsidRDefault="00000000">
            <w:pPr>
              <w:pStyle w:val="Compact"/>
            </w:pPr>
            <w:r>
              <w:t>Transit Assurance Certificate, Article 19.7</w:t>
            </w:r>
          </w:p>
        </w:tc>
      </w:tr>
      <w:tr w:rsidR="00293BDE" w14:paraId="564CE33A" w14:textId="77777777" w:rsidTr="00293BDE">
        <w:tc>
          <w:tcPr>
            <w:tcW w:w="3024" w:type="dxa"/>
          </w:tcPr>
          <w:p w14:paraId="4E50C3C9" w14:textId="77777777" w:rsidR="00293BDE" w:rsidRDefault="00000000">
            <w:pPr>
              <w:pStyle w:val="Compact"/>
            </w:pPr>
            <w:r>
              <w:t>IN-3</w:t>
            </w:r>
          </w:p>
        </w:tc>
        <w:tc>
          <w:tcPr>
            <w:tcW w:w="3024" w:type="dxa"/>
          </w:tcPr>
          <w:p w14:paraId="0B73E55E" w14:textId="77777777" w:rsidR="00293BDE" w:rsidRDefault="00000000">
            <w:pPr>
              <w:pStyle w:val="Compact"/>
            </w:pPr>
            <w:r>
              <w:t>No unilateral toll exposure</w:t>
            </w:r>
          </w:p>
        </w:tc>
        <w:tc>
          <w:tcPr>
            <w:tcW w:w="3024" w:type="dxa"/>
          </w:tcPr>
          <w:p w14:paraId="7832F779" w14:textId="77777777" w:rsidR="00293BDE" w:rsidRDefault="00000000">
            <w:pPr>
              <w:pStyle w:val="Compact"/>
            </w:pPr>
            <w:r>
              <w:t>IPR-1; Firewall</w:t>
            </w:r>
          </w:p>
        </w:tc>
      </w:tr>
      <w:tr w:rsidR="00293BDE" w14:paraId="2C948110" w14:textId="77777777" w:rsidTr="00293BDE">
        <w:tc>
          <w:tcPr>
            <w:tcW w:w="3024" w:type="dxa"/>
          </w:tcPr>
          <w:p w14:paraId="5EB61517" w14:textId="77777777" w:rsidR="00293BDE" w:rsidRDefault="00000000">
            <w:pPr>
              <w:pStyle w:val="Compact"/>
            </w:pPr>
            <w:r>
              <w:t>IN-4</w:t>
            </w:r>
          </w:p>
        </w:tc>
        <w:tc>
          <w:tcPr>
            <w:tcW w:w="3024" w:type="dxa"/>
          </w:tcPr>
          <w:p w14:paraId="0A53F836" w14:textId="77777777" w:rsidR="00293BDE" w:rsidRDefault="00000000">
            <w:pPr>
              <w:pStyle w:val="Compact"/>
            </w:pPr>
            <w:r>
              <w:t>Single notification point</w:t>
            </w:r>
          </w:p>
        </w:tc>
        <w:tc>
          <w:tcPr>
            <w:tcW w:w="3024" w:type="dxa"/>
          </w:tcPr>
          <w:p w14:paraId="5265F5D3" w14:textId="77777777" w:rsidR="00293BDE" w:rsidRDefault="00000000">
            <w:pPr>
              <w:pStyle w:val="Compact"/>
            </w:pPr>
            <w:r>
              <w:t>Article 12; twelve-field notice, Annex D</w:t>
            </w:r>
          </w:p>
        </w:tc>
      </w:tr>
      <w:tr w:rsidR="00293BDE" w14:paraId="1EA228D6" w14:textId="77777777" w:rsidTr="00293BDE">
        <w:tc>
          <w:tcPr>
            <w:tcW w:w="3024" w:type="dxa"/>
          </w:tcPr>
          <w:p w14:paraId="5827FB62" w14:textId="77777777" w:rsidR="00293BDE" w:rsidRDefault="00000000">
            <w:pPr>
              <w:pStyle w:val="Compact"/>
            </w:pPr>
            <w:r>
              <w:t>IN-5</w:t>
            </w:r>
          </w:p>
        </w:tc>
        <w:tc>
          <w:tcPr>
            <w:tcW w:w="3024" w:type="dxa"/>
          </w:tcPr>
          <w:p w14:paraId="10E3BDC4" w14:textId="77777777" w:rsidR="00293BDE" w:rsidRDefault="00000000">
            <w:pPr>
              <w:pStyle w:val="Compact"/>
            </w:pPr>
            <w:r>
              <w:t>Claims channel that pays</w:t>
            </w:r>
          </w:p>
        </w:tc>
        <w:tc>
          <w:tcPr>
            <w:tcW w:w="3024" w:type="dxa"/>
          </w:tcPr>
          <w:p w14:paraId="0BF3AF8B" w14:textId="77777777" w:rsidR="00293BDE" w:rsidRDefault="00000000">
            <w:pPr>
              <w:pStyle w:val="Compact"/>
            </w:pPr>
            <w:r>
              <w:t>Compensation Window, Article 27.2</w:t>
            </w:r>
          </w:p>
        </w:tc>
      </w:tr>
      <w:tr w:rsidR="00293BDE" w14:paraId="5962263F" w14:textId="77777777" w:rsidTr="00293BDE">
        <w:tc>
          <w:tcPr>
            <w:tcW w:w="3024" w:type="dxa"/>
          </w:tcPr>
          <w:p w14:paraId="4E055C34" w14:textId="77777777" w:rsidR="00293BDE" w:rsidRDefault="00000000">
            <w:pPr>
              <w:pStyle w:val="Compact"/>
            </w:pPr>
            <w:r>
              <w:t>IN-6</w:t>
            </w:r>
          </w:p>
        </w:tc>
        <w:tc>
          <w:tcPr>
            <w:tcW w:w="3024" w:type="dxa"/>
          </w:tcPr>
          <w:p w14:paraId="3EAF1527" w14:textId="77777777" w:rsidR="00293BDE" w:rsidRDefault="00000000">
            <w:pPr>
              <w:pStyle w:val="Compact"/>
            </w:pPr>
            <w:r>
              <w:t>Performance security on obligations</w:t>
            </w:r>
          </w:p>
        </w:tc>
        <w:tc>
          <w:tcPr>
            <w:tcW w:w="3024" w:type="dxa"/>
          </w:tcPr>
          <w:p w14:paraId="5DCB3FF9" w14:textId="77777777" w:rsidR="00293BDE" w:rsidRDefault="00000000">
            <w:pPr>
              <w:pStyle w:val="Compact"/>
            </w:pPr>
            <w:r>
              <w:t>Performance Bond, Article 27.3</w:t>
            </w:r>
          </w:p>
        </w:tc>
      </w:tr>
      <w:tr w:rsidR="00293BDE" w14:paraId="1B72E39F" w14:textId="77777777" w:rsidTr="00293BDE">
        <w:tc>
          <w:tcPr>
            <w:tcW w:w="3024" w:type="dxa"/>
          </w:tcPr>
          <w:p w14:paraId="25622338" w14:textId="77777777" w:rsidR="00293BDE" w:rsidRDefault="00000000">
            <w:pPr>
              <w:pStyle w:val="Compact"/>
            </w:pPr>
            <w:r>
              <w:t>IN-7</w:t>
            </w:r>
          </w:p>
        </w:tc>
        <w:tc>
          <w:tcPr>
            <w:tcW w:w="3024" w:type="dxa"/>
          </w:tcPr>
          <w:p w14:paraId="40EDD723" w14:textId="77777777" w:rsidR="00293BDE" w:rsidRDefault="00000000">
            <w:pPr>
              <w:pStyle w:val="Compact"/>
            </w:pPr>
            <w:r>
              <w:t>Fast incident facts</w:t>
            </w:r>
          </w:p>
        </w:tc>
        <w:tc>
          <w:tcPr>
            <w:tcW w:w="3024" w:type="dxa"/>
          </w:tcPr>
          <w:p w14:paraId="7F63319A" w14:textId="77777777" w:rsidR="00293BDE" w:rsidRDefault="00000000">
            <w:pPr>
              <w:pStyle w:val="Compact"/>
            </w:pPr>
            <w:r>
              <w:t>Annex H.4 escalation chain; 48-hour findings</w:t>
            </w:r>
          </w:p>
        </w:tc>
      </w:tr>
      <w:tr w:rsidR="00293BDE" w14:paraId="64302BE5" w14:textId="77777777" w:rsidTr="00293BDE">
        <w:tc>
          <w:tcPr>
            <w:tcW w:w="3024" w:type="dxa"/>
          </w:tcPr>
          <w:p w14:paraId="21931C36" w14:textId="77777777" w:rsidR="00293BDE" w:rsidRDefault="00000000">
            <w:pPr>
              <w:pStyle w:val="Compact"/>
            </w:pPr>
            <w:r>
              <w:t>IN-8</w:t>
            </w:r>
          </w:p>
        </w:tc>
        <w:tc>
          <w:tcPr>
            <w:tcW w:w="3024" w:type="dxa"/>
          </w:tcPr>
          <w:p w14:paraId="23AE081B" w14:textId="77777777" w:rsidR="00293BDE" w:rsidRDefault="00000000">
            <w:pPr>
              <w:pStyle w:val="Compact"/>
            </w:pPr>
            <w:r>
              <w:t>Mine risk transparency</w:t>
            </w:r>
          </w:p>
        </w:tc>
        <w:tc>
          <w:tcPr>
            <w:tcW w:w="3024" w:type="dxa"/>
          </w:tcPr>
          <w:p w14:paraId="6679A808" w14:textId="77777777" w:rsidR="00293BDE" w:rsidRDefault="00000000">
            <w:pPr>
              <w:pStyle w:val="Compact"/>
            </w:pPr>
            <w:r>
              <w:t>Article 9; Survey Certificates; hazard declarations</w:t>
            </w:r>
          </w:p>
        </w:tc>
      </w:tr>
      <w:tr w:rsidR="00293BDE" w14:paraId="23720CA7" w14:textId="77777777" w:rsidTr="00293BDE">
        <w:tc>
          <w:tcPr>
            <w:tcW w:w="3024" w:type="dxa"/>
          </w:tcPr>
          <w:p w14:paraId="2710ED19" w14:textId="77777777" w:rsidR="00293BDE" w:rsidRDefault="00000000">
            <w:pPr>
              <w:pStyle w:val="Compact"/>
            </w:pPr>
            <w:r>
              <w:t>IN-9</w:t>
            </w:r>
          </w:p>
        </w:tc>
        <w:tc>
          <w:tcPr>
            <w:tcW w:w="3024" w:type="dxa"/>
          </w:tcPr>
          <w:p w14:paraId="4F64AA0E" w14:textId="77777777" w:rsidR="00293BDE" w:rsidRDefault="00000000">
            <w:pPr>
              <w:pStyle w:val="Compact"/>
            </w:pPr>
            <w:r>
              <w:t>Data service at cost</w:t>
            </w:r>
          </w:p>
        </w:tc>
        <w:tc>
          <w:tcPr>
            <w:tcW w:w="3024" w:type="dxa"/>
          </w:tcPr>
          <w:p w14:paraId="63DCA9FC" w14:textId="77777777" w:rsidR="00293BDE" w:rsidRDefault="00000000">
            <w:pPr>
              <w:pStyle w:val="Compact"/>
            </w:pPr>
            <w:r>
              <w:t>Catalog item 8; Article 18.7</w:t>
            </w:r>
          </w:p>
        </w:tc>
      </w:tr>
      <w:tr w:rsidR="00293BDE" w14:paraId="41515813" w14:textId="77777777" w:rsidTr="00293BDE">
        <w:tc>
          <w:tcPr>
            <w:tcW w:w="3024" w:type="dxa"/>
          </w:tcPr>
          <w:p w14:paraId="695C2FEB" w14:textId="77777777" w:rsidR="00293BDE" w:rsidRDefault="00000000">
            <w:pPr>
              <w:pStyle w:val="Compact"/>
            </w:pPr>
            <w:r>
              <w:t>IN-10</w:t>
            </w:r>
          </w:p>
        </w:tc>
        <w:tc>
          <w:tcPr>
            <w:tcW w:w="3024" w:type="dxa"/>
          </w:tcPr>
          <w:p w14:paraId="10A72EA1" w14:textId="77777777" w:rsidR="00293BDE" w:rsidRDefault="00000000">
            <w:pPr>
              <w:pStyle w:val="Compact"/>
            </w:pPr>
            <w:r>
              <w:t>No discrimination by flag or cargo</w:t>
            </w:r>
          </w:p>
        </w:tc>
        <w:tc>
          <w:tcPr>
            <w:tcW w:w="3024" w:type="dxa"/>
          </w:tcPr>
          <w:p w14:paraId="78B48B4F" w14:textId="77777777" w:rsidR="00293BDE" w:rsidRDefault="00000000">
            <w:pPr>
              <w:pStyle w:val="Compact"/>
            </w:pPr>
            <w:r>
              <w:t>Article 10; classification by service profile</w:t>
            </w:r>
          </w:p>
        </w:tc>
      </w:tr>
      <w:tr w:rsidR="00293BDE" w14:paraId="45E3C6FD" w14:textId="77777777" w:rsidTr="00293BDE">
        <w:tc>
          <w:tcPr>
            <w:tcW w:w="3024" w:type="dxa"/>
          </w:tcPr>
          <w:p w14:paraId="68ACACD6" w14:textId="77777777" w:rsidR="00293BDE" w:rsidRDefault="00000000">
            <w:pPr>
              <w:pStyle w:val="Compact"/>
            </w:pPr>
            <w:r>
              <w:t>IN-11</w:t>
            </w:r>
          </w:p>
        </w:tc>
        <w:tc>
          <w:tcPr>
            <w:tcW w:w="3024" w:type="dxa"/>
          </w:tcPr>
          <w:p w14:paraId="436F8913" w14:textId="77777777" w:rsidR="00293BDE" w:rsidRDefault="00000000">
            <w:pPr>
              <w:pStyle w:val="Compact"/>
            </w:pPr>
            <w:r>
              <w:t>Panel seat for industry</w:t>
            </w:r>
          </w:p>
        </w:tc>
        <w:tc>
          <w:tcPr>
            <w:tcW w:w="3024" w:type="dxa"/>
          </w:tcPr>
          <w:p w14:paraId="28EA76FE" w14:textId="77777777" w:rsidR="00293BDE" w:rsidRDefault="00000000">
            <w:pPr>
              <w:pStyle w:val="Compact"/>
            </w:pPr>
            <w:r>
              <w:t>Article 13.6; Stakeholder Panel</w:t>
            </w:r>
          </w:p>
        </w:tc>
      </w:tr>
      <w:tr w:rsidR="00293BDE" w14:paraId="3B81BAD7" w14:textId="77777777" w:rsidTr="00293BDE">
        <w:tc>
          <w:tcPr>
            <w:tcW w:w="3024" w:type="dxa"/>
          </w:tcPr>
          <w:p w14:paraId="4E55B425" w14:textId="77777777" w:rsidR="00293BDE" w:rsidRDefault="00000000">
            <w:pPr>
              <w:pStyle w:val="Compact"/>
            </w:pPr>
            <w:r>
              <w:t>IN-12</w:t>
            </w:r>
          </w:p>
        </w:tc>
        <w:tc>
          <w:tcPr>
            <w:tcW w:w="3024" w:type="dxa"/>
          </w:tcPr>
          <w:p w14:paraId="48ECE048" w14:textId="77777777" w:rsidR="00293BDE" w:rsidRDefault="00000000">
            <w:pPr>
              <w:pStyle w:val="Compact"/>
            </w:pPr>
            <w:r>
              <w:t>War-risk premium trajectory downward</w:t>
            </w:r>
          </w:p>
        </w:tc>
        <w:tc>
          <w:tcPr>
            <w:tcW w:w="3024" w:type="dxa"/>
          </w:tcPr>
          <w:p w14:paraId="42651920" w14:textId="77777777" w:rsidR="00293BDE" w:rsidRDefault="00000000">
            <w:pPr>
              <w:pStyle w:val="Compact"/>
            </w:pPr>
            <w:r>
              <w:t>Annex I.6; Assurance Phase metrics</w:t>
            </w:r>
          </w:p>
        </w:tc>
      </w:tr>
      <w:tr w:rsidR="00293BDE" w14:paraId="3ACD5F83" w14:textId="77777777" w:rsidTr="00293BDE">
        <w:tc>
          <w:tcPr>
            <w:tcW w:w="3024" w:type="dxa"/>
          </w:tcPr>
          <w:p w14:paraId="7AE99841" w14:textId="77777777" w:rsidR="00293BDE" w:rsidRDefault="00000000">
            <w:pPr>
              <w:pStyle w:val="Compact"/>
            </w:pPr>
            <w:r>
              <w:t>IN-13</w:t>
            </w:r>
          </w:p>
        </w:tc>
        <w:tc>
          <w:tcPr>
            <w:tcW w:w="3024" w:type="dxa"/>
          </w:tcPr>
          <w:p w14:paraId="6E82E0C2" w14:textId="77777777" w:rsidR="00293BDE" w:rsidRDefault="00000000">
            <w:pPr>
              <w:pStyle w:val="Compact"/>
            </w:pPr>
            <w:r>
              <w:t>Crew safety standards</w:t>
            </w:r>
          </w:p>
        </w:tc>
        <w:tc>
          <w:tcPr>
            <w:tcW w:w="3024" w:type="dxa"/>
          </w:tcPr>
          <w:p w14:paraId="2DF56917" w14:textId="77777777" w:rsidR="00293BDE" w:rsidRDefault="00000000">
            <w:pPr>
              <w:pStyle w:val="Compact"/>
            </w:pPr>
            <w:r>
              <w:t>Article 28; Protection Covenant</w:t>
            </w:r>
          </w:p>
        </w:tc>
      </w:tr>
      <w:tr w:rsidR="00293BDE" w14:paraId="1D952B62" w14:textId="77777777" w:rsidTr="00293BDE">
        <w:tc>
          <w:tcPr>
            <w:tcW w:w="3024" w:type="dxa"/>
          </w:tcPr>
          <w:p w14:paraId="73D5FB5B" w14:textId="77777777" w:rsidR="00293BDE" w:rsidRDefault="00000000">
            <w:pPr>
              <w:pStyle w:val="Compact"/>
            </w:pPr>
            <w:r>
              <w:t>IN-14</w:t>
            </w:r>
          </w:p>
        </w:tc>
        <w:tc>
          <w:tcPr>
            <w:tcW w:w="3024" w:type="dxa"/>
          </w:tcPr>
          <w:p w14:paraId="7318B8EF" w14:textId="77777777" w:rsidR="00293BDE" w:rsidRDefault="00000000">
            <w:pPr>
              <w:pStyle w:val="Compact"/>
            </w:pPr>
            <w:r>
              <w:t>Salvage and wreck predictability</w:t>
            </w:r>
          </w:p>
        </w:tc>
        <w:tc>
          <w:tcPr>
            <w:tcW w:w="3024" w:type="dxa"/>
          </w:tcPr>
          <w:p w14:paraId="167B91CD" w14:textId="77777777" w:rsidR="00293BDE" w:rsidRDefault="00000000">
            <w:pPr>
              <w:pStyle w:val="Compact"/>
            </w:pPr>
            <w:r>
              <w:t>Annex J.4</w:t>
            </w:r>
          </w:p>
        </w:tc>
      </w:tr>
      <w:tr w:rsidR="00293BDE" w14:paraId="028946CF" w14:textId="77777777" w:rsidTr="00293BDE">
        <w:tc>
          <w:tcPr>
            <w:tcW w:w="3024" w:type="dxa"/>
          </w:tcPr>
          <w:p w14:paraId="7EAE1422" w14:textId="77777777" w:rsidR="00293BDE" w:rsidRDefault="00000000">
            <w:pPr>
              <w:pStyle w:val="Compact"/>
            </w:pPr>
            <w:r>
              <w:t>IN-15</w:t>
            </w:r>
          </w:p>
        </w:tc>
        <w:tc>
          <w:tcPr>
            <w:tcW w:w="3024" w:type="dxa"/>
          </w:tcPr>
          <w:p w14:paraId="77474BC4" w14:textId="77777777" w:rsidR="00293BDE" w:rsidRDefault="00000000">
            <w:pPr>
              <w:pStyle w:val="Compact"/>
            </w:pPr>
            <w:r>
              <w:t>Regulatory stability</w:t>
            </w:r>
          </w:p>
        </w:tc>
        <w:tc>
          <w:tcPr>
            <w:tcW w:w="3024" w:type="dxa"/>
          </w:tcPr>
          <w:p w14:paraId="0532A24E" w14:textId="77777777" w:rsidR="00293BDE" w:rsidRDefault="00000000">
            <w:pPr>
              <w:pStyle w:val="Compact"/>
            </w:pPr>
            <w:r>
              <w:t>Article 4; Article 32 amendment rules</w:t>
            </w:r>
          </w:p>
        </w:tc>
      </w:tr>
    </w:tbl>
    <w:p w14:paraId="676E16B7" w14:textId="77777777" w:rsidR="00293BDE" w:rsidRDefault="00000000">
      <w:pPr>
        <w:pStyle w:val="Heading2"/>
      </w:pPr>
      <w:bookmarkStart w:id="546" w:name="__RefHeading___Toc11096_3324765499"/>
      <w:bookmarkEnd w:id="546"/>
      <w:r>
        <w:t>K.8 Reading the Register</w:t>
      </w:r>
    </w:p>
    <w:p w14:paraId="056A4812" w14:textId="77777777" w:rsidR="00293BDE" w:rsidRDefault="00000000">
      <w:pPr>
        <w:pStyle w:val="FirstParagraph"/>
      </w:pPr>
      <w:r>
        <w:t>Every row of this Register names a provision that already exists in the Articles and Annexes. Nothing in this Register asks any participant to accept a verbal promise in place of an architecture. The Compact answers demands with mechanics: corridors, keys, ledgers, ladders, and clocks.</w:t>
      </w:r>
    </w:p>
    <w:bookmarkStart w:id="547" w:name="annex-k-demand-reconciliation-register"/>
    <w:p w14:paraId="595B9FFF" w14:textId="6B5317F9" w:rsidR="00293BDE" w:rsidRDefault="00622008">
      <w:r>
        <w:rPr>
          <w:noProof/>
        </w:rPr>
      </w:r>
      <w:r>
        <w:pict w14:anchorId="3E6939C3">
          <v:rect id="Rectangle 26" o:spid="_x0000_s1029"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47"/>
    </w:p>
    <w:p w14:paraId="2B15E217" w14:textId="77777777" w:rsidR="00293BDE" w:rsidRDefault="00000000">
      <w:pPr>
        <w:pStyle w:val="Heading1"/>
      </w:pPr>
      <w:bookmarkStart w:id="548" w:name="__RefHeading___Toc11098_3324765499"/>
      <w:bookmarkEnd w:id="548"/>
      <w:r>
        <w:t>ANNEX L: PHASED DE-ESCALATION AND SYNCHRONIZATION SCHEDULE</w:t>
      </w:r>
    </w:p>
    <w:p w14:paraId="018F47C7" w14:textId="77777777" w:rsidR="00293BDE" w:rsidRDefault="00000000">
      <w:pPr>
        <w:pStyle w:val="Heading2"/>
      </w:pPr>
      <w:bookmarkStart w:id="549" w:name="__RefHeading___Toc11100_3324765499"/>
      <w:bookmarkEnd w:id="549"/>
      <w:r>
        <w:t>L.1 The principle of the indivisible event</w:t>
      </w:r>
    </w:p>
    <w:p w14:paraId="70C15257" w14:textId="77777777" w:rsidR="00293BDE" w:rsidRDefault="00000000">
      <w:pPr>
        <w:pStyle w:val="FirstParagraph"/>
      </w:pPr>
      <w:bookmarkStart w:id="550" w:name="Xa22a5b7bc2cb1f435ada9c81df95e6af8509864"/>
      <w:r>
        <w:t>The history of this file teaches one lesson above all: sequencing kills deals. The side that moves first pays first and trusts first, and no side accepts that position. IPR-16 answers the lesson. Corridor activation and the termination of every impediment to commercial traffic form one event, logged in one registry entry, witnessed by all participants at the same hour. Nobody goes first. Everybody goes together.</w:t>
      </w:r>
      <w:bookmarkEnd w:id="550"/>
    </w:p>
    <w:p w14:paraId="4380C486" w14:textId="77777777" w:rsidR="00293BDE" w:rsidRDefault="00000000">
      <w:pPr>
        <w:pStyle w:val="Heading2"/>
      </w:pPr>
      <w:bookmarkStart w:id="551" w:name="__RefHeading___Toc11102_3324765499"/>
      <w:bookmarkEnd w:id="551"/>
      <w:r>
        <w:t>L.2 The synchronization table</w:t>
      </w:r>
    </w:p>
    <w:tbl>
      <w:tblPr>
        <w:tblStyle w:val="Table"/>
        <w:tblW w:w="5000" w:type="pct"/>
        <w:tblInd w:w="0" w:type="dxa"/>
        <w:tblLayout w:type="fixed"/>
        <w:tblLook w:val="0020" w:firstRow="1" w:lastRow="0" w:firstColumn="0" w:lastColumn="0" w:noHBand="0" w:noVBand="0"/>
      </w:tblPr>
      <w:tblGrid>
        <w:gridCol w:w="2322"/>
        <w:gridCol w:w="2322"/>
        <w:gridCol w:w="2322"/>
        <w:gridCol w:w="2322"/>
      </w:tblGrid>
      <w:tr w:rsidR="00293BDE" w14:paraId="4EC324EC"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2267" w:type="dxa"/>
            <w:tcBorders>
              <w:bottom w:val="single" w:sz="6" w:space="0" w:color="000000"/>
            </w:tcBorders>
          </w:tcPr>
          <w:p w14:paraId="3E0023DE" w14:textId="77777777" w:rsidR="00293BDE" w:rsidRDefault="00000000">
            <w:pPr>
              <w:pStyle w:val="Compact"/>
            </w:pPr>
            <w:r>
              <w:t>Step</w:t>
            </w:r>
          </w:p>
        </w:tc>
        <w:tc>
          <w:tcPr>
            <w:tcW w:w="2268" w:type="dxa"/>
            <w:tcBorders>
              <w:bottom w:val="single" w:sz="6" w:space="0" w:color="000000"/>
            </w:tcBorders>
          </w:tcPr>
          <w:p w14:paraId="266CD7AA" w14:textId="77777777" w:rsidR="00293BDE" w:rsidRDefault="00000000">
            <w:pPr>
              <w:pStyle w:val="Compact"/>
            </w:pPr>
            <w:r>
              <w:t>Iranian action</w:t>
            </w:r>
          </w:p>
        </w:tc>
        <w:tc>
          <w:tcPr>
            <w:tcW w:w="2268" w:type="dxa"/>
            <w:tcBorders>
              <w:bottom w:val="single" w:sz="6" w:space="0" w:color="000000"/>
            </w:tcBorders>
          </w:tcPr>
          <w:p w14:paraId="389A4A55" w14:textId="77777777" w:rsidR="00293BDE" w:rsidRDefault="00000000">
            <w:pPr>
              <w:pStyle w:val="Compact"/>
            </w:pPr>
            <w:r>
              <w:t>American action</w:t>
            </w:r>
          </w:p>
        </w:tc>
        <w:tc>
          <w:tcPr>
            <w:tcW w:w="2268" w:type="dxa"/>
            <w:tcBorders>
              <w:bottom w:val="single" w:sz="6" w:space="0" w:color="000000"/>
            </w:tcBorders>
          </w:tcPr>
          <w:p w14:paraId="122273DA" w14:textId="77777777" w:rsidR="00293BDE" w:rsidRDefault="00000000">
            <w:pPr>
              <w:pStyle w:val="Compact"/>
            </w:pPr>
            <w:r>
              <w:t>Timing</w:t>
            </w:r>
          </w:p>
        </w:tc>
      </w:tr>
      <w:tr w:rsidR="00293BDE" w14:paraId="0A99882E" w14:textId="77777777" w:rsidTr="00293BDE">
        <w:tc>
          <w:tcPr>
            <w:tcW w:w="2267" w:type="dxa"/>
          </w:tcPr>
          <w:p w14:paraId="2F6C4A73" w14:textId="77777777" w:rsidR="00293BDE" w:rsidRDefault="00000000">
            <w:pPr>
              <w:pStyle w:val="Compact"/>
            </w:pPr>
            <w:r>
              <w:t>S1</w:t>
            </w:r>
          </w:p>
        </w:tc>
        <w:tc>
          <w:tcPr>
            <w:tcW w:w="2268" w:type="dxa"/>
          </w:tcPr>
          <w:p w14:paraId="6870FA03" w14:textId="77777777" w:rsidR="00293BDE" w:rsidRDefault="00000000">
            <w:pPr>
              <w:pStyle w:val="Compact"/>
            </w:pPr>
            <w:r>
              <w:t>Hazard declaration filed; inbound survey teams deploy</w:t>
            </w:r>
          </w:p>
        </w:tc>
        <w:tc>
          <w:tcPr>
            <w:tcW w:w="2268" w:type="dxa"/>
          </w:tcPr>
          <w:p w14:paraId="513435EE" w14:textId="77777777" w:rsidR="00293BDE" w:rsidRDefault="00000000">
            <w:pPr>
              <w:pStyle w:val="Compact"/>
            </w:pPr>
            <w:r>
              <w:t>Blockade enforcement posture shifts to observation</w:t>
            </w:r>
          </w:p>
        </w:tc>
        <w:tc>
          <w:tcPr>
            <w:tcW w:w="2268" w:type="dxa"/>
          </w:tcPr>
          <w:p w14:paraId="5B05DA6E" w14:textId="77777777" w:rsidR="00293BDE" w:rsidRDefault="00000000">
            <w:pPr>
              <w:pStyle w:val="Compact"/>
            </w:pPr>
            <w:r>
              <w:t>Day 0, same hour</w:t>
            </w:r>
          </w:p>
        </w:tc>
      </w:tr>
      <w:tr w:rsidR="00293BDE" w14:paraId="31916832" w14:textId="77777777" w:rsidTr="00293BDE">
        <w:tc>
          <w:tcPr>
            <w:tcW w:w="2267" w:type="dxa"/>
          </w:tcPr>
          <w:p w14:paraId="3F09F480" w14:textId="77777777" w:rsidR="00293BDE" w:rsidRDefault="00000000">
            <w:pPr>
              <w:pStyle w:val="Compact"/>
            </w:pPr>
            <w:r>
              <w:t>S2</w:t>
            </w:r>
          </w:p>
        </w:tc>
        <w:tc>
          <w:tcPr>
            <w:tcW w:w="2268" w:type="dxa"/>
          </w:tcPr>
          <w:p w14:paraId="7BF59748" w14:textId="77777777" w:rsidR="00293BDE" w:rsidRDefault="00000000">
            <w:pPr>
              <w:pStyle w:val="Compact"/>
            </w:pPr>
            <w:r>
              <w:t>Northern Inbound Corridor survey opens</w:t>
            </w:r>
          </w:p>
        </w:tc>
        <w:tc>
          <w:tcPr>
            <w:tcW w:w="2268" w:type="dxa"/>
          </w:tcPr>
          <w:p w14:paraId="17B99B9F" w14:textId="77777777" w:rsidR="00293BDE" w:rsidRDefault="00000000">
            <w:pPr>
              <w:pStyle w:val="Compact"/>
            </w:pPr>
            <w:r>
              <w:t>Naval standoff distance extends to notification belt</w:t>
            </w:r>
          </w:p>
        </w:tc>
        <w:tc>
          <w:tcPr>
            <w:tcW w:w="2268" w:type="dxa"/>
          </w:tcPr>
          <w:p w14:paraId="4693DCFB" w14:textId="77777777" w:rsidR="00293BDE" w:rsidRDefault="00000000">
            <w:pPr>
              <w:pStyle w:val="Compact"/>
            </w:pPr>
            <w:r>
              <w:t>Days 20 to 25</w:t>
            </w:r>
          </w:p>
        </w:tc>
      </w:tr>
      <w:tr w:rsidR="00293BDE" w14:paraId="5D51121A" w14:textId="77777777" w:rsidTr="00293BDE">
        <w:tc>
          <w:tcPr>
            <w:tcW w:w="2267" w:type="dxa"/>
          </w:tcPr>
          <w:p w14:paraId="325705EE" w14:textId="77777777" w:rsidR="00293BDE" w:rsidRDefault="00000000">
            <w:pPr>
              <w:pStyle w:val="Compact"/>
            </w:pPr>
            <w:r>
              <w:t>S3</w:t>
            </w:r>
          </w:p>
        </w:tc>
        <w:tc>
          <w:tcPr>
            <w:tcW w:w="2268" w:type="dxa"/>
          </w:tcPr>
          <w:p w14:paraId="4F8B450A" w14:textId="77777777" w:rsidR="00293BDE" w:rsidRDefault="00000000">
            <w:pPr>
              <w:pStyle w:val="Compact"/>
            </w:pPr>
            <w:r>
              <w:t>Buffer Corridor activates</w:t>
            </w:r>
          </w:p>
        </w:tc>
        <w:tc>
          <w:tcPr>
            <w:tcW w:w="2268" w:type="dxa"/>
          </w:tcPr>
          <w:p w14:paraId="2CE478B6" w14:textId="77777777" w:rsidR="00293BDE" w:rsidRDefault="00000000">
            <w:pPr>
              <w:pStyle w:val="Compact"/>
            </w:pPr>
            <w:r>
              <w:t>Blockade suspension takes legal effect</w:t>
            </w:r>
          </w:p>
        </w:tc>
        <w:tc>
          <w:tcPr>
            <w:tcW w:w="2268" w:type="dxa"/>
          </w:tcPr>
          <w:p w14:paraId="53F79D0E" w14:textId="77777777" w:rsidR="00293BDE" w:rsidRDefault="00000000">
            <w:pPr>
              <w:pStyle w:val="Compact"/>
            </w:pPr>
            <w:r>
              <w:t>Days 25 to 35, registry entry paired</w:t>
            </w:r>
          </w:p>
        </w:tc>
      </w:tr>
      <w:tr w:rsidR="00293BDE" w14:paraId="58AA97CC" w14:textId="77777777" w:rsidTr="00293BDE">
        <w:tc>
          <w:tcPr>
            <w:tcW w:w="2267" w:type="dxa"/>
          </w:tcPr>
          <w:p w14:paraId="0A305E7E" w14:textId="77777777" w:rsidR="00293BDE" w:rsidRDefault="00000000">
            <w:pPr>
              <w:pStyle w:val="Compact"/>
            </w:pPr>
            <w:r>
              <w:t>S4</w:t>
            </w:r>
          </w:p>
        </w:tc>
        <w:tc>
          <w:tcPr>
            <w:tcW w:w="2268" w:type="dxa"/>
          </w:tcPr>
          <w:p w14:paraId="7CA5C297" w14:textId="77777777" w:rsidR="00293BDE" w:rsidRDefault="00000000">
            <w:pPr>
              <w:pStyle w:val="Compact"/>
            </w:pPr>
            <w:r>
              <w:t>Northern Inbound Corridor activates</w:t>
            </w:r>
          </w:p>
        </w:tc>
        <w:tc>
          <w:tcPr>
            <w:tcW w:w="2268" w:type="dxa"/>
          </w:tcPr>
          <w:p w14:paraId="7E270B3F" w14:textId="77777777" w:rsidR="00293BDE" w:rsidRDefault="00000000">
            <w:pPr>
              <w:pStyle w:val="Compact"/>
            </w:pPr>
            <w:r>
              <w:t>Blockade terminates; impediment registry logs zero</w:t>
            </w:r>
          </w:p>
        </w:tc>
        <w:tc>
          <w:tcPr>
            <w:tcW w:w="2268" w:type="dxa"/>
          </w:tcPr>
          <w:p w14:paraId="3AE75B69" w14:textId="77777777" w:rsidR="00293BDE" w:rsidRDefault="00000000">
            <w:pPr>
              <w:pStyle w:val="Compact"/>
            </w:pPr>
            <w:r>
              <w:t>Days 35 to 40, same registry entry</w:t>
            </w:r>
          </w:p>
        </w:tc>
      </w:tr>
      <w:tr w:rsidR="00293BDE" w14:paraId="1D79C2C5" w14:textId="77777777" w:rsidTr="00293BDE">
        <w:tc>
          <w:tcPr>
            <w:tcW w:w="2267" w:type="dxa"/>
          </w:tcPr>
          <w:p w14:paraId="238E3FFB" w14:textId="77777777" w:rsidR="00293BDE" w:rsidRDefault="00000000">
            <w:pPr>
              <w:pStyle w:val="Compact"/>
            </w:pPr>
            <w:r>
              <w:t>S5</w:t>
            </w:r>
          </w:p>
        </w:tc>
        <w:tc>
          <w:tcPr>
            <w:tcW w:w="2268" w:type="dxa"/>
          </w:tcPr>
          <w:p w14:paraId="233955FB" w14:textId="77777777" w:rsidR="00293BDE" w:rsidRDefault="00000000">
            <w:pPr>
              <w:pStyle w:val="Compact"/>
            </w:pPr>
            <w:r>
              <w:t>Service invoicing begins through Fund</w:t>
            </w:r>
          </w:p>
        </w:tc>
        <w:tc>
          <w:tcPr>
            <w:tcW w:w="2268" w:type="dxa"/>
          </w:tcPr>
          <w:p w14:paraId="69A430D5" w14:textId="77777777" w:rsidR="00293BDE" w:rsidRDefault="00000000">
            <w:pPr>
              <w:pStyle w:val="Compact"/>
            </w:pPr>
            <w:r>
              <w:t>Apportionment contributions flow through Firewall</w:t>
            </w:r>
          </w:p>
        </w:tc>
        <w:tc>
          <w:tcPr>
            <w:tcW w:w="2268" w:type="dxa"/>
          </w:tcPr>
          <w:p w14:paraId="5AF2537D" w14:textId="77777777" w:rsidR="00293BDE" w:rsidRDefault="00000000">
            <w:pPr>
              <w:pStyle w:val="Compact"/>
            </w:pPr>
            <w:r>
              <w:t>Days 40 to 55</w:t>
            </w:r>
          </w:p>
        </w:tc>
      </w:tr>
      <w:tr w:rsidR="00293BDE" w14:paraId="5B8EF91D" w14:textId="77777777" w:rsidTr="00293BDE">
        <w:tc>
          <w:tcPr>
            <w:tcW w:w="2267" w:type="dxa"/>
          </w:tcPr>
          <w:p w14:paraId="6331C9AB" w14:textId="77777777" w:rsidR="00293BDE" w:rsidRDefault="00000000">
            <w:pPr>
              <w:pStyle w:val="Compact"/>
            </w:pPr>
            <w:r>
              <w:t>S6</w:t>
            </w:r>
          </w:p>
        </w:tc>
        <w:tc>
          <w:tcPr>
            <w:tcW w:w="2268" w:type="dxa"/>
          </w:tcPr>
          <w:p w14:paraId="0812979E" w14:textId="77777777" w:rsidR="00293BDE" w:rsidRDefault="00000000">
            <w:pPr>
              <w:pStyle w:val="Compact"/>
            </w:pPr>
            <w:r>
              <w:t>Full participation in Activation Review</w:t>
            </w:r>
          </w:p>
        </w:tc>
        <w:tc>
          <w:tcPr>
            <w:tcW w:w="2268" w:type="dxa"/>
          </w:tcPr>
          <w:p w14:paraId="4C4F2A7E" w14:textId="77777777" w:rsidR="00293BDE" w:rsidRDefault="00000000">
            <w:pPr>
              <w:pStyle w:val="Compact"/>
            </w:pPr>
            <w:r>
              <w:t>Observer seat activates; liaison accreditation completes</w:t>
            </w:r>
          </w:p>
        </w:tc>
        <w:tc>
          <w:tcPr>
            <w:tcW w:w="2268" w:type="dxa"/>
          </w:tcPr>
          <w:p w14:paraId="141DF00E" w14:textId="77777777" w:rsidR="00293BDE" w:rsidRDefault="00000000">
            <w:pPr>
              <w:pStyle w:val="Compact"/>
            </w:pPr>
            <w:r>
              <w:t>Days 55 to 90</w:t>
            </w:r>
          </w:p>
        </w:tc>
      </w:tr>
      <w:tr w:rsidR="00293BDE" w14:paraId="59B5809F" w14:textId="77777777" w:rsidTr="00293BDE">
        <w:tc>
          <w:tcPr>
            <w:tcW w:w="2267" w:type="dxa"/>
          </w:tcPr>
          <w:p w14:paraId="16F7B7F0" w14:textId="77777777" w:rsidR="00293BDE" w:rsidRDefault="00000000">
            <w:pPr>
              <w:pStyle w:val="Compact"/>
            </w:pPr>
            <w:r>
              <w:t>S7</w:t>
            </w:r>
          </w:p>
        </w:tc>
        <w:tc>
          <w:tcPr>
            <w:tcW w:w="2268" w:type="dxa"/>
          </w:tcPr>
          <w:p w14:paraId="385822F7" w14:textId="77777777" w:rsidR="00293BDE" w:rsidRDefault="00000000">
            <w:pPr>
              <w:pStyle w:val="Compact"/>
            </w:pPr>
            <w:r>
              <w:t>Joint Openness Declaration</w:t>
            </w:r>
          </w:p>
        </w:tc>
        <w:tc>
          <w:tcPr>
            <w:tcW w:w="2268" w:type="dxa"/>
          </w:tcPr>
          <w:p w14:paraId="28424116" w14:textId="77777777" w:rsidR="00293BDE" w:rsidRDefault="00000000">
            <w:pPr>
              <w:pStyle w:val="Compact"/>
            </w:pPr>
            <w:r>
              <w:t>Stand-down schedule publishes per Article 23.7</w:t>
            </w:r>
          </w:p>
        </w:tc>
        <w:tc>
          <w:tcPr>
            <w:tcW w:w="2268" w:type="dxa"/>
          </w:tcPr>
          <w:p w14:paraId="10C7BD4A" w14:textId="77777777" w:rsidR="00293BDE" w:rsidRDefault="00000000">
            <w:pPr>
              <w:pStyle w:val="Compact"/>
            </w:pPr>
            <w:r>
              <w:t>Days 90 to 120</w:t>
            </w:r>
          </w:p>
        </w:tc>
      </w:tr>
    </w:tbl>
    <w:p w14:paraId="23142B35" w14:textId="77777777" w:rsidR="00293BDE" w:rsidRDefault="00000000">
      <w:pPr>
        <w:pStyle w:val="BodyText"/>
      </w:pPr>
      <w:bookmarkStart w:id="552" w:name="l.2-the-synchronization-table"/>
      <w:r>
        <w:t>Each step pairs actions so that every actor gives and receives inside the same registry window. The Neutral Watch Office logs each pair; the log publishes within 24 hours.</w:t>
      </w:r>
      <w:bookmarkEnd w:id="552"/>
    </w:p>
    <w:p w14:paraId="57CA42C1" w14:textId="77777777" w:rsidR="00293BDE" w:rsidRDefault="00000000">
      <w:pPr>
        <w:pStyle w:val="Heading2"/>
      </w:pPr>
      <w:bookmarkStart w:id="553" w:name="__RefHeading___Toc11104_3324765499"/>
      <w:bookmarkEnd w:id="553"/>
      <w:r>
        <w:t>L.3 Phase one: the water calms (Days 0 to 40)</w:t>
      </w:r>
    </w:p>
    <w:p w14:paraId="056FD04A" w14:textId="77777777" w:rsidR="00293BDE" w:rsidRDefault="00000000">
      <w:pPr>
        <w:pStyle w:val="FirstParagraph"/>
      </w:pPr>
      <w:bookmarkStart w:id="554" w:name="Xbd21be2728daaca2122df2796c5bff38241723b"/>
      <w:r>
        <w:t>Phase one covers signature through sequential corridor activation. Its products: monitoring live, hazard declarations logged, three Survey Certificates, corridors open, impediments terminated. Its discipline: no unilateral announcement outruns the registry. Every public statement follows the logged step, never precedes it.</w:t>
      </w:r>
      <w:bookmarkEnd w:id="554"/>
    </w:p>
    <w:p w14:paraId="2D96691F" w14:textId="77777777" w:rsidR="00293BDE" w:rsidRDefault="00000000">
      <w:pPr>
        <w:pStyle w:val="Heading2"/>
      </w:pPr>
      <w:bookmarkStart w:id="555" w:name="__RefHeading___Toc11106_3324765499"/>
      <w:bookmarkEnd w:id="555"/>
      <w:r>
        <w:t>L.4 Phase two: the money moves cleanly (Days 40 to 90)</w:t>
      </w:r>
    </w:p>
    <w:p w14:paraId="7E4B939D" w14:textId="77777777" w:rsidR="00293BDE" w:rsidRDefault="00000000">
      <w:pPr>
        <w:pStyle w:val="FirstParagraph"/>
      </w:pPr>
      <w:bookmarkStart w:id="556" w:name="Xbf7a478b32a706dc9a8c0437cc886b867532878"/>
      <w:r>
        <w:t>Phase two covers financial activation and the Activation Review. Its products: clean payment cycles, Firewall confirmations, apportionments flowing, the Review conclusion. Its discipline: every payment travels the published path; no side channel opens; the audit trail stays complete.</w:t>
      </w:r>
      <w:bookmarkEnd w:id="556"/>
    </w:p>
    <w:p w14:paraId="346AE792" w14:textId="77777777" w:rsidR="00293BDE" w:rsidRDefault="00000000">
      <w:pPr>
        <w:pStyle w:val="Heading2"/>
      </w:pPr>
      <w:bookmarkStart w:id="557" w:name="__RefHeading___Toc11108_3324765499"/>
      <w:bookmarkEnd w:id="557"/>
      <w:r>
        <w:t>L.5 Phase three: the architecture stands (Days 90 to 365)</w:t>
      </w:r>
    </w:p>
    <w:p w14:paraId="0442977F" w14:textId="77777777" w:rsidR="00293BDE" w:rsidRDefault="00000000">
      <w:pPr>
        <w:pStyle w:val="FirstParagraph"/>
      </w:pPr>
      <w:r>
        <w:t>Phase three covers Full Activation and the first year. Its products: the Joint Openness Declaration, IMO registration, the first State of the Strait report, the first annual audit, the first year-end Reciprocity Ledger. Its discipline: the standing cadence of the Articles replaces the intensified cadence of the Assurance Phase, and the system proves it runs on routine. The stand-down schedule of Article 23.7 proceeds at its own clock alongside, and the sanctions track of Article 2.7 proceeds on its own sovereign clock. The Compact never promises the calendar of other processes; it promises that its own calendar runs on time.</w:t>
      </w:r>
    </w:p>
    <w:bookmarkStart w:id="558" w:name="X837a1f099b808f1183d6ff6d18cd755d316d9b1"/>
    <w:bookmarkStart w:id="559" w:name="X91e2508d591bec652966f9fa41749dcc4dab294"/>
    <w:p w14:paraId="09BA933F" w14:textId="228F03B5" w:rsidR="00293BDE" w:rsidRDefault="00622008">
      <w:r>
        <w:rPr>
          <w:noProof/>
        </w:rPr>
      </w:r>
      <w:r>
        <w:pict w14:anchorId="00FCC2D1">
          <v:rect id="Rectangle 27" o:spid="_x0000_s1028"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58"/>
      <w:bookmarkEnd w:id="559"/>
    </w:p>
    <w:p w14:paraId="55AF7C87" w14:textId="77777777" w:rsidR="00293BDE" w:rsidRDefault="00000000">
      <w:pPr>
        <w:pStyle w:val="Heading1"/>
      </w:pPr>
      <w:bookmarkStart w:id="560" w:name="__RefHeading___Toc11110_3324765499"/>
      <w:bookmarkEnd w:id="560"/>
      <w:r>
        <w:t>ANNEX M: IMPLEMENTATION MANUAL AND TRAINING FRAMEWORK</w:t>
      </w:r>
    </w:p>
    <w:p w14:paraId="48491A10" w14:textId="77777777" w:rsidR="00293BDE" w:rsidRDefault="00000000">
      <w:pPr>
        <w:pStyle w:val="Heading2"/>
      </w:pPr>
      <w:bookmarkStart w:id="561" w:name="__RefHeading___Toc11112_3324765499"/>
      <w:bookmarkEnd w:id="561"/>
      <w:r>
        <w:t>M.1 The manual’s five volumes</w:t>
      </w:r>
    </w:p>
    <w:p w14:paraId="3779BB8B" w14:textId="77777777" w:rsidR="00293BDE" w:rsidRDefault="00000000">
      <w:pPr>
        <w:pStyle w:val="FirstParagraph"/>
      </w:pPr>
      <w:bookmarkStart w:id="562" w:name="m.1-the-manuals-five-volumes"/>
      <w:r>
        <w:t>Volume one: Operations. The watch floor handbook: shift structure, alert levels, Bulletin production, voice discipline, the twelve-field notice, service completion reporting. Volume two: Verification. Data standards, custody, convergence, tie-breaker tasking, escalation chain, retention and purge. Volume three: Finance. Rate card application, invoicing, escrow operation, Firewall checks, apportionment, audit support. Volume four: Governance. Meeting cadence, decision tracks, cooling-off, silence procedure, consultation records. Volume five: Crisis. L4 response, Mishap Protocol, Human Anchor Method at tempo, emergency sessions, public communication under pressure.</w:t>
      </w:r>
      <w:bookmarkEnd w:id="562"/>
    </w:p>
    <w:p w14:paraId="541C9445" w14:textId="77777777" w:rsidR="00293BDE" w:rsidRDefault="00000000">
      <w:pPr>
        <w:pStyle w:val="Heading2"/>
      </w:pPr>
      <w:bookmarkStart w:id="563" w:name="__RefHeading___Toc11114_3324765499"/>
      <w:bookmarkEnd w:id="563"/>
      <w:r>
        <w:t>M.2 The training ladder</w:t>
      </w:r>
    </w:p>
    <w:tbl>
      <w:tblPr>
        <w:tblStyle w:val="Table"/>
        <w:tblW w:w="5000" w:type="pct"/>
        <w:tblInd w:w="0" w:type="dxa"/>
        <w:tblLayout w:type="fixed"/>
        <w:tblLook w:val="0020" w:firstRow="1" w:lastRow="0" w:firstColumn="0" w:lastColumn="0" w:noHBand="0" w:noVBand="0"/>
      </w:tblPr>
      <w:tblGrid>
        <w:gridCol w:w="1858"/>
        <w:gridCol w:w="1857"/>
        <w:gridCol w:w="1858"/>
        <w:gridCol w:w="1857"/>
        <w:gridCol w:w="1858"/>
      </w:tblGrid>
      <w:tr w:rsidR="00293BDE" w14:paraId="299CBCB8" w14:textId="77777777" w:rsidTr="00293BDE">
        <w:trPr>
          <w:cnfStyle w:val="100000000000" w:firstRow="1" w:lastRow="0" w:firstColumn="0" w:lastColumn="0" w:oddVBand="0" w:evenVBand="0" w:oddHBand="0" w:evenHBand="0" w:firstRowFirstColumn="0" w:firstRowLastColumn="0" w:lastRowFirstColumn="0" w:lastRowLastColumn="0"/>
          <w:tblHeader/>
        </w:trPr>
        <w:tc>
          <w:tcPr>
            <w:tcW w:w="1814" w:type="dxa"/>
            <w:tcBorders>
              <w:bottom w:val="single" w:sz="6" w:space="0" w:color="000000"/>
            </w:tcBorders>
          </w:tcPr>
          <w:p w14:paraId="6770ED8F" w14:textId="77777777" w:rsidR="00293BDE" w:rsidRDefault="00000000">
            <w:pPr>
              <w:pStyle w:val="Compact"/>
            </w:pPr>
            <w:r>
              <w:t>Level</w:t>
            </w:r>
          </w:p>
        </w:tc>
        <w:tc>
          <w:tcPr>
            <w:tcW w:w="1814" w:type="dxa"/>
            <w:tcBorders>
              <w:bottom w:val="single" w:sz="6" w:space="0" w:color="000000"/>
            </w:tcBorders>
          </w:tcPr>
          <w:p w14:paraId="725686A0" w14:textId="77777777" w:rsidR="00293BDE" w:rsidRDefault="00000000">
            <w:pPr>
              <w:pStyle w:val="Compact"/>
            </w:pPr>
            <w:r>
              <w:t>Audience</w:t>
            </w:r>
          </w:p>
        </w:tc>
        <w:tc>
          <w:tcPr>
            <w:tcW w:w="1815" w:type="dxa"/>
            <w:tcBorders>
              <w:bottom w:val="single" w:sz="6" w:space="0" w:color="000000"/>
            </w:tcBorders>
          </w:tcPr>
          <w:p w14:paraId="7C7795BE" w14:textId="77777777" w:rsidR="00293BDE" w:rsidRDefault="00000000">
            <w:pPr>
              <w:pStyle w:val="Compact"/>
            </w:pPr>
            <w:r>
              <w:t>Content</w:t>
            </w:r>
          </w:p>
        </w:tc>
        <w:tc>
          <w:tcPr>
            <w:tcW w:w="1814" w:type="dxa"/>
            <w:tcBorders>
              <w:bottom w:val="single" w:sz="6" w:space="0" w:color="000000"/>
            </w:tcBorders>
          </w:tcPr>
          <w:p w14:paraId="12B89057" w14:textId="77777777" w:rsidR="00293BDE" w:rsidRDefault="00000000">
            <w:pPr>
              <w:pStyle w:val="Compact"/>
            </w:pPr>
            <w:r>
              <w:t>Duration</w:t>
            </w:r>
          </w:p>
        </w:tc>
        <w:tc>
          <w:tcPr>
            <w:tcW w:w="1815" w:type="dxa"/>
            <w:tcBorders>
              <w:bottom w:val="single" w:sz="6" w:space="0" w:color="000000"/>
            </w:tcBorders>
          </w:tcPr>
          <w:p w14:paraId="4D8605E3" w14:textId="77777777" w:rsidR="00293BDE" w:rsidRDefault="00000000">
            <w:pPr>
              <w:pStyle w:val="Compact"/>
            </w:pPr>
            <w:r>
              <w:t>Certification</w:t>
            </w:r>
          </w:p>
        </w:tc>
      </w:tr>
      <w:tr w:rsidR="00293BDE" w14:paraId="5597F983" w14:textId="77777777" w:rsidTr="00293BDE">
        <w:tc>
          <w:tcPr>
            <w:tcW w:w="1814" w:type="dxa"/>
          </w:tcPr>
          <w:p w14:paraId="7D009DDB" w14:textId="77777777" w:rsidR="00293BDE" w:rsidRDefault="00000000">
            <w:pPr>
              <w:pStyle w:val="Compact"/>
            </w:pPr>
            <w:r>
              <w:t>Foundation</w:t>
            </w:r>
          </w:p>
        </w:tc>
        <w:tc>
          <w:tcPr>
            <w:tcW w:w="1814" w:type="dxa"/>
          </w:tcPr>
          <w:p w14:paraId="1BB4D18C" w14:textId="77777777" w:rsidR="00293BDE" w:rsidRDefault="00000000">
            <w:pPr>
              <w:pStyle w:val="Compact"/>
            </w:pPr>
            <w:r>
              <w:t>All staff and liaison officers</w:t>
            </w:r>
          </w:p>
        </w:tc>
        <w:tc>
          <w:tcPr>
            <w:tcW w:w="1815" w:type="dxa"/>
          </w:tcPr>
          <w:p w14:paraId="02D7AC6C" w14:textId="77777777" w:rsidR="00293BDE" w:rsidRDefault="00000000">
            <w:pPr>
              <w:pStyle w:val="Compact"/>
            </w:pPr>
            <w:r>
              <w:t>The one-page principle; the Six-Step Rule; corridor geometry; channels</w:t>
            </w:r>
          </w:p>
        </w:tc>
        <w:tc>
          <w:tcPr>
            <w:tcW w:w="1814" w:type="dxa"/>
          </w:tcPr>
          <w:p w14:paraId="26FE666E" w14:textId="77777777" w:rsidR="00293BDE" w:rsidRDefault="00000000">
            <w:pPr>
              <w:pStyle w:val="Compact"/>
            </w:pPr>
            <w:r>
              <w:t>3 days</w:t>
            </w:r>
          </w:p>
        </w:tc>
        <w:tc>
          <w:tcPr>
            <w:tcW w:w="1815" w:type="dxa"/>
          </w:tcPr>
          <w:p w14:paraId="08AC5079" w14:textId="77777777" w:rsidR="00293BDE" w:rsidRDefault="00000000">
            <w:pPr>
              <w:pStyle w:val="Compact"/>
            </w:pPr>
            <w:r>
              <w:t>Foundation certificate</w:t>
            </w:r>
          </w:p>
        </w:tc>
      </w:tr>
      <w:tr w:rsidR="00293BDE" w14:paraId="7279A959" w14:textId="77777777" w:rsidTr="00293BDE">
        <w:tc>
          <w:tcPr>
            <w:tcW w:w="1814" w:type="dxa"/>
          </w:tcPr>
          <w:p w14:paraId="424C0256" w14:textId="77777777" w:rsidR="00293BDE" w:rsidRDefault="00000000">
            <w:pPr>
              <w:pStyle w:val="Compact"/>
            </w:pPr>
            <w:r>
              <w:t>Operator</w:t>
            </w:r>
          </w:p>
        </w:tc>
        <w:tc>
          <w:tcPr>
            <w:tcW w:w="1814" w:type="dxa"/>
          </w:tcPr>
          <w:p w14:paraId="79027EB9" w14:textId="77777777" w:rsidR="00293BDE" w:rsidRDefault="00000000">
            <w:pPr>
              <w:pStyle w:val="Compact"/>
            </w:pPr>
            <w:r>
              <w:t>Watch floor, mirror, environmental desk</w:t>
            </w:r>
          </w:p>
        </w:tc>
        <w:tc>
          <w:tcPr>
            <w:tcW w:w="1815" w:type="dxa"/>
          </w:tcPr>
          <w:p w14:paraId="6FC4651B" w14:textId="77777777" w:rsidR="00293BDE" w:rsidRDefault="00000000">
            <w:pPr>
              <w:pStyle w:val="Compact"/>
            </w:pPr>
            <w:r>
              <w:t>Full operations volume; simulation exercises</w:t>
            </w:r>
          </w:p>
        </w:tc>
        <w:tc>
          <w:tcPr>
            <w:tcW w:w="1814" w:type="dxa"/>
          </w:tcPr>
          <w:p w14:paraId="5C67BE35" w14:textId="77777777" w:rsidR="00293BDE" w:rsidRDefault="00000000">
            <w:pPr>
              <w:pStyle w:val="Compact"/>
            </w:pPr>
            <w:r>
              <w:t>3 weeks</w:t>
            </w:r>
          </w:p>
        </w:tc>
        <w:tc>
          <w:tcPr>
            <w:tcW w:w="1815" w:type="dxa"/>
          </w:tcPr>
          <w:p w14:paraId="12F8EBC5" w14:textId="77777777" w:rsidR="00293BDE" w:rsidRDefault="00000000">
            <w:pPr>
              <w:pStyle w:val="Compact"/>
            </w:pPr>
            <w:r>
              <w:t>Operator certificate</w:t>
            </w:r>
          </w:p>
        </w:tc>
      </w:tr>
      <w:tr w:rsidR="00293BDE" w14:paraId="7D4D0C84" w14:textId="77777777" w:rsidTr="00293BDE">
        <w:tc>
          <w:tcPr>
            <w:tcW w:w="1814" w:type="dxa"/>
          </w:tcPr>
          <w:p w14:paraId="4062B1CB" w14:textId="77777777" w:rsidR="00293BDE" w:rsidRDefault="00000000">
            <w:pPr>
              <w:pStyle w:val="Compact"/>
            </w:pPr>
            <w:r>
              <w:t>Verifier</w:t>
            </w:r>
          </w:p>
        </w:tc>
        <w:tc>
          <w:tcPr>
            <w:tcW w:w="1814" w:type="dxa"/>
          </w:tcPr>
          <w:p w14:paraId="254B9955" w14:textId="77777777" w:rsidR="00293BDE" w:rsidRDefault="00000000">
            <w:pPr>
              <w:pStyle w:val="Compact"/>
            </w:pPr>
            <w:r>
              <w:t>Verification officers, Troika analysts</w:t>
            </w:r>
          </w:p>
        </w:tc>
        <w:tc>
          <w:tcPr>
            <w:tcW w:w="1815" w:type="dxa"/>
          </w:tcPr>
          <w:p w14:paraId="60460A86" w14:textId="77777777" w:rsidR="00293BDE" w:rsidRDefault="00000000">
            <w:pPr>
              <w:pStyle w:val="Compact"/>
            </w:pPr>
            <w:r>
              <w:t>Full verification volume; data forensics</w:t>
            </w:r>
          </w:p>
        </w:tc>
        <w:tc>
          <w:tcPr>
            <w:tcW w:w="1814" w:type="dxa"/>
          </w:tcPr>
          <w:p w14:paraId="7A0E9CCE" w14:textId="77777777" w:rsidR="00293BDE" w:rsidRDefault="00000000">
            <w:pPr>
              <w:pStyle w:val="Compact"/>
            </w:pPr>
            <w:r>
              <w:t>3 weeks</w:t>
            </w:r>
          </w:p>
        </w:tc>
        <w:tc>
          <w:tcPr>
            <w:tcW w:w="1815" w:type="dxa"/>
          </w:tcPr>
          <w:p w14:paraId="1DA27AC8" w14:textId="77777777" w:rsidR="00293BDE" w:rsidRDefault="00000000">
            <w:pPr>
              <w:pStyle w:val="Compact"/>
            </w:pPr>
            <w:r>
              <w:t>Verifier certificate</w:t>
            </w:r>
          </w:p>
        </w:tc>
      </w:tr>
      <w:tr w:rsidR="00293BDE" w14:paraId="735225D4" w14:textId="77777777" w:rsidTr="00293BDE">
        <w:tc>
          <w:tcPr>
            <w:tcW w:w="1814" w:type="dxa"/>
          </w:tcPr>
          <w:p w14:paraId="0FE61732" w14:textId="77777777" w:rsidR="00293BDE" w:rsidRDefault="00000000">
            <w:pPr>
              <w:pStyle w:val="Compact"/>
            </w:pPr>
            <w:r>
              <w:t>Financial</w:t>
            </w:r>
          </w:p>
        </w:tc>
        <w:tc>
          <w:tcPr>
            <w:tcW w:w="1814" w:type="dxa"/>
          </w:tcPr>
          <w:p w14:paraId="09149ABB" w14:textId="77777777" w:rsidR="00293BDE" w:rsidRDefault="00000000">
            <w:pPr>
              <w:pStyle w:val="Compact"/>
            </w:pPr>
            <w:r>
              <w:t>Fund and audit staff</w:t>
            </w:r>
          </w:p>
        </w:tc>
        <w:tc>
          <w:tcPr>
            <w:tcW w:w="1815" w:type="dxa"/>
          </w:tcPr>
          <w:p w14:paraId="7680A8EF" w14:textId="77777777" w:rsidR="00293BDE" w:rsidRDefault="00000000">
            <w:pPr>
              <w:pStyle w:val="Compact"/>
            </w:pPr>
            <w:r>
              <w:t>Full finance volume; Firewall drills</w:t>
            </w:r>
          </w:p>
        </w:tc>
        <w:tc>
          <w:tcPr>
            <w:tcW w:w="1814" w:type="dxa"/>
          </w:tcPr>
          <w:p w14:paraId="40DDD116" w14:textId="77777777" w:rsidR="00293BDE" w:rsidRDefault="00000000">
            <w:pPr>
              <w:pStyle w:val="Compact"/>
            </w:pPr>
            <w:r>
              <w:t>2 weeks</w:t>
            </w:r>
          </w:p>
        </w:tc>
        <w:tc>
          <w:tcPr>
            <w:tcW w:w="1815" w:type="dxa"/>
          </w:tcPr>
          <w:p w14:paraId="18AB0100" w14:textId="77777777" w:rsidR="00293BDE" w:rsidRDefault="00000000">
            <w:pPr>
              <w:pStyle w:val="Compact"/>
            </w:pPr>
            <w:r>
              <w:t>Financial certificate</w:t>
            </w:r>
          </w:p>
        </w:tc>
      </w:tr>
      <w:tr w:rsidR="00293BDE" w14:paraId="7056878C" w14:textId="77777777" w:rsidTr="00293BDE">
        <w:tc>
          <w:tcPr>
            <w:tcW w:w="1814" w:type="dxa"/>
          </w:tcPr>
          <w:p w14:paraId="31822523" w14:textId="77777777" w:rsidR="00293BDE" w:rsidRDefault="00000000">
            <w:pPr>
              <w:pStyle w:val="Compact"/>
            </w:pPr>
            <w:r>
              <w:t>Executive</w:t>
            </w:r>
          </w:p>
        </w:tc>
        <w:tc>
          <w:tcPr>
            <w:tcW w:w="1814" w:type="dxa"/>
          </w:tcPr>
          <w:p w14:paraId="68D77193" w14:textId="77777777" w:rsidR="00293BDE" w:rsidRDefault="00000000">
            <w:pPr>
              <w:pStyle w:val="Compact"/>
            </w:pPr>
            <w:r>
              <w:t>Council members, administrators, facilitators</w:t>
            </w:r>
          </w:p>
        </w:tc>
        <w:tc>
          <w:tcPr>
            <w:tcW w:w="1815" w:type="dxa"/>
          </w:tcPr>
          <w:p w14:paraId="2C2D07A5" w14:textId="77777777" w:rsidR="00293BDE" w:rsidRDefault="00000000">
            <w:pPr>
              <w:pStyle w:val="Compact"/>
            </w:pPr>
            <w:r>
              <w:t>Governance and crisis volumes; tabletop crisis exercise</w:t>
            </w:r>
          </w:p>
        </w:tc>
        <w:tc>
          <w:tcPr>
            <w:tcW w:w="1814" w:type="dxa"/>
          </w:tcPr>
          <w:p w14:paraId="568B065A" w14:textId="77777777" w:rsidR="00293BDE" w:rsidRDefault="00000000">
            <w:pPr>
              <w:pStyle w:val="Compact"/>
            </w:pPr>
            <w:r>
              <w:t>1 week</w:t>
            </w:r>
          </w:p>
        </w:tc>
        <w:tc>
          <w:tcPr>
            <w:tcW w:w="1815" w:type="dxa"/>
          </w:tcPr>
          <w:p w14:paraId="2E7F9A7D" w14:textId="77777777" w:rsidR="00293BDE" w:rsidRDefault="00000000">
            <w:pPr>
              <w:pStyle w:val="Compact"/>
            </w:pPr>
            <w:r>
              <w:t>Executive certificate</w:t>
            </w:r>
          </w:p>
        </w:tc>
      </w:tr>
    </w:tbl>
    <w:p w14:paraId="429AF368" w14:textId="77777777" w:rsidR="00293BDE" w:rsidRDefault="00000000">
      <w:pPr>
        <w:pStyle w:val="BodyText"/>
      </w:pPr>
      <w:bookmarkStart w:id="564" w:name="m.2-the-training-ladder"/>
      <w:r>
        <w:t>No person stands a watch, signs a finding, or touches a payment without the matching certificate. Certificates renew annually through simulation.</w:t>
      </w:r>
      <w:bookmarkEnd w:id="564"/>
    </w:p>
    <w:p w14:paraId="4D78A5D6" w14:textId="77777777" w:rsidR="00293BDE" w:rsidRDefault="00000000">
      <w:pPr>
        <w:pStyle w:val="Heading2"/>
      </w:pPr>
      <w:bookmarkStart w:id="565" w:name="__RefHeading___Toc11116_3324765499"/>
      <w:bookmarkEnd w:id="565"/>
      <w:r>
        <w:t>M.3 The simulation program</w:t>
      </w:r>
    </w:p>
    <w:p w14:paraId="287EE068" w14:textId="77777777" w:rsidR="00293BDE" w:rsidRDefault="00000000">
      <w:pPr>
        <w:pStyle w:val="FirstParagraph"/>
      </w:pPr>
      <w:bookmarkStart w:id="566" w:name="m.3-the-simulation-program"/>
      <w:r>
        <w:t>The Authority runs a published simulation calendar: monthly watch-floor drills, quarterly multi-party crisis simulations, and one full annual exercise covering an L4 event end to end. Simulation results publish in summary. The simulation program is the insurance policy of competence: every person in the system has practiced the worst day before it arrives.</w:t>
      </w:r>
      <w:bookmarkEnd w:id="566"/>
    </w:p>
    <w:p w14:paraId="2673AB35" w14:textId="77777777" w:rsidR="00293BDE" w:rsidRDefault="00000000">
      <w:pPr>
        <w:pStyle w:val="Heading2"/>
      </w:pPr>
      <w:bookmarkStart w:id="567" w:name="__RefHeading___Toc11118_3324765499"/>
      <w:bookmarkEnd w:id="567"/>
      <w:r>
        <w:t>M.4 The first hundred days staff plan</w:t>
      </w:r>
    </w:p>
    <w:p w14:paraId="3E7BD749" w14:textId="77777777" w:rsidR="00293BDE" w:rsidRDefault="00000000">
      <w:pPr>
        <w:pStyle w:val="FirstParagraph"/>
      </w:pPr>
      <w:bookmarkStart w:id="568" w:name="m.4-the-first-hundred-days-staff-plan"/>
      <w:r>
        <w:t>Days 0 to 10: core watch floor of 12 stands up from pre-identified coastal officers under Foundation training completed before signature. Days 10 to 40: full watch floor of 36 completes Operator certification in rotation while holding live watches. Days 40 to 90: all remaining functions staff to the table of Annex E.4. The Mirror Facility staffs on the same schedule. Training before trust, and trust through training: the people who stand the first watch know each other’s names before the corridors open.</w:t>
      </w:r>
      <w:bookmarkEnd w:id="568"/>
    </w:p>
    <w:p w14:paraId="2FFEECDA" w14:textId="77777777" w:rsidR="00293BDE" w:rsidRDefault="00000000">
      <w:pPr>
        <w:pStyle w:val="Heading2"/>
      </w:pPr>
      <w:bookmarkStart w:id="569" w:name="__RefHeading___Toc11120_3324765499"/>
      <w:bookmarkEnd w:id="569"/>
      <w:r>
        <w:t>M.5 The knowledge base</w:t>
      </w:r>
    </w:p>
    <w:p w14:paraId="61D13F29" w14:textId="77777777" w:rsidR="00293BDE" w:rsidRDefault="00000000">
      <w:pPr>
        <w:pStyle w:val="FirstParagraph"/>
      </w:pPr>
      <w:r>
        <w:t>Every procedure, checklist, form, lesson, and simulation report lives in the knowledge base, mirrored between Muscat and Bandar Abbas under two-key custody, with public versions of all non-sensitive material. When a question arises on the watch floor at 03:00, the answer sits in the knowledge base in the watch officer’s own language. The Compact’s memory never sleeps and never leaves.</w:t>
      </w:r>
    </w:p>
    <w:bookmarkStart w:id="570" w:name="Xdc3e2b3752ebb553e3aa7250c3f8313631b80cf"/>
    <w:bookmarkStart w:id="571" w:name="m.5-the-knowledge-base"/>
    <w:p w14:paraId="3370EB2D" w14:textId="4F446D92" w:rsidR="00293BDE" w:rsidRDefault="00622008">
      <w:r>
        <w:rPr>
          <w:noProof/>
        </w:rPr>
      </w:r>
      <w:r>
        <w:pict w14:anchorId="4126C936">
          <v:rect id="Rectangle 28" o:spid="_x0000_s1027"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70"/>
      <w:bookmarkEnd w:id="571"/>
    </w:p>
    <w:p w14:paraId="0DFAEAAD" w14:textId="77777777" w:rsidR="00293BDE" w:rsidRDefault="00000000">
      <w:pPr>
        <w:pStyle w:val="Heading1"/>
      </w:pPr>
      <w:bookmarkStart w:id="572" w:name="__RefHeading___Toc11122_3324765499"/>
      <w:bookmarkEnd w:id="572"/>
      <w:r>
        <w:t>POLITICAL WRAPPER</w:t>
      </w:r>
    </w:p>
    <w:p w14:paraId="6E09B3B4" w14:textId="77777777" w:rsidR="00293BDE" w:rsidRDefault="00000000">
      <w:pPr>
        <w:pStyle w:val="Heading2"/>
      </w:pPr>
      <w:bookmarkStart w:id="573" w:name="__RefHeading___Toc11124_3324765499"/>
      <w:bookmarkEnd w:id="573"/>
      <w:r>
        <w:t>The Muscat Horizon Declaration</w:t>
      </w:r>
    </w:p>
    <w:p w14:paraId="053FFDD3" w14:textId="77777777" w:rsidR="00293BDE" w:rsidRDefault="00000000">
      <w:pPr>
        <w:pStyle w:val="FirstParagraph"/>
      </w:pPr>
      <w:r>
        <w:t>We, the representatives of the Islamic Republic of Iran and the Sultanate of Oman, joined by the Endorsing Stakeholders and Facilitators whose names stand at the close of this instrument, meeting in Muscat in August 2026,</w:t>
      </w:r>
    </w:p>
    <w:p w14:paraId="02F93DD4" w14:textId="77777777" w:rsidR="00293BDE" w:rsidRDefault="00000000">
      <w:pPr>
        <w:pStyle w:val="BodyText"/>
      </w:pPr>
      <w:r>
        <w:t>Declare that the Strait of Hormuz returns to the world as open water, governed by law, watched by shared eyes, and served by the hands of its own coasts.</w:t>
      </w:r>
    </w:p>
    <w:p w14:paraId="2EC5AE01" w14:textId="77777777" w:rsidR="00293BDE" w:rsidRDefault="00000000">
      <w:pPr>
        <w:pStyle w:val="BodyText"/>
      </w:pPr>
      <w:r>
        <w:t>Declare that passage through the Strait carries no charge, today and always, and that the services of safety earn their honest price from those who use them, through channels no politics squeezes.</w:t>
      </w:r>
    </w:p>
    <w:p w14:paraId="70B13AD9" w14:textId="77777777" w:rsidR="00293BDE" w:rsidRDefault="00000000">
      <w:pPr>
        <w:pStyle w:val="BodyText"/>
      </w:pPr>
      <w:r>
        <w:t>Declare that this Compact stands on six foundations: the sea is free; the work is paid; the watch is shared; no one commands; nothing fades; and the corridor’s opening and the impediments’ end arrive together, as one event, for all to see.</w:t>
      </w:r>
    </w:p>
    <w:p w14:paraId="5A2B898C" w14:textId="77777777" w:rsidR="00293BDE" w:rsidRDefault="00000000">
      <w:pPr>
        <w:pStyle w:val="BodyText"/>
      </w:pPr>
      <w:r>
        <w:t>Declare that the Strait belongs to no one and serves everyone, and that its peace is the peace of every shore that knows its tides.</w:t>
      </w:r>
    </w:p>
    <w:p w14:paraId="53489D4B" w14:textId="77777777" w:rsidR="00293BDE" w:rsidRDefault="00000000">
      <w:pPr>
        <w:pStyle w:val="BodyText"/>
      </w:pPr>
      <w:r>
        <w:t>And we commend this Compact to all nations whose ships, cargoes, and people pass these waters, and invite them to stand with it.</w:t>
      </w:r>
    </w:p>
    <w:p w14:paraId="23C7337E" w14:textId="77777777" w:rsidR="00293BDE" w:rsidRDefault="00000000">
      <w:pPr>
        <w:pStyle w:val="BodyText"/>
      </w:pPr>
      <w:bookmarkStart w:id="574" w:name="the-muscat-horizon-declaration"/>
      <w:r>
        <w:t>Done at Muscat, this day, in the Persian, Arabic, and English languages, each text equally authentic.</w:t>
      </w:r>
      <w:bookmarkEnd w:id="574"/>
    </w:p>
    <w:p w14:paraId="2C0F3C2C" w14:textId="77777777" w:rsidR="00293BDE" w:rsidRDefault="00000000">
      <w:pPr>
        <w:pStyle w:val="Heading2"/>
      </w:pPr>
      <w:bookmarkStart w:id="575" w:name="__RefHeading___Toc11126_3324765499"/>
      <w:bookmarkEnd w:id="575"/>
      <w:r>
        <w:t>Joint Signature Addresses</w:t>
      </w:r>
    </w:p>
    <w:p w14:paraId="5F841DD4" w14:textId="77777777" w:rsidR="00293BDE" w:rsidRDefault="00000000">
      <w:pPr>
        <w:pStyle w:val="Heading3"/>
      </w:pPr>
      <w:r>
        <w:t>Address of the Host, the Sultanate of Oman</w:t>
      </w:r>
    </w:p>
    <w:p w14:paraId="6A79308B" w14:textId="77777777" w:rsidR="00293BDE" w:rsidRDefault="00000000">
      <w:pPr>
        <w:pStyle w:val="FirstParagraph"/>
      </w:pPr>
      <w:bookmarkStart w:id="576" w:name="X33ef964bcfddf187c443c6922ab0c640defd131"/>
      <w:r>
        <w:t>Muscat has carried messages across this water for a thousand years. Today the message is the water itself. Oman does not stand between neighbors; Oman stands with them, at a table built for all. This Compact honors the oldest rule of our coasts: a strait is not a wall. To the sailors of every flag who read the Bulletin tomorrow morning: the chart is honest, the channel is open, and the watch does not sleep. Welcome home to the sea.</w:t>
      </w:r>
      <w:bookmarkEnd w:id="576"/>
    </w:p>
    <w:p w14:paraId="46483F3B" w14:textId="77777777" w:rsidR="00293BDE" w:rsidRDefault="00000000">
      <w:pPr>
        <w:pStyle w:val="Heading3"/>
      </w:pPr>
      <w:r>
        <w:t>Address of the Islamic Republic of Iran</w:t>
      </w:r>
    </w:p>
    <w:p w14:paraId="5CAE8223" w14:textId="77777777" w:rsidR="00293BDE" w:rsidRDefault="00000000">
      <w:pPr>
        <w:pStyle w:val="FirstParagraph"/>
      </w:pPr>
      <w:bookmarkStart w:id="577" w:name="address-of-the-islamic-republic-of-iran"/>
      <w:r>
        <w:t>Iran signs this Compact as a guardian of its own coast and a neighbor to all coasts. Our role in these waters stands recognized in law, not granted in favor, and our services to the ships of the world earn their price in the open, through hands that answer to rules. We asked for dignity, for fairness, and for a door that no one closes from outside. This architecture gives all three, and gives the same to every party at the table. The era of the closed strait ends today, by our signature and by our neighbor’s, together, in the same hour.</w:t>
      </w:r>
      <w:bookmarkEnd w:id="577"/>
    </w:p>
    <w:p w14:paraId="2DC37266" w14:textId="77777777" w:rsidR="00293BDE" w:rsidRDefault="00000000">
      <w:pPr>
        <w:pStyle w:val="Heading3"/>
      </w:pPr>
      <w:r>
        <w:t>Address of the United States of America</w:t>
      </w:r>
    </w:p>
    <w:p w14:paraId="3E088C4B" w14:textId="77777777" w:rsidR="00293BDE" w:rsidRDefault="00000000">
      <w:pPr>
        <w:pStyle w:val="FirstParagraph"/>
      </w:pPr>
      <w:bookmarkStart w:id="578" w:name="address-of-the-united-states-of-america"/>
      <w:r>
        <w:t>The United States comes to this table because the toll booth is gone and the open water is real. No ship pays for the sea. No state commands the strait. No sailor answers a checkpoint in an international waterway. Those were our lines, and every line holds in this text. We verify through systems that answer to no capital, and we watch it work through our observer seat, with the same skepticism we bring to every promise and the same hope we bring to every honest chart. The blockade ends as the corridors open, one event, as written. America keeps its word, and this Compact gives the world a way to see us keep it.</w:t>
      </w:r>
      <w:bookmarkEnd w:id="578"/>
    </w:p>
    <w:p w14:paraId="68FAFFE5" w14:textId="77777777" w:rsidR="00293BDE" w:rsidRDefault="00000000">
      <w:pPr>
        <w:pStyle w:val="Heading3"/>
      </w:pPr>
      <w:r>
        <w:t>Address of the Gulf Cooperation Council</w:t>
      </w:r>
    </w:p>
    <w:p w14:paraId="0037EE8E" w14:textId="77777777" w:rsidR="00293BDE" w:rsidRDefault="00000000">
      <w:pPr>
        <w:pStyle w:val="FirstParagraph"/>
      </w:pPr>
      <w:bookmarkStart w:id="579" w:name="address-of-the-gulf-cooperation-council"/>
      <w:r>
        <w:t>The states of the Gulf speak today with one voice for one reason: our harbors face this strait, and our peoples eat, trade, and dream across it. We asked for open lanes, for fair rules, for a seat at the table, and for quiet water. This Compact answers each request with a mechanism, not a slogan. The Gulf returns to the business of the sea. Our ports stand ready, our pilots stand ready, and our signatures stand ready.</w:t>
      </w:r>
      <w:bookmarkEnd w:id="579"/>
    </w:p>
    <w:p w14:paraId="7CC76273" w14:textId="77777777" w:rsidR="00293BDE" w:rsidRDefault="00000000">
      <w:pPr>
        <w:pStyle w:val="Heading3"/>
      </w:pPr>
      <w:r>
        <w:t>Address of the European Union</w:t>
      </w:r>
    </w:p>
    <w:p w14:paraId="0818BDB5" w14:textId="77777777" w:rsidR="00293BDE" w:rsidRDefault="00000000">
      <w:pPr>
        <w:pStyle w:val="FirstParagraph"/>
      </w:pPr>
      <w:bookmarkStart w:id="580" w:name="address-of-the-european-union"/>
      <w:r>
        <w:t>Europe’s ships have crossed this strait for five centuries, and Europe’s homes have burned its energy for five generations. We asked for freedom of navigation without toll, verification without dependence, and de-escalation without surrender of principle. This text delivers all three. Europe endorses, observes, contributes, and holds every party to the public metrics this Compact publishes. The sea lane that feeds the world deserves a constitution. Today it has one.</w:t>
      </w:r>
      <w:bookmarkEnd w:id="580"/>
    </w:p>
    <w:p w14:paraId="38328838" w14:textId="77777777" w:rsidR="00293BDE" w:rsidRDefault="00000000">
      <w:pPr>
        <w:pStyle w:val="Heading3"/>
      </w:pPr>
      <w:r>
        <w:t>Joint Address of the Facilitators, the State of Qatar and the Islamic Republic of Pakistan</w:t>
      </w:r>
    </w:p>
    <w:p w14:paraId="05A0A06B" w14:textId="77777777" w:rsidR="00293BDE" w:rsidRDefault="00000000">
      <w:pPr>
        <w:pStyle w:val="FirstParagraph"/>
      </w:pPr>
      <w:bookmarkStart w:id="581" w:name="X1921787b8370c2d47d9641feae42e39c9c13c08"/>
      <w:r>
        <w:t>We carried the messages when carrying messages was the only channel left. We held the paper when holding the paper was the only trust left. Today the messages become architecture and the paper becomes law. Our role changes from courier to witness, and we accept it with pride. To every future mediator who reads these words: the channels stay open because we proved they matter. The strait is open. The door stays open too.</w:t>
      </w:r>
      <w:bookmarkEnd w:id="581"/>
    </w:p>
    <w:p w14:paraId="7E36D4B3" w14:textId="77777777" w:rsidR="00293BDE" w:rsidRDefault="00000000">
      <w:pPr>
        <w:pStyle w:val="Heading3"/>
      </w:pPr>
      <w:r>
        <w:t>Message of the International Maritime Organization</w:t>
      </w:r>
    </w:p>
    <w:p w14:paraId="188AE133" w14:textId="77777777" w:rsidR="00293BDE" w:rsidRDefault="00000000">
      <w:pPr>
        <w:pStyle w:val="FirstParagraph"/>
      </w:pPr>
      <w:bookmarkStart w:id="582" w:name="joint-signature-addresses"/>
      <w:bookmarkStart w:id="583" w:name="Xe3085ed99e2c730a193bc4c0186f01ecf1b31f7"/>
      <w:r>
        <w:t>The Organization welcomes this Compact as an instrument of safety, environmental protection, and orderly passage, consistent with the conventions the world’s maritime nations have built together across seventy years. The Organization stands ready to receive the registrations this Compact provides, to align its technical committees with the Authority’s standards work, and to carry the lessons of this architecture to every strait where ships and politics share narrow water. Safe seas, open seas, governed seas: this is the work.</w:t>
      </w:r>
      <w:bookmarkEnd w:id="582"/>
      <w:bookmarkEnd w:id="583"/>
    </w:p>
    <w:p w14:paraId="22EE12E8" w14:textId="77777777" w:rsidR="00293BDE" w:rsidRDefault="00000000">
      <w:pPr>
        <w:pStyle w:val="Heading2"/>
      </w:pPr>
      <w:bookmarkStart w:id="584" w:name="__RefHeading___Toc11128_3324765499"/>
      <w:bookmarkEnd w:id="584"/>
      <w:r>
        <w:t>The Closing Act of Signature</w:t>
      </w:r>
    </w:p>
    <w:p w14:paraId="22581CA9" w14:textId="77777777" w:rsidR="00293BDE" w:rsidRDefault="00000000">
      <w:pPr>
        <w:pStyle w:val="FirstParagraph"/>
      </w:pPr>
      <w:r>
        <w:t>The instruments of signature pass hand to hand across one table, in the following order, which records no rank and honors every hand: the Host, the Coastal Parties, the Endorsing Stakeholders, the Facilitators, the witnessing organizations. Each signature enters the registry the moment the pen leaves the page. The final signature completes the instrument, and at that hour, at that minute, the registry logs the first entry of the new era: the Strait of Hormuz stands open, under law, by the act of its own coasts, witnessed by the world.</w:t>
      </w:r>
    </w:p>
    <w:p w14:paraId="295032B9" w14:textId="77777777" w:rsidR="00293BDE" w:rsidRDefault="00000000">
      <w:pPr>
        <w:pStyle w:val="BodyText"/>
      </w:pPr>
      <w:r>
        <w:t>The sea keeps no grudges. Neither does this table.</w:t>
      </w:r>
    </w:p>
    <w:bookmarkStart w:id="585" w:name="political-wrapper"/>
    <w:bookmarkStart w:id="586" w:name="the-closing-act-of-signature"/>
    <w:p w14:paraId="04B6A6F2" w14:textId="2D8088E3" w:rsidR="00293BDE" w:rsidRDefault="00622008">
      <w:r>
        <w:rPr>
          <w:noProof/>
        </w:rPr>
      </w:r>
      <w:r>
        <w:pict w14:anchorId="1BDC373D">
          <v:rect id="Rectangle 29"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" fillcolor="#2e4e5e" stroked="f" strokeweight="0">
            <w10:anchorlock/>
          </v:rect>
        </w:pict>
      </w:r>
      <w:bookmarkEnd w:id="585"/>
      <w:bookmarkEnd w:id="586"/>
    </w:p>
    <w:p w14:paraId="6E2F4D2E" w14:textId="77777777" w:rsidR="00293BDE" w:rsidRDefault="00000000">
      <w:pPr>
        <w:pStyle w:val="Heading1"/>
      </w:pPr>
      <w:bookmarkStart w:id="587" w:name="__RefHeading___Toc11130_3324765499"/>
      <w:bookmarkEnd w:id="587"/>
      <w:r>
        <w:t>END OF INSTRUMENT</w:t>
      </w:r>
    </w:p>
    <w:p w14:paraId="27B0D18D" w14:textId="77777777" w:rsidR="00293BDE" w:rsidRDefault="00000000">
      <w:pPr>
        <w:pStyle w:val="FirstParagraph"/>
      </w:pPr>
      <w:bookmarkStart w:id="588" w:name="end-of-instrument"/>
      <w:r>
        <w:t>This concludes the Strait Stability Horizon Compact, version 1.0, comprising the Horizon Declaration of Principles, the Preamble, the Executive Summary, the Situation Assessment, the Reader’s Guide, seven Parts of thirty-four Articles, thirteen Annexes, and the Political Wrapper. The registry copy stands as the authoritative text. Every word of this instrument serves one purpose: that the ships pass, the sailors come home, and the sea stays open.</w:t>
      </w:r>
      <w:bookmarkEnd w:id="588"/>
    </w:p>
    <w:sectPr w:rsidR="00293BDE">
      <w:headerReference w:type="default" r:id="rId7"/>
      <w:footerReference w:type="default" r:id="rId8"/>
      <w:pgSz w:w="12240" w:h="15840"/>
      <w:pgMar w:top="1440" w:right="1584" w:bottom="1440" w:left="1584" w:header="72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084B1" w14:textId="77777777" w:rsidR="004820E3" w:rsidRDefault="004820E3">
      <w:pPr>
        <w:spacing w:after="0" w:line="240" w:lineRule="auto"/>
      </w:pPr>
      <w:r>
        <w:separator/>
      </w:r>
    </w:p>
  </w:endnote>
  <w:endnote w:type="continuationSeparator" w:id="0">
    <w:p w14:paraId="1D18CA54" w14:textId="77777777" w:rsidR="004820E3" w:rsidRDefault="00482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F5CA" w14:textId="77777777" w:rsidR="00293BDE" w:rsidRDefault="00000000">
    <w:pPr>
      <w:pStyle w:val="Footer"/>
      <w:jc w:val="center"/>
    </w:pPr>
    <w:r>
      <w:fldChar w:fldCharType="begin"/>
    </w:r>
    <w:r>
      <w:instrText xml:space="preserve"> PAGE </w:instrText>
    </w:r>
    <w:r>
      <w:fldChar w:fldCharType="separate"/>
    </w:r>
    <w:r>
      <w:t>127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B917" w14:textId="77777777" w:rsidR="004820E3" w:rsidRDefault="004820E3">
      <w:pPr>
        <w:spacing w:after="0" w:line="240" w:lineRule="auto"/>
      </w:pPr>
      <w:r>
        <w:separator/>
      </w:r>
    </w:p>
  </w:footnote>
  <w:footnote w:type="continuationSeparator" w:id="0">
    <w:p w14:paraId="0D50A208" w14:textId="77777777" w:rsidR="004820E3" w:rsidRDefault="00482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DB44" w14:textId="77777777" w:rsidR="00293BDE" w:rsidRDefault="00000000">
    <w:pPr>
      <w:pStyle w:val="Header"/>
      <w:pBdr>
        <w:bottom w:val="single" w:sz="4" w:space="3" w:color="9FB3BA"/>
      </w:pBdr>
      <w:jc w:val="center"/>
    </w:pPr>
    <w:r>
      <w:rPr>
        <w:color w:val="6B7D85"/>
        <w:sz w:val="0"/>
      </w:rPr>
      <w:t>THE STRAIT STABILITY HORIZON COMPACT  ·  TSSHC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4641D"/>
    <w:multiLevelType w:val="multilevel"/>
    <w:tmpl w:val="714E3CF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125345120">
    <w:abstractNumId w:val="0"/>
  </w:num>
  <w:num w:numId="2" w16cid:durableId="122889988">
    <w:abstractNumId w:val="0"/>
    <w:lvlOverride w:ilvl="0">
      <w:startOverride w:val="1"/>
    </w:lvlOverride>
  </w:num>
  <w:num w:numId="3" w16cid:durableId="208615586">
    <w:abstractNumId w:val="0"/>
    <w:lvlOverride w:ilvl="0">
      <w:startOverride w:val="1"/>
    </w:lvlOverride>
  </w:num>
  <w:num w:numId="4" w16cid:durableId="1684820090">
    <w:abstractNumId w:val="0"/>
  </w:num>
  <w:num w:numId="5" w16cid:durableId="617024876">
    <w:abstractNumId w:val="0"/>
  </w:num>
  <w:num w:numId="6" w16cid:durableId="764808685">
    <w:abstractNumId w:val="0"/>
  </w:num>
  <w:num w:numId="7" w16cid:durableId="1187057632">
    <w:abstractNumId w:val="0"/>
  </w:num>
  <w:num w:numId="8" w16cid:durableId="1210845134">
    <w:abstractNumId w:val="0"/>
    <w:lvlOverride w:ilvl="0">
      <w:startOverride w:val="1"/>
    </w:lvlOverride>
  </w:num>
  <w:num w:numId="9" w16cid:durableId="531266650">
    <w:abstractNumId w:val="0"/>
  </w:num>
  <w:num w:numId="10" w16cid:durableId="887650144">
    <w:abstractNumId w:val="0"/>
  </w:num>
  <w:num w:numId="11" w16cid:durableId="613054526">
    <w:abstractNumId w:val="0"/>
    <w:lvlOverride w:ilvl="0">
      <w:startOverride w:val="1"/>
    </w:lvlOverride>
  </w:num>
  <w:num w:numId="12" w16cid:durableId="2141608762">
    <w:abstractNumId w:val="0"/>
  </w:num>
  <w:num w:numId="13" w16cid:durableId="1611931294">
    <w:abstractNumId w:val="0"/>
  </w:num>
  <w:num w:numId="14" w16cid:durableId="40831050">
    <w:abstractNumId w:val="0"/>
  </w:num>
  <w:num w:numId="15" w16cid:durableId="732849898">
    <w:abstractNumId w:val="0"/>
  </w:num>
  <w:num w:numId="16" w16cid:durableId="208761043">
    <w:abstractNumId w:val="0"/>
  </w:num>
  <w:num w:numId="17" w16cid:durableId="2024014816">
    <w:abstractNumId w:val="0"/>
  </w:num>
  <w:num w:numId="18" w16cid:durableId="1269583818">
    <w:abstractNumId w:val="0"/>
  </w:num>
  <w:num w:numId="19" w16cid:durableId="1728870685">
    <w:abstractNumId w:val="0"/>
    <w:lvlOverride w:ilvl="0">
      <w:startOverride w:val="1"/>
    </w:lvlOverride>
  </w:num>
  <w:num w:numId="20" w16cid:durableId="1799837483">
    <w:abstractNumId w:val="0"/>
  </w:num>
  <w:num w:numId="21" w16cid:durableId="2118789625">
    <w:abstractNumId w:val="0"/>
  </w:num>
  <w:num w:numId="22" w16cid:durableId="1040395978">
    <w:abstractNumId w:val="0"/>
    <w:lvlOverride w:ilvl="0">
      <w:startOverride w:val="1"/>
    </w:lvlOverride>
  </w:num>
  <w:num w:numId="23" w16cid:durableId="1362168699">
    <w:abstractNumId w:val="0"/>
  </w:num>
  <w:num w:numId="24" w16cid:durableId="1429502059">
    <w:abstractNumId w:val="0"/>
  </w:num>
  <w:num w:numId="25" w16cid:durableId="1707486902">
    <w:abstractNumId w:val="0"/>
  </w:num>
  <w:num w:numId="26" w16cid:durableId="637689424">
    <w:abstractNumId w:val="0"/>
  </w:num>
  <w:num w:numId="27" w16cid:durableId="1651835029">
    <w:abstractNumId w:val="0"/>
  </w:num>
  <w:num w:numId="28" w16cid:durableId="88473657">
    <w:abstractNumId w:val="0"/>
  </w:num>
  <w:num w:numId="29" w16cid:durableId="1189490712">
    <w:abstractNumId w:val="0"/>
  </w:num>
  <w:num w:numId="30" w16cid:durableId="370619129">
    <w:abstractNumId w:val="0"/>
    <w:lvlOverride w:ilvl="0">
      <w:startOverride w:val="1"/>
    </w:lvlOverride>
  </w:num>
  <w:num w:numId="31" w16cid:durableId="700016544">
    <w:abstractNumId w:val="0"/>
  </w:num>
  <w:num w:numId="32" w16cid:durableId="725109828">
    <w:abstractNumId w:val="0"/>
  </w:num>
  <w:num w:numId="33" w16cid:durableId="2137674159">
    <w:abstractNumId w:val="0"/>
  </w:num>
  <w:num w:numId="34" w16cid:durableId="1584299184">
    <w:abstractNumId w:val="0"/>
  </w:num>
  <w:num w:numId="35" w16cid:durableId="1805654013">
    <w:abstractNumId w:val="0"/>
    <w:lvlOverride w:ilvl="0">
      <w:startOverride w:val="1"/>
    </w:lvlOverride>
  </w:num>
  <w:num w:numId="36" w16cid:durableId="1413239530">
    <w:abstractNumId w:val="0"/>
  </w:num>
  <w:num w:numId="37" w16cid:durableId="1733774205">
    <w:abstractNumId w:val="0"/>
  </w:num>
  <w:num w:numId="38" w16cid:durableId="425154318">
    <w:abstractNumId w:val="0"/>
  </w:num>
  <w:num w:numId="39" w16cid:durableId="510222006">
    <w:abstractNumId w:val="0"/>
  </w:num>
  <w:num w:numId="40" w16cid:durableId="1664315158">
    <w:abstractNumId w:val="0"/>
    <w:lvlOverride w:ilvl="0">
      <w:startOverride w:val="1"/>
    </w:lvlOverride>
  </w:num>
  <w:num w:numId="41" w16cid:durableId="608781362">
    <w:abstractNumId w:val="0"/>
  </w:num>
  <w:num w:numId="42" w16cid:durableId="2051764537">
    <w:abstractNumId w:val="0"/>
  </w:num>
  <w:num w:numId="43" w16cid:durableId="278755864">
    <w:abstractNumId w:val="0"/>
  </w:num>
  <w:num w:numId="44" w16cid:durableId="676419998">
    <w:abstractNumId w:val="0"/>
    <w:lvlOverride w:ilvl="0">
      <w:startOverride w:val="1"/>
    </w:lvlOverride>
  </w:num>
  <w:num w:numId="45" w16cid:durableId="321550431">
    <w:abstractNumId w:val="0"/>
  </w:num>
  <w:num w:numId="46" w16cid:durableId="293416719">
    <w:abstractNumId w:val="0"/>
  </w:num>
  <w:num w:numId="47" w16cid:durableId="989865088">
    <w:abstractNumId w:val="0"/>
    <w:lvlOverride w:ilvl="0">
      <w:startOverride w:val="1"/>
    </w:lvlOverride>
  </w:num>
  <w:num w:numId="48" w16cid:durableId="973020530">
    <w:abstractNumId w:val="0"/>
  </w:num>
  <w:num w:numId="49" w16cid:durableId="134685551">
    <w:abstractNumId w:val="0"/>
  </w:num>
  <w:num w:numId="50" w16cid:durableId="1193568809">
    <w:abstractNumId w:val="0"/>
  </w:num>
  <w:num w:numId="51" w16cid:durableId="209390029">
    <w:abstractNumId w:val="0"/>
    <w:lvlOverride w:ilvl="0">
      <w:startOverride w:val="1"/>
    </w:lvlOverride>
  </w:num>
  <w:num w:numId="52" w16cid:durableId="1664894508">
    <w:abstractNumId w:val="0"/>
  </w:num>
  <w:num w:numId="53" w16cid:durableId="1877810912">
    <w:abstractNumId w:val="0"/>
  </w:num>
  <w:num w:numId="54" w16cid:durableId="388773447">
    <w:abstractNumId w:val="0"/>
  </w:num>
  <w:num w:numId="55" w16cid:durableId="578710506">
    <w:abstractNumId w:val="0"/>
    <w:lvlOverride w:ilvl="0">
      <w:startOverride w:val="1"/>
    </w:lvlOverride>
  </w:num>
  <w:num w:numId="56" w16cid:durableId="1125201410">
    <w:abstractNumId w:val="0"/>
  </w:num>
  <w:num w:numId="57" w16cid:durableId="1666398360">
    <w:abstractNumId w:val="0"/>
  </w:num>
  <w:num w:numId="58" w16cid:durableId="226840440">
    <w:abstractNumId w:val="0"/>
  </w:num>
  <w:num w:numId="59" w16cid:durableId="393241836">
    <w:abstractNumId w:val="0"/>
  </w:num>
  <w:num w:numId="60" w16cid:durableId="1788696562">
    <w:abstractNumId w:val="0"/>
  </w:num>
  <w:num w:numId="61" w16cid:durableId="762916031">
    <w:abstractNumId w:val="0"/>
    <w:lvlOverride w:ilvl="0">
      <w:startOverride w:val="1"/>
    </w:lvlOverride>
  </w:num>
  <w:num w:numId="62" w16cid:durableId="2010984140">
    <w:abstractNumId w:val="0"/>
  </w:num>
  <w:num w:numId="63" w16cid:durableId="1777368192">
    <w:abstractNumId w:val="0"/>
  </w:num>
  <w:num w:numId="64" w16cid:durableId="1590459959">
    <w:abstractNumId w:val="0"/>
  </w:num>
  <w:num w:numId="65" w16cid:durableId="617831261">
    <w:abstractNumId w:val="0"/>
  </w:num>
  <w:num w:numId="66" w16cid:durableId="2130320108">
    <w:abstractNumId w:val="0"/>
  </w:num>
  <w:num w:numId="67" w16cid:durableId="1388066110">
    <w:abstractNumId w:val="0"/>
  </w:num>
  <w:num w:numId="68" w16cid:durableId="49352955">
    <w:abstractNumId w:val="0"/>
  </w:num>
  <w:num w:numId="69" w16cid:durableId="1252086537">
    <w:abstractNumId w:val="0"/>
  </w:num>
  <w:num w:numId="70" w16cid:durableId="334501745">
    <w:abstractNumId w:val="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3BDE"/>
    <w:rsid w:val="000D05CC"/>
    <w:rsid w:val="00293BDE"/>
    <w:rsid w:val="004820E3"/>
    <w:rsid w:val="0062200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38ABB6A6"/>
  <w15:docId w15:val="{1E8EE555-D8A6-4FCD-9259-23611A19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80" w:lineRule="auto"/>
    </w:pPr>
    <w:rPr>
      <w:rFonts w:ascii="Georgia" w:eastAsia="Georgia" w:hAnsi="Georgia" w:cs="Georgia"/>
      <w:color w:val="26333B"/>
      <w:sz w:val="21"/>
    </w:rPr>
  </w:style>
  <w:style w:type="paragraph" w:styleId="Heading1">
    <w:name w:val="heading 1"/>
    <w:basedOn w:val="Normal"/>
    <w:next w:val="BodyText"/>
    <w:uiPriority w:val="9"/>
    <w:qFormat/>
    <w:pPr>
      <w:keepNext/>
      <w:keepLines/>
      <w:pBdr>
        <w:bottom w:val="single" w:sz="8" w:space="4" w:color="2E4E5E"/>
      </w:pBdr>
      <w:spacing w:before="400" w:after="200"/>
      <w:outlineLvl w:val="0"/>
    </w:pPr>
    <w:rPr>
      <w:rFonts w:asciiTheme="majorHAnsi" w:eastAsiaTheme="majorEastAsia" w:hAnsiTheme="majorHAnsi" w:cstheme="majorBidi"/>
      <w:b/>
      <w:bCs/>
      <w:color w:val="2E4E5E"/>
      <w:sz w:val="32"/>
      <w:szCs w:val="32"/>
    </w:rPr>
  </w:style>
  <w:style w:type="paragraph" w:styleId="Heading2">
    <w:name w:val="heading 2"/>
    <w:basedOn w:val="Normal"/>
    <w:next w:val="BodyText"/>
    <w:uiPriority w:val="9"/>
    <w:unhideWhenUsed/>
    <w:qFormat/>
    <w:pPr>
      <w:keepNext/>
      <w:keepLines/>
      <w:spacing w:before="280" w:after="140"/>
      <w:outlineLvl w:val="1"/>
    </w:pPr>
    <w:rPr>
      <w:rFonts w:asciiTheme="majorHAnsi" w:eastAsiaTheme="majorEastAsia" w:hAnsiTheme="majorHAnsi" w:cstheme="majorBidi"/>
      <w:b/>
      <w:bCs/>
      <w:color w:val="3A5E6E"/>
      <w:sz w:val="26"/>
      <w:szCs w:val="28"/>
    </w:rPr>
  </w:style>
  <w:style w:type="paragraph" w:styleId="Heading3">
    <w:name w:val="heading 3"/>
    <w:basedOn w:val="Normal"/>
    <w:next w:val="BodyText"/>
    <w:uiPriority w:val="9"/>
    <w:unhideWhenUsed/>
    <w:qFormat/>
    <w:pPr>
      <w:keepNext/>
      <w:keepLines/>
      <w:spacing w:before="200" w:after="100"/>
      <w:outlineLvl w:val="2"/>
    </w:pPr>
    <w:rPr>
      <w:rFonts w:asciiTheme="majorHAnsi" w:eastAsiaTheme="majorEastAsia" w:hAnsiTheme="majorHAnsi" w:cstheme="majorBidi"/>
      <w:b/>
      <w:bCs/>
      <w:color w:val="4A6B78"/>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line="200" w:lineRule="exact"/>
    </w:pPr>
    <w:rPr>
      <w:szCs w:val="18"/>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072"/>
      </w:tabs>
    </w:pPr>
  </w:style>
  <w:style w:type="paragraph" w:styleId="TOC2">
    <w:name w:val="toc 2"/>
    <w:basedOn w:val="Index"/>
    <w:pPr>
      <w:tabs>
        <w:tab w:val="right" w:leader="dot" w:pos="8789"/>
      </w:tabs>
      <w:ind w:left="283"/>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37062</Words>
  <Characters>211256</Characters>
  <Application>Microsoft Office Word</Application>
  <DocSecurity>0</DocSecurity>
  <Lines>1760</Lines>
  <Paragraphs>495</Paragraphs>
  <ScaleCrop>false</ScaleCrop>
  <Company/>
  <LinksUpToDate>false</LinksUpToDate>
  <CharactersWithSpaces>247823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Strait Stability Horizon Compact TSSHC v1.0</dc:title>
  <dc:subject>Final governance architecture for the Strait of Hormuz</dc:subject>
  <dc:creator>Horizon Maritime Authority drafting conference, Muscat</dc:creator>
  <dc:description/>
  <cp:lastModifiedBy>Heather Leblanc</cp:lastModifiedBy>
  <cp:revision>2</cp:revision>
  <dcterms:created xsi:type="dcterms:W3CDTF">2026-08-06T07:47:00Z</dcterms:created>
  <dcterms:modified xsi:type="dcterms:W3CDTF">2026-08-06T21:24:00Z</dcterms:modified>
  <dc:language>en-US</dc:language>
</cp:coreProperties>
</file>