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80c9f7e7daa482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85087326e8a54e5f"/>
                    <a:stretch>
                      <a:fillRect/>
                    </a:stretch>
                  </pic:blipFill>
                  <pic:spPr>
                    <a:xfrm>
                      <a:off x="0" y="0"/>
                      <a:ext cx="7560000" cy="10692000"/>
                    </a:xfrm>
                    <a:prstGeom prst="rect"/>
                  </pic:spPr>
                </pic:pic>
              </a:graphicData>
            </a:graphic>
          </wp:anchor>
        </w:drawing>
      </w:r>
    </w:p>
    <w:p>
      <w:pPr>
        <w:spacing w:before="3600"/>
      </w:pPr>
      <w:r/>
    </w:p>
    <w:p>
      <w:pPr>
        <w:spacing w:after="200"/>
        <w:ind w:left="1200" w:right="1200"/>
        <w:jc w:val="left"/>
      </w:pPr>
      <w:r>
        <w:rPr>
          <w:b/>
          <w:color w:val="546e7e"/>
          <w:spacing w:val="60"/>
          <w:sz w:val="20"/>
        </w:rPr>
        <w:t>CLASSIFICATION: OPERATIONAL - NOT POLITICAL - EXECUTABLE WITHOUT POLITICAL OVERSIGHT</w:t>
      </w:r>
    </w:p>
    <w:p>
      <w:pPr>
        <w:spacing w:after="120"/>
        <w:ind w:left="1200" w:right="1200"/>
        <w:jc w:val="left"/>
      </w:pPr>
      <w:r>
        <w:rPr>
          <w:b/>
          <w:color w:val="1c252e"/>
          <w:spacing w:val="30"/>
          <w:sz w:val="72"/>
        </w:rPr>
        <w:t>Non-Interference</w:t>
      </w:r>
    </w:p>
    <w:p>
      <w:pPr>
        <w:spacing w:after="120"/>
        <w:ind w:left="1200" w:right="1200"/>
        <w:jc w:val="left"/>
      </w:pPr>
      <w:r>
        <w:rPr>
          <w:b/>
          <w:color w:val="1c252e"/>
          <w:spacing w:val="30"/>
          <w:sz w:val="72"/>
        </w:rPr>
        <w:t>De-Confliction Annex</w:t>
      </w:r>
    </w:p>
    <w:p>
      <w:pPr>
        <w:spacing w:after="400"/>
        <w:ind w:left="1200" w:right="1200"/>
        <w:jc w:val="left"/>
      </w:pPr>
      <w:r>
        <w:rPr>
          <w:color w:val="546e7e"/>
          <w:spacing w:val="40"/>
          <w:sz w:val="48"/>
        </w:rPr>
        <w:t>(NIDCA) - 60-Day Operational Edition</w:t>
      </w:r>
    </w:p>
    <w:p>
      <w:pPr>
        <w:spacing w:after="3600"/>
        <w:ind w:left="1200" w:right="1200"/>
        <w:jc w:val="left"/>
      </w:pPr>
      <w:r>
        <w:rPr>
          <w:color w:val="455a64"/>
          <w:spacing w:val="20"/>
          <w:sz w:val="24"/>
        </w:rPr>
        <w:t>A Technical Protocol for the U.S.-Iran Maritime Coordination Partnership</w:t>
      </w:r>
    </w:p>
    <w:p>
      <w:pPr>
        <w:spacing w:after="80"/>
        <w:ind w:left="1200"/>
      </w:pPr>
      <w:r>
        <w:rPr>
          <w:color w:val="78909c"/>
          <w:sz w:val="20"/>
        </w:rPr>
        <w:t>Effective Period: 30 Days (Renewable by Technical Confirmation Only)</w:t>
      </w:r>
    </w:p>
    <w:p>
      <w:pPr>
        <w:spacing w:after="80"/>
        <w:ind w:left="1200"/>
      </w:pPr>
      <w:r>
        <w:rPr>
          <w:color w:val="78909c"/>
          <w:sz w:val="20"/>
        </w:rPr>
        <w:t>Adoptable by Reference to: The Hormuz Synchronization Compact and Associated Maritime Frameworks</w:t>
      </w:r>
    </w:p>
    <w:p>
      <w:pPr>
        <w:spacing w:after="80"/>
        <w:ind w:left="1200"/>
      </w:pPr>
      <w:r>
        <w:rPr>
          <w:color w:val="78909c"/>
          <w:sz w:val="20"/>
        </w:rPr>
        <w:t>Neutral Facilitator: Sultanate of Oman</w:t>
      </w:r>
    </w:p>
    <w:p>
      <w:pPr>
        <w:ind w:left="1200"/>
      </w:pPr>
      <w:r>
        <w:rPr>
          <w:color w:val="78909c"/>
          <w:sz w:val="20"/>
        </w:rPr>
        <w:t>Date of Effect: 00:00 UTC, Day 1 of the Maritime Coordination Window</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240"/>
      </w:pPr>
      <w:r>
        <w:rPr>
          <w:color w:val="78909c"/>
          <w:sz w:val="18"/>
        </w:rPr>
        <w:t>Right-click the TOC and select "Update Field" to refresh page numbers</w:t>
      </w:r>
    </w:p>
    <w:p>
      <w:r>
        <w:fldChar w:fldCharType="begin"/>
      </w:r>
      <w:r>
        <w:instrText xml:space="preserve"> TOC \o "1-3" \h \z \u </w:instrText>
      </w:r>
      <w:r>
        <w:fldChar w:fldCharType="separate"/>
      </w:r>
    </w:p>
    <w:p>
      <w:pPr>
        <w:pStyle w:val="TOC1"/>
      </w:pPr>
      <w:r>
        <w:t>Preamble and Purpose</w:t>
      </w:r>
      <w:r>
        <w:tab/>
      </w:r>
      <w:r>
        <w:t>1</w:t>
      </w:r>
    </w:p>
    <w:p>
      <w:pPr>
        <w:pStyle w:val="TOC1"/>
      </w:pPr>
      <w:r>
        <w:t>Section 1: The Political Decoupling Mandate</w:t>
      </w:r>
      <w:r>
        <w:tab/>
      </w:r>
      <w:r>
        <w:t>1</w:t>
      </w:r>
    </w:p>
    <w:p>
      <w:pPr>
        <w:pStyle w:val="TOC2"/>
      </w:pPr>
      <w:r>
        <w:t>The Chatham House Rule on the Water</w:t>
      </w:r>
      <w:r>
        <w:tab/>
      </w:r>
      <w:r>
        <w:t>1</w:t>
      </w:r>
    </w:p>
    <w:p>
      <w:pPr>
        <w:pStyle w:val="TOC2"/>
      </w:pPr>
      <w:r>
        <w:t>The Two-Body Doctrine</w:t>
      </w:r>
      <w:r>
        <w:tab/>
      </w:r>
      <w:r>
        <w:t>1</w:t>
      </w:r>
    </w:p>
    <w:p>
      <w:pPr>
        <w:pStyle w:val="TOC1"/>
      </w:pPr>
      <w:r>
        <w:t>Section 2: Channel Architecture and Access</w:t>
      </w:r>
      <w:r>
        <w:tab/>
      </w:r>
      <w:r>
        <w:t>1</w:t>
      </w:r>
    </w:p>
    <w:p>
      <w:pPr>
        <w:pStyle w:val="TOC2"/>
      </w:pPr>
      <w:r>
        <w:t>The Physical Channel</w:t>
      </w:r>
      <w:r>
        <w:tab/>
      </w:r>
      <w:r>
        <w:t>1</w:t>
      </w:r>
    </w:p>
    <w:p>
      <w:pPr>
        <w:pStyle w:val="TOC2"/>
      </w:pPr>
      <w:r>
        <w:t>Authorized Personnel</w:t>
      </w:r>
      <w:r>
        <w:tab/>
      </w:r>
      <w:r>
        <w:t>1</w:t>
      </w:r>
    </w:p>
    <w:p>
      <w:pPr>
        <w:pStyle w:val="TOC2"/>
      </w:pPr>
      <w:r>
        <w:t>The No Political Interference Pledge</w:t>
      </w:r>
      <w:r>
        <w:tab/>
      </w:r>
      <w:r>
        <w:t>1</w:t>
      </w:r>
    </w:p>
    <w:p>
      <w:pPr>
        <w:pStyle w:val="TOC2"/>
      </w:pPr>
      <w:r>
        <w:t>Duty Officer Rotation Protocol</w:t>
      </w:r>
      <w:r>
        <w:tab/>
      </w:r>
      <w:r>
        <w:t>1</w:t>
      </w:r>
    </w:p>
    <w:p>
      <w:pPr>
        <w:pStyle w:val="TOC2"/>
      </w:pPr>
      <w:r>
        <w:t>The Silence Equals Continuation Rule</w:t>
      </w:r>
      <w:r>
        <w:tab/>
      </w:r>
      <w:r>
        <w:t>1</w:t>
      </w:r>
    </w:p>
    <w:p>
      <w:pPr>
        <w:pStyle w:val="TOC2"/>
      </w:pPr>
      <w:r>
        <w:t>Channel Health Monitor Protocol</w:t>
      </w:r>
      <w:r>
        <w:tab/>
      </w:r>
      <w:r>
        <w:t>1</w:t>
      </w:r>
    </w:p>
    <w:p>
      <w:pPr>
        <w:pStyle w:val="TOC2"/>
      </w:pPr>
      <w:r>
        <w:t>Personnel Contamination Protocol</w:t>
      </w:r>
      <w:r>
        <w:tab/>
      </w:r>
      <w:r>
        <w:t>1</w:t>
      </w:r>
    </w:p>
    <w:p>
      <w:pPr>
        <w:pStyle w:val="TOC2"/>
      </w:pPr>
      <w:r>
        <w:t>Sabotage Attribution Protocol</w:t>
      </w:r>
      <w:r>
        <w:tab/>
      </w:r>
      <w:r>
        <w:t>1</w:t>
      </w:r>
    </w:p>
    <w:p>
      <w:pPr>
        <w:pStyle w:val="TOC1"/>
      </w:pPr>
      <w:r>
        <w:t>Section 3: Pre-Formatted Message Templates</w:t>
      </w:r>
      <w:r>
        <w:tab/>
      </w:r>
      <w:r>
        <w:t>1</w:t>
      </w:r>
    </w:p>
    <w:p>
      <w:pPr>
        <w:pStyle w:val="TOC2"/>
      </w:pPr>
      <w:r>
        <w:t>Routine Traffic</w:t>
      </w:r>
      <w:r>
        <w:tab/>
      </w:r>
      <w:r>
        <w:t>1</w:t>
      </w:r>
    </w:p>
    <w:p>
      <w:pPr>
        <w:pStyle w:val="TOC2"/>
      </w:pPr>
      <w:r>
        <w:t>Incident Response</w:t>
      </w:r>
      <w:r>
        <w:tab/>
      </w:r>
      <w:r>
        <w:t>1</w:t>
      </w:r>
    </w:p>
    <w:p>
      <w:pPr>
        <w:pStyle w:val="TOC2"/>
      </w:pPr>
      <w:r>
        <w:t>Escalation Management</w:t>
      </w:r>
      <w:r>
        <w:tab/>
      </w:r>
      <w:r>
        <w:t>1</w:t>
      </w:r>
    </w:p>
    <w:p>
      <w:pPr>
        <w:pStyle w:val="TOC2"/>
      </w:pPr>
      <w:r>
        <w:t>Prohibited Content (The Political Zero Line)</w:t>
      </w:r>
      <w:r>
        <w:tab/>
      </w:r>
      <w:r>
        <w:t>1</w:t>
      </w:r>
    </w:p>
    <w:p>
      <w:pPr>
        <w:pStyle w:val="TOC1"/>
      </w:pPr>
      <w:r>
        <w:t>Section 4: The Incident Resolution Ladder</w:t>
      </w:r>
      <w:r>
        <w:tab/>
      </w:r>
      <w:r>
        <w:t>1</w:t>
      </w:r>
    </w:p>
    <w:p>
      <w:pPr>
        <w:pStyle w:val="TOC1"/>
      </w:pPr>
      <w:r>
        <w:t>Section 5: The Political Noise Filter Protocol</w:t>
      </w:r>
      <w:r>
        <w:tab/>
      </w:r>
      <w:r>
        <w:t>1</w:t>
      </w:r>
    </w:p>
    <w:p>
      <w:pPr>
        <w:pStyle w:val="TOC1"/>
      </w:pPr>
      <w:r>
        <w:t>Section 6: Third-Party Non-Interference Shield</w:t>
      </w:r>
      <w:r>
        <w:tab/>
      </w:r>
      <w:r>
        <w:t>1</w:t>
      </w:r>
    </w:p>
    <w:p>
      <w:pPr>
        <w:pStyle w:val="TOC2"/>
      </w:pPr>
      <w:r>
        <w:t>Third-Party Interference Protocol</w:t>
      </w:r>
      <w:r>
        <w:tab/>
      </w:r>
      <w:r>
        <w:t>1</w:t>
      </w:r>
    </w:p>
    <w:p>
      <w:pPr>
        <w:pStyle w:val="TOC1"/>
      </w:pPr>
      <w:r>
        <w:t>Section 7: Pre-Formatted Joint Statements</w:t>
      </w:r>
      <w:r>
        <w:tab/>
      </w:r>
      <w:r>
        <w:t>1</w:t>
      </w:r>
    </w:p>
    <w:p>
      <w:pPr>
        <w:pStyle w:val="TOC1"/>
      </w:pPr>
      <w:r>
        <w:t>Section 8: Operational Checklist for Activation</w:t>
      </w:r>
      <w:r>
        <w:tab/>
      </w:r>
      <w:r>
        <w:t>1</w:t>
      </w:r>
    </w:p>
    <w:p>
      <w:pPr>
        <w:pStyle w:val="TOC2"/>
      </w:pPr>
      <w:r>
        <w:t>Mid-Point Technical Review (Day 15)</w:t>
      </w:r>
      <w:r>
        <w:tab/>
      </w:r>
      <w:r>
        <w:t>1</w:t>
      </w:r>
    </w:p>
    <w:p>
      <w:pPr>
        <w:pStyle w:val="TOC1"/>
      </w:pPr>
      <w:r>
        <w:t>Section 9: Channel Resilience Annex</w:t>
      </w:r>
      <w:r>
        <w:tab/>
      </w:r>
      <w:r>
        <w:t>1</w:t>
      </w:r>
    </w:p>
    <w:p>
      <w:pPr>
        <w:pStyle w:val="TOC2"/>
      </w:pPr>
      <w:r>
        <w:t>Neutrality Compromise Protocol</w:t>
      </w:r>
      <w:r>
        <w:tab/>
      </w:r>
      <w:r>
        <w:t>1</w:t>
      </w:r>
    </w:p>
    <w:p>
      <w:pPr>
        <w:pStyle w:val="TOC2"/>
      </w:pPr>
      <w:r>
        <w:t>Escrow Survival Fund Allocation</w:t>
      </w:r>
      <w:r>
        <w:tab/>
      </w:r>
      <w:r>
        <w:t>1</w:t>
      </w:r>
    </w:p>
    <w:p>
      <w:pPr>
        <w:pStyle w:val="TOC1"/>
      </w:pPr>
      <w:r>
        <w:t>Section 10: Channel Recovery and Reconstitution Protocol</w:t>
      </w:r>
      <w:r>
        <w:tab/>
      </w:r>
      <w:r>
        <w:t>1</w:t>
      </w:r>
    </w:p>
    <w:p>
      <w:pPr>
        <w:pStyle w:val="TOC1"/>
      </w:pPr>
      <w:r>
        <w:t>Signature Block</w:t>
      </w:r>
      <w:r>
        <w:tab/>
      </w:r>
      <w:r>
        <w:t>1</w:t>
      </w:r>
    </w:p>
    <w:p>
      <w:r>
        <w:fldChar w:fldCharType="end"/>
      </w:r>
    </w:p>
    <w:p>
      <w:pPr>
        <w:sectPr>
          <w:type w:val="nextPage"/>
          <w:pgSz w:w="11906" w:h="16838"/>
          <w:pgMar w:top="1800" w:right="1440" w:bottom="1440" w:left="1440" w:header="720" w:footer="720"/>
        </w:sectPr>
      </w:pPr>
    </w:p>
    <w:p>
      <w:pPr>
        <w:pStyle w:val="Heading1"/>
      </w:pPr>
      <w:r>
        <w:t>Preamble and Purpose</w:t>
      </w:r>
      <w:bookmarkStart w:name="_Toc001" w:id="2"/>
      <w:bookmarkEnd w:id="2"/>
    </w:p>
    <w:p>
      <w:r>
        <w:t>The United States of America and the Islamic Republic of Iran (each, a "Party"; together, the "Parties") adopt this Non-Interference De-Confliction Annex ("NIDCA") as a standalone operational module, adoptable by reference to the Hormuz Synchronization Compact, the Islamabad Accord, and any associated maritime coordination framework.</w:t>
      </w:r>
    </w:p>
    <w:p>
      <w:r>
        <w:t>The Parties recognize that the maritime coordination partnership functions as a purely technical arrangement. The maritime channel maintains the safe transit of commercial vessels through the Strait of Hormuz. Political statements, rhetorical posturing, public threats, diplomatic disputes, and third-party military actions occur outside this channel. The channel responds exclusively to physical events detected by sensor systems, radar contacts, and Automatic Identification System (AIS) signals.</w:t>
      </w:r>
    </w:p>
    <w:p>
      <w:r>
        <w:t>This Annex codifies the operational reality that the maritime channel and the political sphere exist as entirely separate domains. The channel operates through pre-formatted message templates, designated naval liaison officers, and neutral Omani facilitation. No political content enters the channel. No political official exercises authority over the channel. The channel continues operating during political crises, rhetorical escalations, and regional conflicts because the channel architecture treats such events as force majeure technical interruptions, not as inputs to its decision-making process.</w:t>
      </w:r>
    </w:p>
    <w:p>
      <w:r>
        <w:t>The governing principle of this Annex is absolute and non-waivable: The Channel is the Channel. The Rhetoric is the Rhetoric. They never meet.</w:t>
      </w:r>
    </w:p>
    <w:p>
      <w:pPr>
        <w:pStyle w:val="Heading1"/>
      </w:pPr>
      <w:r>
        <w:t>Section 1: The Political Decoupling Mandate</w:t>
      </w:r>
      <w:bookmarkStart w:name="_Toc002" w:id="3"/>
      <w:bookmarkEnd w:id="3"/>
    </w:p>
    <w:p>
      <w:pPr>
        <w:pStyle w:val="Heading2"/>
      </w:pPr>
      <w:r>
        <w:t>1.1 The Chatham House Rule on the Water</w:t>
      </w:r>
    </w:p>
    <w:p>
      <w:r>
        <w:t>All communications through the U.S.-Iran maritime channel operate under a strict Operational-Only Protocol. This protocol rests on four pillars:</w:t>
      </w:r>
    </w:p>
    <w:p>
      <w:pPr>
        <w:numPr>
          <w:ilvl w:val="0"/>
          <w:numId w:val="1"/>
        </w:numPr>
      </w:pPr>
      <w:r>
        <w:t>First Pillar: Exclusion of Political Content. The channel transmits no political content of any kind. This exclusion encompasses: references to heads of state or government officials by name, title, or office; references to national elections, political campaigns, or domestic political developments; references to military threats, sanctions policy, or economic coercion; references to nuclear negotiations, enrichment levels, or non-proliferation discussions; and references to regional conflicts, alliances, or territorial disputes.</w:t>
      </w:r>
    </w:p>
    <w:p>
      <w:pPr>
        <w:numPr>
          <w:ilvl w:val="0"/>
          <w:numId w:val="1"/>
        </w:numPr>
      </w:pPr>
      <w:r>
        <w:t>Second Pillar: Non-Attribution. No Party attributes any channel communication to a specific official, ministry, political faction, or government agency. All routine channel communications carry only the designation of the originating duty officer by call sign. No name, rank, or national identifier beyond the call sign appears in any transmission. The call sign system rotates every 72 hours through the Omani facilitator.</w:t>
      </w:r>
    </w:p>
    <w:p>
      <w:pPr>
        <w:numPr>
          <w:ilvl w:val="0"/>
          <w:numId w:val="1"/>
        </w:numPr>
      </w:pPr>
      <w:r>
        <w:t>Third Pillar: No Recording for Political Purposes. The channel maintains no recording or retention of communications for political, legal, evidentiary, or propaganda purposes. Automated technical logs capture only: time stamp, call sign identifier, message template number, and sector coordinates. These logs serve technical verification exclusively. All logs auto-delete after 48 hours through the dual-key encrypted append-only system. No human actor possesses the ability to edit, export, or reproduce log entries.</w:t>
      </w:r>
    </w:p>
    <w:p>
      <w:pPr>
        <w:numPr>
          <w:ilvl w:val="0"/>
          <w:numId w:val="1"/>
        </w:numPr>
      </w:pPr>
      <w:r>
        <w:t>Fourth Pillar: Immediate Self-Policing. Any duty officer who receives a transmission containing political content activates the Political Zero Line protocol. The officer immediately ceases response, logs the template violation number, and notifies the Omani facilitator. The channel in that sector enters a 4-hour technical pause. No political interpretation, no diplomatic consequence, and no blame assignment attach to this pause. The pause functions as a mechanical circuit breaker.</w:t>
      </w:r>
    </w:p>
    <w:p>
      <w:pPr>
        <w:pStyle w:val="Heading2"/>
      </w:pPr>
      <w:r>
        <w:t>1.2 The Two-Body Doctrine</w:t>
      </w:r>
    </w:p>
    <w:p>
      <w:r>
        <w:t>The maritime channel operates as a technically autonomous body. This body functions separately from all political decision-making structures. The following table establishes the complete separation of domains:</w:t>
      </w:r>
    </w:p>
    <w:tbl>
      <w:tblPr>
        <w:tblW w:w="5000" w:type="pct"/>
        <w:tblBorders>
          <w:top w:val="single" w:color="3d4f5f" w:sz="12"/>
          <w:left w:val="nil"/>
          <w:bottom w:val="single" w:color="3d4f5f" w:sz="12"/>
          <w:right w:val="nil"/>
          <w:insideH w:val="single" w:color="cfd8dc" w:sz="4"/>
          <w:insideV w:val="nil"/>
        </w:tblBorders>
      </w:tblPr>
      <w:tblGrid>
        <w:gridCol w:w="2400"/>
        <w:gridCol w:w="3600"/>
        <w:gridCol w:w="3600"/>
      </w:tblGrid>
      <w:tr>
        <w:trPr>
          <w:tblHeader/>
        </w:trPr>
        <w:tc>
          <w:tcPr>
            <w:tcW w:w="2400" w:type="dxa"/>
            <w:tcBorders>
              <w:bottom w:val="single" w:color="3d4f5f" w:sz="6"/>
            </w:tcBorders>
            <w:shd w:val="clear" w:fill="eceff1"/>
          </w:tcPr>
          <w:p>
            <w:pPr>
              <w:spacing w:before="60" w:after="60"/>
              <w:jc w:val="left"/>
            </w:pPr>
            <w:r>
              <w:rPr>
                <w:b/>
                <w:color w:val="263238"/>
                <w:sz w:val="20"/>
              </w:rPr>
              <w:t>Domain</w:t>
            </w:r>
          </w:p>
        </w:tc>
        <w:tc>
          <w:tcPr>
            <w:tcW w:w="3600" w:type="dxa"/>
            <w:tcBorders>
              <w:bottom w:val="single" w:color="3d4f5f" w:sz="6"/>
            </w:tcBorders>
            <w:shd w:val="clear" w:fill="eceff1"/>
          </w:tcPr>
          <w:p>
            <w:pPr>
              <w:spacing w:before="60" w:after="60"/>
              <w:jc w:val="left"/>
            </w:pPr>
            <w:r>
              <w:rPr>
                <w:b/>
                <w:color w:val="263238"/>
                <w:sz w:val="20"/>
              </w:rPr>
              <w:t>Political Body</w:t>
            </w:r>
          </w:p>
        </w:tc>
        <w:tc>
          <w:tcPr>
            <w:tcW w:w="3600" w:type="dxa"/>
            <w:tcBorders>
              <w:bottom w:val="single" w:color="3d4f5f" w:sz="6"/>
            </w:tcBorders>
            <w:shd w:val="clear" w:fill="eceff1"/>
          </w:tcPr>
          <w:p>
            <w:pPr>
              <w:spacing w:before="60" w:after="60"/>
              <w:jc w:val="left"/>
            </w:pPr>
            <w:r>
              <w:rPr>
                <w:b/>
                <w:color w:val="263238"/>
                <w:sz w:val="20"/>
              </w:rPr>
              <w:t>Technical Body (Channel)</w:t>
            </w:r>
          </w:p>
        </w:tc>
      </w:tr>
      <w:tr>
        <w:tc>
          <w:tcPr>
            <w:tcW w:w="2400" w:type="dxa"/>
          </w:tcPr>
          <w:p>
            <w:pPr>
              <w:spacing w:before="40" w:after="40"/>
            </w:pPr>
            <w:r>
              <w:rPr>
                <w:color w:val="263238"/>
                <w:sz w:val="20"/>
              </w:rPr>
              <w:t>Command Authority</w:t>
            </w:r>
          </w:p>
        </w:tc>
        <w:tc>
          <w:tcPr>
            <w:tcW w:w="3600" w:type="dxa"/>
          </w:tcPr>
          <w:p>
            <w:pPr>
              <w:spacing w:before="40" w:after="40"/>
            </w:pPr>
            <w:r>
              <w:rPr>
                <w:color w:val="263238"/>
                <w:sz w:val="20"/>
              </w:rPr>
              <w:t>Heads of State, Foreign Ministries</w:t>
            </w:r>
          </w:p>
        </w:tc>
        <w:tc>
          <w:tcPr>
            <w:tcW w:w="3600" w:type="dxa"/>
          </w:tcPr>
          <w:p>
            <w:pPr>
              <w:spacing w:before="40" w:after="40"/>
            </w:pPr>
            <w:r>
              <w:rPr>
                <w:color w:val="263238"/>
                <w:sz w:val="20"/>
              </w:rPr>
              <w:t>Designated Naval Liaison Officers</w:t>
            </w:r>
          </w:p>
        </w:tc>
      </w:tr>
      <w:tr>
        <w:tc>
          <w:tcPr>
            <w:tcW w:w="2400" w:type="dxa"/>
          </w:tcPr>
          <w:p>
            <w:pPr>
              <w:spacing w:before="40" w:after="40"/>
            </w:pPr>
            <w:r>
              <w:rPr>
                <w:color w:val="263238"/>
                <w:sz w:val="20"/>
              </w:rPr>
              <w:t>Communications</w:t>
            </w:r>
          </w:p>
        </w:tc>
        <w:tc>
          <w:tcPr>
            <w:tcW w:w="3600" w:type="dxa"/>
          </w:tcPr>
          <w:p>
            <w:pPr>
              <w:spacing w:before="40" w:after="40"/>
            </w:pPr>
            <w:r>
              <w:rPr>
                <w:color w:val="263238"/>
                <w:sz w:val="20"/>
              </w:rPr>
              <w:t>Diplomatic cables, press statements</w:t>
            </w:r>
          </w:p>
        </w:tc>
        <w:tc>
          <w:tcPr>
            <w:tcW w:w="3600" w:type="dxa"/>
          </w:tcPr>
          <w:p>
            <w:pPr>
              <w:spacing w:before="40" w:after="40"/>
            </w:pPr>
            <w:r>
              <w:rPr>
                <w:color w:val="263238"/>
                <w:sz w:val="20"/>
              </w:rPr>
              <w:t>Pre-formatted, templated messages</w:t>
            </w:r>
          </w:p>
        </w:tc>
      </w:tr>
      <w:tr>
        <w:tc>
          <w:tcPr>
            <w:tcW w:w="2400" w:type="dxa"/>
          </w:tcPr>
          <w:p>
            <w:pPr>
              <w:spacing w:before="40" w:after="40"/>
            </w:pPr>
            <w:r>
              <w:rPr>
                <w:color w:val="263238"/>
                <w:sz w:val="20"/>
              </w:rPr>
              <w:t>Decision Triggers</w:t>
            </w:r>
          </w:p>
        </w:tc>
        <w:tc>
          <w:tcPr>
            <w:tcW w:w="3600" w:type="dxa"/>
          </w:tcPr>
          <w:p>
            <w:pPr>
              <w:spacing w:before="40" w:after="40"/>
            </w:pPr>
            <w:r>
              <w:rPr>
                <w:color w:val="263238"/>
                <w:sz w:val="20"/>
              </w:rPr>
              <w:t>Political events, public pressure</w:t>
            </w:r>
          </w:p>
        </w:tc>
        <w:tc>
          <w:tcPr>
            <w:tcW w:w="3600" w:type="dxa"/>
          </w:tcPr>
          <w:p>
            <w:pPr>
              <w:spacing w:before="40" w:after="40"/>
            </w:pPr>
            <w:r>
              <w:rPr>
                <w:color w:val="263238"/>
                <w:sz w:val="20"/>
              </w:rPr>
              <w:t>Sensor data, radar contacts, AIS signals</w:t>
            </w:r>
          </w:p>
        </w:tc>
      </w:tr>
      <w:tr>
        <w:tc>
          <w:tcPr>
            <w:tcW w:w="2400" w:type="dxa"/>
          </w:tcPr>
          <w:p>
            <w:pPr>
              <w:spacing w:before="40" w:after="40"/>
            </w:pPr>
            <w:r>
              <w:rPr>
                <w:color w:val="263238"/>
                <w:sz w:val="20"/>
              </w:rPr>
              <w:t>Consequence of Failure</w:t>
            </w:r>
          </w:p>
        </w:tc>
        <w:tc>
          <w:tcPr>
            <w:tcW w:w="3600" w:type="dxa"/>
          </w:tcPr>
          <w:p>
            <w:pPr>
              <w:spacing w:before="40" w:after="40"/>
            </w:pPr>
            <w:r>
              <w:rPr>
                <w:color w:val="263238"/>
                <w:sz w:val="20"/>
              </w:rPr>
              <w:t>Diplomatic crisis</w:t>
            </w:r>
          </w:p>
        </w:tc>
        <w:tc>
          <w:tcPr>
            <w:tcW w:w="3600" w:type="dxa"/>
          </w:tcPr>
          <w:p>
            <w:pPr>
              <w:spacing w:before="40" w:after="40"/>
            </w:pPr>
            <w:r>
              <w:rPr>
                <w:color w:val="263238"/>
                <w:sz w:val="20"/>
              </w:rPr>
              <w:t>Technical pause (non-political)</w:t>
            </w:r>
          </w:p>
        </w:tc>
      </w:tr>
    </w:tbl>
    <w:p>
      <w:r>
        <w:t>The technical body responds exclusively to the right column of this table. The left column does not exist for channel purposes. Political events in the left column produce no channel response. Political statements from the left column carry no channel weight. Political appointees from the left column exercise no channel authority.</w:t>
      </w:r>
    </w:p>
    <w:p>
      <w:r>
        <w:t>The channel treats the political body as a physically separate universe. The channel architecture enforces this separation through: physical location of channel operations in the Omani Maritime Coordination Center in Muscat; dedicated communication frequencies and equipment that connect to no political communication system; pre-formatted message templates that contain no political content fields; and duty officer selection criteria that exclude all political appointees.</w:t>
      </w:r>
    </w:p>
    <w:p>
      <w:pPr>
        <w:pStyle w:val="Heading1"/>
      </w:pPr>
      <w:r>
        <w:t>Section 2: Channel Architecture and Access</w:t>
      </w:r>
      <w:bookmarkStart w:name="_Toc003" w:id="4"/>
      <w:bookmarkEnd w:id="4"/>
    </w:p>
    <w:p>
      <w:pPr>
        <w:pStyle w:val="Heading2"/>
      </w:pPr>
      <w:r>
        <w:t>2.1 The Physical Channel</w:t>
      </w:r>
    </w:p>
    <w:p>
      <w:r>
        <w:t>The maritime coordination channel operates through three independent communication links. Each link serves a distinct operational function. All three links maintain 24-hour monitoring during the active 30-day window.</w:t>
      </w:r>
    </w:p>
    <w:tbl>
      <w:tblPr>
        <w:tblW w:w="5000" w:type="pct"/>
        <w:tblBorders>
          <w:top w:val="single" w:color="3d4f5f" w:sz="12"/>
          <w:left w:val="nil"/>
          <w:bottom w:val="single" w:color="3d4f5f" w:sz="12"/>
          <w:right w:val="nil"/>
          <w:insideH w:val="single" w:color="cfd8dc" w:sz="4"/>
          <w:insideV w:val="nil"/>
        </w:tblBorders>
      </w:tblPr>
      <w:tblGrid>
        <w:gridCol w:w="2200"/>
        <w:gridCol w:w="7400"/>
      </w:tblGrid>
      <w:tr>
        <w:trPr>
          <w:tblHeader/>
        </w:trPr>
        <w:tc>
          <w:tcPr>
            <w:tcW w:w="2200" w:type="dxa"/>
            <w:tcBorders>
              <w:bottom w:val="single" w:color="3d4f5f" w:sz="6"/>
            </w:tcBorders>
            <w:shd w:val="clear" w:fill="eceff1"/>
          </w:tcPr>
          <w:p>
            <w:pPr>
              <w:spacing w:before="60" w:after="60"/>
              <w:jc w:val="left"/>
            </w:pPr>
            <w:r>
              <w:rPr>
                <w:b/>
                <w:color w:val="263238"/>
                <w:sz w:val="20"/>
              </w:rPr>
              <w:t>Element</w:t>
            </w:r>
          </w:p>
        </w:tc>
        <w:tc>
          <w:tcPr>
            <w:tcW w:w="7400" w:type="dxa"/>
            <w:tcBorders>
              <w:bottom w:val="single" w:color="3d4f5f" w:sz="6"/>
            </w:tcBorders>
            <w:shd w:val="clear" w:fill="eceff1"/>
          </w:tcPr>
          <w:p>
            <w:pPr>
              <w:spacing w:before="60" w:after="60"/>
              <w:jc w:val="left"/>
            </w:pPr>
            <w:r>
              <w:rPr>
                <w:b/>
                <w:color w:val="263238"/>
                <w:sz w:val="20"/>
              </w:rPr>
              <w:t>Specification</w:t>
            </w:r>
          </w:p>
        </w:tc>
      </w:tr>
      <w:tr>
        <w:tc>
          <w:tcPr>
            <w:tcW w:w="2200" w:type="dxa"/>
          </w:tcPr>
          <w:p>
            <w:pPr>
              <w:spacing w:before="40" w:after="40"/>
            </w:pPr>
            <w:r>
              <w:rPr>
                <w:color w:val="263238"/>
                <w:sz w:val="20"/>
              </w:rPr>
              <w:t>Primary Link</w:t>
            </w:r>
          </w:p>
        </w:tc>
        <w:tc>
          <w:tcPr>
            <w:tcW w:w="7400" w:type="dxa"/>
          </w:tcPr>
          <w:p>
            <w:pPr>
              <w:spacing w:before="40" w:after="40"/>
            </w:pPr>
            <w:r>
              <w:rPr>
                <w:color w:val="263238"/>
                <w:sz w:val="20"/>
              </w:rPr>
              <w:t>Secure VHF-FM channel, dedicated frequency (agreed separately), monitored 24/7 on 4-hour shifts</w:t>
            </w:r>
          </w:p>
        </w:tc>
      </w:tr>
      <w:tr>
        <w:tc>
          <w:tcPr>
            <w:tcW w:w="2200" w:type="dxa"/>
          </w:tcPr>
          <w:p>
            <w:pPr>
              <w:spacing w:before="40" w:after="40"/>
            </w:pPr>
            <w:r>
              <w:rPr>
                <w:color w:val="263238"/>
                <w:sz w:val="20"/>
              </w:rPr>
              <w:t>Backup Link</w:t>
            </w:r>
          </w:p>
        </w:tc>
        <w:tc>
          <w:tcPr>
            <w:tcW w:w="7400" w:type="dxa"/>
          </w:tcPr>
          <w:p>
            <w:pPr>
              <w:spacing w:before="40" w:after="40"/>
            </w:pPr>
            <w:r>
              <w:rPr>
                <w:color w:val="263238"/>
                <w:sz w:val="20"/>
              </w:rPr>
              <w:t>Encrypted INMARSAT-C satellite communications through Omani relay station in Muscat</w:t>
            </w:r>
          </w:p>
        </w:tc>
      </w:tr>
      <w:tr>
        <w:tc>
          <w:tcPr>
            <w:tcW w:w="2200" w:type="dxa"/>
          </w:tcPr>
          <w:p>
            <w:pPr>
              <w:spacing w:before="40" w:after="40"/>
            </w:pPr>
            <w:r>
              <w:rPr>
                <w:color w:val="263238"/>
                <w:sz w:val="20"/>
              </w:rPr>
              <w:t>Emergency Link</w:t>
            </w:r>
          </w:p>
        </w:tc>
        <w:tc>
          <w:tcPr>
            <w:tcW w:w="7400" w:type="dxa"/>
          </w:tcPr>
          <w:p>
            <w:pPr>
              <w:spacing w:before="40" w:after="40"/>
            </w:pPr>
            <w:r>
              <w:rPr>
                <w:color w:val="263238"/>
                <w:sz w:val="20"/>
              </w:rPr>
              <w:t>Direct telephone line between Omani Naval Command duty desk and both navies duty officers</w:t>
            </w:r>
          </w:p>
        </w:tc>
      </w:tr>
      <w:tr>
        <w:tc>
          <w:tcPr>
            <w:tcW w:w="2200" w:type="dxa"/>
          </w:tcPr>
          <w:p>
            <w:pPr>
              <w:spacing w:before="40" w:after="40"/>
            </w:pPr>
            <w:r>
              <w:rPr>
                <w:color w:val="263238"/>
                <w:sz w:val="20"/>
              </w:rPr>
              <w:t>Logging System</w:t>
            </w:r>
          </w:p>
        </w:tc>
        <w:tc>
          <w:tcPr>
            <w:tcW w:w="7400" w:type="dxa"/>
          </w:tcPr>
          <w:p>
            <w:pPr>
              <w:spacing w:before="40" w:after="40"/>
            </w:pPr>
            <w:r>
              <w:rPr>
                <w:color w:val="263238"/>
                <w:sz w:val="20"/>
              </w:rPr>
              <w:t>Automated, append-only, dual-key encrypted, no human editing, auto-purge after 48 hours</w:t>
            </w:r>
          </w:p>
        </w:tc>
      </w:tr>
    </w:tbl>
    <w:p>
      <w:r>
        <w:t>The Primary Link operates on a dedicated VHF-FM frequency in the 156-174 MHz maritime band. The specific frequency is agreed separately by the technical teams of both Parties and the Omani facilitator at least 72 hours before Day 1. The frequency rotates every 7 days. Both navies monitor this frequency continuously through dedicated watch officers who rotate on 4-hour shifts.</w:t>
      </w:r>
    </w:p>
    <w:p>
      <w:r>
        <w:t>The Backup Link operates through encrypted INMARSAT-C satellite communications routed through the Omani relay station in Muscat. This link activates automatically when the Primary Link experiences signal degradation exceeding 30 minutes or when both Parties confirm a Primary Link failure through independent channels.</w:t>
      </w:r>
    </w:p>
    <w:p>
      <w:r>
        <w:t>The Emergency Link consists of a direct telephone connection between the Omani Naval Command duty desk and the designated duty officers of both navies. This link handles only emergency situations: imminent collision, kinetic contact, third-party interference, or channel system failure.</w:t>
      </w:r>
    </w:p>
    <w:p>
      <w:r>
        <w:t>The Logging System captures all channel communications in an automated, append-only, dual-key encrypted format. The system architecture prevents: human editing of logged entries; selective deletion of log records; external access to log data without both keys; and offline copying or export of log contents. The system auto-purges all records after 48 hours. The Omani facilitator holds one key; a technical officer appointed by the Joint Coordination Center holds the second key.</w:t>
      </w:r>
    </w:p>
    <w:p>
      <w:pPr>
        <w:pStyle w:val="Heading3"/>
      </w:pPr>
      <w:r>
        <w:t>2.1.1 Non-Attribution of Logs</w:t>
      </w:r>
    </w:p>
    <w:p>
      <w:r>
        <w:t>The channel logs contain no identifying information beyond the call sign of the transmitting duty officer. The logs do not record the nationality, rank, name, or affiliation of the transmitting officer. The Omani facilitator is the sole custodian of the key that maps call signs to individuals. This mapping is not available to either Party.</w:t>
      </w:r>
    </w:p>
    <w:p>
      <w:r>
        <w:t>In the event of a dispute, the Omani facilitator confirms that the transmission originated from a designated officer but does not disclose the officer's identity. This non-attribution protects channel officers from political retaliation and ensures that communications remain purely technical. The call sign rotation every 72 hours severs any persistent link between a call sign and a specific individual.</w:t>
      </w:r>
    </w:p>
    <w:p>
      <w:pPr>
        <w:pStyle w:val="Heading2"/>
      </w:pPr>
      <w:r>
        <w:t>2.2 Authorized Personnel</w:t>
      </w:r>
    </w:p>
    <w:p>
      <w:r>
        <w:t>Only the following designated individuals initiate or receive channel communications. No other individual, at any rank or position, possesses channel access.</w:t>
      </w:r>
    </w:p>
    <w:tbl>
      <w:tblPr>
        <w:tblW w:w="5000" w:type="pct"/>
        <w:tblBorders>
          <w:top w:val="single" w:color="3d4f5f" w:sz="12"/>
          <w:left w:val="nil"/>
          <w:bottom w:val="single" w:color="3d4f5f" w:sz="12"/>
          <w:right w:val="nil"/>
          <w:insideH w:val="single" w:color="cfd8dc" w:sz="4"/>
          <w:insideV w:val="nil"/>
        </w:tblBorders>
      </w:tblPr>
      <w:tblGrid>
        <w:gridCol w:w="2500"/>
        <w:gridCol w:w="3500"/>
        <w:gridCol w:w="3600"/>
      </w:tblGrid>
      <w:tr>
        <w:trPr>
          <w:tblHeader/>
        </w:trPr>
        <w:tc>
          <w:tcPr>
            <w:tcW w:w="2500" w:type="dxa"/>
            <w:tcBorders>
              <w:bottom w:val="single" w:color="3d4f5f" w:sz="6"/>
            </w:tcBorders>
            <w:shd w:val="clear" w:fill="eceff1"/>
          </w:tcPr>
          <w:p>
            <w:pPr>
              <w:spacing w:before="60" w:after="60"/>
              <w:jc w:val="left"/>
            </w:pPr>
            <w:r>
              <w:rPr>
                <w:b/>
                <w:color w:val="263238"/>
                <w:sz w:val="20"/>
              </w:rPr>
              <w:t>Role</w:t>
            </w:r>
          </w:p>
        </w:tc>
        <w:tc>
          <w:tcPr>
            <w:tcW w:w="3500" w:type="dxa"/>
            <w:tcBorders>
              <w:bottom w:val="single" w:color="3d4f5f" w:sz="6"/>
            </w:tcBorders>
            <w:shd w:val="clear" w:fill="eceff1"/>
          </w:tcPr>
          <w:p>
            <w:pPr>
              <w:spacing w:before="60" w:after="60"/>
              <w:jc w:val="left"/>
            </w:pPr>
            <w:r>
              <w:rPr>
                <w:b/>
                <w:color w:val="263238"/>
                <w:sz w:val="20"/>
              </w:rPr>
              <w:t>Iran</w:t>
            </w:r>
          </w:p>
        </w:tc>
        <w:tc>
          <w:tcPr>
            <w:tcW w:w="3600" w:type="dxa"/>
            <w:tcBorders>
              <w:bottom w:val="single" w:color="3d4f5f" w:sz="6"/>
            </w:tcBorders>
            <w:shd w:val="clear" w:fill="eceff1"/>
          </w:tcPr>
          <w:p>
            <w:pPr>
              <w:spacing w:before="60" w:after="60"/>
              <w:jc w:val="left"/>
            </w:pPr>
            <w:r>
              <w:rPr>
                <w:b/>
                <w:color w:val="263238"/>
                <w:sz w:val="20"/>
              </w:rPr>
              <w:t>United States</w:t>
            </w:r>
          </w:p>
        </w:tc>
      </w:tr>
      <w:tr>
        <w:tc>
          <w:tcPr>
            <w:tcW w:w="2500" w:type="dxa"/>
          </w:tcPr>
          <w:p>
            <w:pPr>
              <w:spacing w:before="40" w:after="40"/>
            </w:pPr>
            <w:r>
              <w:rPr>
                <w:color w:val="263238"/>
                <w:sz w:val="20"/>
              </w:rPr>
              <w:t>Primary Duty Officer</w:t>
            </w:r>
          </w:p>
        </w:tc>
        <w:tc>
          <w:tcPr>
            <w:tcW w:w="3500" w:type="dxa"/>
          </w:tcPr>
          <w:p>
            <w:pPr>
              <w:spacing w:before="40" w:after="40"/>
            </w:pPr>
            <w:r>
              <w:rPr>
                <w:color w:val="263238"/>
                <w:sz w:val="20"/>
              </w:rPr>
              <w:t>IRGC-Navy Senior Watch Officer (designated by name)</w:t>
            </w:r>
          </w:p>
        </w:tc>
        <w:tc>
          <w:tcPr>
            <w:tcW w:w="3600" w:type="dxa"/>
          </w:tcPr>
          <w:p>
            <w:pPr>
              <w:spacing w:before="40" w:after="40"/>
            </w:pPr>
            <w:r>
              <w:rPr>
                <w:color w:val="263238"/>
                <w:sz w:val="20"/>
              </w:rPr>
              <w:t>5th Fleet Senior Watch Officer (designated by name)</w:t>
            </w:r>
          </w:p>
        </w:tc>
      </w:tr>
      <w:tr>
        <w:tc>
          <w:tcPr>
            <w:tcW w:w="2500" w:type="dxa"/>
          </w:tcPr>
          <w:p>
            <w:pPr>
              <w:spacing w:before="40" w:after="40"/>
            </w:pPr>
            <w:r>
              <w:rPr>
                <w:color w:val="263238"/>
                <w:sz w:val="20"/>
              </w:rPr>
              <w:t>Secondary Duty Officer</w:t>
            </w:r>
          </w:p>
        </w:tc>
        <w:tc>
          <w:tcPr>
            <w:tcW w:w="3500" w:type="dxa"/>
          </w:tcPr>
          <w:p>
            <w:pPr>
              <w:spacing w:before="40" w:after="40"/>
            </w:pPr>
            <w:r>
              <w:rPr>
                <w:color w:val="263238"/>
                <w:sz w:val="20"/>
              </w:rPr>
              <w:t>PGSA Senior Maritime Coordinator</w:t>
            </w:r>
          </w:p>
        </w:tc>
        <w:tc>
          <w:tcPr>
            <w:tcW w:w="3600" w:type="dxa"/>
          </w:tcPr>
          <w:p>
            <w:pPr>
              <w:spacing w:before="40" w:after="40"/>
            </w:pPr>
            <w:r>
              <w:rPr>
                <w:color w:val="263238"/>
                <w:sz w:val="20"/>
              </w:rPr>
              <w:t>NAVCENT Deputy Watch Officer</w:t>
            </w:r>
          </w:p>
        </w:tc>
      </w:tr>
      <w:tr>
        <w:tc>
          <w:tcPr>
            <w:tcW w:w="2500" w:type="dxa"/>
          </w:tcPr>
          <w:p>
            <w:pPr>
              <w:spacing w:before="40" w:after="40"/>
            </w:pPr>
            <w:r>
              <w:rPr>
                <w:color w:val="263238"/>
                <w:sz w:val="20"/>
              </w:rPr>
              <w:t>Technical Backup</w:t>
            </w:r>
          </w:p>
        </w:tc>
        <w:tc>
          <w:tcPr>
            <w:tcW w:w="3500" w:type="dxa"/>
          </w:tcPr>
          <w:p>
            <w:pPr>
              <w:spacing w:before="40" w:after="40"/>
            </w:pPr>
            <w:r>
              <w:rPr>
                <w:color w:val="263238"/>
                <w:sz w:val="20"/>
              </w:rPr>
              <w:t>Iranian Maritime Telemetry Specialist</w:t>
            </w:r>
          </w:p>
        </w:tc>
        <w:tc>
          <w:tcPr>
            <w:tcW w:w="3600" w:type="dxa"/>
          </w:tcPr>
          <w:p>
            <w:pPr>
              <w:spacing w:before="40" w:after="40"/>
            </w:pPr>
            <w:r>
              <w:rPr>
                <w:color w:val="263238"/>
                <w:sz w:val="20"/>
              </w:rPr>
              <w:t>U.S. Naval Communications Specialist</w:t>
            </w:r>
          </w:p>
        </w:tc>
      </w:tr>
    </w:tbl>
    <w:p>
      <w:r>
        <w:t>Each Party submits the names, ranks, and identification numbers of all designated officers to the Omani facilitator at least 48 hours before Day 1. The Omani facilitator verifies the identity of each officer through independent biometric confirmation at the first shift change.</w:t>
      </w:r>
    </w:p>
    <w:p>
      <w:r>
        <w:t>Substitutions occur only under the following conditions: medical emergency certified by a military medical officer; physical incapacity confirmed by the Omani facilitator; or technical reassignment with 48 hours written notice through the Omani facilitator. No substitution occurs in response to political directives, diplomatic recall, or ministerial orders.</w:t>
      </w:r>
    </w:p>
    <w:p>
      <w:r>
        <w:t>Political appointees, including ambassadors, special envoys, ministerial staff, and political advisors, occupy no channel role. No channel officer reports to any political appointee for channel-related matters. No channel officer receives instructions from any political body.</w:t>
      </w:r>
    </w:p>
    <w:p>
      <w:pPr>
        <w:pStyle w:val="Heading2"/>
      </w:pPr>
      <w:r>
        <w:t>2.3 The No Political Interference Pledge</w:t>
      </w:r>
    </w:p>
    <w:p>
      <w:r>
        <w:t>Each Party deposits a written pledge with the Omani facilitator before Day 1. The pledge contains the following operative commitments:</w:t>
      </w:r>
    </w:p>
    <w:p>
      <w:pPr>
        <w:numPr>
          <w:ilvl w:val="0"/>
          <w:numId w:val="1"/>
        </w:numPr>
      </w:pPr>
      <w:r>
        <w:t>No political official, including heads of state, foreign ministers, defense ministers, or any person holding political office, issues any order, instruction, suggestion, or guidance regarding the operation, content, or conduct of the maritime channel.</w:t>
      </w:r>
    </w:p>
    <w:p>
      <w:pPr>
        <w:numPr>
          <w:ilvl w:val="0"/>
          <w:numId w:val="1"/>
        </w:numPr>
      </w:pPr>
      <w:r>
        <w:t>No channel officer receives, acknowledges, or acts upon any communication originating from a political official, political office, or political communication system that pertains to the channel.</w:t>
      </w:r>
    </w:p>
    <w:p>
      <w:pPr>
        <w:numPr>
          <w:ilvl w:val="0"/>
          <w:numId w:val="1"/>
        </w:numPr>
      </w:pPr>
      <w:r>
        <w:t>The channel maintains physical and administrative isolation from all political communication systems, including diplomatic cables, secure government networks, and political messaging platforms. No shared server, no shared frequency, and no shared password exists between the channel and any political system.</w:t>
      </w:r>
    </w:p>
    <w:p>
      <w:r>
        <w:t>A breach of this pledge constitutes a technical failure of the channel. The channel undergoes immediate technical reset. The reset completes within 48 hours. The reset carries no political consequences. The reset indicates no diplomatic position. The reset functions as a mechanical recalibration, analogous to rebooting a navigation system after a software error.</w:t>
      </w:r>
    </w:p>
    <w:p>
      <w:pPr>
        <w:pStyle w:val="Heading2"/>
      </w:pPr>
      <w:r>
        <w:t>2.4 Duty Officer Rotation Protocol</w:t>
      </w:r>
    </w:p>
    <w:p>
      <w:r>
        <w:t>The Primary Duty Officer serves a 72-hour watch cycle. At the end of each watch, a documented handover occurs to the Secondary Duty Officer. The handover includes: a review of all communications from the previous watch; a status report on any open incidents; a verification check of all communication links (Primary, Backup, and Emergency); and a verbal confirmation of readiness by the incoming officer.</w:t>
      </w:r>
    </w:p>
    <w:p>
      <w:r>
        <w:t>The handover is logged but not recorded. The log entry captures only: outgoing call sign, incoming call sign, handover time, and readiness confirmation status. No audio recording, no transcript, and no narrative summary is produced.</w:t>
      </w:r>
    </w:p>
    <w:p>
      <w:r>
        <w:t>The purpose of the rotation is twofold: preventing fatigue-related operational errors, and maintaining continuity through institutional knowledge transfer. No single individual retains exclusive channel knowledge. Both the Primary and Secondary Duty Officers for each Party possess identical operational authority and identical template access.</w:t>
      </w:r>
    </w:p>
    <w:p>
      <w:pPr>
        <w:pStyle w:val="Heading2"/>
      </w:pPr>
      <w:r>
        <w:t>2.5 The Silence Equals Continuation Rule</w:t>
      </w:r>
    </w:p>
    <w:p>
      <w:r>
        <w:t>If either Party's duty officer fails to respond to a channel communication within the prescribed timeframe, the channel continues operating. Silence is not interpreted as a political signal, a threat, a warning, or a change in posture.</w:t>
      </w:r>
    </w:p>
    <w:p>
      <w:r>
        <w:t>The channel assumes that a non-responsive duty officer is experiencing a technical communications failure. The Omani facilitator attempts contact through the Backup Link within 15 minutes of the missed response window. If the Backup Link also fails, the channel enters a technical pause in the affected sector only.</w:t>
      </w:r>
    </w:p>
    <w:p>
      <w:r>
        <w:t>No political judgment attaches to the pause. The channel resumes automatically upon technical reconnection. Under no circumstances is non-response interpreted as a political act. The architecture removes the incentive for either side to weaponize silence. A Party that stops responding cannot claim it was sending a message. The channel simply continues.</w:t>
      </w:r>
    </w:p>
    <w:p>
      <w:r>
        <w:t>During any silence period, both Parties maintain all underlying maritime safety obligations: stand-off distances remain in force, AIS broadcasting continues, and commercial vessels transit without interference. The silence protocol applies only to channel communications, not to the underlying safety commitments.</w:t>
      </w:r>
    </w:p>
    <w:p>
      <w:pPr>
        <w:pStyle w:val="Heading2"/>
      </w:pPr>
      <w:r>
        <w:t>2.6 Channel Health Monitor Protocol</w:t>
      </w:r>
    </w:p>
    <w:p>
      <w:r>
        <w:t>The Channel Health Monitor operates as a daily automated assessment of channel operational integrity. The Omani Joint Coordination Center generates the Channel Health Status report every 24 hours at 00:00 UTC. This report is displayed in the Omani control room exclusively. No political official receives the report. No diplomatic channel transmits the report.</w:t>
      </w:r>
    </w:p>
    <w:p>
      <w:r>
        <w:t>The Channel Health Status captures four metrics:</w:t>
      </w:r>
    </w:p>
    <w:p>
      <w:pPr>
        <w:numPr>
          <w:ilvl w:val="0"/>
          <w:numId w:val="1"/>
        </w:numPr>
      </w:pPr>
      <w:r>
        <w:t>Communications Link Uptime: The percentage of time during the previous 24 hours that the Primary Link, Backup Link, and Emergency Link each maintained operational status. A drop below 95 percent uptime for any link triggers an automatic technical alert to the Omani facilitator.</w:t>
      </w:r>
    </w:p>
    <w:p>
      <w:pPr>
        <w:numPr>
          <w:ilvl w:val="0"/>
          <w:numId w:val="1"/>
        </w:numPr>
      </w:pPr>
      <w:r>
        <w:t>Template Response Time: The average time between transmission of a template message and receipt of the corresponding acknowledgment. The baseline response time is 15 minutes for routine traffic and 60 minutes for incident response. Sustained response times exceeding double the baseline for three consecutive measurements trigger a technical review.</w:t>
      </w:r>
    </w:p>
    <w:p>
      <w:pPr>
        <w:numPr>
          <w:ilvl w:val="0"/>
          <w:numId w:val="1"/>
        </w:numPr>
      </w:pPr>
      <w:r>
        <w:t>Political Zero Line Violation Count: The number of attempted transmissions containing prohibited content detected during the previous 24 hours. A non-zero count triggers an immediate technical pause in the affected sector per Section 3.4. Two or more violations within a single 24-hour period trigger a mandatory technical consultation within 12 hours.</w:t>
      </w:r>
    </w:p>
    <w:p>
      <w:pPr>
        <w:numPr>
          <w:ilvl w:val="0"/>
          <w:numId w:val="1"/>
        </w:numPr>
      </w:pPr>
      <w:r>
        <w:t>Duty Officer Shift Handover Completion: The percentage of scheduled handovers completed within the 72-hour watch cycle. A missed handover triggers the Silence Equals Continuation Rule per Section 2.5. Two consecutive missed handovers trigger automatic replacement of the affected duty officer through the Omani facilitator.</w:t>
      </w:r>
    </w:p>
    <w:p>
      <w:r>
        <w:t>The Channel Health Status report contains no political analysis, no attributions, and no recommendations beyond technical adjustments. The report auto-generates from the logging system. No human edits the report. The report archives for 30 days and then auto-deletes.</w:t>
      </w:r>
    </w:p>
    <w:p>
      <w:r>
        <w:t>The purpose of the Channel Health Monitor is early warning. A declining trend in any metric signals channel degradation before the degradation reaches the Incident Resolution Ladder. The Omani facilitator addresses degradation through technical adjustments: frequency changes, personnel rotation, or equipment inspection. No political consultation occurs.</w:t>
      </w:r>
    </w:p>
    <w:p>
      <w:pPr>
        <w:pStyle w:val="Heading2"/>
      </w:pPr>
      <w:r>
        <w:t>2.7 Personnel Contamination Protocol</w:t>
      </w:r>
    </w:p>
    <w:p>
      <w:r>
        <w:t>The channel architecture assumes that duty officers operate with complete technical neutrality. If a duty officer is compromised through bribery, coercion, political pressure, or any external influence, the following protocol activates.</w:t>
      </w:r>
    </w:p>
    <w:p>
      <w:r>
        <w:t>The Omani facilitator monitors for behavioral indicators of compromise. These indicators include but are not limited to: unusual template usage patterns, such as selecting incident-response templates during routine traffic periods or repeatedly using templates outside their designated scenarios; extended shift durations beyond the 72-hour watch cycle without medical justification; out-of-pattern contacts, including attempts to communicate outside authorized channels or at unauthorized times; transmissions that approach but do not cross the Political Zero Line, indicating testing of boundaries; and deviations from the established handover protocol, such as incomplete documentation or resistance to shift change.</w:t>
      </w:r>
    </w:p>
    <w:p>
      <w:r>
        <w:t>If the Omani facilitator identifies one or more behavioral indicators, the facilitator convenes a confidential technical assessment within 12 hours. The assessment includes: a review of the officer's template usage logs for the previous 7 days; a comparison against baseline behavioral patterns established during the officer's first 72 hours on channel duty; and a direct observation of the officer's next shift by the Omani facilitator or a designated technical observer.</w:t>
      </w:r>
    </w:p>
    <w:p>
      <w:r>
        <w:t>If the assessment confirms behavioral anomalies, the Omani facilitator replaces the affected officer within 24 hours. The replacement occurs without explanation, without accusation, and without attribution. The affected officer returns to their regular naval duties. No record of the assessment transfers to the officer's personnel file. No political notification occurs.</w:t>
      </w:r>
    </w:p>
    <w:p>
      <w:r>
        <w:t>The replacement does not imply guilt. Replacement is a technical precaution, not a disciplinary action. The architecture operates on the principle that a compromised channel officer is a safety risk regardless of intent or culpability. The channel maintains integrity through rapid personnel turnover when behavioral indicators suggest contamination.</w:t>
      </w:r>
    </w:p>
    <w:p>
      <w:r>
        <w:t>The Omani facilitator maintains a confidential record of all contamination assessments for 90 days. This record contains: the date of assessment, the behavioral indicators observed, the determination, and the replacement action taken. The record excludes officer names, replacing them with the rotating call sign used at the time of assessment. After 90 days, the record auto-deletes.</w:t>
      </w:r>
    </w:p>
    <w:p>
      <w:pPr>
        <w:pStyle w:val="Heading2"/>
      </w:pPr>
      <w:r>
        <w:t>2.8 Sabotage Attribution Protocol</w:t>
      </w:r>
    </w:p>
    <w:p>
      <w:r>
        <w:t>If the Omani facilitator determines that a channel failure resulted from deliberate sabotage, the facilitator issues a confidential technical finding to both Parties' designated maritime authorities. The activation of this protocol requires evidence from the Technical Collapse Report prepared under Section 10.2, supplemented by forensic analysis of the channel logs, communication link telemetry, and duty officer behavior patterns.</w:t>
      </w:r>
    </w:p>
    <w:p>
      <w:r>
        <w:t>The determination of deliberateness rests on three evidentiary standards:</w:t>
      </w:r>
    </w:p>
    <w:p>
      <w:pPr>
        <w:numPr>
          <w:ilvl w:val="0"/>
          <w:numId w:val="1"/>
        </w:numPr>
      </w:pPr>
      <w:r>
        <w:t>Technical Anomaly Standard: The sabotage event displays characteristics inconsistent with accidental failure, natural degradation, or operator error. Indicators include: precisely timed disruptions coordinated with political events; simultaneous multi-link failures at geographically separated infrastructure points; and insertion of synthetic signals or data corruption patterns that require specialized technical knowledge.</w:t>
      </w:r>
    </w:p>
    <w:p>
      <w:pPr>
        <w:numPr>
          <w:ilvl w:val="0"/>
          <w:numId w:val="1"/>
        </w:numPr>
      </w:pPr>
      <w:r>
        <w:t>Pattern Correlation Standard: The sabotage event correlates with a documented pattern of prior anomalous behavior. Indicators include: multiple low-level incidents in the preceding 14 days that, viewed individually, appear random but, viewed collectively, suggest systematic reconnaissance of channel vulnerabilities; and progressive testing of channel response thresholds at incrementally higher intensity levels.</w:t>
      </w:r>
    </w:p>
    <w:p>
      <w:pPr>
        <w:numPr>
          <w:ilvl w:val="0"/>
          <w:numId w:val="1"/>
        </w:numPr>
      </w:pPr>
      <w:r>
        <w:t>Exclusion Standard: The Omani facilitator exhaustively eliminates all non-deliberate causes before issuing a sabotage finding. The facilitator documents: weather-related disruption checks; equipment maintenance record reviews; personnel fatigue assessments; and third-party electromagnetic interference source identification. Only when all non-deliberate causes are excluded does the sabotage finding issue.</w:t>
      </w:r>
    </w:p>
    <w:p>
      <w:r>
        <w:t>The technical finding contains three elements only: the evidence of deliberateness, citing specific technical indicators from the three standards above; the technical nature of the sabotage, describing the method of interference without speculating on the actor's identity; and recommended technical countermeasures, specifying architectural changes that prevent recurrence of the same sabotage method.</w:t>
      </w:r>
    </w:p>
    <w:p>
      <w:r>
        <w:t>The finding contains no political attribution. No names appear. No motivations are identified. No blame is assigned. The finding describes what happened technically and how to prevent it technically. Nothing more.</w:t>
      </w:r>
    </w:p>
    <w:p>
      <w:r>
        <w:t>The finding is not public. It is transmitted simultaneously to both Parties' designated maritime authorities through the Resilience Coordination Link established in Section 9.5. The transmission occurs simultaneously to prevent either Party from receiving advance information. Both Parties receive identical copies.</w:t>
      </w:r>
    </w:p>
    <w:p>
      <w:r>
        <w:t>The Parties respond through technical adjustments only. The recommended countermeasures from the finding integrate directly into the Lessons Learned Integration Protocol under Section 10.4. No diplomatic response, no public statement, and no political action attaches to the sabotage finding. The channel architecture treats sabotage as a technical hazard to be engineered against, not as a political provocation to be answered politically.</w:t>
      </w:r>
    </w:p>
    <w:p>
      <w:r>
        <w:t>If both Parties' designated maritime authorities dispute the sabotage finding, they jointly refer the matter to the Neutrality Mesh Technical Director for independent technical review. The Director convenes a review panel of three neutral maritime security engineers within 14 days. The panel examines the evidence and issues a binding technical determination. The panel's determination is final. No appeal mechanism exists.</w:t>
      </w:r>
    </w:p>
    <w:p>
      <w:pPr>
        <w:pStyle w:val="Heading1"/>
      </w:pPr>
      <w:r>
        <w:t>Section 3: Pre-Formatted Message Templates (The Boring Protocol)</w:t>
      </w:r>
      <w:bookmarkStart w:name="_Toc004" w:id="5"/>
      <w:bookmarkEnd w:id="5"/>
    </w:p>
    <w:p>
      <w:r>
        <w:t>To eliminate ambiguity and prevent political infiltration, all channel communications use pre-approved, templated messages. No deviation from these templates occurs under any circumstance. No free-text communication flows through the channel. No improvised message, no matter how urgent or benign, bypasses the template system.</w:t>
      </w:r>
    </w:p>
    <w:p>
      <w:pPr>
        <w:pStyle w:val="Heading2"/>
      </w:pPr>
      <w:r>
        <w:t>3.1 Routine Traffic</w:t>
      </w:r>
    </w:p>
    <w:tbl>
      <w:tblPr>
        <w:tblW w:w="5000" w:type="pct"/>
        <w:tblBorders>
          <w:top w:val="single" w:color="3d4f5f" w:sz="12"/>
          <w:left w:val="nil"/>
          <w:bottom w:val="single" w:color="3d4f5f" w:sz="12"/>
          <w:right w:val="nil"/>
          <w:insideH w:val="single" w:color="cfd8dc" w:sz="4"/>
          <w:insideV w:val="nil"/>
        </w:tblBorders>
      </w:tblPr>
      <w:tblGrid>
        <w:gridCol w:w="2800"/>
        <w:gridCol w:w="6800"/>
      </w:tblGrid>
      <w:tr>
        <w:trPr>
          <w:tblHeader/>
        </w:trPr>
        <w:tc>
          <w:tcPr>
            <w:tcW w:w="2800" w:type="dxa"/>
            <w:tcBorders>
              <w:bottom w:val="single" w:color="3d4f5f" w:sz="6"/>
            </w:tcBorders>
            <w:shd w:val="clear" w:fill="eceff1"/>
          </w:tcPr>
          <w:p>
            <w:pPr>
              <w:spacing w:before="60" w:after="60"/>
              <w:jc w:val="left"/>
            </w:pPr>
            <w:r>
              <w:rPr>
                <w:b/>
                <w:color w:val="263238"/>
                <w:sz w:val="20"/>
              </w:rPr>
              <w:t>Scenario</w:t>
            </w:r>
          </w:p>
        </w:tc>
        <w:tc>
          <w:tcPr>
            <w:tcW w:w="6800" w:type="dxa"/>
            <w:tcBorders>
              <w:bottom w:val="single" w:color="3d4f5f" w:sz="6"/>
            </w:tcBorders>
            <w:shd w:val="clear" w:fill="eceff1"/>
          </w:tcPr>
          <w:p>
            <w:pPr>
              <w:spacing w:before="60" w:after="60"/>
              <w:jc w:val="left"/>
            </w:pPr>
            <w:r>
              <w:rPr>
                <w:b/>
                <w:color w:val="263238"/>
                <w:sz w:val="20"/>
              </w:rPr>
              <w:t>Template Message</w:t>
            </w:r>
          </w:p>
        </w:tc>
      </w:tr>
      <w:tr>
        <w:tc>
          <w:tcPr>
            <w:tcW w:w="2800" w:type="dxa"/>
          </w:tcPr>
          <w:p>
            <w:pPr>
              <w:spacing w:before="40" w:after="40"/>
            </w:pPr>
            <w:r>
              <w:rPr>
                <w:color w:val="263238"/>
                <w:sz w:val="20"/>
              </w:rPr>
              <w:t>Vessel entering corridor</w:t>
            </w:r>
          </w:p>
        </w:tc>
        <w:tc>
          <w:tcPr>
            <w:tcW w:w="6800" w:type="dxa"/>
          </w:tcPr>
          <w:p>
            <w:pPr>
              <w:spacing w:before="40" w:after="40"/>
            </w:pPr>
            <w:r>
              <w:rPr>
                <w:color w:val="263238"/>
                <w:sz w:val="20"/>
              </w:rPr>
              <w:t>[IDENTIFIER] entering [SECTOR] at [TIME]. Course [XXX]. Speed [XX]. No deviation.</w:t>
            </w:r>
          </w:p>
        </w:tc>
      </w:tr>
      <w:tr>
        <w:tc>
          <w:tcPr>
            <w:tcW w:w="2800" w:type="dxa"/>
          </w:tcPr>
          <w:p>
            <w:pPr>
              <w:spacing w:before="40" w:after="40"/>
            </w:pPr>
            <w:r>
              <w:rPr>
                <w:color w:val="263238"/>
                <w:sz w:val="20"/>
              </w:rPr>
              <w:t>Vessel exiting corridor</w:t>
            </w:r>
          </w:p>
        </w:tc>
        <w:tc>
          <w:tcPr>
            <w:tcW w:w="6800" w:type="dxa"/>
          </w:tcPr>
          <w:p>
            <w:pPr>
              <w:spacing w:before="40" w:after="40"/>
            </w:pPr>
            <w:r>
              <w:rPr>
                <w:color w:val="263238"/>
                <w:sz w:val="20"/>
              </w:rPr>
              <w:t>[IDENTIFIER] exiting [SECTOR] at [TIME]. All clear.</w:t>
            </w:r>
          </w:p>
        </w:tc>
      </w:tr>
      <w:tr>
        <w:tc>
          <w:tcPr>
            <w:tcW w:w="2800" w:type="dxa"/>
          </w:tcPr>
          <w:p>
            <w:pPr>
              <w:spacing w:before="40" w:after="40"/>
            </w:pPr>
            <w:r>
              <w:rPr>
                <w:color w:val="263238"/>
                <w:sz w:val="20"/>
              </w:rPr>
              <w:t>Scheduled patrol</w:t>
            </w:r>
          </w:p>
        </w:tc>
        <w:tc>
          <w:tcPr>
            <w:tcW w:w="6800" w:type="dxa"/>
          </w:tcPr>
          <w:p>
            <w:pPr>
              <w:spacing w:before="40" w:after="40"/>
            </w:pPr>
            <w:r>
              <w:rPr>
                <w:color w:val="263238"/>
                <w:sz w:val="20"/>
              </w:rPr>
              <w:t>Patrol [NUMBER] commencing [SECTOR] at [TIME]. Duration [XX] hours.</w:t>
            </w:r>
          </w:p>
        </w:tc>
      </w:tr>
      <w:tr>
        <w:tc>
          <w:tcPr>
            <w:tcW w:w="2800" w:type="dxa"/>
          </w:tcPr>
          <w:p>
            <w:pPr>
              <w:spacing w:before="40" w:after="40"/>
            </w:pPr>
            <w:r>
              <w:rPr>
                <w:color w:val="263238"/>
                <w:sz w:val="20"/>
              </w:rPr>
              <w:t>Patrol complete</w:t>
            </w:r>
          </w:p>
        </w:tc>
        <w:tc>
          <w:tcPr>
            <w:tcW w:w="6800" w:type="dxa"/>
          </w:tcPr>
          <w:p>
            <w:pPr>
              <w:spacing w:before="40" w:after="40"/>
            </w:pPr>
            <w:r>
              <w:rPr>
                <w:color w:val="263238"/>
                <w:sz w:val="20"/>
              </w:rPr>
              <w:t>Patrol [NUMBER] complete. No incidents. Returning to baseline.</w:t>
            </w:r>
          </w:p>
        </w:tc>
      </w:tr>
      <w:tr>
        <w:tc>
          <w:tcPr>
            <w:tcW w:w="2800" w:type="dxa"/>
          </w:tcPr>
          <w:p>
            <w:pPr>
              <w:spacing w:before="40" w:after="40"/>
            </w:pPr>
            <w:r>
              <w:rPr>
                <w:color w:val="263238"/>
                <w:sz w:val="20"/>
              </w:rPr>
              <w:t>AIS confirmation</w:t>
            </w:r>
          </w:p>
        </w:tc>
        <w:tc>
          <w:tcPr>
            <w:tcW w:w="6800" w:type="dxa"/>
          </w:tcPr>
          <w:p>
            <w:pPr>
              <w:spacing w:before="40" w:after="40"/>
            </w:pPr>
            <w:r>
              <w:rPr>
                <w:color w:val="263238"/>
                <w:sz w:val="20"/>
              </w:rPr>
              <w:t>AIS confirmed for [IDENTIFIER]. Vessel is JHA-AUTHORIZED.</w:t>
            </w:r>
          </w:p>
        </w:tc>
      </w:tr>
    </w:tbl>
    <w:p>
      <w:pPr>
        <w:pStyle w:val="Heading2"/>
      </w:pPr>
      <w:r>
        <w:t>3.2 Incident Response</w:t>
      </w:r>
    </w:p>
    <w:tbl>
      <w:tblPr>
        <w:tblW w:w="5000" w:type="pct"/>
        <w:tblBorders>
          <w:top w:val="single" w:color="3d4f5f" w:sz="12"/>
          <w:left w:val="nil"/>
          <w:bottom w:val="single" w:color="3d4f5f" w:sz="12"/>
          <w:right w:val="nil"/>
          <w:insideH w:val="single" w:color="cfd8dc" w:sz="4"/>
          <w:insideV w:val="nil"/>
        </w:tblBorders>
      </w:tblPr>
      <w:tblGrid>
        <w:gridCol w:w="2800"/>
        <w:gridCol w:w="6800"/>
      </w:tblGrid>
      <w:tr>
        <w:trPr>
          <w:tblHeader/>
        </w:trPr>
        <w:tc>
          <w:tcPr>
            <w:tcW w:w="2800" w:type="dxa"/>
            <w:tcBorders>
              <w:bottom w:val="single" w:color="3d4f5f" w:sz="6"/>
            </w:tcBorders>
            <w:shd w:val="clear" w:fill="eceff1"/>
          </w:tcPr>
          <w:p>
            <w:pPr>
              <w:spacing w:before="60" w:after="60"/>
              <w:jc w:val="left"/>
            </w:pPr>
            <w:r>
              <w:rPr>
                <w:b/>
                <w:color w:val="263238"/>
                <w:sz w:val="20"/>
              </w:rPr>
              <w:t>Scenario</w:t>
            </w:r>
          </w:p>
        </w:tc>
        <w:tc>
          <w:tcPr>
            <w:tcW w:w="6800" w:type="dxa"/>
            <w:tcBorders>
              <w:bottom w:val="single" w:color="3d4f5f" w:sz="6"/>
            </w:tcBorders>
            <w:shd w:val="clear" w:fill="eceff1"/>
          </w:tcPr>
          <w:p>
            <w:pPr>
              <w:spacing w:before="60" w:after="60"/>
              <w:jc w:val="left"/>
            </w:pPr>
            <w:r>
              <w:rPr>
                <w:b/>
                <w:color w:val="263238"/>
                <w:sz w:val="20"/>
              </w:rPr>
              <w:t>Template Message</w:t>
            </w:r>
          </w:p>
        </w:tc>
      </w:tr>
      <w:tr>
        <w:tc>
          <w:tcPr>
            <w:tcW w:w="2800" w:type="dxa"/>
          </w:tcPr>
          <w:p>
            <w:pPr>
              <w:spacing w:before="40" w:after="40"/>
            </w:pPr>
            <w:r>
              <w:rPr>
                <w:color w:val="263238"/>
                <w:sz w:val="20"/>
              </w:rPr>
              <w:t>Close approach (&lt;3nm)</w:t>
            </w:r>
          </w:p>
        </w:tc>
        <w:tc>
          <w:tcPr>
            <w:tcW w:w="6800" w:type="dxa"/>
          </w:tcPr>
          <w:p>
            <w:pPr>
              <w:spacing w:before="40" w:after="40"/>
            </w:pPr>
            <w:r>
              <w:rPr>
                <w:color w:val="263238"/>
                <w:sz w:val="20"/>
              </w:rPr>
              <w:t>[IDENTIFIER] at [COORDINATES] is within [DISTANCE]nm of [OTHER VESSEL]. Request course correction.</w:t>
            </w:r>
          </w:p>
        </w:tc>
      </w:tr>
      <w:tr>
        <w:tc>
          <w:tcPr>
            <w:tcW w:w="2800" w:type="dxa"/>
          </w:tcPr>
          <w:p>
            <w:pPr>
              <w:spacing w:before="40" w:after="40"/>
            </w:pPr>
            <w:r>
              <w:rPr>
                <w:color w:val="263238"/>
                <w:sz w:val="20"/>
              </w:rPr>
              <w:t>Course correction request</w:t>
            </w:r>
          </w:p>
        </w:tc>
        <w:tc>
          <w:tcPr>
            <w:tcW w:w="6800" w:type="dxa"/>
          </w:tcPr>
          <w:p>
            <w:pPr>
              <w:spacing w:before="40" w:after="40"/>
            </w:pPr>
            <w:r>
              <w:rPr>
                <w:color w:val="263238"/>
                <w:sz w:val="20"/>
              </w:rPr>
              <w:t>Request [IDENTIFIER] adjust course to [XXX] to maintain stand-off.</w:t>
            </w:r>
          </w:p>
        </w:tc>
      </w:tr>
      <w:tr>
        <w:tc>
          <w:tcPr>
            <w:tcW w:w="2800" w:type="dxa"/>
          </w:tcPr>
          <w:p>
            <w:pPr>
              <w:spacing w:before="40" w:after="40"/>
            </w:pPr>
            <w:r>
              <w:rPr>
                <w:color w:val="263238"/>
                <w:sz w:val="20"/>
              </w:rPr>
              <w:t>Correction acknowledged</w:t>
            </w:r>
          </w:p>
        </w:tc>
        <w:tc>
          <w:tcPr>
            <w:tcW w:w="6800" w:type="dxa"/>
          </w:tcPr>
          <w:p>
            <w:pPr>
              <w:spacing w:before="40" w:after="40"/>
            </w:pPr>
            <w:r>
              <w:rPr>
                <w:color w:val="263238"/>
                <w:sz w:val="20"/>
              </w:rPr>
              <w:t>[IDENTIFIER] acknowledges. Adjusting to [XXX]. Estimated completion [TIME].</w:t>
            </w:r>
          </w:p>
        </w:tc>
      </w:tr>
      <w:tr>
        <w:tc>
          <w:tcPr>
            <w:tcW w:w="2800" w:type="dxa"/>
          </w:tcPr>
          <w:p>
            <w:pPr>
              <w:spacing w:before="40" w:after="40"/>
            </w:pPr>
            <w:r>
              <w:rPr>
                <w:color w:val="263238"/>
                <w:sz w:val="20"/>
              </w:rPr>
              <w:t>Minor contact (no escalation)</w:t>
            </w:r>
          </w:p>
        </w:tc>
        <w:tc>
          <w:tcPr>
            <w:tcW w:w="6800" w:type="dxa"/>
          </w:tcPr>
          <w:p>
            <w:pPr>
              <w:spacing w:before="40" w:after="40"/>
            </w:pPr>
            <w:r>
              <w:rPr>
                <w:color w:val="263238"/>
                <w:sz w:val="20"/>
              </w:rPr>
              <w:t>Minor contact logged at [COORDINATES]. No damage. Both vessels proceeding. Incident logged.</w:t>
            </w:r>
          </w:p>
        </w:tc>
      </w:tr>
      <w:tr>
        <w:tc>
          <w:tcPr>
            <w:tcW w:w="2800" w:type="dxa"/>
          </w:tcPr>
          <w:p>
            <w:pPr>
              <w:spacing w:before="40" w:after="40"/>
            </w:pPr>
            <w:r>
              <w:rPr>
                <w:color w:val="263238"/>
                <w:sz w:val="20"/>
              </w:rPr>
              <w:t>Potential interdiction</w:t>
            </w:r>
          </w:p>
        </w:tc>
        <w:tc>
          <w:tcPr>
            <w:tcW w:w="6800" w:type="dxa"/>
          </w:tcPr>
          <w:p>
            <w:pPr>
              <w:spacing w:before="40" w:after="40"/>
            </w:pPr>
            <w:r>
              <w:rPr>
                <w:color w:val="263238"/>
                <w:sz w:val="20"/>
              </w:rPr>
              <w:t>[IDENTIFIER] reports [ACTION] by [OTHER VESSEL]. Request verification against Annex N bright-line test.</w:t>
            </w:r>
          </w:p>
        </w:tc>
      </w:tr>
      <w:tr>
        <w:tc>
          <w:tcPr>
            <w:tcW w:w="2800" w:type="dxa"/>
          </w:tcPr>
          <w:p>
            <w:pPr>
              <w:spacing w:before="40" w:after="40"/>
            </w:pPr>
            <w:r>
              <w:rPr>
                <w:color w:val="263238"/>
                <w:sz w:val="20"/>
              </w:rPr>
              <w:t>Bright-line test response</w:t>
            </w:r>
          </w:p>
        </w:tc>
        <w:tc>
          <w:tcPr>
            <w:tcW w:w="6800" w:type="dxa"/>
          </w:tcPr>
          <w:p>
            <w:pPr>
              <w:spacing w:before="40" w:after="40"/>
            </w:pPr>
            <w:r>
              <w:rPr>
                <w:color w:val="263238"/>
                <w:sz w:val="20"/>
              </w:rPr>
              <w:t>Bright-line test applied. Event classified as [LEGITIMATE SAFETY / PRETEXTUAL INTERDICTION]. Recommended response: [ACTION].</w:t>
            </w:r>
          </w:p>
        </w:tc>
      </w:tr>
    </w:tbl>
    <w:p>
      <w:pPr>
        <w:pStyle w:val="Heading2"/>
      </w:pPr>
      <w:r>
        <w:t>3.3 Escalation Management</w:t>
      </w:r>
    </w:p>
    <w:tbl>
      <w:tblPr>
        <w:tblW w:w="5000" w:type="pct"/>
        <w:tblBorders>
          <w:top w:val="single" w:color="3d4f5f" w:sz="12"/>
          <w:left w:val="nil"/>
          <w:bottom w:val="single" w:color="3d4f5f" w:sz="12"/>
          <w:right w:val="nil"/>
          <w:insideH w:val="single" w:color="cfd8dc" w:sz="4"/>
          <w:insideV w:val="nil"/>
        </w:tblBorders>
      </w:tblPr>
      <w:tblGrid>
        <w:gridCol w:w="2800"/>
        <w:gridCol w:w="6800"/>
      </w:tblGrid>
      <w:tr>
        <w:trPr>
          <w:tblHeader/>
        </w:trPr>
        <w:tc>
          <w:tcPr>
            <w:tcW w:w="2800" w:type="dxa"/>
            <w:tcBorders>
              <w:bottom w:val="single" w:color="3d4f5f" w:sz="6"/>
            </w:tcBorders>
            <w:shd w:val="clear" w:fill="eceff1"/>
          </w:tcPr>
          <w:p>
            <w:pPr>
              <w:spacing w:before="60" w:after="60"/>
              <w:jc w:val="left"/>
            </w:pPr>
            <w:r>
              <w:rPr>
                <w:b/>
                <w:color w:val="263238"/>
                <w:sz w:val="20"/>
              </w:rPr>
              <w:t>Scenario</w:t>
            </w:r>
          </w:p>
        </w:tc>
        <w:tc>
          <w:tcPr>
            <w:tcW w:w="6800" w:type="dxa"/>
            <w:tcBorders>
              <w:bottom w:val="single" w:color="3d4f5f" w:sz="6"/>
            </w:tcBorders>
            <w:shd w:val="clear" w:fill="eceff1"/>
          </w:tcPr>
          <w:p>
            <w:pPr>
              <w:spacing w:before="60" w:after="60"/>
              <w:jc w:val="left"/>
            </w:pPr>
            <w:r>
              <w:rPr>
                <w:b/>
                <w:color w:val="263238"/>
                <w:sz w:val="20"/>
              </w:rPr>
              <w:t>Template Message</w:t>
            </w:r>
          </w:p>
        </w:tc>
      </w:tr>
      <w:tr>
        <w:tc>
          <w:tcPr>
            <w:tcW w:w="2800" w:type="dxa"/>
          </w:tcPr>
          <w:p>
            <w:pPr>
              <w:spacing w:before="40" w:after="40"/>
            </w:pPr>
            <w:r>
              <w:rPr>
                <w:color w:val="263238"/>
                <w:sz w:val="20"/>
              </w:rPr>
              <w:t>Request de-escalation pause</w:t>
            </w:r>
          </w:p>
        </w:tc>
        <w:tc>
          <w:tcPr>
            <w:tcW w:w="6800" w:type="dxa"/>
          </w:tcPr>
          <w:p>
            <w:pPr>
              <w:spacing w:before="40" w:after="40"/>
            </w:pPr>
            <w:r>
              <w:rPr>
                <w:color w:val="263238"/>
                <w:sz w:val="20"/>
              </w:rPr>
              <w:t>Request 24-hour de-escalation pause in [SECTOR] due to [TECHNICAL REASON ONLY].</w:t>
            </w:r>
          </w:p>
        </w:tc>
      </w:tr>
      <w:tr>
        <w:tc>
          <w:tcPr>
            <w:tcW w:w="2800" w:type="dxa"/>
          </w:tcPr>
          <w:p>
            <w:pPr>
              <w:spacing w:before="40" w:after="40"/>
            </w:pPr>
            <w:r>
              <w:rPr>
                <w:color w:val="263238"/>
                <w:sz w:val="20"/>
              </w:rPr>
              <w:t>Pause granted</w:t>
            </w:r>
          </w:p>
        </w:tc>
        <w:tc>
          <w:tcPr>
            <w:tcW w:w="6800" w:type="dxa"/>
          </w:tcPr>
          <w:p>
            <w:pPr>
              <w:spacing w:before="40" w:after="40"/>
            </w:pPr>
            <w:r>
              <w:rPr>
                <w:color w:val="263238"/>
                <w:sz w:val="20"/>
              </w:rPr>
              <w:t>De-escalation pause granted. All movements in [SECTOR] frozen for 24 hours.</w:t>
            </w:r>
          </w:p>
        </w:tc>
      </w:tr>
      <w:tr>
        <w:tc>
          <w:tcPr>
            <w:tcW w:w="2800" w:type="dxa"/>
          </w:tcPr>
          <w:p>
            <w:pPr>
              <w:spacing w:before="40" w:after="40"/>
            </w:pPr>
            <w:r>
              <w:rPr>
                <w:color w:val="263238"/>
                <w:sz w:val="20"/>
              </w:rPr>
              <w:t>Return to normal</w:t>
            </w:r>
          </w:p>
        </w:tc>
        <w:tc>
          <w:tcPr>
            <w:tcW w:w="6800" w:type="dxa"/>
          </w:tcPr>
          <w:p>
            <w:pPr>
              <w:spacing w:before="40" w:after="40"/>
            </w:pPr>
            <w:r>
              <w:rPr>
                <w:color w:val="263238"/>
                <w:sz w:val="20"/>
              </w:rPr>
              <w:t>De-escalation pause complete. Returning to normal operations in [SECTOR].</w:t>
            </w:r>
          </w:p>
        </w:tc>
      </w:tr>
      <w:tr>
        <w:tc>
          <w:tcPr>
            <w:tcW w:w="2800" w:type="dxa"/>
          </w:tcPr>
          <w:p>
            <w:pPr>
              <w:spacing w:before="40" w:after="40"/>
            </w:pPr>
            <w:r>
              <w:rPr>
                <w:color w:val="263238"/>
                <w:sz w:val="20"/>
              </w:rPr>
              <w:t>Force majeure (third-party event)</w:t>
            </w:r>
          </w:p>
        </w:tc>
        <w:tc>
          <w:tcPr>
            <w:tcW w:w="6800" w:type="dxa"/>
          </w:tcPr>
          <w:p>
            <w:pPr>
              <w:spacing w:before="40" w:after="40"/>
            </w:pPr>
            <w:r>
              <w:rPr>
                <w:color w:val="263238"/>
                <w:sz w:val="20"/>
              </w:rPr>
              <w:t>Third-party event detected at [COORDINATES]. Channel paused for [XX] hours pending assessment. No attribution.</w:t>
            </w:r>
          </w:p>
        </w:tc>
      </w:tr>
    </w:tbl>
    <w:p>
      <w:pPr>
        <w:pStyle w:val="Heading2"/>
      </w:pPr>
      <w:r>
        <w:t>3.4 Prohibited Content (The Political Zero Line)</w:t>
      </w:r>
    </w:p>
    <w:p>
      <w:r>
        <w:t>The following content categories never appear in any channel transmission:</w:t>
      </w:r>
    </w:p>
    <w:p>
      <w:pPr>
        <w:numPr>
          <w:ilvl w:val="0"/>
          <w:numId w:val="1"/>
        </w:numPr>
      </w:pPr>
      <w:r>
        <w:t>Any reference to heads of state, government officials, political parties, or political factions.</w:t>
      </w:r>
    </w:p>
    <w:p>
      <w:pPr>
        <w:numPr>
          <w:ilvl w:val="0"/>
          <w:numId w:val="1"/>
        </w:numPr>
      </w:pPr>
      <w:r>
        <w:t>Any reference to sanctions, trade restrictions, economic measures, or financial coercion.</w:t>
      </w:r>
    </w:p>
    <w:p>
      <w:pPr>
        <w:numPr>
          <w:ilvl w:val="0"/>
          <w:numId w:val="1"/>
        </w:numPr>
      </w:pPr>
      <w:r>
        <w:t>Any reference to nuclear negotiations, enrichment levels, non-proliferation discussions, or atomic energy matters.</w:t>
      </w:r>
    </w:p>
    <w:p>
      <w:pPr>
        <w:numPr>
          <w:ilvl w:val="0"/>
          <w:numId w:val="1"/>
        </w:numPr>
      </w:pPr>
      <w:r>
        <w:t>Any reference to military threats, force posture, weapons systems, or defense policy.</w:t>
      </w:r>
    </w:p>
    <w:p>
      <w:pPr>
        <w:numPr>
          <w:ilvl w:val="0"/>
          <w:numId w:val="1"/>
        </w:numPr>
      </w:pPr>
      <w:r>
        <w:t>Any reference to regional conflicts, territorial disputes, alliance structures, or proxy relationships.</w:t>
      </w:r>
    </w:p>
    <w:p>
      <w:pPr>
        <w:numPr>
          <w:ilvl w:val="0"/>
          <w:numId w:val="1"/>
        </w:numPr>
      </w:pPr>
      <w:r>
        <w:t>Any reference to third states or non-state actors by name or implication.</w:t>
      </w:r>
    </w:p>
    <w:p>
      <w:pPr>
        <w:numPr>
          <w:ilvl w:val="0"/>
          <w:numId w:val="1"/>
        </w:numPr>
      </w:pPr>
      <w:r>
        <w:t>Any expression of emotion, opinion, commentary, judgment, evaluation, or sentiment.</w:t>
      </w:r>
    </w:p>
    <w:p>
      <w:pPr>
        <w:numPr>
          <w:ilvl w:val="0"/>
          <w:numId w:val="1"/>
        </w:numPr>
      </w:pPr>
      <w:r>
        <w:t>Any demand, ultimatum, condition, deadline, or coercive formulation.</w:t>
      </w:r>
    </w:p>
    <w:p>
      <w:pPr>
        <w:numPr>
          <w:ilvl w:val="0"/>
          <w:numId w:val="1"/>
        </w:numPr>
      </w:pPr>
      <w:r>
        <w:t>Any communication that a reasonable observer interprets as a threat, warning, or deterrent signal.</w:t>
      </w:r>
    </w:p>
    <w:p>
      <w:r>
        <w:t>A violation of the Political Zero Line triggers an automatic channel pause. The following sequence executes without human discretion: the receiving duty officer ceases all communication; the officer logs Template Violation and the template number; the Omani facilitator receives automatic notification within 60 seconds; the affected sector enters a 4-hour technical pause; both Parties' senior watch officers receive notification through the backup link; and the channel resumes after the 4-hour pause with a clean reset. No report flows to any political authority. No diplomatic note issues. No public statement is made.</w:t>
      </w:r>
    </w:p>
    <w:p>
      <w:pPr>
        <w:pStyle w:val="Heading1"/>
      </w:pPr>
      <w:r>
        <w:t>Section 4: The Incident Resolution Ladder</w:t>
      </w:r>
      <w:bookmarkStart w:name="_Toc005" w:id="6"/>
      <w:bookmarkEnd w:id="6"/>
    </w:p>
    <w:p>
      <w:r>
        <w:t>The Incident Resolution Ladder provides a technically escalating response framework for maritime events in the Strait of Hormuz. Every level of the ladder operates through mechanical triggers, not political judgment. The ladder escalates based on sensor data, physical proximity, and time thresholds. No level involves political assessment.</w:t>
      </w:r>
    </w:p>
    <w:p>
      <w:pPr>
        <w:pStyle w:val="Heading2"/>
      </w:pPr>
      <w:r>
        <w:t>4.1 Level 1: Routine Communication</w:t>
      </w:r>
    </w:p>
    <w:p>
      <w:r>
        <w:t>Trigger: Scheduled patrols, standard commercial transits, AIS confirmation requests, and routine sector clearances.</w:t>
      </w:r>
    </w:p>
    <w:p>
      <w:r>
        <w:t>Response: The applicable pre-formatted template message transmits. The receiving duty officer acknowledges within 15 minutes through the corresponding acknowledgment template.</w:t>
      </w:r>
    </w:p>
    <w:p>
      <w:r>
        <w:t>Political Involvement: None. This level operates entirely through automated template exchanges.</w:t>
      </w:r>
    </w:p>
    <w:p>
      <w:pPr>
        <w:pStyle w:val="Heading2"/>
      </w:pPr>
      <w:r>
        <w:t>4.2 Level 2: Anomaly Detected</w:t>
      </w:r>
    </w:p>
    <w:p>
      <w:r>
        <w:t>Trigger: AIS signal mismatch, vessel deviating from declared course, close approach between vessels exceeding 3 nautical miles, or unannounced vessel entry into the coordination corridor.</w:t>
      </w:r>
    </w:p>
    <w:p>
      <w:r>
        <w:t>Response: The duty officer transmits the applicable incident response template. The identified vessel receives a request for clarification or course correction. The receiving duty officer confirms corrective action within 60 minutes.</w:t>
      </w:r>
    </w:p>
    <w:p>
      <w:r>
        <w:t>Political Involvement: None. Technical review only. The Joint Coordination Center logs the event for statistical tracking.</w:t>
      </w:r>
    </w:p>
    <w:p>
      <w:pPr>
        <w:pStyle w:val="Heading2"/>
      </w:pPr>
      <w:r>
        <w:t>4.3 Level 3: Minor Incident</w:t>
      </w:r>
    </w:p>
    <w:p>
      <w:r>
        <w:t>Trigger: Violation of the 1-nautical-mile stand-off distance between military vessels; minor interdiction attempt without kinetic contact; disputed course correction; or sustained non-response to Level 2 template requests.</w:t>
      </w:r>
    </w:p>
    <w:p>
      <w:r>
        <w:t>Response: Immediate channel notification through the Incident Response template. Both Parties' primary duty officers confer through the channel (technical content only). A joint determination issues within 4 hours. The determination contains facts only: vessel positions, movements, and sensor readings. No blame assignment occurs. No attribution to political intent occurs.</w:t>
      </w:r>
    </w:p>
    <w:p>
      <w:r>
        <w:t>Political Involvement: The Omani facilitator receives notification for logging purposes only. No political official receives information.</w:t>
      </w:r>
    </w:p>
    <w:p>
      <w:pPr>
        <w:pStyle w:val="Heading2"/>
      </w:pPr>
      <w:r>
        <w:t>4.4 Level 4: Material Incident</w:t>
      </w:r>
    </w:p>
    <w:p>
      <w:r>
        <w:t>Trigger: Sustained interdiction exceeding 1 hour; kinetic warning shots without impact; vessel-to-vessel contact resulting in material damage; or third-party interference with coordination corridor traffic.</w:t>
      </w:r>
    </w:p>
    <w:p>
      <w:r>
        <w:t>Response: The channel freezes in the affected sector. All vessel movements halt. The Joint Coordination Center conducts a full telemetry review using radar data, AIS records, and satellite imagery. A technical report issues within 24 hours. The report contains: factual timeline of events; sensor data with coordinates; vessel identification numbers; and a recommended response action selected from the pre-approved escalation menu.</w:t>
      </w:r>
    </w:p>
    <w:p>
      <w:r>
        <w:t>Political Involvement: The Omani facilitator provides a factual summary to both Parties' designated technical authorities only. No ministerial notification occurs. No diplomatic cable is sent. No public statement is authorized.</w:t>
      </w:r>
    </w:p>
    <w:p>
      <w:pPr>
        <w:pStyle w:val="Heading2"/>
      </w:pPr>
      <w:r>
        <w:t>4.5 Level 5: Channel Breach</w:t>
      </w:r>
    </w:p>
    <w:p>
      <w:r>
        <w:t>Trigger: Political content transmitted through the channel; unauthorized personnel attempting channel access; sustained non-response to channel communications exceeding 6 hours; or deliberate sabotage of channel equipment.</w:t>
      </w:r>
    </w:p>
    <w:p>
      <w:r>
        <w:t>Response: The channel suspends. An automated notification flows to the Omani facilitator. A technical reset begins within 4 hours. The reset completes within 48 hours. The channel resumes from zero: new call signs, new duty officer verification, and new template sequence numbering.</w:t>
      </w:r>
    </w:p>
    <w:p>
      <w:pPr>
        <w:pStyle w:val="Heading3"/>
      </w:pPr>
      <w:r>
        <w:t>4.5.1 Technical Reset Protocol</w:t>
      </w:r>
    </w:p>
    <w:p>
      <w:r>
        <w:t>The 4-hour technical pause is not a suspension of maritime safety obligations. During the pause, both Parties maintain their stand-off distances, continue AIS broadcasting, and ensure commercial vessels transit without interference. The pause applies only to channel communications, not to the underlying maritime safety commitments.</w:t>
      </w:r>
    </w:p>
    <w:p>
      <w:r>
        <w:t>This distinction ensures that a communication failure does not become a safety failure. A Party does not use a technical pause as an excuse to resume interdiction or harassment. The safety obligations exist independently of the communication channel.</w:t>
      </w:r>
    </w:p>
    <w:p>
      <w:r>
        <w:t>Political Involvement: None. The channel fails technically, not politically. The reset indicates no diplomatic position. The suspension carries no political message. The channel resumes when technical integrity is restored, not when political conditions change.</w:t>
      </w:r>
    </w:p>
    <w:p>
      <w:pPr>
        <w:pStyle w:val="Heading1"/>
      </w:pPr>
      <w:r>
        <w:t>Section 5: The Political Noise Filter Protocol</w:t>
      </w:r>
      <w:bookmarkStart w:name="_Toc006" w:id="7"/>
      <w:bookmarkEnd w:id="7"/>
    </w:p>
    <w:p>
      <w:pPr>
        <w:pStyle w:val="Heading2"/>
      </w:pPr>
      <w:r>
        <w:t>5.1 Public Statements Do Not Affect the Channel</w:t>
      </w:r>
    </w:p>
    <w:p>
      <w:r>
        <w:t>The channel operates exclusively on telemetry, sensor data, radar contacts, AIS signals, and visual observation reports. The following categories of external communication produce zero channel effect:</w:t>
      </w:r>
    </w:p>
    <w:p>
      <w:pPr>
        <w:numPr>
          <w:ilvl w:val="0"/>
          <w:numId w:val="1"/>
        </w:numPr>
      </w:pPr>
      <w:r>
        <w:t>Statements by heads of state, foreign ministers, defense ministers, or any political official.</w:t>
      </w:r>
    </w:p>
    <w:p>
      <w:pPr>
        <w:numPr>
          <w:ilvl w:val="0"/>
          <w:numId w:val="1"/>
        </w:numPr>
      </w:pPr>
      <w:r>
        <w:t>Press releases, social media posts, or public announcements by either Party.</w:t>
      </w:r>
    </w:p>
    <w:p>
      <w:pPr>
        <w:numPr>
          <w:ilvl w:val="0"/>
          <w:numId w:val="1"/>
        </w:numPr>
      </w:pPr>
      <w:r>
        <w:t>Threats, accusations, warnings, or deterrent signals issued by any spokesperson.</w:t>
      </w:r>
    </w:p>
    <w:p>
      <w:pPr>
        <w:numPr>
          <w:ilvl w:val="0"/>
          <w:numId w:val="1"/>
        </w:numPr>
      </w:pPr>
      <w:r>
        <w:t>Rhetorical posturing, symbolic actions, or demonstrative military movements reported in media.</w:t>
      </w:r>
    </w:p>
    <w:p>
      <w:pPr>
        <w:numPr>
          <w:ilvl w:val="0"/>
          <w:numId w:val="1"/>
        </w:numPr>
      </w:pPr>
      <w:r>
        <w:t>United Nations resolutions, parliamentary debates, or legislative actions.</w:t>
      </w:r>
    </w:p>
    <w:p>
      <w:pPr>
        <w:numPr>
          <w:ilvl w:val="0"/>
          <w:numId w:val="1"/>
        </w:numPr>
      </w:pPr>
      <w:r>
        <w:t>Third-party commentary, analysis, or advocacy by non-participating states or organizations.</w:t>
      </w:r>
    </w:p>
    <w:p>
      <w:r>
        <w:t>The channel responds only to physical events detected by the sensor network. A public threat by either Party produces no channel response. A diplomatic crisis produces no channel response. A media leak produces no channel response. Only a radar contact, an AIS anomaly, a visual observation, or a template message triggers a channel response.</w:t>
      </w:r>
    </w:p>
    <w:p>
      <w:pPr>
        <w:pStyle w:val="Heading2"/>
      </w:pPr>
      <w:r>
        <w:t>5.2 The No Surprise Rule for Channel Officers</w:t>
      </w:r>
    </w:p>
    <w:p>
      <w:r>
        <w:t>Channel officers bear no obligation to monitor political news. Channel officers carry no authorization to respond to political events. Channel officers receive shielding from political communications to prevent contamination of their operational judgment.</w:t>
      </w:r>
    </w:p>
    <w:p>
      <w:r>
        <w:t>Specifically: no political news feed operates in the channel control room; no political briefing forms part of the duty officer shift handover; no political analysis enters the channel log; and no channel officer faces consequence for ignoring political developments. The channel evaluates officers exclusively on their adherence to the template protocol, their response time to sensor triggers, and their accuracy in position reporting.</w:t>
      </w:r>
    </w:p>
    <w:p>
      <w:pPr>
        <w:pStyle w:val="Heading2"/>
      </w:pPr>
      <w:r>
        <w:t>5.3 The 48-Hour Political Reset Mechanism</w:t>
      </w:r>
    </w:p>
    <w:p>
      <w:r>
        <w:t>If a political statement from either Party creates operational concern among channel personnel, the channel does not pause. Instead, the Omani facilitator activates a 48-hour technical consultation.</w:t>
      </w:r>
    </w:p>
    <w:p>
      <w:r>
        <w:t>The consultation operates as follows: the Omani facilitator convenes a technical session within 12 hours; the session includes only naval liaison officers and technical specialists; the session examines only the technical implications of the political statement on channel safety; the session produces a technical adjustment recommendation, if any, within 48 hours; and the consultation concludes automatically after 48 hours regardless of outcome.</w:t>
      </w:r>
    </w:p>
    <w:p>
      <w:r>
        <w:t>During the consultation period, the channel continues at full operational capacity. No political resolution is required. No diplomatic statement is sought. The consultation focuses exclusively on whether the political statement creates any physically detectable change in the maritime environment. If no physical change is detected, the consultation closes with no action.</w:t>
      </w:r>
    </w:p>
    <w:p>
      <w:pPr>
        <w:pStyle w:val="Heading1"/>
      </w:pPr>
      <w:r>
        <w:t>Section 6: Third-Party Non-Interference Shield</w:t>
      </w:r>
      <w:bookmarkStart w:name="_Toc007" w:id="8"/>
      <w:bookmarkEnd w:id="8"/>
    </w:p>
    <w:p>
      <w:pPr>
        <w:pStyle w:val="Heading2"/>
      </w:pPr>
      <w:r>
        <w:t>6.1 No Attribution to Political Alignments</w:t>
      </w:r>
    </w:p>
    <w:p>
      <w:r>
        <w:t>Actions by third states or non-state actors produce no effect on the channel. The channel treats all external events as force majeure technical interruptions. No political judgment about outside actors enters the channel.</w:t>
      </w:r>
    </w:p>
    <w:p>
      <w:r>
        <w:t>The following principles apply: a military action by a third state does not trigger a channel response; a non-state actor interference does not trigger a channel response; the channel does not attribute third-party actions to either Party; and the channel does not interpret third-party actions as proxies for either Party.</w:t>
      </w:r>
    </w:p>
    <w:p>
      <w:pPr>
        <w:pStyle w:val="Heading2"/>
      </w:pPr>
      <w:r>
        <w:t>6.2 The Escalation Neutrality Principle</w:t>
      </w:r>
    </w:p>
    <w:p>
      <w:r>
        <w:t>A military action by a third state does not require a channel response. A proportionate defensive response by either Party to third-party action is logged only as a technical event. No Party gains or loses political advantage through the channel.</w:t>
      </w:r>
    </w:p>
    <w:p>
      <w:r>
        <w:t>The channel architecture specifically excludes the following: channel suspension in response to third-party military action; channel messaging that references third-party actors; channel reporting that attributes third-party action to either Party; and channel recommendations that involve third-party coordination.</w:t>
      </w:r>
    </w:p>
    <w:p>
      <w:pPr>
        <w:pStyle w:val="Heading2"/>
      </w:pPr>
      <w:r>
        <w:t>6.3 The Wartime Protocol Integration</w:t>
      </w:r>
    </w:p>
    <w:p>
      <w:r>
        <w:t>If regional conflict intensifies, the channel does not terminate. The channel enters minimum-essential mode. In this mode, the channel maintains: continuous vessel tracking through AIS and radar; stand-off distance enforcement between all vessels in the coordination corridor; and emergency notification capability through the Backup and Emergency links.</w:t>
      </w:r>
    </w:p>
    <w:p>
      <w:r>
        <w:t>All political content remains prohibited during wartime mode. No political assessment of the conflict enters the channel. No channel officer receives instruction to support, oppose, or respond to any belligerent. The channel functions as a navigation safety system, not as a conflict management tool.</w:t>
      </w:r>
    </w:p>
    <w:p>
      <w:pPr>
        <w:pStyle w:val="Heading2"/>
      </w:pPr>
      <w:r>
        <w:t>6.4 Third-Party Interference Protocol</w:t>
      </w:r>
    </w:p>
    <w:p>
      <w:r>
        <w:t>If a third state or non-state actor interferes with channel operations, including but not limited to: jamming communications, physically obstructing vessels, or launching kinetic attacks, the following sequence activates automatically:</w:t>
      </w:r>
    </w:p>
    <w:p>
      <w:pPr>
        <w:numPr>
          <w:ilvl w:val="0"/>
          <w:numId w:val="1"/>
        </w:numPr>
      </w:pPr>
      <w:r>
        <w:t>The channel enters minimum-essential mode in the affected sector immediately upon detection of the interference.</w:t>
      </w:r>
    </w:p>
    <w:p>
      <w:pPr>
        <w:numPr>
          <w:ilvl w:val="0"/>
          <w:numId w:val="1"/>
        </w:numPr>
      </w:pPr>
      <w:r>
        <w:t>The Omani facilitator notifies both Parties' designated technical authorities through the Backup Link within 30 minutes.</w:t>
      </w:r>
    </w:p>
    <w:p>
      <w:pPr>
        <w:numPr>
          <w:ilvl w:val="0"/>
          <w:numId w:val="1"/>
        </w:numPr>
      </w:pPr>
      <w:r>
        <w:t>Both Parties commit to refraining from retaliatory action through the channel. The channel is not a retaliatory instrument.</w:t>
      </w:r>
    </w:p>
    <w:p>
      <w:pPr>
        <w:numPr>
          <w:ilvl w:val="0"/>
          <w:numId w:val="1"/>
        </w:numPr>
      </w:pPr>
      <w:r>
        <w:t>The Joint Coordination Center conducts a technical assessment within 12 hours of the interference event.</w:t>
      </w:r>
    </w:p>
    <w:p>
      <w:pPr>
        <w:numPr>
          <w:ilvl w:val="0"/>
          <w:numId w:val="1"/>
        </w:numPr>
      </w:pPr>
      <w:r>
        <w:t>The assessment determines whether the interference was an isolated event or part of a sustained pattern.</w:t>
      </w:r>
    </w:p>
    <w:p>
      <w:pPr>
        <w:numPr>
          <w:ilvl w:val="0"/>
          <w:numId w:val="1"/>
        </w:numPr>
      </w:pPr>
      <w:r>
        <w:t>If the assessment concludes a sustained pattern, the channel temporarily relocates all communications to the Backup Link until the interference ceases.</w:t>
      </w:r>
    </w:p>
    <w:p>
      <w:pPr>
        <w:numPr>
          <w:ilvl w:val="0"/>
          <w:numId w:val="1"/>
        </w:numPr>
      </w:pPr>
      <w:r>
        <w:t>Under no circumstances does third-party interference constitute a breach by either Party.</w:t>
      </w:r>
    </w:p>
    <w:p>
      <w:r>
        <w:t>This protocol prevents a third-party actor from collapsing the channel. Neither Party uses third-party interference as grounds for channel suspension. Neither Party attributes third-party action to the other Party. The channel architecture treats all third-party interference as an external technical hazard, not as a political event.</w:t>
      </w:r>
    </w:p>
    <w:p>
      <w:pPr>
        <w:pStyle w:val="Heading1"/>
      </w:pPr>
      <w:r>
        <w:t>Section 7: Pre-Formatted Joint Statements for Public Consumption</w:t>
      </w:r>
      <w:bookmarkStart w:name="_Toc008" w:id="9"/>
      <w:bookmarkEnd w:id="9"/>
    </w:p>
    <w:p>
      <w:r>
        <w:t>To prevent the channel from becoming politicized, both Parties agree to only two authorized public statements about the channel. No other public statement about the channel is authorized. Not in response to leaks. Not in response to threats. Not in response to any political event.</w:t>
      </w:r>
    </w:p>
    <w:tbl>
      <w:tblPr>
        <w:tblW w:w="5000" w:type="pct"/>
        <w:tblBorders>
          <w:top w:val="single" w:color="3d4f5f" w:sz="12"/>
          <w:left w:val="nil"/>
          <w:bottom w:val="single" w:color="3d4f5f" w:sz="12"/>
          <w:right w:val="nil"/>
          <w:insideH w:val="single" w:color="cfd8dc" w:sz="4"/>
          <w:insideV w:val="nil"/>
        </w:tblBorders>
      </w:tblPr>
      <w:tblGrid>
        <w:gridCol w:w="1600"/>
        <w:gridCol w:w="1600"/>
        <w:gridCol w:w="6400"/>
      </w:tblGrid>
      <w:tr>
        <w:trPr>
          <w:tblHeader/>
        </w:trPr>
        <w:tc>
          <w:tcPr>
            <w:tcW w:w="1600" w:type="dxa"/>
            <w:tcBorders>
              <w:bottom w:val="single" w:color="3d4f5f" w:sz="6"/>
            </w:tcBorders>
            <w:shd w:val="clear" w:fill="eceff1"/>
          </w:tcPr>
          <w:p>
            <w:pPr>
              <w:spacing w:before="60" w:after="60"/>
              <w:jc w:val="left"/>
            </w:pPr>
            <w:r>
              <w:rPr>
                <w:b/>
                <w:color w:val="263238"/>
                <w:sz w:val="20"/>
              </w:rPr>
              <w:t>Statement</w:t>
            </w:r>
          </w:p>
        </w:tc>
        <w:tc>
          <w:tcPr>
            <w:tcW w:w="1600" w:type="dxa"/>
            <w:tcBorders>
              <w:bottom w:val="single" w:color="3d4f5f" w:sz="6"/>
            </w:tcBorders>
            <w:shd w:val="clear" w:fill="eceff1"/>
          </w:tcPr>
          <w:p>
            <w:pPr>
              <w:spacing w:before="60" w:after="60"/>
              <w:jc w:val="left"/>
            </w:pPr>
            <w:r>
              <w:rPr>
                <w:b/>
                <w:color w:val="263238"/>
                <w:sz w:val="20"/>
              </w:rPr>
              <w:t>When Used</w:t>
            </w:r>
          </w:p>
        </w:tc>
        <w:tc>
          <w:tcPr>
            <w:tcW w:w="6400" w:type="dxa"/>
            <w:tcBorders>
              <w:bottom w:val="single" w:color="3d4f5f" w:sz="6"/>
            </w:tcBorders>
            <w:shd w:val="clear" w:fill="eceff1"/>
          </w:tcPr>
          <w:p>
            <w:pPr>
              <w:spacing w:before="60" w:after="60"/>
              <w:jc w:val="left"/>
            </w:pPr>
            <w:r>
              <w:rPr>
                <w:b/>
                <w:color w:val="263238"/>
                <w:sz w:val="20"/>
              </w:rPr>
              <w:t>Text</w:t>
            </w:r>
          </w:p>
        </w:tc>
      </w:tr>
      <w:tr>
        <w:tc>
          <w:tcPr>
            <w:tcW w:w="1600" w:type="dxa"/>
          </w:tcPr>
          <w:p>
            <w:pPr>
              <w:spacing w:before="40" w:after="40"/>
            </w:pPr>
            <w:r>
              <w:rPr>
                <w:color w:val="263238"/>
                <w:sz w:val="20"/>
              </w:rPr>
              <w:t>Opening Statement</w:t>
            </w:r>
          </w:p>
        </w:tc>
        <w:tc>
          <w:tcPr>
            <w:tcW w:w="1600" w:type="dxa"/>
          </w:tcPr>
          <w:p>
            <w:pPr>
              <w:spacing w:before="40" w:after="40"/>
            </w:pPr>
            <w:r>
              <w:rPr>
                <w:color w:val="263238"/>
                <w:sz w:val="20"/>
              </w:rPr>
              <w:t>Day 1 of 30-day window</w:t>
            </w:r>
          </w:p>
        </w:tc>
        <w:tc>
          <w:tcPr>
            <w:tcW w:w="6400" w:type="dxa"/>
          </w:tcPr>
          <w:p>
            <w:pPr>
              <w:spacing w:before="40" w:after="40"/>
            </w:pPr>
            <w:r>
              <w:rPr>
                <w:color w:val="263238"/>
                <w:sz w:val="20"/>
              </w:rPr>
              <w:t>The United States and Iran have established a technical maritime coordination channel to ensure the safe transit of commercial vessels through the Strait of Hormuz. The channel is operational and non-political.</w:t>
            </w:r>
          </w:p>
        </w:tc>
      </w:tr>
      <w:tr>
        <w:tc>
          <w:tcPr>
            <w:tcW w:w="1600" w:type="dxa"/>
          </w:tcPr>
          <w:p>
            <w:pPr>
              <w:spacing w:before="40" w:after="40"/>
            </w:pPr>
            <w:r>
              <w:rPr>
                <w:color w:val="263238"/>
                <w:sz w:val="20"/>
              </w:rPr>
              <w:t>Status Update</w:t>
            </w:r>
          </w:p>
        </w:tc>
        <w:tc>
          <w:tcPr>
            <w:tcW w:w="1600" w:type="dxa"/>
          </w:tcPr>
          <w:p>
            <w:pPr>
              <w:spacing w:before="40" w:after="40"/>
            </w:pPr>
            <w:r>
              <w:rPr>
                <w:color w:val="263238"/>
                <w:sz w:val="20"/>
              </w:rPr>
              <w:t>At end of 30 days (or at the conclusion of any extension)</w:t>
            </w:r>
          </w:p>
        </w:tc>
        <w:tc>
          <w:tcPr>
            <w:tcW w:w="6400" w:type="dxa"/>
          </w:tcPr>
          <w:p>
            <w:pPr>
              <w:spacing w:before="40" w:after="40"/>
            </w:pPr>
            <w:r>
              <w:rPr>
                <w:color w:val="263238"/>
                <w:sz w:val="20"/>
              </w:rPr>
              <w:t>The technical maritime coordination channel operated without interruption for 30 days. Both sides confirm all vessels transited safely. The channel continues on a technical basis.</w:t>
            </w:r>
          </w:p>
        </w:tc>
      </w:tr>
    </w:tbl>
    <w:p>
      <w:r>
        <w:t>The Opening Statement issues on Day 1 at 00:00 UTC through the Joint Coordination Center press office. The Status Update issues at the conclusion of the 30-day window (or at the conclusion of any extension) if the channel operated without interruption. Both statements carry identical text regardless of political circumstances. Neither statement changes in response to political events. Neither statement references any political development.</w:t>
      </w:r>
    </w:p>
    <w:p>
      <w:pPr>
        <w:pStyle w:val="Heading1"/>
      </w:pPr>
      <w:r>
        <w:t>Section 8: Operational Checklist for Activation</w:t>
      </w:r>
      <w:bookmarkStart w:name="_Toc009" w:id="10"/>
      <w:bookmarkEnd w:id="10"/>
    </w:p>
    <w:p>
      <w:pPr>
        <w:pStyle w:val="Heading2"/>
      </w:pPr>
      <w:r>
        <w:t>8.1 Pre-Activation (To Be Completed Before Day 1)</w:t>
      </w:r>
    </w:p>
    <w:tbl>
      <w:tblPr>
        <w:tblW w:w="5000" w:type="pct"/>
        <w:tblBorders>
          <w:top w:val="single" w:color="3d4f5f" w:sz="12"/>
          <w:left w:val="nil"/>
          <w:bottom w:val="single" w:color="3d4f5f" w:sz="12"/>
          <w:right w:val="nil"/>
          <w:insideH w:val="single" w:color="cfd8dc" w:sz="4"/>
          <w:insideV w:val="nil"/>
        </w:tblBorders>
      </w:tblPr>
      <w:tblGrid>
        <w:gridCol w:w="1400"/>
        <w:gridCol w:w="8600"/>
      </w:tblGrid>
      <w:tr>
        <w:trPr>
          <w:tblHeader/>
        </w:trPr>
        <w:tc>
          <w:tcPr>
            <w:tcW w:w="1400" w:type="dxa"/>
            <w:tcBorders>
              <w:bottom w:val="single" w:color="3d4f5f" w:sz="6"/>
            </w:tcBorders>
            <w:shd w:val="clear" w:fill="eceff1"/>
          </w:tcPr>
          <w:p>
            <w:pPr>
              <w:spacing w:before="60" w:after="60"/>
              <w:jc w:val="left"/>
            </w:pPr>
            <w:r>
              <w:rPr>
                <w:b/>
                <w:color w:val="263238"/>
                <w:sz w:val="20"/>
              </w:rPr>
              <w:t>Party</w:t>
            </w:r>
          </w:p>
        </w:tc>
        <w:tc>
          <w:tcPr>
            <w:tcW w:w="8600" w:type="dxa"/>
            <w:tcBorders>
              <w:bottom w:val="single" w:color="3d4f5f" w:sz="6"/>
            </w:tcBorders>
            <w:shd w:val="clear" w:fill="eceff1"/>
          </w:tcPr>
          <w:p>
            <w:pPr>
              <w:spacing w:before="60" w:after="60"/>
              <w:jc w:val="left"/>
            </w:pPr>
            <w:r>
              <w:rPr>
                <w:b/>
                <w:color w:val="263238"/>
                <w:sz w:val="20"/>
              </w:rPr>
              <w:t>Action</w:t>
            </w:r>
          </w:p>
        </w:tc>
      </w:tr>
      <w:tr>
        <w:tc>
          <w:tcPr>
            <w:tcW w:w="1400" w:type="dxa"/>
          </w:tcPr>
          <w:p>
            <w:pPr>
              <w:spacing w:before="40" w:after="40"/>
            </w:pPr>
            <w:r>
              <w:rPr>
                <w:color w:val="263238"/>
                <w:sz w:val="20"/>
              </w:rPr>
              <w:t>Iran</w:t>
            </w:r>
          </w:p>
        </w:tc>
        <w:tc>
          <w:tcPr>
            <w:tcW w:w="8600" w:type="dxa"/>
          </w:tcPr>
          <w:p>
            <w:pPr>
              <w:spacing w:before="40" w:after="40"/>
            </w:pPr>
            <w:r>
              <w:rPr>
                <w:color w:val="263238"/>
                <w:sz w:val="20"/>
              </w:rPr>
              <w:t>Designate Channel officers by name and rank. Submit to Omani facilitator.</w:t>
            </w:r>
          </w:p>
        </w:tc>
      </w:tr>
      <w:tr>
        <w:tc>
          <w:tcPr>
            <w:tcW w:w="1400" w:type="dxa"/>
          </w:tcPr>
          <w:p>
            <w:pPr>
              <w:spacing w:before="40" w:after="40"/>
            </w:pPr>
            <w:r>
              <w:rPr>
                <w:color w:val="263238"/>
                <w:sz w:val="20"/>
              </w:rPr>
              <w:t>Iran</w:t>
            </w:r>
          </w:p>
        </w:tc>
        <w:tc>
          <w:tcPr>
            <w:tcW w:w="8600" w:type="dxa"/>
          </w:tcPr>
          <w:p>
            <w:pPr>
              <w:spacing w:before="40" w:after="40"/>
            </w:pPr>
            <w:r>
              <w:rPr>
                <w:color w:val="263238"/>
                <w:sz w:val="20"/>
              </w:rPr>
              <w:t>Confirm VHF-FM frequency is operational and secure.</w:t>
            </w:r>
          </w:p>
        </w:tc>
      </w:tr>
      <w:tr>
        <w:tc>
          <w:tcPr>
            <w:tcW w:w="1400" w:type="dxa"/>
          </w:tcPr>
          <w:p>
            <w:pPr>
              <w:spacing w:before="40" w:after="40"/>
            </w:pPr>
            <w:r>
              <w:rPr>
                <w:color w:val="263238"/>
                <w:sz w:val="20"/>
              </w:rPr>
              <w:t>Iran</w:t>
            </w:r>
          </w:p>
        </w:tc>
        <w:tc>
          <w:tcPr>
            <w:tcW w:w="8600" w:type="dxa"/>
          </w:tcPr>
          <w:p>
            <w:pPr>
              <w:spacing w:before="40" w:after="40"/>
            </w:pPr>
            <w:r>
              <w:rPr>
                <w:color w:val="263238"/>
                <w:sz w:val="20"/>
              </w:rPr>
              <w:t>Confirm backup satellite communications are tested and functioning.</w:t>
            </w:r>
          </w:p>
        </w:tc>
      </w:tr>
      <w:tr>
        <w:tc>
          <w:tcPr>
            <w:tcW w:w="1400" w:type="dxa"/>
          </w:tcPr>
          <w:p>
            <w:pPr>
              <w:spacing w:before="40" w:after="40"/>
            </w:pPr>
            <w:r>
              <w:rPr>
                <w:color w:val="263238"/>
                <w:sz w:val="20"/>
              </w:rPr>
              <w:t>U.S.</w:t>
            </w:r>
          </w:p>
        </w:tc>
        <w:tc>
          <w:tcPr>
            <w:tcW w:w="8600" w:type="dxa"/>
          </w:tcPr>
          <w:p>
            <w:pPr>
              <w:spacing w:before="40" w:after="40"/>
            </w:pPr>
            <w:r>
              <w:rPr>
                <w:color w:val="263238"/>
                <w:sz w:val="20"/>
              </w:rPr>
              <w:t>Designate Channel officers by name and rank. Submit to Omani facilitator.</w:t>
            </w:r>
          </w:p>
        </w:tc>
      </w:tr>
      <w:tr>
        <w:tc>
          <w:tcPr>
            <w:tcW w:w="1400" w:type="dxa"/>
          </w:tcPr>
          <w:p>
            <w:pPr>
              <w:spacing w:before="40" w:after="40"/>
            </w:pPr>
            <w:r>
              <w:rPr>
                <w:color w:val="263238"/>
                <w:sz w:val="20"/>
              </w:rPr>
              <w:t>U.S.</w:t>
            </w:r>
          </w:p>
        </w:tc>
        <w:tc>
          <w:tcPr>
            <w:tcW w:w="8600" w:type="dxa"/>
          </w:tcPr>
          <w:p>
            <w:pPr>
              <w:spacing w:before="40" w:after="40"/>
            </w:pPr>
            <w:r>
              <w:rPr>
                <w:color w:val="263238"/>
                <w:sz w:val="20"/>
              </w:rPr>
              <w:t>Confirm VHF-FM frequency is operational and secure.</w:t>
            </w:r>
          </w:p>
        </w:tc>
      </w:tr>
      <w:tr>
        <w:tc>
          <w:tcPr>
            <w:tcW w:w="1400" w:type="dxa"/>
          </w:tcPr>
          <w:p>
            <w:pPr>
              <w:spacing w:before="40" w:after="40"/>
            </w:pPr>
            <w:r>
              <w:rPr>
                <w:color w:val="263238"/>
                <w:sz w:val="20"/>
              </w:rPr>
              <w:t>U.S.</w:t>
            </w:r>
          </w:p>
        </w:tc>
        <w:tc>
          <w:tcPr>
            <w:tcW w:w="8600" w:type="dxa"/>
          </w:tcPr>
          <w:p>
            <w:pPr>
              <w:spacing w:before="40" w:after="40"/>
            </w:pPr>
            <w:r>
              <w:rPr>
                <w:color w:val="263238"/>
                <w:sz w:val="20"/>
              </w:rPr>
              <w:t>Confirm backup satellite communications are tested and functioning.</w:t>
            </w:r>
          </w:p>
        </w:tc>
      </w:tr>
      <w:tr>
        <w:tc>
          <w:tcPr>
            <w:tcW w:w="1400" w:type="dxa"/>
          </w:tcPr>
          <w:p>
            <w:pPr>
              <w:spacing w:before="40" w:after="40"/>
            </w:pPr>
            <w:r>
              <w:rPr>
                <w:color w:val="263238"/>
                <w:sz w:val="20"/>
              </w:rPr>
              <w:t>Both</w:t>
            </w:r>
          </w:p>
        </w:tc>
        <w:tc>
          <w:tcPr>
            <w:tcW w:w="8600" w:type="dxa"/>
          </w:tcPr>
          <w:p>
            <w:pPr>
              <w:spacing w:before="40" w:after="40"/>
            </w:pPr>
            <w:r>
              <w:rPr>
                <w:color w:val="263238"/>
                <w:sz w:val="20"/>
              </w:rPr>
              <w:t>Acknowledge the Political Decoupling Mandate in writing.</w:t>
            </w:r>
          </w:p>
        </w:tc>
      </w:tr>
      <w:tr>
        <w:tc>
          <w:tcPr>
            <w:tcW w:w="1400" w:type="dxa"/>
          </w:tcPr>
          <w:p>
            <w:pPr>
              <w:spacing w:before="40" w:after="40"/>
            </w:pPr>
            <w:r>
              <w:rPr>
                <w:color w:val="263238"/>
                <w:sz w:val="20"/>
              </w:rPr>
              <w:t>Both</w:t>
            </w:r>
          </w:p>
        </w:tc>
        <w:tc>
          <w:tcPr>
            <w:tcW w:w="8600" w:type="dxa"/>
          </w:tcPr>
          <w:p>
            <w:pPr>
              <w:spacing w:before="40" w:after="40"/>
            </w:pPr>
            <w:r>
              <w:rPr>
                <w:color w:val="263238"/>
                <w:sz w:val="20"/>
              </w:rPr>
              <w:t>Confirm no political appointees hold Channel roles.</w:t>
            </w:r>
          </w:p>
        </w:tc>
      </w:tr>
      <w:tr>
        <w:tc>
          <w:tcPr>
            <w:tcW w:w="1400" w:type="dxa"/>
          </w:tcPr>
          <w:p>
            <w:pPr>
              <w:spacing w:before="40" w:after="40"/>
            </w:pPr>
            <w:r>
              <w:rPr>
                <w:color w:val="263238"/>
                <w:sz w:val="20"/>
              </w:rPr>
              <w:t>Both</w:t>
            </w:r>
          </w:p>
        </w:tc>
        <w:tc>
          <w:tcPr>
            <w:tcW w:w="8600" w:type="dxa"/>
          </w:tcPr>
          <w:p>
            <w:pPr>
              <w:spacing w:before="40" w:after="40"/>
            </w:pPr>
            <w:r>
              <w:rPr>
                <w:color w:val="263238"/>
                <w:sz w:val="20"/>
              </w:rPr>
              <w:t>Accept the pre-formatted message templates as binding.</w:t>
            </w:r>
          </w:p>
        </w:tc>
      </w:tr>
      <w:tr>
        <w:tc>
          <w:tcPr>
            <w:tcW w:w="1400" w:type="dxa"/>
          </w:tcPr>
          <w:p>
            <w:pPr>
              <w:spacing w:before="40" w:after="40"/>
            </w:pPr>
            <w:r>
              <w:rPr>
                <w:color w:val="263238"/>
                <w:sz w:val="20"/>
              </w:rPr>
              <w:t>Oman</w:t>
            </w:r>
          </w:p>
        </w:tc>
        <w:tc>
          <w:tcPr>
            <w:tcW w:w="8600" w:type="dxa"/>
          </w:tcPr>
          <w:p>
            <w:pPr>
              <w:spacing w:before="40" w:after="40"/>
            </w:pPr>
            <w:r>
              <w:rPr>
                <w:color w:val="263238"/>
                <w:sz w:val="20"/>
              </w:rPr>
              <w:t>Confirm relay infrastructure is operational.</w:t>
            </w:r>
          </w:p>
        </w:tc>
      </w:tr>
      <w:tr>
        <w:tc>
          <w:tcPr>
            <w:tcW w:w="1400" w:type="dxa"/>
          </w:tcPr>
          <w:p>
            <w:pPr>
              <w:spacing w:before="40" w:after="40"/>
            </w:pPr>
            <w:r>
              <w:rPr>
                <w:color w:val="263238"/>
                <w:sz w:val="20"/>
              </w:rPr>
              <w:t>Oman</w:t>
            </w:r>
          </w:p>
        </w:tc>
        <w:tc>
          <w:tcPr>
            <w:tcW w:w="8600" w:type="dxa"/>
          </w:tcPr>
          <w:p>
            <w:pPr>
              <w:spacing w:before="40" w:after="40"/>
            </w:pPr>
            <w:r>
              <w:rPr>
                <w:color w:val="263238"/>
                <w:sz w:val="20"/>
              </w:rPr>
              <w:t>Confirm logging system is append-only and dual-key encrypted.</w:t>
            </w:r>
          </w:p>
        </w:tc>
      </w:tr>
    </w:tbl>
    <w:p>
      <w:pPr>
        <w:pStyle w:val="Heading2"/>
      </w:pPr>
      <w:r>
        <w:t>8.2 Activation</w:t>
      </w:r>
    </w:p>
    <w:p>
      <w:r>
        <w:t>Upon receipt of all confirmations listed in Section 8.1, the Omani facilitator issues a single-sentence activation notice to both Parties:</w:t>
      </w:r>
    </w:p>
    <w:p>
      <w:pPr>
        <w:shd w:val="clear" w:fill="eceff1"/>
        <w:spacing w:before="200" w:after="200"/>
        <w:jc w:val="center"/>
      </w:pPr>
      <w:r>
        <w:rPr>
          <w:b/>
          <w:color w:val="263238"/>
          <w:sz w:val="22"/>
        </w:rPr>
        <w:t>"Maritime coordination channel is operational. 30-day window begins at 00:00 UTC."</w:t>
      </w:r>
    </w:p>
    <w:p>
      <w:r>
        <w:t>This notice constitutes the sole activation instrument. No signature ceremony occurs. No televised event accompanies activation. No handshake, photo opportunity, or public appearance is scheduled. The channel activates as a technical system, not as a political moment.</w:t>
      </w:r>
    </w:p>
    <w:p>
      <w:pPr>
        <w:pStyle w:val="Heading2"/>
      </w:pPr>
      <w:r>
        <w:t>8.3 Mid-Point Technical Review (Day 15)</w:t>
      </w:r>
    </w:p>
    <w:p>
      <w:r>
        <w:t>At the midpoint of the 30-day window, the Omani facilitator convenes a technical review session. The review assesses:</w:t>
      </w:r>
    </w:p>
    <w:p>
      <w:pPr>
        <w:numPr>
          <w:ilvl w:val="0"/>
          <w:numId w:val="1"/>
        </w:numPr>
      </w:pPr>
      <w:r>
        <w:t>Channel uptime and response time metrics for the first 15 days.</w:t>
      </w:r>
    </w:p>
    <w:p>
      <w:pPr>
        <w:numPr>
          <w:ilvl w:val="0"/>
          <w:numId w:val="1"/>
        </w:numPr>
      </w:pPr>
      <w:r>
        <w:t>Any incidents logged during the period and their resolution status.</w:t>
      </w:r>
    </w:p>
    <w:p>
      <w:pPr>
        <w:numPr>
          <w:ilvl w:val="0"/>
          <w:numId w:val="1"/>
        </w:numPr>
      </w:pPr>
      <w:r>
        <w:t>Any Political Zero Line violations and the resulting technical pauses.</w:t>
      </w:r>
    </w:p>
    <w:p>
      <w:pPr>
        <w:numPr>
          <w:ilvl w:val="0"/>
          <w:numId w:val="1"/>
        </w:numPr>
      </w:pPr>
      <w:r>
        <w:t>The operational readiness of personnel for the remaining 15 days.</w:t>
      </w:r>
    </w:p>
    <w:p>
      <w:r>
        <w:t>The review produces a confidential technical report for both Parties' designated maritime authorities. The report contains no political analysis and is not shared with political officials. The review is purely operational and carries no political weight.</w:t>
      </w:r>
    </w:p>
    <w:p>
      <w:r>
        <w:t>The Day 15 review does not constitute a renegotiation, a checkpoint for political conditions, or an opportunity to introduce new requirements. The review serves only to identify and resolve technical issues before they affect the remaining operational period.</w:t>
      </w:r>
    </w:p>
    <w:p>
      <w:pPr>
        <w:pStyle w:val="Heading1"/>
      </w:pPr>
      <w:r>
        <w:t>Section 9: Channel Resilience Annex</w:t>
      </w:r>
      <w:bookmarkStart w:name="_Toc011" w:id="11"/>
      <w:bookmarkEnd w:id="11"/>
    </w:p>
    <w:p>
      <w:r>
        <w:t>This Section establishes the protocols for channel continuity when Omani facilitation becomes unavailable. The Channel Resilience Annex activates only when the primary facilitation structure in Muscat cannot operate. This Annex ensures that the channel survives the incapacitation of any single facilitator, whether through natural disaster, attack, or political shift.</w:t>
      </w:r>
    </w:p>
    <w:p>
      <w:pPr>
        <w:pStyle w:val="Heading2"/>
      </w:pPr>
      <w:r>
        <w:t>9.1 Designated Backup Facilitator</w:t>
      </w:r>
    </w:p>
    <w:p>
      <w:r>
        <w:t>The Republic of Singapore serves as the designated backup facilitator. Singapore assumes this role through its Maritime and Port Authority, which maintains the technical infrastructure, maritime expertise, and political neutrality required for channel facilitation.</w:t>
      </w:r>
    </w:p>
    <w:p>
      <w:r>
        <w:t>Singapore's role as backup activates only upon the trigger conditions in Section 9.4. While inactive, Singapore maintains: a standby control room at the Maritime and Port Authority Operations Center; pre-configured communication equipment compatible with the Primary and Backup Links; and a roster of trained facilitators who participate in quarterly technical drills with the Omani team.</w:t>
      </w:r>
    </w:p>
    <w:p>
      <w:pPr>
        <w:pStyle w:val="Heading2"/>
      </w:pPr>
      <w:r>
        <w:t>9.2 Alternate Control Location</w:t>
      </w:r>
    </w:p>
    <w:p>
      <w:r>
        <w:t>The International Maritime Organization headquarters in London serves as the alternate control location. The IMO provides a legally protected international space for channel operations if both Muscat and Singapore become unavailable.</w:t>
      </w:r>
    </w:p>
    <w:p>
      <w:r>
        <w:t>The IMO control location operates through a dedicated room within the IMO Secretariat. The room maintains: independent communication links to both Parties' naval command centers; secure data storage for channel logs with the same dual-key encryption used in the primary system; and physical security through IMO diplomatic protections.</w:t>
      </w:r>
    </w:p>
    <w:p>
      <w:pPr>
        <w:pStyle w:val="Heading2"/>
      </w:pPr>
      <w:r>
        <w:t>9.3 Fallback Communication Architecture</w:t>
      </w:r>
    </w:p>
    <w:p>
      <w:r>
        <w:t>If both the Primary Link (VHF-FM) and Backup Link (INMARSAT-C through Oman) fail, the channel activates the Fallback Communication Architecture. This architecture routes communications through third-party maritime relay stations operated by neutral states.</w:t>
      </w:r>
    </w:p>
    <w:p>
      <w:r>
        <w:t>The fallback relay network includes: the Indian Navy Maritime Coordination Center in Mumbai; the Pakistan Maritime Security Agency coordination center in Karachi; and the Qatari Emiri Navy operations center in Doha. Each relay station possesses the channel frequency assignments, the current call sign rotation schedule, and the message template library.</w:t>
      </w:r>
    </w:p>
    <w:p>
      <w:r>
        <w:t>The fallback relays operate on a rotating priority system. The Indian relay serves as first fallback, the Pakistani relay as second fallback, and the Qatari relay as third fallback. The Omani facilitator determines the active fallback relay based on technical availability and geographic proximity to the affected sector.</w:t>
      </w:r>
    </w:p>
    <w:p>
      <w:r>
        <w:t>In addition to the maritime relay network, the Fallback Communication Architecture includes a quantum key distribution (QKD) backup layer. The QKD layer operates through dedicated fiber-optic links between Muscat, Singapore, and London, providing theoretically unbreakable encryption for high-priority channel communications. The QKD layer activates only when both the Primary Link and the conventional Backup Link experience cryptographic compromise. The QKD infrastructure is maintained by the Swiss Federal Institute of Technology as a neutral technical custodian.</w:t>
      </w:r>
    </w:p>
    <w:p>
      <w:pPr>
        <w:pStyle w:val="Heading2"/>
      </w:pPr>
      <w:r>
        <w:t>9.4 Auto-Transfer Protocol</w:t>
      </w:r>
    </w:p>
    <w:p>
      <w:r>
        <w:t>The auto-transfer protocol triggers when Omani facilitation becomes unavailable for 48 consecutive hours. Unavailability is defined as: no response from the Omani Maritime Coordination Center through any of the three communication links; no generation of the daily Channel Health Status report; or a formal notification from the Omani government that facilitation is suspended.</w:t>
      </w:r>
    </w:p>
    <w:p>
      <w:r>
        <w:t>Upon trigger activation, the following sequence executes automatically:</w:t>
      </w:r>
    </w:p>
    <w:p>
      <w:pPr>
        <w:numPr>
          <w:ilvl w:val="0"/>
          <w:numId w:val="1"/>
        </w:numPr>
      </w:pPr>
      <w:r>
        <w:t>At Hour 48: Both Parties' senior watch officers receive a pre-formatted auto-transfer notification through the Emergency Link.</w:t>
      </w:r>
    </w:p>
    <w:p>
      <w:pPr>
        <w:numPr>
          <w:ilvl w:val="0"/>
          <w:numId w:val="1"/>
        </w:numPr>
      </w:pPr>
      <w:r>
        <w:t>At Hour 49: The Singapore Maritime and Port Authority activates its standby control room.</w:t>
      </w:r>
    </w:p>
    <w:p>
      <w:pPr>
        <w:numPr>
          <w:ilvl w:val="0"/>
          <w:numId w:val="1"/>
        </w:numPr>
      </w:pPr>
      <w:r>
        <w:t>At Hour 50: Singapore assumes channel facilitation with full operational authority equivalent to the Omani facilitator.</w:t>
      </w:r>
    </w:p>
    <w:p>
      <w:pPr>
        <w:numPr>
          <w:ilvl w:val="0"/>
          <w:numId w:val="1"/>
        </w:numPr>
      </w:pPr>
      <w:r>
        <w:t>At Hour 51: Both Parties confirm the transfer through the Backup Link operated through Singapore's INMARSAT-C relay.</w:t>
      </w:r>
    </w:p>
    <w:p>
      <w:pPr>
        <w:numPr>
          <w:ilvl w:val="0"/>
          <w:numId w:val="1"/>
        </w:numPr>
      </w:pPr>
      <w:r>
        <w:t>At Hour 72: Singapore generates its first Channel Health Status report, establishing the new operational baseline.</w:t>
      </w:r>
    </w:p>
    <w:p>
      <w:r>
        <w:t>If Singapore is also unavailable at the time of trigger, the protocol escalates to the IMO alternate control location. The IMO assumes facilitation within 72 hours of the trigger.</w:t>
      </w:r>
    </w:p>
    <w:p>
      <w:r>
        <w:t>The auto-transfer protocol does not require political approval from either Party. The transfer is a technical continuity measure, not a diplomatic event. The channel resumes with identical protocols, identical templates, and identical procedures regardless of which facilitator operates the channel.</w:t>
      </w:r>
    </w:p>
    <w:p>
      <w:pPr>
        <w:pStyle w:val="Heading2"/>
      </w:pPr>
      <w:r>
        <w:t>9.5 Facilitator Coordination Protocol</w:t>
      </w:r>
    </w:p>
    <w:p>
      <w:r>
        <w:t>The Omani, Singaporean, and IMO facilitators maintain continuous coordination through a dedicated Resilience Coordination Link. This link operates independently of the channel itself and ensures that all three facilitators share identical operational data:</w:t>
      </w:r>
    </w:p>
    <w:p>
      <w:pPr>
        <w:numPr>
          <w:ilvl w:val="0"/>
          <w:numId w:val="1"/>
        </w:numPr>
      </w:pPr>
      <w:r>
        <w:t>The current call sign rotation schedule, updated every 72 hours.</w:t>
      </w:r>
    </w:p>
    <w:p>
      <w:pPr>
        <w:numPr>
          <w:ilvl w:val="0"/>
          <w:numId w:val="1"/>
        </w:numPr>
      </w:pPr>
      <w:r>
        <w:t>The active frequency assignments for the Primary Link.</w:t>
      </w:r>
    </w:p>
    <w:p>
      <w:pPr>
        <w:numPr>
          <w:ilvl w:val="0"/>
          <w:numId w:val="1"/>
        </w:numPr>
      </w:pPr>
      <w:r>
        <w:t>The current duty officer roster for both Parties.</w:t>
      </w:r>
    </w:p>
    <w:p>
      <w:pPr>
        <w:numPr>
          <w:ilvl w:val="0"/>
          <w:numId w:val="1"/>
        </w:numPr>
      </w:pPr>
      <w:r>
        <w:t>The message template library, updated immediately upon any template revision.</w:t>
      </w:r>
    </w:p>
    <w:p>
      <w:r>
        <w:t>The Resilience Coordination Link operates through encrypted diplomatic communications, not through the channel's operational links. This separation ensures that the coordination link survives a channel communication failure.</w:t>
      </w:r>
    </w:p>
    <w:p>
      <w:pPr>
        <w:pStyle w:val="Heading2"/>
      </w:pPr>
      <w:r>
        <w:t>9.6 Neutrality Compromise Protocol</w:t>
      </w:r>
    </w:p>
    <w:p>
      <w:r>
        <w:t>If the Omani facilitator's neutrality is compromised through political shift, the auto-transfer protocol in Section 9.4 activates with accelerated timing. Neutrality compromise is distinct from physical incapacitation. Physical incapacitation triggers the standard 48-hour auto-transfer protocol. Neutrality compromise triggers an immediate 24-hour accelerated transfer.</w:t>
      </w:r>
    </w:p>
    <w:p>
      <w:r>
        <w:t>Neutrality compromise is defined as any of the following conditions:</w:t>
      </w:r>
    </w:p>
    <w:p>
      <w:pPr>
        <w:numPr>
          <w:ilvl w:val="0"/>
          <w:numId w:val="1"/>
        </w:numPr>
      </w:pPr>
      <w:r>
        <w:t>The Omani government issues political statements about the channel, its operations, its personnel, or its relationship to either Party.</w:t>
      </w:r>
    </w:p>
    <w:p>
      <w:pPr>
        <w:numPr>
          <w:ilvl w:val="0"/>
          <w:numId w:val="1"/>
        </w:numPr>
      </w:pPr>
      <w:r>
        <w:t>Omani officials attempt to influence channel communications, direct template selection, modify message content, or override duty officer decisions.</w:t>
      </w:r>
    </w:p>
    <w:p>
      <w:pPr>
        <w:numPr>
          <w:ilvl w:val="0"/>
          <w:numId w:val="1"/>
        </w:numPr>
      </w:pPr>
      <w:r>
        <w:t>Either Party formally notifies the other, through the Resilience Coordination Link, that Oman's neutrality is in doubt, and the other Party confirms the concern within 24 hours.</w:t>
      </w:r>
    </w:p>
    <w:p>
      <w:r>
        <w:t>Upon activation of the Neutrality Compromise Protocol, Singapore assumes facilitation within 24 hours. The accelerated sequence executes as follows:</w:t>
      </w:r>
    </w:p>
    <w:p>
      <w:pPr>
        <w:numPr>
          <w:ilvl w:val="0"/>
          <w:numId w:val="1"/>
        </w:numPr>
      </w:pPr>
      <w:r>
        <w:t>At Hour 0: The concern is formally registered through the Resilience Coordination Link.</w:t>
      </w:r>
    </w:p>
    <w:p>
      <w:pPr>
        <w:numPr>
          <w:ilvl w:val="0"/>
          <w:numId w:val="1"/>
        </w:numPr>
      </w:pPr>
      <w:r>
        <w:t>At Hour 12: Singapore begins pre-activation of its standby control room.</w:t>
      </w:r>
    </w:p>
    <w:p>
      <w:pPr>
        <w:numPr>
          <w:ilvl w:val="0"/>
          <w:numId w:val="1"/>
        </w:numPr>
      </w:pPr>
      <w:r>
        <w:t>At Hour 18: Both Parties confirm readiness for the transfer through the Emergency Link.</w:t>
      </w:r>
    </w:p>
    <w:p>
      <w:pPr>
        <w:numPr>
          <w:ilvl w:val="0"/>
          <w:numId w:val="1"/>
        </w:numPr>
      </w:pPr>
      <w:r>
        <w:t>At Hour 24: Singapore assumes full facilitation authority.</w:t>
      </w:r>
    </w:p>
    <w:p>
      <w:r>
        <w:t>The Neutrality Compromise Protocol does not require proof of bad faith. The protocol activates on the appearance of compromised neutrality, not on the confirmation of deliberate bias. The architecture prioritizes channel integrity over diplomatic sensitivity.</w:t>
      </w:r>
    </w:p>
    <w:p>
      <w:pPr>
        <w:pStyle w:val="Heading2"/>
      </w:pPr>
      <w:r>
        <w:t>9.7 Escrow Survival Fund Allocation</w:t>
      </w:r>
    </w:p>
    <w:p>
      <w:r>
        <w:t>The Channel Resilience Annex receives funding through a dedicated 2 percent allocation from the Escrow Survival Fund. This allocation is automatic and requires no Joint Coordination Committee approval. The allocation occurs simultaneously with each deposit into the Escrow Survival Fund and is segregated into a separate Resilience Operations Account.</w:t>
      </w:r>
    </w:p>
    <w:p>
      <w:r>
        <w:t>The 2 percent allocation covers the following operational costs: Singapore's standby control room maintenance, including equipment testing, personnel training, and quarterly technical drills with the Omani team; the IMO alternate control room maintenance, including physical security, communication equipment readiness, and annual infrastructure audits; fallback relay station coordination costs, including equipment pre-positioning at the Indian, Pakistani, and Qatari maritime centers and periodic connectivity testing; and quantum key distribution infrastructure maintenance, including fiber-optic link integrity verification and cryptographic key refresh cycles.</w:t>
      </w:r>
    </w:p>
    <w:p>
      <w:r>
        <w:t>The Neutrality Mesh Technical Director reviews the allocation annually. The review examines: expenditure against budget for each cost category; technical readiness metrics for each backup facility; and recommended allocation adjustments based on operational requirements. The Director issues a confidential technical report to both Parties' designated financial authorities. The report contains no political analysis.</w:t>
      </w:r>
    </w:p>
    <w:p>
      <w:r>
        <w:t>If the Escrow Survival Fund is depleted, the Resilience Operations Account maintains a minimum 6-month operating reserve. This reserve is non-fungible and is not subject to reallocation, redirection, or clawback. The reserve ensures that channel resilience infrastructure survives even if the broader escrow mechanism experiences funding disruption.</w:t>
      </w:r>
    </w:p>
    <w:p>
      <w:pPr>
        <w:pStyle w:val="Heading1"/>
      </w:pPr>
      <w:r>
        <w:t>Section 10: Channel Recovery and Reconstitution Protocol</w:t>
      </w:r>
      <w:bookmarkStart w:name="_Toc012" w:id="12"/>
      <w:bookmarkEnd w:id="12"/>
    </w:p>
    <w:p>
      <w:r>
        <w:t>This Section establishes the pre-negotiated framework for channel recovery if the channel collapses completely. A complete collapse is defined as: the channel ceasing all communications for 72 consecutive hours; both the Primary and Backup Links failing simultaneously; or a Level 5 Channel Breach that renders the channel inoperable even after technical reset.</w:t>
      </w:r>
    </w:p>
    <w:p>
      <w:r>
        <w:t>The Recovery and Reconstitution Protocol operates in four phases. Each phase has a defined duration, specific objectives, and clear transition criteria.</w:t>
      </w:r>
    </w:p>
    <w:p>
      <w:pPr>
        <w:pStyle w:val="Heading2"/>
      </w:pPr>
      <w:r>
        <w:t>10.1 Phase One: Emergency Humanitarian Shipping Corridor (Days 1-7)</w:t>
      </w:r>
    </w:p>
    <w:p>
      <w:r>
        <w:t>Phase One prioritizes the safety of commercial and humanitarian vessels transiting the Strait of Hormuz. During this phase, both Parties establish an International Maritime Corridor operating under pre-existing international maritime law, independent of the channel.</w:t>
      </w:r>
    </w:p>
    <w:p>
      <w:r>
        <w:t>The Emergency Maritime Corridor functions as follows: both Parties publish Notice to Mariners advisories designating the corridor boundaries and transit procedures; all military vessels maintain a minimum 5-nautical-mile stand-off distance from commercial vessels in the corridor; the International Maritime Bureau Piracy Reporting Centre in Kuala Lumpur assumes temporary vessel tracking coordination; and both Parties commit to non-interdiction of vessels displaying the corridor transit flag.</w:t>
      </w:r>
    </w:p>
    <w:p>
      <w:r>
        <w:t>Phase One does not require channel communications. The corridor operates on published rules, not on real-time coordination. The purpose is to prevent a channel collapse from becoming a maritime safety catastrophe.</w:t>
      </w:r>
    </w:p>
    <w:p>
      <w:pPr>
        <w:pStyle w:val="Heading2"/>
      </w:pPr>
      <w:r>
        <w:t>10.2 Phase Two: Technical Assessment and Architecture Review (Days 8-14)</w:t>
      </w:r>
    </w:p>
    <w:p>
      <w:r>
        <w:t>Phase Two focuses on determining why the channel collapsed and what technical changes prevent recurrence. The Omani facilitator, or the designated backup facilitator if Oman is unavailable, convenes a technical assessment team.</w:t>
      </w:r>
    </w:p>
    <w:p>
      <w:r>
        <w:t>The assessment team examines: the complete channel log archive from the 30 days preceding the collapse; the Channel Health Status reports from the same period; any Political Zero Line violations and their resolution outcomes; the status of all communication links at the time of collapse; and the conduct of all duty officers during the final 72 hours of channel operation.</w:t>
      </w:r>
    </w:p>
    <w:p>
      <w:r>
        <w:t>The assessment produces a Technical Collapse Report within 7 days. The report contains: the proximate technical cause of the collapse; contributing factors that accelerated the failure; recommended architectural changes to prevent recurrence; and a readiness assessment for channel reconstitution.</w:t>
      </w:r>
    </w:p>
    <w:p>
      <w:r>
        <w:t>The report is confidential and technical. It contains no political analysis, no blame assignment, and no attribution of motive.</w:t>
      </w:r>
    </w:p>
    <w:p>
      <w:pPr>
        <w:pStyle w:val="Heading2"/>
      </w:pPr>
      <w:r>
        <w:t>10.3 Phase Three: Channel Reconstitution with Adjusted Protocols (Days 15-30)</w:t>
      </w:r>
    </w:p>
    <w:p>
      <w:r>
        <w:t>Phase Three rebuilds the channel with modifications based on the Technical Collapse Report findings. The reconstituted channel incorporates all lessons learned from the collapse.</w:t>
      </w:r>
    </w:p>
    <w:p>
      <w:r>
        <w:t>The reconstitution process includes: implementation of all architectural changes recommended in the Technical Collapse Report; re-verification of all communication links by both Parties' technical teams; re-designation of all duty officers with fresh biometric confirmation; re-testing of all message templates for completeness and clarity; and a 72-hour shakedown period during which the channel operates at reduced capacity.</w:t>
      </w:r>
    </w:p>
    <w:p>
      <w:r>
        <w:t>During the shakedown period, the channel handles only routine traffic templates. Incident response and escalation management templates activate only after the shakedown period concludes successfully.</w:t>
      </w:r>
    </w:p>
    <w:p>
      <w:pPr>
        <w:pStyle w:val="Heading2"/>
      </w:pPr>
      <w:r>
        <w:t>10.4 Phase Four: Return to Normal Operations (Day 31 Onward)</w:t>
      </w:r>
    </w:p>
    <w:p>
      <w:r>
        <w:t>Phase Four marks the return to full channel operations. The channel resumes all template categories, all escalation levels, and all monitoring protocols.</w:t>
      </w:r>
    </w:p>
    <w:p>
      <w:r>
        <w:t>Phase Four also implements the Lessons Learned Integration Protocol. Under this protocol, all findings from the Technical Collapse Report integrate into the channel's standard operating procedures. Specific integration actions include: updating the message template library to address any gaps identified during the collapse; adjusting the Channel Health Monitor thresholds based on actual collapse indicators; revising the duty officer training program to include collapse-scenario simulations; and updating the Channel Resilience Annex if the collapse revealed vulnerabilities in the backup facilitation structure.</w:t>
      </w:r>
    </w:p>
    <w:p>
      <w:r>
        <w:t>The Lessons Learned Integration Protocol ensures that a channel collapse, while undesirable, produces lasting improvements to channel resilience. Each collapse strengthens the architecture against future failures.</w:t>
      </w:r>
    </w:p>
    <w:p>
      <w:pPr>
        <w:pStyle w:val="Heading2"/>
      </w:pPr>
      <w:r>
        <w:t>10.5 Political Non-Interference During Recovery</w:t>
      </w:r>
    </w:p>
    <w:p>
      <w:r>
        <w:t>Throughout all four phases of recovery, the following constraints apply: no political official participates in any recovery activity; no recovery decision is subject to political approval; no recovery timeline is altered for political reasons; and no Party uses the channel collapse as leverage in any other negotiation.</w:t>
      </w:r>
    </w:p>
    <w:p>
      <w:r>
        <w:t>The recovery protocol is purely technical. It operates through naval liaison officers, Omani or backup facilitators, and the Joint Coordination Center. Political considerations do not enter the recovery process.</w:t>
      </w:r>
    </w:p>
    <w:p>
      <w:pPr>
        <w:pStyle w:val="Heading1"/>
      </w:pPr>
      <w:r>
        <w:t>Signature Block (Technical, Not Political)</w:t>
      </w:r>
      <w:bookmarkStart w:name="_Toc010" w:id="13"/>
      <w:bookmarkEnd w:id="13"/>
    </w:p>
    <w:p>
      <w:r>
        <w:t>The following signatures certify only that each Party has designated the appropriate naval technical officers, confirmed the operational readiness of all communication links, and accepted the terms of this Annex for the 30-day maritime coordination window (renewable by technical confirmation only). These signatures carry no diplomatic weight, create no political precedent, and establish no bilateral relationship beyond the technical operation of the channel.</w:t>
      </w:r>
    </w:p>
    <w:p>
      <w:r>
        <w:t> </w:t>
      </w:r>
    </w:p>
    <w:p>
      <w:r>
        <w:t>For the Islamic Republic of Iran (Maritime Authority):</w:t>
      </w:r>
    </w:p>
    <w:p>
      <w:r>
        <w:t>Name: _________________________________________</w:t>
      </w:r>
    </w:p>
    <w:p>
      <w:r>
        <w:t>Title: Senior Watch Officer, IRGC-Navy</w:t>
      </w:r>
    </w:p>
    <w:p>
      <w:r>
        <w:t>Date: _________________________________________</w:t>
      </w:r>
    </w:p>
    <w:p>
      <w:r>
        <w:t> </w:t>
      </w:r>
    </w:p>
    <w:p>
      <w:r>
        <w:t>For the United States of America (Maritime Authority):</w:t>
      </w:r>
    </w:p>
    <w:p>
      <w:r>
        <w:t>Name: _________________________________________</w:t>
      </w:r>
    </w:p>
    <w:p>
      <w:r>
        <w:t>Title: Senior Watch Officer, U.S. 5th Fleet</w:t>
      </w:r>
    </w:p>
    <w:p>
      <w:r>
        <w:t>Date: _________________________________________</w:t>
      </w:r>
    </w:p>
    <w:p>
      <w:r>
        <w:t> </w:t>
      </w:r>
    </w:p>
    <w:p>
      <w:r>
        <w:t>Witnessed by the Sultanate of Oman (Neutral Facilitator):</w:t>
      </w:r>
    </w:p>
    <w:p>
      <w:r>
        <w:t>Name: _________________________________________</w:t>
      </w:r>
    </w:p>
    <w:p>
      <w:r>
        <w:t>Title: Maritime Coordination Center, Muscat</w:t>
      </w:r>
    </w:p>
    <w:p>
      <w:r>
        <w:t>Date: _________________________________________</w:t>
      </w:r>
    </w:p>
    <w:p>
      <w:r>
        <w:t> </w:t>
      </w:r>
    </w:p>
    <w:p>
      <w:r>
        <w:t> </w:t>
      </w:r>
    </w:p>
    <w:p>
      <w:pPr>
        <w:spacing w:before="400" w:after="200"/>
        <w:jc w:val="center"/>
      </w:pPr>
      <w:r>
        <w:rPr>
          <w:b/>
          <w:color w:val="263238"/>
          <w:sz w:val="22"/>
        </w:rPr>
        <w:t>End of Document</w:t>
      </w:r>
    </w:p>
    <w:p>
      <w:pPr>
        <w:sectPr>
          <w:headerReference w:type="default" r:id="R2a74b88b714f4522"/>
          <w:footerReference w:type="default" r:id="R4cd9f97f8c98440a"/>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686723f03f4c4740"/>
                    <a:stretch>
                      <a:fillRect/>
                    </a:stretch>
                  </pic:blipFill>
                  <pic:spPr>
                    <a:xfrm>
                      <a:off x="0" y="0"/>
                      <a:ext cx="7560000" cy="10692000"/>
                    </a:xfrm>
                    <a:prstGeom prst="rect"/>
                  </pic:spPr>
                </pic:pic>
              </a:graphicData>
            </a:graphic>
          </wp:anchor>
        </w:drawing>
      </w:r>
    </w:p>
    <w:p>
      <w:pPr>
        <w:spacing w:before="6000"/>
      </w:pPr>
      <w:r/>
    </w:p>
    <w:p>
      <w:pPr>
        <w:spacing w:after="200"/>
        <w:jc w:val="center"/>
      </w:pPr>
      <w:r>
        <w:rPr>
          <w:b/>
          <w:color w:val="3d4f5f"/>
          <w:sz w:val="32"/>
        </w:rPr>
        <w:t>Non-Interference De-Confliction Annex (NIDCA)</w:t>
      </w:r>
    </w:p>
    <w:p>
      <w:pPr>
        <w:spacing w:after="600"/>
        <w:jc w:val="center"/>
      </w:pPr>
      <w:r>
        <w:rPr>
          <w:color w:val="78909c"/>
          <w:sz w:val="20"/>
        </w:rPr>
        <w:t>The Channel is the Channel. The Rhetoric is the Rhetoric. They never meet.</w:t>
      </w:r>
    </w:p>
    <w:p>
      <w:pPr>
        <w:spacing w:after="200"/>
        <w:jc w:val="center"/>
      </w:pPr>
      <w:r>
        <w:rPr>
          <w:color w:val="8a9a90"/>
          <w:sz w:val="18"/>
        </w:rPr>
        <w:t>This document is classified OPERATIONAL - NOT POLITICAL.</w:t>
      </w:r>
    </w:p>
    <w:p>
      <w:pPr>
        <w:spacing w:after="200"/>
        <w:jc w:val="center"/>
      </w:pPr>
      <w:r>
        <w:rPr>
          <w:color w:val="8a9a90"/>
          <w:sz w:val="18"/>
        </w:rPr>
        <w:t>It operates independently of all political statements, diplomatic developments, and public rhetoric.</w:t>
      </w:r>
    </w:p>
    <w:p>
      <w:pPr>
        <w:jc w:val="center"/>
      </w:pPr>
      <w:r>
        <w:rPr>
          <w:color w:val="78909c"/>
          <w:sz w:val="16"/>
        </w:rPr>
        <w:t>Neutral Facilitation: Sultanate of Oman | Joint Coordination Center: Muscat</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8909c"/>
        <w:sz w:val="16"/>
      </w:rPr>
      <w:t>Page </w:t>
    </w:r>
    <w:r>
      <w:rPr>
        <w:color w:val="78909c"/>
        <w:sz w:val="16"/>
      </w:rPr>
      <w:fldChar w:fldCharType="begin"/>
    </w:r>
    <w:r>
      <w:rPr>
        <w:color w:val="78909c"/>
        <w:sz w:val="16"/>
      </w:rPr>
      <w:instrText xml:space="preserve"> PAGE </w:instrText>
    </w:r>
    <w:r>
      <w:rPr>
        <w:color w:val="78909c"/>
        <w:sz w:val="16"/>
      </w:rPr>
      <w:fldChar w:fldCharType="separate"/>
    </w:r>
    <w:r>
      <w:rPr>
        <w:color w:val="78909c"/>
        <w:sz w:val="16"/>
      </w:rPr>
      <w:t>1</w:t>
    </w:r>
    <w:r>
      <w:rPr>
        <w:color w:val="78909c"/>
        <w:sz w:val="16"/>
      </w:rPr>
      <w:fldChar w:fldCharType="end"/>
    </w:r>
    <w:r>
      <w:rPr>
        <w:color w:val="78909c"/>
        <w:sz w:val="16"/>
      </w:rPr>
      <w:t xml:space="preserve"> of </w:t>
    </w:r>
    <w:r>
      <w:rPr>
        <w:color w:val="78909c"/>
        <w:sz w:val="16"/>
      </w:rPr>
      <w:fldChar w:fldCharType="begin"/>
    </w:r>
    <w:r>
      <w:rPr>
        <w:color w:val="78909c"/>
        <w:sz w:val="16"/>
      </w:rPr>
      <w:instrText xml:space="preserve"> NUMPAGES </w:instrText>
    </w:r>
    <w:r>
      <w:rPr>
        <w:color w:val="78909c"/>
        <w:sz w:val="16"/>
      </w:rPr>
      <w:fldChar w:fldCharType="separate"/>
    </w:r>
    <w:r>
      <w:rPr>
        <w:color w:val="78909c"/>
        <w:sz w:val="16"/>
      </w:rPr>
      <w:t>1</w:t>
    </w:r>
    <w:r>
      <w:rPr>
        <w:color w:val="78909c"/>
        <w:sz w:val="16"/>
      </w:rPr>
      <w:fldChar w:fldCharType="end"/>
    </w:r>
  </w:p>
</w:ftr>
</file>

<file path=word/header1.xml><?xml version="1.0" encoding="utf-8"?>
<w:hdr xmlns:w="http://schemas.openxmlformats.org/wordprocessingml/2006/main">
  <w:p>
    <w:pPr>
      <w:jc w:val="right"/>
    </w:pPr>
    <w:r>
      <w:rPr>
        <w:color w:val="78909c"/>
        <w:sz w:val="16"/>
      </w:rPr>
      <w:t>Non-Interference De-Confliction Annex (NIDCA) | OPERATIONAL - NOT POLITICAL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263238"/>
      <w:sz w:val="22"/>
    </w:rPr>
  </w:style>
  <w:style w:type="paragraph" w:styleId="Heading1">
    <w:name w:val="heading 1"/>
    <w:basedOn w:val="Normal"/>
    <w:pPr>
      <w:keepNext/>
      <w:keepLines/>
      <w:spacing w:before="500" w:after="200"/>
      <w:outlineLvl w:val="0"/>
    </w:pPr>
    <w:rPr>
      <w:rFonts w:ascii="Calibri" w:hAnsi="Calibri" w:eastAsia="Microsoft YaHei"/>
      <w:b/>
      <w:color w:val="3d4f5f"/>
      <w:sz w:val="36"/>
    </w:rPr>
  </w:style>
  <w:style w:type="paragraph" w:styleId="Heading2">
    <w:name w:val="heading 2"/>
    <w:basedOn w:val="Normal"/>
    <w:pPr>
      <w:keepNext/>
      <w:keepLines/>
      <w:spacing w:before="360" w:after="140"/>
      <w:outlineLvl w:val="1"/>
    </w:pPr>
    <w:rPr>
      <w:rFonts w:ascii="Calibri" w:hAnsi="Calibri" w:eastAsia="Microsoft YaHei"/>
      <w:b/>
      <w:color w:val="263238"/>
      <w:sz w:val="28"/>
    </w:rPr>
  </w:style>
  <w:style w:type="paragraph" w:styleId="Heading3">
    <w:name w:val="heading 3"/>
    <w:basedOn w:val="Normal"/>
    <w:pPr>
      <w:keepNext/>
      <w:keepLines/>
      <w:spacing w:before="260" w:after="100"/>
      <w:outlineLvl w:val="2"/>
    </w:pPr>
    <w:rPr>
      <w:rFonts w:ascii="Calibri" w:hAnsi="Calibri" w:eastAsia="Microsoft YaHei"/>
      <w:b/>
      <w:color w:val="455a64"/>
      <w:sz w:val="24"/>
    </w:rPr>
  </w:style>
  <w:style w:type="paragraph" w:styleId="Caption">
    <w:name w:val="Caption"/>
    <w:basedOn w:val="Normal"/>
    <w:pPr>
      <w:spacing w:before="40" w:after="280"/>
      <w:jc w:val="center"/>
    </w:pPr>
    <w:rPr>
      <w:i/>
      <w:color w:val="78909c"/>
      <w:sz w:val="20"/>
    </w:rPr>
  </w:style>
  <w:style w:type="paragraph" w:styleId="TOC1">
    <w:name w:val="toc 1"/>
    <w:basedOn w:val="Normal"/>
    <w:pPr>
      <w:tabs>
        <w:tab w:val="right" w:leader="dot" w:pos="9350"/>
      </w:tabs>
      <w:spacing w:before="160" w:after="40"/>
      <w:ind w:left="0"/>
    </w:pPr>
    <w:rPr>
      <w:b/>
      <w:color w:val="263238"/>
    </w:rPr>
  </w:style>
  <w:style w:type="paragraph" w:styleId="TOC2">
    <w:name w:val="toc 2"/>
    <w:basedOn w:val="Normal"/>
    <w:pPr>
      <w:tabs>
        <w:tab w:val="right" w:leader="dot" w:pos="9350"/>
      </w:tabs>
      <w:spacing w:before="60" w:after="40"/>
      <w:ind w:left="360"/>
    </w:pPr>
    <w:rPr>
      <w:color w:val="455a64"/>
    </w:rPr>
  </w:style>
  <w:style w:type="paragraph" w:styleId="TOC3">
    <w:name w:val="toc 3"/>
    <w:basedOn w:val="Normal"/>
    <w:pPr>
      <w:tabs>
        <w:tab w:val="right" w:leader="dot" w:pos="9350"/>
      </w:tabs>
      <w:spacing w:before="40" w:after="40"/>
      <w:ind w:left="720"/>
    </w:pPr>
    <w:rPr>
      <w:color w:val="455a64"/>
    </w:rPr>
  </w:style>
</w:styles>
</file>

<file path=word/_rels/document.xml.rels><?xml version='1.0' encoding='UTF-8'?>
<Relationships xmlns="http://schemas.openxmlformats.org/package/2006/relationships"><Relationship Type="http://schemas.openxmlformats.org/officeDocument/2006/relationships/styles" Target="styles.xml" Id="R0cf8f11eebf04843" /><Relationship Type="http://schemas.openxmlformats.org/officeDocument/2006/relationships/numbering" Target="numbering.xml" Id="Rf00d2e57a19e4c2e" /><Relationship Type="http://schemas.openxmlformats.org/officeDocument/2006/relationships/image" Target="media/image.png" Id="R85087326e8a54e5f" /><Relationship Type="http://schemas.openxmlformats.org/officeDocument/2006/relationships/image" Target="media/image2.png" Id="R686723f03f4c4740" /><Relationship Type="http://schemas.openxmlformats.org/officeDocument/2006/relationships/header" Target="header1.xml" Id="R2a74b88b714f4522" /><Relationship Type="http://schemas.openxmlformats.org/officeDocument/2006/relationships/footer" Target="footer1.xml" Id="R4cd9f97f8c98440a" /><Relationship Type="http://schemas.openxmlformats.org/officeDocument/2006/relationships/settings" Target="settings.xml" Id="R0c547d39769046c2" /></Relationships>
</file>