
<file path=[Content_Types].xml><?xml version="1.0" encoding="utf-8"?>
<Types xmlns="http://schemas.openxmlformats.org/package/2006/content-types">
  <Default Extension="xml" ContentType="application/xml"/>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a3e4ab727b4b4875" Type="http://schemas.openxmlformats.org/officeDocument/2006/relationships/officeDocument" Target="word/document.xml" /></Relationships>
</file>

<file path=word/document.xml><?xml version="1.0" encoding="utf-8"?>
<w:document xmlns:r="http://schemas.openxmlformats.org/officeDocument/2006/relationships" xmlns:w="http://schemas.openxmlformats.org/wordprocessingml/2006/main">
  <w:body>
    <w:p>
      <w:pPr>
        <w:pStyle w:val="Normal"/>
        <w:spacing w:before="4000"/>
      </w:pPr>
      <w:r>
        <w:rPr>
          <w:rFonts w:ascii="Cambria" w:hAnsi="Cambria" w:eastAsia="Microsoft YaHei" w:cs="Cambria"/>
          <w:color w:val="2A2A2A"/>
          <w:sz w:val="22"/>
          <w:szCs w:val="22"/>
        </w:rPr>
        <w:t/>
      </w:r>
    </w:p>
    <w:p>
      <w:pPr>
        <w:pStyle w:val="Normal"/>
        <w:spacing w:before="0" w:after="200"/>
      </w:pPr>
      <w:r>
        <w:rPr>
          <w:b/>
          <w:color w:val="1A2744"/>
          <w:sz w:val="72"/>
          <w:rFonts w:ascii="Cambria" w:hAnsi="Cambria" w:eastAsia="Microsoft YaHei" w:cs="Cambria"/>
          <w:szCs w:val="72"/>
          <w:spacing w:val="30"/>
        </w:rPr>
        <w:t>ANNEX A</w:t>
      </w:r>
    </w:p>
    <w:p>
      <w:pPr>
        <w:pStyle w:val="Normal"/>
        <w:spacing w:before="0" w:after="100"/>
      </w:pPr>
      <w:r>
        <w:rPr>
          <w:color w:val="2E5A6B"/>
          <w:sz w:val="32"/>
          <w:rFonts w:ascii="Cambria" w:hAnsi="Cambria" w:eastAsia="Microsoft YaHei" w:cs="Cambria"/>
          <w:szCs w:val="32"/>
        </w:rPr>
        <w:t>Technical Definitions and Metrics for Unobstructed Passage</w:t>
      </w:r>
    </w:p>
    <w:p>
      <w:pPr>
        <w:pStyle w:val="Normal"/>
        <w:spacing w:before="0" w:after="600"/>
      </w:pPr>
      <w:r>
        <w:rPr>
          <w:i/>
          <w:color w:val="4A5568"/>
          <w:sz w:val="24"/>
          <w:rFonts w:ascii="Cambria" w:hAnsi="Cambria" w:eastAsia="Microsoft YaHei" w:cs="Cambria"/>
          <w:szCs w:val="24"/>
        </w:rPr>
        <w:t>Coordinated Technical Activation Framework (CTAF-2026-001)</w:t>
      </w:r>
    </w:p>
    <w:p>
      <w:pPr>
        <w:pStyle w:val="Normal"/>
        <w:spacing w:before="600"/>
      </w:pPr>
      <w:r>
        <w:rPr>
          <w:rFonts w:ascii="Cambria" w:hAnsi="Cambria" w:eastAsia="Microsoft YaHei" w:cs="Cambria"/>
          <w:color w:val="2A2A2A"/>
          <w:sz w:val="22"/>
          <w:szCs w:val="22"/>
        </w:rPr>
        <w:t/>
      </w:r>
    </w:p>
    <w:p>
      <w:pPr>
        <w:pStyle w:val="Normal"/>
      </w:pPr>
      <w:r>
        <w:rPr>
          <w:color w:val="4A5568"/>
          <w:sz w:val="22"/>
          <w:rFonts w:ascii="Cambria" w:hAnsi="Cambria" w:eastAsia="Microsoft YaHei" w:cs="Cambria"/>
          <w:szCs w:val="22"/>
        </w:rPr>
        <w:t>Document Number: CTAF-2026-001</w:t>
      </w:r>
    </w:p>
    <w:p>
      <w:pPr>
        <w:pStyle w:val="Normal"/>
      </w:pPr>
      <w:r>
        <w:rPr>
          <w:color w:val="4A5568"/>
          <w:sz w:val="22"/>
          <w:rFonts w:ascii="Cambria" w:hAnsi="Cambria" w:eastAsia="Microsoft YaHei" w:cs="Cambria"/>
          <w:szCs w:val="22"/>
        </w:rPr>
        <w:t>Version: 1.0</w:t>
      </w:r>
    </w:p>
    <w:p>
      <w:pPr>
        <w:pStyle w:val="Normal"/>
      </w:pPr>
      <w:r>
        <w:rPr>
          <w:color w:val="4A5568"/>
          <w:sz w:val="22"/>
          <w:rFonts w:ascii="Cambria" w:hAnsi="Cambria" w:eastAsia="Microsoft YaHei" w:cs="Cambria"/>
          <w:szCs w:val="22"/>
        </w:rPr>
        <w:t>Classification: CONFIDENTIAL / FOR MEDIATOR USE ONLY</w:t>
      </w:r>
    </w:p>
    <w:p>
      <w:pPr>
        <w:pStyle w:val="Normal"/>
      </w:pPr>
      <w:r>
        <w:rPr>
          <w:color w:val="4A5568"/>
          <w:sz w:val="22"/>
          <w:rFonts w:ascii="Cambria" w:hAnsi="Cambria" w:eastAsia="Microsoft YaHei" w:cs="Cambria"/>
          <w:szCs w:val="22"/>
        </w:rPr>
        <w:t>Date: June 2026</w:t>
      </w:r>
    </w:p>
    <w:p>
      <w:pPr>
        <w:pStyle w:val="Normal"/>
      </w:pPr>
      <w:r>
        <w:rPr>
          <w:color w:val="4A5568"/>
          <w:sz w:val="22"/>
          <w:rFonts w:ascii="Cambria" w:hAnsi="Cambria" w:eastAsia="Microsoft YaHei" w:cs="Cambria"/>
          <w:szCs w:val="22"/>
        </w:rPr>
        <w:t>Status: Adoptable by Reference</w:t>
      </w:r>
    </w:p>
    <w:p>
      <w:pPr>
        <w:pStyle w:val="Normal"/>
        <w:spacing w:before="800"/>
      </w:pPr>
      <w:r>
        <w:rPr>
          <w:rFonts w:ascii="Cambria" w:hAnsi="Cambria" w:eastAsia="Microsoft YaHei" w:cs="Cambria"/>
          <w:color w:val="2A2A2A"/>
          <w:sz w:val="22"/>
          <w:szCs w:val="22"/>
        </w:rPr>
        <w:t/>
      </w:r>
    </w:p>
    <w:p>
      <w:pPr>
        <w:pStyle w:val="Normal"/>
      </w:pPr>
      <w:r>
        <w:rPr>
          <w:i/>
          <w:color w:val="7A8A9A"/>
          <w:sz w:val="20"/>
          <w:rFonts w:ascii="Cambria" w:hAnsi="Cambria" w:eastAsia="Microsoft YaHei" w:cs="Cambria"/>
          <w:szCs w:val="20"/>
        </w:rPr>
        <w:t>This Annex is incorporated by reference into CTAF-2026-001 and is subordinate to the CTAF, the Technical Annexes of the Islamabad MoU, and the Islamabad MoU itself.</w:t>
      </w:r>
    </w:p>
    <w:p>
      <w:pPr>
        <w:pStyle w:val="Normal"/>
        <w:sectPr>
          <w:headerReference w:type="default" r:id="R219a7529aa3e44d7"/>
          <w:footerReference w:type="default" r:id="R59f5d57df24c41b8"/>
          <w:type w:val="nextPage"/>
          <w:pgSz w:w="11906" w:h="16838"/>
          <w:pgMar w:top="1800" w:right="1440" w:bottom="1440" w:left="1440" w:header="720" w:footer="720"/>
        </w:sectPr>
      </w:pPr>
    </w:p>
    <w:p>
      <w:pPr>
        <w:pStyle w:val="Heading1"/>
      </w:pPr>
      <w:bookmarkStart w:name="_Toc" w:id="1"/>
      <w:r>
        <w:rPr>
          <w:rFonts w:ascii="Cambria" w:hAnsi="Cambria" w:eastAsia="Cambria" w:cs="Cambria"/>
          <w:b/>
          <w:color w:val="1A2744"/>
          <w:sz w:val="40"/>
          <w:szCs w:val="40"/>
        </w:rPr>
        <w:t>Table of Contents</w:t>
      </w:r>
      <w:bookmarkEnd w:id="1"/>
    </w:p>
    <w:p>
      <w:pPr>
        <w:pStyle w:val="Normal"/>
      </w:pPr>
      <w:r>
        <w:fldChar w:fldCharType="begin"/>
      </w:r>
      <w:r>
        <w:instrText xml:space="preserve"> TOC \o "1-3" \h \z \u </w:instrText>
      </w:r>
      <w:r>
        <w:fldChar w:fldCharType="separate"/>
      </w:r>
    </w:p>
    <w:p>
      <w:pPr>
        <w:pStyle w:val="TOC1"/>
      </w:pPr>
      <w:r>
        <w:rPr>
          <w:rFonts w:ascii="Cambria" w:hAnsi="Cambria" w:eastAsia="Microsoft YaHei" w:cs="Cambria"/>
          <w:sz w:val="22"/>
          <w:b/>
          <w:color w:val="1A2744"/>
          <w:szCs w:val="22"/>
        </w:rPr>
        <w:t>Section 1: Introduction and Scope</w:t>
      </w:r>
      <w:r>
        <w:rPr>
          <w:rFonts w:ascii="Cambria" w:hAnsi="Cambria" w:eastAsia="Microsoft YaHei"/>
          <w:sz w:val="22"/>
          <w:b/>
          <w:color w:val="1A2744"/>
        </w:rPr>
        <w:tab/>
      </w:r>
      <w:r>
        <w:rPr>
          <w:rFonts w:ascii="Cambria" w:hAnsi="Cambria" w:eastAsia="Microsoft YaHei" w:cs="Cambria"/>
          <w:sz w:val="22"/>
          <w:b/>
          <w:color w:val="1A2744"/>
          <w:szCs w:val="22"/>
        </w:rPr>
        <w:t>3</w:t>
      </w:r>
    </w:p>
    <w:p>
      <w:pPr>
        <w:pStyle w:val="TOC2"/>
      </w:pPr>
      <w:r>
        <w:rPr>
          <w:rFonts w:ascii="Cambria" w:hAnsi="Cambria" w:eastAsia="Microsoft YaHei" w:cs="Cambria"/>
          <w:sz w:val="22"/>
          <w:color w:val="4A5568"/>
          <w:szCs w:val="22"/>
        </w:rPr>
        <w:t>1.1 Purpose</w:t>
      </w:r>
      <w:r>
        <w:rPr>
          <w:rFonts w:ascii="Cambria" w:hAnsi="Cambria" w:eastAsia="Microsoft YaHei"/>
          <w:sz w:val="22"/>
          <w:color w:val="4A5568"/>
        </w:rPr>
        <w:tab/>
      </w:r>
      <w:r>
        <w:rPr>
          <w:rFonts w:ascii="Cambria" w:hAnsi="Cambria" w:eastAsia="Microsoft YaHei" w:cs="Cambria"/>
          <w:sz w:val="22"/>
          <w:color w:val="4A5568"/>
          <w:szCs w:val="22"/>
        </w:rPr>
        <w:t>3</w:t>
      </w:r>
    </w:p>
    <w:p>
      <w:pPr>
        <w:pStyle w:val="TOC2"/>
      </w:pPr>
      <w:r>
        <w:rPr>
          <w:rFonts w:ascii="Cambria" w:hAnsi="Cambria" w:eastAsia="Microsoft YaHei" w:cs="Cambria"/>
          <w:sz w:val="22"/>
          <w:color w:val="4A5568"/>
          <w:szCs w:val="22"/>
        </w:rPr>
        <w:t>1.2 Scope</w:t>
      </w:r>
      <w:r>
        <w:rPr>
          <w:rFonts w:ascii="Cambria" w:hAnsi="Cambria" w:eastAsia="Microsoft YaHei"/>
          <w:sz w:val="22"/>
          <w:color w:val="4A5568"/>
        </w:rPr>
        <w:tab/>
      </w:r>
      <w:r>
        <w:rPr>
          <w:rFonts w:ascii="Cambria" w:hAnsi="Cambria" w:eastAsia="Microsoft YaHei" w:cs="Cambria"/>
          <w:sz w:val="22"/>
          <w:color w:val="4A5568"/>
          <w:szCs w:val="22"/>
        </w:rPr>
        <w:t>3</w:t>
      </w:r>
    </w:p>
    <w:p>
      <w:pPr>
        <w:pStyle w:val="TOC2"/>
      </w:pPr>
      <w:r>
        <w:rPr>
          <w:rFonts w:ascii="Cambria" w:hAnsi="Cambria" w:eastAsia="Microsoft YaHei" w:cs="Cambria"/>
          <w:sz w:val="22"/>
          <w:color w:val="4A5568"/>
          <w:szCs w:val="22"/>
        </w:rPr>
        <w:t>1.3 Relationship to CTAF</w:t>
      </w:r>
      <w:r>
        <w:rPr>
          <w:rFonts w:ascii="Cambria" w:hAnsi="Cambria" w:eastAsia="Microsoft YaHei"/>
          <w:sz w:val="22"/>
          <w:color w:val="4A5568"/>
        </w:rPr>
        <w:tab/>
      </w:r>
      <w:r>
        <w:rPr>
          <w:rFonts w:ascii="Cambria" w:hAnsi="Cambria" w:eastAsia="Microsoft YaHei" w:cs="Cambria"/>
          <w:sz w:val="22"/>
          <w:color w:val="4A5568"/>
          <w:szCs w:val="22"/>
        </w:rPr>
        <w:t>3</w:t>
      </w:r>
    </w:p>
    <w:p>
      <w:pPr>
        <w:pStyle w:val="TOC2"/>
      </w:pPr>
      <w:r>
        <w:rPr>
          <w:rFonts w:ascii="Cambria" w:hAnsi="Cambria" w:eastAsia="Microsoft YaHei" w:cs="Cambria"/>
          <w:sz w:val="22"/>
          <w:color w:val="4A5568"/>
          <w:szCs w:val="22"/>
        </w:rPr>
        <w:t>1.4 Without Prejudice</w:t>
      </w:r>
      <w:r>
        <w:rPr>
          <w:rFonts w:ascii="Cambria" w:hAnsi="Cambria" w:eastAsia="Microsoft YaHei"/>
          <w:sz w:val="22"/>
          <w:color w:val="4A5568"/>
        </w:rPr>
        <w:tab/>
      </w:r>
      <w:r>
        <w:rPr>
          <w:rFonts w:ascii="Cambria" w:hAnsi="Cambria" w:eastAsia="Microsoft YaHei" w:cs="Cambria"/>
          <w:sz w:val="22"/>
          <w:color w:val="4A5568"/>
          <w:szCs w:val="22"/>
        </w:rPr>
        <w:t>3</w:t>
      </w:r>
    </w:p>
    <w:p>
      <w:pPr>
        <w:pStyle w:val="TOC1"/>
      </w:pPr>
      <w:r>
        <w:rPr>
          <w:rFonts w:ascii="Cambria" w:hAnsi="Cambria" w:eastAsia="Microsoft YaHei" w:cs="Cambria"/>
          <w:sz w:val="22"/>
          <w:b/>
          <w:color w:val="1A2744"/>
          <w:szCs w:val="22"/>
        </w:rPr>
        <w:t>Section 2: Geographic and Navigational Parameters</w:t>
      </w:r>
      <w:r>
        <w:rPr>
          <w:rFonts w:ascii="Cambria" w:hAnsi="Cambria" w:eastAsia="Microsoft YaHei"/>
          <w:sz w:val="22"/>
          <w:b/>
          <w:color w:val="1A2744"/>
        </w:rPr>
        <w:tab/>
      </w:r>
      <w:r>
        <w:rPr>
          <w:rFonts w:ascii="Cambria" w:hAnsi="Cambria" w:eastAsia="Microsoft YaHei" w:cs="Cambria"/>
          <w:sz w:val="22"/>
          <w:b/>
          <w:color w:val="1A2744"/>
          <w:szCs w:val="22"/>
        </w:rPr>
        <w:t>4</w:t>
      </w:r>
    </w:p>
    <w:p>
      <w:pPr>
        <w:pStyle w:val="TOC2"/>
      </w:pPr>
      <w:r>
        <w:rPr>
          <w:rFonts w:ascii="Cambria" w:hAnsi="Cambria" w:eastAsia="Microsoft YaHei" w:cs="Cambria"/>
          <w:sz w:val="22"/>
          <w:color w:val="4A5568"/>
          <w:szCs w:val="22"/>
        </w:rPr>
        <w:t>2.1 Transit Corridor Definition</w:t>
      </w:r>
      <w:r>
        <w:rPr>
          <w:rFonts w:ascii="Cambria" w:hAnsi="Cambria" w:eastAsia="Microsoft YaHei"/>
          <w:sz w:val="22"/>
          <w:color w:val="4A5568"/>
        </w:rPr>
        <w:tab/>
      </w:r>
      <w:r>
        <w:rPr>
          <w:rFonts w:ascii="Cambria" w:hAnsi="Cambria" w:eastAsia="Microsoft YaHei" w:cs="Cambria"/>
          <w:sz w:val="22"/>
          <w:color w:val="4A5568"/>
          <w:szCs w:val="22"/>
        </w:rPr>
        <w:t>4</w:t>
      </w:r>
    </w:p>
    <w:p>
      <w:pPr>
        <w:pStyle w:val="TOC2"/>
      </w:pPr>
      <w:r>
        <w:rPr>
          <w:rFonts w:ascii="Cambria" w:hAnsi="Cambria" w:eastAsia="Microsoft YaHei" w:cs="Cambria"/>
          <w:sz w:val="22"/>
          <w:color w:val="4A5568"/>
          <w:szCs w:val="22"/>
        </w:rPr>
        <w:t>2.2 IMO Traffic Separation Scheme</w:t>
      </w:r>
      <w:r>
        <w:rPr>
          <w:rFonts w:ascii="Cambria" w:hAnsi="Cambria" w:eastAsia="Microsoft YaHei"/>
          <w:sz w:val="22"/>
          <w:color w:val="4A5568"/>
        </w:rPr>
        <w:tab/>
      </w:r>
      <w:r>
        <w:rPr>
          <w:rFonts w:ascii="Cambria" w:hAnsi="Cambria" w:eastAsia="Microsoft YaHei" w:cs="Cambria"/>
          <w:sz w:val="22"/>
          <w:color w:val="4A5568"/>
          <w:szCs w:val="22"/>
        </w:rPr>
        <w:t>4</w:t>
      </w:r>
    </w:p>
    <w:p>
      <w:pPr>
        <w:pStyle w:val="TOC2"/>
      </w:pPr>
      <w:r>
        <w:rPr>
          <w:rFonts w:ascii="Cambria" w:hAnsi="Cambria" w:eastAsia="Microsoft YaHei" w:cs="Cambria"/>
          <w:sz w:val="22"/>
          <w:color w:val="4A5568"/>
          <w:szCs w:val="22"/>
        </w:rPr>
        <w:t>2.3 Dual-Corridor Architecture</w:t>
      </w:r>
      <w:r>
        <w:rPr>
          <w:rFonts w:ascii="Cambria" w:hAnsi="Cambria" w:eastAsia="Microsoft YaHei"/>
          <w:sz w:val="22"/>
          <w:color w:val="4A5568"/>
        </w:rPr>
        <w:tab/>
      </w:r>
      <w:r>
        <w:rPr>
          <w:rFonts w:ascii="Cambria" w:hAnsi="Cambria" w:eastAsia="Microsoft YaHei" w:cs="Cambria"/>
          <w:sz w:val="22"/>
          <w:color w:val="4A5568"/>
          <w:szCs w:val="22"/>
        </w:rPr>
        <w:t>5</w:t>
      </w:r>
    </w:p>
    <w:p>
      <w:pPr>
        <w:pStyle w:val="TOC2"/>
      </w:pPr>
      <w:r>
        <w:rPr>
          <w:rFonts w:ascii="Cambria" w:hAnsi="Cambria" w:eastAsia="Microsoft YaHei" w:cs="Cambria"/>
          <w:sz w:val="22"/>
          <w:color w:val="4A5568"/>
          <w:szCs w:val="22"/>
        </w:rPr>
        <w:t>2.4 Navigational Waypoints</w:t>
      </w:r>
      <w:r>
        <w:rPr>
          <w:rFonts w:ascii="Cambria" w:hAnsi="Cambria" w:eastAsia="Microsoft YaHei"/>
          <w:sz w:val="22"/>
          <w:color w:val="4A5568"/>
        </w:rPr>
        <w:tab/>
      </w:r>
      <w:r>
        <w:rPr>
          <w:rFonts w:ascii="Cambria" w:hAnsi="Cambria" w:eastAsia="Microsoft YaHei" w:cs="Cambria"/>
          <w:sz w:val="22"/>
          <w:color w:val="4A5568"/>
          <w:szCs w:val="22"/>
        </w:rPr>
        <w:t>5</w:t>
      </w:r>
    </w:p>
    <w:p>
      <w:pPr>
        <w:pStyle w:val="TOC1"/>
      </w:pPr>
      <w:r>
        <w:rPr>
          <w:rFonts w:ascii="Cambria" w:hAnsi="Cambria" w:eastAsia="Microsoft YaHei" w:cs="Cambria"/>
          <w:sz w:val="22"/>
          <w:b/>
          <w:color w:val="1A2744"/>
          <w:szCs w:val="22"/>
        </w:rPr>
        <w:t>Section 3: Definitions of Key Metrics</w:t>
      </w:r>
      <w:r>
        <w:rPr>
          <w:rFonts w:ascii="Cambria" w:hAnsi="Cambria" w:eastAsia="Microsoft YaHei"/>
          <w:sz w:val="22"/>
          <w:b/>
          <w:color w:val="1A2744"/>
        </w:rPr>
        <w:tab/>
      </w:r>
      <w:r>
        <w:rPr>
          <w:rFonts w:ascii="Cambria" w:hAnsi="Cambria" w:eastAsia="Microsoft YaHei" w:cs="Cambria"/>
          <w:sz w:val="22"/>
          <w:b/>
          <w:color w:val="1A2744"/>
          <w:szCs w:val="22"/>
        </w:rPr>
        <w:t>6</w:t>
      </w:r>
    </w:p>
    <w:p>
      <w:pPr>
        <w:pStyle w:val="TOC2"/>
      </w:pPr>
      <w:r>
        <w:rPr>
          <w:rFonts w:ascii="Cambria" w:hAnsi="Cambria" w:eastAsia="Microsoft YaHei" w:cs="Cambria"/>
          <w:sz w:val="22"/>
          <w:color w:val="4A5568"/>
          <w:szCs w:val="22"/>
        </w:rPr>
        <w:t>3.1 Transit Speed</w:t>
      </w:r>
      <w:r>
        <w:rPr>
          <w:rFonts w:ascii="Cambria" w:hAnsi="Cambria" w:eastAsia="Microsoft YaHei"/>
          <w:sz w:val="22"/>
          <w:color w:val="4A5568"/>
        </w:rPr>
        <w:tab/>
      </w:r>
      <w:r>
        <w:rPr>
          <w:rFonts w:ascii="Cambria" w:hAnsi="Cambria" w:eastAsia="Microsoft YaHei" w:cs="Cambria"/>
          <w:sz w:val="22"/>
          <w:color w:val="4A5568"/>
          <w:szCs w:val="22"/>
        </w:rPr>
        <w:t>6</w:t>
      </w:r>
    </w:p>
    <w:p>
      <w:pPr>
        <w:pStyle w:val="TOC2"/>
      </w:pPr>
      <w:r>
        <w:rPr>
          <w:rFonts w:ascii="Cambria" w:hAnsi="Cambria" w:eastAsia="Microsoft YaHei" w:cs="Cambria"/>
          <w:sz w:val="22"/>
          <w:color w:val="4A5568"/>
          <w:szCs w:val="22"/>
        </w:rPr>
        <w:t>3.2 Clearance Width and Lane Adherence</w:t>
      </w:r>
      <w:r>
        <w:rPr>
          <w:rFonts w:ascii="Cambria" w:hAnsi="Cambria" w:eastAsia="Microsoft YaHei"/>
          <w:sz w:val="22"/>
          <w:color w:val="4A5568"/>
        </w:rPr>
        <w:tab/>
      </w:r>
      <w:r>
        <w:rPr>
          <w:rFonts w:ascii="Cambria" w:hAnsi="Cambria" w:eastAsia="Microsoft YaHei" w:cs="Cambria"/>
          <w:sz w:val="22"/>
          <w:color w:val="4A5568"/>
          <w:szCs w:val="22"/>
        </w:rPr>
        <w:t>7</w:t>
      </w:r>
    </w:p>
    <w:p>
      <w:pPr>
        <w:pStyle w:val="TOC2"/>
      </w:pPr>
      <w:r>
        <w:rPr>
          <w:rFonts w:ascii="Cambria" w:hAnsi="Cambria" w:eastAsia="Microsoft YaHei" w:cs="Cambria"/>
          <w:sz w:val="22"/>
          <w:color w:val="4A5568"/>
          <w:szCs w:val="22"/>
        </w:rPr>
        <w:t>3.3 Non-Interference</w:t>
      </w:r>
      <w:r>
        <w:rPr>
          <w:rFonts w:ascii="Cambria" w:hAnsi="Cambria" w:eastAsia="Microsoft YaHei"/>
          <w:sz w:val="22"/>
          <w:color w:val="4A5568"/>
        </w:rPr>
        <w:tab/>
      </w:r>
      <w:r>
        <w:rPr>
          <w:rFonts w:ascii="Cambria" w:hAnsi="Cambria" w:eastAsia="Microsoft YaHei" w:cs="Cambria"/>
          <w:sz w:val="22"/>
          <w:color w:val="4A5568"/>
          <w:szCs w:val="22"/>
        </w:rPr>
        <w:t>7</w:t>
      </w:r>
    </w:p>
    <w:p>
      <w:pPr>
        <w:pStyle w:val="TOC2"/>
      </w:pPr>
      <w:r>
        <w:rPr>
          <w:rFonts w:ascii="Cambria" w:hAnsi="Cambria" w:eastAsia="Microsoft YaHei" w:cs="Cambria"/>
          <w:sz w:val="22"/>
          <w:color w:val="4A5568"/>
          <w:szCs w:val="22"/>
        </w:rPr>
        <w:t>3.4 Continuous AIS Transmission</w:t>
      </w:r>
      <w:r>
        <w:rPr>
          <w:rFonts w:ascii="Cambria" w:hAnsi="Cambria" w:eastAsia="Microsoft YaHei"/>
          <w:sz w:val="22"/>
          <w:color w:val="4A5568"/>
        </w:rPr>
        <w:tab/>
      </w:r>
      <w:r>
        <w:rPr>
          <w:rFonts w:ascii="Cambria" w:hAnsi="Cambria" w:eastAsia="Microsoft YaHei" w:cs="Cambria"/>
          <w:sz w:val="22"/>
          <w:color w:val="4A5568"/>
          <w:szCs w:val="22"/>
        </w:rPr>
        <w:t>8</w:t>
      </w:r>
    </w:p>
    <w:p>
      <w:pPr>
        <w:pStyle w:val="TOC2"/>
      </w:pPr>
      <w:r>
        <w:rPr>
          <w:rFonts w:ascii="Cambria" w:hAnsi="Cambria" w:eastAsia="Microsoft YaHei" w:cs="Cambria"/>
          <w:sz w:val="22"/>
          <w:color w:val="4A5568"/>
          <w:szCs w:val="22"/>
        </w:rPr>
        <w:t>3.5 Security Buffer Zone</w:t>
      </w:r>
      <w:r>
        <w:rPr>
          <w:rFonts w:ascii="Cambria" w:hAnsi="Cambria" w:eastAsia="Microsoft YaHei"/>
          <w:sz w:val="22"/>
          <w:color w:val="4A5568"/>
        </w:rPr>
        <w:tab/>
      </w:r>
      <w:r>
        <w:rPr>
          <w:rFonts w:ascii="Cambria" w:hAnsi="Cambria" w:eastAsia="Microsoft YaHei" w:cs="Cambria"/>
          <w:sz w:val="22"/>
          <w:color w:val="4A5568"/>
          <w:szCs w:val="22"/>
        </w:rPr>
        <w:t>8</w:t>
      </w:r>
    </w:p>
    <w:p>
      <w:pPr>
        <w:pStyle w:val="TOC1"/>
      </w:pPr>
      <w:r>
        <w:rPr>
          <w:rFonts w:ascii="Cambria" w:hAnsi="Cambria" w:eastAsia="Microsoft YaHei" w:cs="Cambria"/>
          <w:sz w:val="22"/>
          <w:b/>
          <w:color w:val="1A2744"/>
          <w:szCs w:val="22"/>
        </w:rPr>
        <w:t>Section 4: Verification Methodology</w:t>
      </w:r>
      <w:r>
        <w:rPr>
          <w:rFonts w:ascii="Cambria" w:hAnsi="Cambria" w:eastAsia="Microsoft YaHei"/>
          <w:sz w:val="22"/>
          <w:b/>
          <w:color w:val="1A2744"/>
        </w:rPr>
        <w:tab/>
      </w:r>
      <w:r>
        <w:rPr>
          <w:rFonts w:ascii="Cambria" w:hAnsi="Cambria" w:eastAsia="Microsoft YaHei" w:cs="Cambria"/>
          <w:sz w:val="22"/>
          <w:b/>
          <w:color w:val="1A2744"/>
          <w:szCs w:val="22"/>
        </w:rPr>
        <w:t>9</w:t>
      </w:r>
    </w:p>
    <w:p>
      <w:pPr>
        <w:pStyle w:val="TOC2"/>
      </w:pPr>
      <w:r>
        <w:rPr>
          <w:rFonts w:ascii="Cambria" w:hAnsi="Cambria" w:eastAsia="Microsoft YaHei" w:cs="Cambria"/>
          <w:sz w:val="22"/>
          <w:color w:val="4A5568"/>
          <w:szCs w:val="22"/>
        </w:rPr>
        <w:t>4.1 Primary Data Sources</w:t>
      </w:r>
      <w:r>
        <w:rPr>
          <w:rFonts w:ascii="Cambria" w:hAnsi="Cambria" w:eastAsia="Microsoft YaHei"/>
          <w:sz w:val="22"/>
          <w:color w:val="4A5568"/>
        </w:rPr>
        <w:tab/>
      </w:r>
      <w:r>
        <w:rPr>
          <w:rFonts w:ascii="Cambria" w:hAnsi="Cambria" w:eastAsia="Microsoft YaHei" w:cs="Cambria"/>
          <w:sz w:val="22"/>
          <w:color w:val="4A5568"/>
          <w:szCs w:val="22"/>
        </w:rPr>
        <w:t>9</w:t>
      </w:r>
    </w:p>
    <w:p>
      <w:pPr>
        <w:pStyle w:val="TOC2"/>
      </w:pPr>
      <w:r>
        <w:rPr>
          <w:rFonts w:ascii="Cambria" w:hAnsi="Cambria" w:eastAsia="Microsoft YaHei" w:cs="Cambria"/>
          <w:sz w:val="22"/>
          <w:color w:val="4A5568"/>
          <w:szCs w:val="22"/>
        </w:rPr>
        <w:t>4.2 Data Corroboration Process</w:t>
      </w:r>
      <w:r>
        <w:rPr>
          <w:rFonts w:ascii="Cambria" w:hAnsi="Cambria" w:eastAsia="Microsoft YaHei"/>
          <w:sz w:val="22"/>
          <w:color w:val="4A5568"/>
        </w:rPr>
        <w:tab/>
      </w:r>
      <w:r>
        <w:rPr>
          <w:rFonts w:ascii="Cambria" w:hAnsi="Cambria" w:eastAsia="Microsoft YaHei" w:cs="Cambria"/>
          <w:sz w:val="22"/>
          <w:color w:val="4A5568"/>
          <w:szCs w:val="22"/>
        </w:rPr>
        <w:t>10</w:t>
      </w:r>
    </w:p>
    <w:p>
      <w:pPr>
        <w:pStyle w:val="TOC2"/>
      </w:pPr>
      <w:r>
        <w:rPr>
          <w:rFonts w:ascii="Cambria" w:hAnsi="Cambria" w:eastAsia="Microsoft YaHei" w:cs="Cambria"/>
          <w:sz w:val="22"/>
          <w:color w:val="4A5568"/>
          <w:szCs w:val="22"/>
        </w:rPr>
        <w:t>4.3 Transit Period Definitions</w:t>
      </w:r>
      <w:r>
        <w:rPr>
          <w:rFonts w:ascii="Cambria" w:hAnsi="Cambria" w:eastAsia="Microsoft YaHei"/>
          <w:sz w:val="22"/>
          <w:color w:val="4A5568"/>
        </w:rPr>
        <w:tab/>
      </w:r>
      <w:r>
        <w:rPr>
          <w:rFonts w:ascii="Cambria" w:hAnsi="Cambria" w:eastAsia="Microsoft YaHei" w:cs="Cambria"/>
          <w:sz w:val="22"/>
          <w:color w:val="4A5568"/>
          <w:szCs w:val="22"/>
        </w:rPr>
        <w:t>10</w:t>
      </w:r>
    </w:p>
    <w:p>
      <w:pPr>
        <w:pStyle w:val="TOC1"/>
      </w:pPr>
      <w:r>
        <w:rPr>
          <w:rFonts w:ascii="Cambria" w:hAnsi="Cambria" w:eastAsia="Microsoft YaHei" w:cs="Cambria"/>
          <w:sz w:val="22"/>
          <w:b/>
          <w:color w:val="1A2744"/>
          <w:szCs w:val="22"/>
        </w:rPr>
        <w:t>Section 5: Performance Thresholds for Tranches</w:t>
      </w:r>
      <w:r>
        <w:rPr>
          <w:rFonts w:ascii="Cambria" w:hAnsi="Cambria" w:eastAsia="Microsoft YaHei"/>
          <w:sz w:val="22"/>
          <w:b/>
          <w:color w:val="1A2744"/>
        </w:rPr>
        <w:tab/>
      </w:r>
      <w:r>
        <w:rPr>
          <w:rFonts w:ascii="Cambria" w:hAnsi="Cambria" w:eastAsia="Microsoft YaHei" w:cs="Cambria"/>
          <w:sz w:val="22"/>
          <w:b/>
          <w:color w:val="1A2744"/>
          <w:szCs w:val="22"/>
        </w:rPr>
        <w:t>11</w:t>
      </w:r>
    </w:p>
    <w:p>
      <w:pPr>
        <w:pStyle w:val="TOC1"/>
      </w:pPr>
      <w:r>
        <w:rPr>
          <w:rFonts w:ascii="Cambria" w:hAnsi="Cambria" w:eastAsia="Microsoft YaHei" w:cs="Cambria"/>
          <w:sz w:val="22"/>
          <w:b/>
          <w:color w:val="1A2744"/>
          <w:szCs w:val="22"/>
        </w:rPr>
        <w:t>Section 6: Exceptions and Force Majeure</w:t>
      </w:r>
      <w:r>
        <w:rPr>
          <w:rFonts w:ascii="Cambria" w:hAnsi="Cambria" w:eastAsia="Microsoft YaHei"/>
          <w:sz w:val="22"/>
          <w:b/>
          <w:color w:val="1A2744"/>
        </w:rPr>
        <w:tab/>
      </w:r>
      <w:r>
        <w:rPr>
          <w:rFonts w:ascii="Cambria" w:hAnsi="Cambria" w:eastAsia="Microsoft YaHei" w:cs="Cambria"/>
          <w:sz w:val="22"/>
          <w:b/>
          <w:color w:val="1A2744"/>
          <w:szCs w:val="22"/>
        </w:rPr>
        <w:t>12</w:t>
      </w:r>
    </w:p>
    <w:p>
      <w:pPr>
        <w:pStyle w:val="TOC2"/>
      </w:pPr>
      <w:r>
        <w:rPr>
          <w:rFonts w:ascii="Cambria" w:hAnsi="Cambria" w:eastAsia="Microsoft YaHei" w:cs="Cambria"/>
          <w:sz w:val="22"/>
          <w:color w:val="4A5568"/>
          <w:szCs w:val="22"/>
        </w:rPr>
        <w:t>6.1 Weather and Sea Conditions</w:t>
      </w:r>
      <w:r>
        <w:rPr>
          <w:rFonts w:ascii="Cambria" w:hAnsi="Cambria" w:eastAsia="Microsoft YaHei"/>
          <w:sz w:val="22"/>
          <w:color w:val="4A5568"/>
        </w:rPr>
        <w:tab/>
      </w:r>
      <w:r>
        <w:rPr>
          <w:rFonts w:ascii="Cambria" w:hAnsi="Cambria" w:eastAsia="Microsoft YaHei" w:cs="Cambria"/>
          <w:sz w:val="22"/>
          <w:color w:val="4A5568"/>
          <w:szCs w:val="22"/>
        </w:rPr>
        <w:t>12</w:t>
      </w:r>
    </w:p>
    <w:p>
      <w:pPr>
        <w:pStyle w:val="TOC2"/>
      </w:pPr>
      <w:r>
        <w:rPr>
          <w:rFonts w:ascii="Cambria" w:hAnsi="Cambria" w:eastAsia="Microsoft YaHei" w:cs="Cambria"/>
          <w:sz w:val="22"/>
          <w:color w:val="4A5568"/>
          <w:szCs w:val="22"/>
        </w:rPr>
        <w:t>6.2 Mechanical Emergencies</w:t>
      </w:r>
      <w:r>
        <w:rPr>
          <w:rFonts w:ascii="Cambria" w:hAnsi="Cambria" w:eastAsia="Microsoft YaHei"/>
          <w:sz w:val="22"/>
          <w:color w:val="4A5568"/>
        </w:rPr>
        <w:tab/>
      </w:r>
      <w:r>
        <w:rPr>
          <w:rFonts w:ascii="Cambria" w:hAnsi="Cambria" w:eastAsia="Microsoft YaHei" w:cs="Cambria"/>
          <w:sz w:val="22"/>
          <w:color w:val="4A5568"/>
          <w:szCs w:val="22"/>
        </w:rPr>
        <w:t>12</w:t>
      </w:r>
    </w:p>
    <w:p>
      <w:pPr>
        <w:pStyle w:val="TOC2"/>
      </w:pPr>
      <w:r>
        <w:rPr>
          <w:rFonts w:ascii="Cambria" w:hAnsi="Cambria" w:eastAsia="Microsoft YaHei" w:cs="Cambria"/>
          <w:sz w:val="22"/>
          <w:color w:val="4A5568"/>
          <w:szCs w:val="22"/>
        </w:rPr>
        <w:t>6.3 Maritime Security Incidents</w:t>
      </w:r>
      <w:r>
        <w:rPr>
          <w:rFonts w:ascii="Cambria" w:hAnsi="Cambria" w:eastAsia="Microsoft YaHei"/>
          <w:sz w:val="22"/>
          <w:color w:val="4A5568"/>
        </w:rPr>
        <w:tab/>
      </w:r>
      <w:r>
        <w:rPr>
          <w:rFonts w:ascii="Cambria" w:hAnsi="Cambria" w:eastAsia="Microsoft YaHei" w:cs="Cambria"/>
          <w:sz w:val="22"/>
          <w:color w:val="4A5568"/>
          <w:szCs w:val="22"/>
        </w:rPr>
        <w:t>13</w:t>
      </w:r>
    </w:p>
    <w:p>
      <w:pPr>
        <w:pStyle w:val="TOC1"/>
      </w:pPr>
      <w:r>
        <w:rPr>
          <w:rFonts w:ascii="Cambria" w:hAnsi="Cambria" w:eastAsia="Microsoft YaHei" w:cs="Cambria"/>
          <w:sz w:val="22"/>
          <w:b/>
          <w:color w:val="1A2744"/>
          <w:szCs w:val="22"/>
        </w:rPr>
        <w:t>Section 7: Amendment and Review</w:t>
      </w:r>
      <w:r>
        <w:rPr>
          <w:rFonts w:ascii="Cambria" w:hAnsi="Cambria" w:eastAsia="Microsoft YaHei"/>
          <w:sz w:val="22"/>
          <w:b/>
          <w:color w:val="1A2744"/>
        </w:rPr>
        <w:tab/>
      </w:r>
      <w:r>
        <w:rPr>
          <w:rFonts w:ascii="Cambria" w:hAnsi="Cambria" w:eastAsia="Microsoft YaHei" w:cs="Cambria"/>
          <w:sz w:val="22"/>
          <w:b/>
          <w:color w:val="1A2744"/>
          <w:szCs w:val="22"/>
        </w:rPr>
        <w:t>13</w:t>
      </w:r>
    </w:p>
    <w:p>
      <w:pPr>
        <w:pStyle w:val="TOC1"/>
      </w:pPr>
      <w:r>
        <w:rPr>
          <w:rFonts w:ascii="Cambria" w:hAnsi="Cambria" w:eastAsia="Microsoft YaHei" w:cs="Cambria"/>
          <w:sz w:val="22"/>
          <w:b/>
          <w:color w:val="1A2744"/>
          <w:szCs w:val="22"/>
        </w:rPr>
        <w:t>Section 8: Non-Recognition Clause</w:t>
      </w:r>
      <w:r>
        <w:rPr>
          <w:rFonts w:ascii="Cambria" w:hAnsi="Cambria" w:eastAsia="Microsoft YaHei"/>
          <w:sz w:val="22"/>
          <w:b/>
          <w:color w:val="1A2744"/>
        </w:rPr>
        <w:tab/>
      </w:r>
      <w:r>
        <w:rPr>
          <w:rFonts w:ascii="Cambria" w:hAnsi="Cambria" w:eastAsia="Microsoft YaHei" w:cs="Cambria"/>
          <w:sz w:val="22"/>
          <w:b/>
          <w:color w:val="1A2744"/>
          <w:szCs w:val="22"/>
        </w:rPr>
        <w:t>14</w:t>
      </w:r>
    </w:p>
    <w:p>
      <w:pPr>
        <w:pStyle w:val="Normal"/>
      </w:pPr>
      <w:r>
        <w:fldChar w:fldCharType="end"/>
      </w:r>
    </w:p>
    <w:p>
      <w:pPr>
        <w:pStyle w:val="Normal"/>
        <w:sectPr>
          <w:type w:val="nextPage"/>
          <w:pgSz w:w="11906" w:h="16838"/>
          <w:pgMar w:top="1440" w:right="1440" w:bottom="1440" w:left="1440" w:header="720" w:footer="720"/>
        </w:sectPr>
      </w:pPr>
    </w:p>
    <w:p>
      <w:pPr>
        <w:pStyle w:val="Heading1"/>
      </w:pPr>
      <w:bookmarkStart w:name="_S1" w:id="2"/>
      <w:r>
        <w:rPr>
          <w:rFonts w:ascii="Cambria" w:hAnsi="Cambria" w:eastAsia="Cambria" w:cs="Cambria"/>
          <w:b/>
          <w:color w:val="1A2744"/>
          <w:sz w:val="40"/>
          <w:szCs w:val="40"/>
        </w:rPr>
        <w:t>Section 1: Introduction and Scope</w:t>
      </w:r>
      <w:bookmarkEnd w:id="2"/>
    </w:p>
    <w:p>
      <w:pPr>
        <w:pStyle w:val="Heading2"/>
      </w:pPr>
      <w:r>
        <w:t>1.1 Purpose</w:t>
      </w:r>
    </w:p>
    <w:p>
      <w:r>
        <w:t>This Annex establishes the technical definitions, measurement methodologies, and verification criteria for determining whether unobstructed passage has occurred through the Strait of Hormuz, as referenced in the Coordinated Technical Activation Framework (CTAF-2026-001). These definitions operate as the technical yardstick for the verification functions of the Technical Working Group (TWG).</w:t>
      </w:r>
    </w:p>
    <w:p>
      <w:r>
        <w:t>The metrics in this Annex derive from internationally recognized maritime standards, including the International Maritime Organization Traffic Separation Scheme (IMO TSS), the International Regulations for Preventing Collisions at Sea (COLREGs), and the Safety of Life at Sea Convention (SOLAS). The framework architecture adapts these standards to the specific operational context of the Strait of Hormuz.</w:t>
      </w:r>
    </w:p>
    <w:p>
      <w:pPr>
        <w:pStyle w:val="Heading2"/>
      </w:pPr>
      <w:r>
        <w:t>1.2 Scope</w:t>
      </w:r>
    </w:p>
    <w:p>
      <w:r>
        <w:t>The metrics defined in this Annex apply exclusively to commercial vessels transiting the Strait of Hormuz during the 60-day interim period established under the Islamabad MoU. These metrics do not apply to military vessels, state-owned non-commercial vessels, or vessels in distress.</w:t>
      </w:r>
    </w:p>
    <w:p>
      <w:r>
        <w:t>A commercial vessel means any vessel engaged in commercial cargo, container, tanker, LNG carrier, bulk carrier, or general cargo operations, flying any flag, and transiting the Strait of Hormuz for purposes of international trade. The term excludes naval vessels, coast guard vessels, research vessels, and pleasure craft.</w:t>
      </w:r>
    </w:p>
    <w:p>
      <w:pPr>
        <w:pStyle w:val="Heading2"/>
      </w:pPr>
      <w:r>
        <w:t>1.3 Relationship to CTAF and Higher Instruments</w:t>
      </w:r>
    </w:p>
    <w:p>
      <w:r>
        <w:t>In the event of inconsistency between provisions, the following hierarchy governs:</w:t>
      </w:r>
    </w:p>
    <w:p>
      <w:pPr>
        <w:numPr>
          <w:ilvl w:val="0"/>
          <w:numId w:val="2"/>
        </w:numPr>
      </w:pPr>
      <w:r>
        <w:t>First: The Islamabad Memorandum of Understanding</w:t>
      </w:r>
    </w:p>
    <w:p>
      <w:pPr>
        <w:numPr>
          <w:ilvl w:val="0"/>
          <w:numId w:val="2"/>
        </w:numPr>
      </w:pPr>
      <w:r>
        <w:t>Second: Technical Annexes incorporated by reference into the Islamabad MoU</w:t>
      </w:r>
    </w:p>
    <w:p>
      <w:pPr>
        <w:numPr>
          <w:ilvl w:val="0"/>
          <w:numId w:val="2"/>
        </w:numPr>
      </w:pPr>
      <w:r>
        <w:t>Third: CTAF-2026-001 (Coordinated Technical Activation Framework)</w:t>
      </w:r>
    </w:p>
    <w:p>
      <w:pPr>
        <w:numPr>
          <w:ilvl w:val="0"/>
          <w:numId w:val="2"/>
        </w:numPr>
      </w:pPr>
      <w:r>
        <w:t>Fourth: This Annex A (Technical Definitions and Metrics for Unobstructed Passage)</w:t>
      </w:r>
    </w:p>
    <w:p>
      <w:pPr>
        <w:numPr>
          <w:ilvl w:val="0"/>
          <w:numId w:val="2"/>
        </w:numPr>
      </w:pPr>
      <w:r>
        <w:t>Fifth: Agreed Procedural Minutes issued under the CTAF</w:t>
      </w:r>
    </w:p>
    <w:p>
      <w:pPr>
        <w:pStyle w:val="Heading2"/>
      </w:pPr>
      <w:r>
        <w:t>1.4 Without Prejudice</w:t>
      </w:r>
    </w:p>
    <w:p>
      <w:r>
        <w:t>The technical definitions and metrics contained in this Annex are adopted solely for the operational implementation of this Framework. Nothing in this Annex prejudices the legal positions, sovereignty claims, maritime boundaries, or sanctions positions of any Party.</w:t>
      </w:r>
    </w:p>
    <w:p>
      <w:r>
        <w:t>Participation in this verification framework does not constitute recognition of any entity, territorial claim, or jurisdictional assertion by any Party. The framework architecture treats all data as operational inputs only.</w:t>
      </w:r>
    </w:p>
    <w:p>
      <w:pPr>
        <w:pStyle w:val="Heading1"/>
      </w:pPr>
      <w:r>
        <w:t>Section 2: Geographic and Navigational Parameters</w:t>
      </w:r>
      <w:bookmarkStart w:name="_S2" w:id="3"/>
      <w:bookmarkEnd w:id="3"/>
    </w:p>
    <w:p>
      <w:pPr>
        <w:pStyle w:val="Heading2"/>
      </w:pPr>
      <w:r>
        <w:t>2.1 Transit Corridor Definition</w:t>
      </w:r>
    </w:p>
    <w:p>
      <w:r>
        <w:t>The Strait of Hormuz constitutes a natural maritime chokepoint connecting the Persian Gulf to the Gulf of Oman and the Arabian Sea. The Strait measures approximately 167 kilometres in length. At its narrowest point, the Strait measures approximately 21 nautical miles (39 kilometres) in width between the Iranian mainland and the Omani Musandam Peninsula.</w:t>
      </w:r>
    </w:p>
    <w:p>
      <w:r>
        <w:t>The navigable shipping lanes through the Strait operate under the IMO Traffic Separation Scheme. Each traffic lane measures approximately 2 nautical miles (3.7 kilometres) in width. A separation zone of equal width (2 nautical miles) divides the inbound and outbound lanes. The effective navigable channel for commercial transit therefore occupies a corridor approximately 6 nautical miles (11.1 kilometres) in total width, centred on the established TSS.</w:t>
      </w:r>
    </w:p>
    <w:p>
      <w:r>
        <w:t>The framework architecture defines the transit corridor as the geographic area bounded by the IMO TSS coordinates specified in Section 2.2 below, extending from the eastern entrance of the Strait to the western entrance.</w:t>
      </w:r>
    </w:p>
    <w:p>
      <w:pPr>
        <w:pStyle w:val="Heading2"/>
      </w:pPr>
      <w:r>
        <w:t>2.2 IMO Traffic Separation Scheme</w:t>
      </w:r>
    </w:p>
    <w:p>
      <w:r>
        <w:t>The Traffic Separation Scheme for the Strait of Hormuz is established under IMO Resolution COLREG.2/Circ.54 and has been coordinated between the Governments of Iran and Oman since 1968. All coordinates in this Annex use the WGS 84 datum.</w:t>
      </w:r>
    </w:p>
    <w:p>
      <w:r>
        <w:t>The following table specifies the key coordinates defining the transit corridor:</w:t>
      </w:r>
    </w:p>
    <w:tbl>
      <w:tblPr>
        <w:tblW w:w="5000" w:type="pct"/>
        <w:tblBorders>
          <w:top w:val="single" w:color="2E5A6B" w:sz="12"/>
          <w:left w:val="nil"/>
          <w:bottom w:val="single" w:color="2E5A6B" w:sz="12"/>
          <w:right w:val="nil"/>
          <w:insideH w:val="single" w:color="C0C8D0" w:sz="4"/>
          <w:insideV w:val="nil"/>
        </w:tblBorders>
      </w:tblPr>
      <w:tblGrid>
        <w:gridCol w:w="2500"/>
        <w:gridCol w:w="2500"/>
        <w:gridCol w:w="2500"/>
        <w:gridCol w:w="2500"/>
      </w:tblGrid>
      <w:tr>
        <w:trPr>
          <w:tblHeader/>
        </w:trPr>
        <w:tc>
          <w:tcPr>
            <w:tcW w:w="2500" w:type="dxa"/>
            <w:shd w:val="clear" w:fill="E8EDF2"/>
          </w:tcPr>
          <w:p>
            <w:pPr/>
            <w:r>
              <w:rPr>
                <w:b/>
                <w:color w:val="1A2744"/>
                <w:sz w:val="20"/>
              </w:rPr>
              <w:t>Waypoint</w:t>
            </w:r>
          </w:p>
        </w:tc>
        <w:tc>
          <w:tcPr>
            <w:tcW w:w="2500" w:type="dxa"/>
            <w:shd w:val="clear" w:fill="E8EDF2"/>
          </w:tcPr>
          <w:p>
            <w:pPr/>
            <w:r>
              <w:rPr>
                <w:b/>
                <w:color w:val="1A2744"/>
                <w:sz w:val="20"/>
              </w:rPr>
              <w:t>Latitude (N)</w:t>
            </w:r>
          </w:p>
        </w:tc>
        <w:tc>
          <w:tcPr>
            <w:tcW w:w="2500" w:type="dxa"/>
            <w:shd w:val="clear" w:fill="E8EDF2"/>
          </w:tcPr>
          <w:p>
            <w:pPr/>
            <w:r>
              <w:rPr>
                <w:b/>
                <w:color w:val="1A2744"/>
                <w:sz w:val="20"/>
              </w:rPr>
              <w:t>Longitude (E)</w:t>
            </w:r>
          </w:p>
        </w:tc>
        <w:tc>
          <w:tcPr>
            <w:tcW w:w="2500" w:type="dxa"/>
            <w:shd w:val="clear" w:fill="E8EDF2"/>
          </w:tcPr>
          <w:p>
            <w:pPr/>
            <w:r>
              <w:rPr>
                <w:b/>
                <w:color w:val="1A2744"/>
                <w:sz w:val="20"/>
              </w:rPr>
              <w:t>Description</w:t>
            </w:r>
          </w:p>
        </w:tc>
      </w:tr>
      <w:tr>
        <w:tc>
          <w:tcPr>
            <w:tcW w:w="2500" w:type="dxa"/>
          </w:tcPr>
          <w:p>
            <w:pPr/>
            <w:r>
              <w:rPr>
                <w:color w:val="4A5568"/>
                <w:sz w:val="20"/>
              </w:rPr>
              <w:t>Point Alpha</w:t>
            </w:r>
          </w:p>
        </w:tc>
        <w:tc>
          <w:tcPr>
            <w:tcW w:w="2500" w:type="dxa"/>
          </w:tcPr>
          <w:p>
            <w:pPr/>
            <w:r>
              <w:rPr>
                <w:color w:val="4A5568"/>
                <w:sz w:val="20"/>
              </w:rPr>
              <w:t>26 deg 30.00 min</w:t>
            </w:r>
          </w:p>
        </w:tc>
        <w:tc>
          <w:tcPr>
            <w:tcW w:w="2500" w:type="dxa"/>
          </w:tcPr>
          <w:p>
            <w:pPr/>
            <w:r>
              <w:rPr>
                <w:color w:val="4A5568"/>
                <w:sz w:val="20"/>
              </w:rPr>
              <w:t>56 deg 25.00 min</w:t>
            </w:r>
          </w:p>
        </w:tc>
        <w:tc>
          <w:tcPr>
            <w:tcW w:w="2500" w:type="dxa"/>
          </w:tcPr>
          <w:p>
            <w:pPr/>
            <w:r>
              <w:rPr>
                <w:color w:val="4A5568"/>
                <w:sz w:val="20"/>
              </w:rPr>
              <w:t>Eastern entrance (Gulf of Oman side)</w:t>
            </w:r>
          </w:p>
        </w:tc>
      </w:tr>
      <w:tr>
        <w:tc>
          <w:tcPr>
            <w:tcW w:w="2500" w:type="dxa"/>
          </w:tcPr>
          <w:p>
            <w:pPr/>
            <w:r>
              <w:rPr>
                <w:color w:val="4A5568"/>
                <w:sz w:val="20"/>
              </w:rPr>
              <w:t>WP-1</w:t>
            </w:r>
          </w:p>
        </w:tc>
        <w:tc>
          <w:tcPr>
            <w:tcW w:w="2500" w:type="dxa"/>
          </w:tcPr>
          <w:p>
            <w:pPr/>
            <w:r>
              <w:rPr>
                <w:color w:val="4A5568"/>
                <w:sz w:val="20"/>
              </w:rPr>
              <w:t>26 deg 30.00 min</w:t>
            </w:r>
          </w:p>
        </w:tc>
        <w:tc>
          <w:tcPr>
            <w:tcW w:w="2500" w:type="dxa"/>
          </w:tcPr>
          <w:p>
            <w:pPr/>
            <w:r>
              <w:rPr>
                <w:color w:val="4A5568"/>
                <w:sz w:val="20"/>
              </w:rPr>
              <w:t>56 deg 22.00 min</w:t>
            </w:r>
          </w:p>
        </w:tc>
        <w:tc>
          <w:tcPr>
            <w:tcW w:w="2500" w:type="dxa"/>
          </w:tcPr>
          <w:p>
            <w:pPr/>
            <w:r>
              <w:rPr>
                <w:color w:val="4A5568"/>
                <w:sz w:val="20"/>
              </w:rPr>
              <w:t>Inbound lane entry, eastbound approach</w:t>
            </w:r>
          </w:p>
        </w:tc>
      </w:tr>
      <w:tr>
        <w:tc>
          <w:tcPr>
            <w:tcW w:w="2500" w:type="dxa"/>
          </w:tcPr>
          <w:p>
            <w:pPr/>
            <w:r>
              <w:rPr>
                <w:color w:val="4A5568"/>
                <w:sz w:val="20"/>
              </w:rPr>
              <w:t>WP-2</w:t>
            </w:r>
          </w:p>
        </w:tc>
        <w:tc>
          <w:tcPr>
            <w:tcW w:w="2500" w:type="dxa"/>
          </w:tcPr>
          <w:p>
            <w:pPr/>
            <w:r>
              <w:rPr>
                <w:color w:val="4A5568"/>
                <w:sz w:val="20"/>
              </w:rPr>
              <w:t>26 deg 32.00 min</w:t>
            </w:r>
          </w:p>
        </w:tc>
        <w:tc>
          <w:tcPr>
            <w:tcW w:w="2500" w:type="dxa"/>
          </w:tcPr>
          <w:p>
            <w:pPr/>
            <w:r>
              <w:rPr>
                <w:color w:val="4A5568"/>
                <w:sz w:val="20"/>
              </w:rPr>
              <w:t>56 deg 20.00 min</w:t>
            </w:r>
          </w:p>
        </w:tc>
        <w:tc>
          <w:tcPr>
            <w:tcW w:w="2500" w:type="dxa"/>
          </w:tcPr>
          <w:p>
            <w:pPr/>
            <w:r>
              <w:rPr>
                <w:color w:val="4A5568"/>
                <w:sz w:val="20"/>
              </w:rPr>
              <w:t>Northern corridor waypoint (Larak)</w:t>
            </w:r>
          </w:p>
        </w:tc>
      </w:tr>
      <w:tr>
        <w:tc>
          <w:tcPr>
            <w:tcW w:w="2500" w:type="dxa"/>
          </w:tcPr>
          <w:p>
            <w:pPr/>
            <w:r>
              <w:rPr>
                <w:color w:val="4A5568"/>
                <w:sz w:val="20"/>
              </w:rPr>
              <w:t>WP-3</w:t>
            </w:r>
          </w:p>
        </w:tc>
        <w:tc>
          <w:tcPr>
            <w:tcW w:w="2500" w:type="dxa"/>
          </w:tcPr>
          <w:p>
            <w:pPr/>
            <w:r>
              <w:rPr>
                <w:color w:val="4A5568"/>
                <w:sz w:val="20"/>
              </w:rPr>
              <w:t>26 deg 32.00 min</w:t>
            </w:r>
          </w:p>
        </w:tc>
        <w:tc>
          <w:tcPr>
            <w:tcW w:w="2500" w:type="dxa"/>
          </w:tcPr>
          <w:p>
            <w:pPr/>
            <w:r>
              <w:rPr>
                <w:color w:val="4A5568"/>
                <w:sz w:val="20"/>
              </w:rPr>
              <w:t>56 deg 17.00 min</w:t>
            </w:r>
          </w:p>
        </w:tc>
        <w:tc>
          <w:tcPr>
            <w:tcW w:w="2500" w:type="dxa"/>
          </w:tcPr>
          <w:p>
            <w:pPr/>
            <w:r>
              <w:rPr>
                <w:color w:val="4A5568"/>
                <w:sz w:val="20"/>
              </w:rPr>
              <w:t>Mid-strait separation zone boundary</w:t>
            </w:r>
          </w:p>
        </w:tc>
      </w:tr>
      <w:tr>
        <w:tc>
          <w:tcPr>
            <w:tcW w:w="2500" w:type="dxa"/>
          </w:tcPr>
          <w:p>
            <w:pPr/>
            <w:r>
              <w:rPr>
                <w:color w:val="4A5568"/>
                <w:sz w:val="20"/>
              </w:rPr>
              <w:t>WP-4</w:t>
            </w:r>
          </w:p>
        </w:tc>
        <w:tc>
          <w:tcPr>
            <w:tcW w:w="2500" w:type="dxa"/>
          </w:tcPr>
          <w:p>
            <w:pPr/>
            <w:r>
              <w:rPr>
                <w:color w:val="4A5568"/>
                <w:sz w:val="20"/>
              </w:rPr>
              <w:t>26 deg 30.00 min</w:t>
            </w:r>
          </w:p>
        </w:tc>
        <w:tc>
          <w:tcPr>
            <w:tcW w:w="2500" w:type="dxa"/>
          </w:tcPr>
          <w:p>
            <w:pPr/>
            <w:r>
              <w:rPr>
                <w:color w:val="4A5568"/>
                <w:sz w:val="20"/>
              </w:rPr>
              <w:t>56 deg 16.00 min</w:t>
            </w:r>
          </w:p>
        </w:tc>
        <w:tc>
          <w:tcPr>
            <w:tcW w:w="2500" w:type="dxa"/>
          </w:tcPr>
          <w:p>
            <w:pPr/>
            <w:r>
              <w:rPr>
                <w:color w:val="4A5568"/>
                <w:sz w:val="20"/>
              </w:rPr>
              <w:t>Southern corridor waypoint (Omani)</w:t>
            </w:r>
          </w:p>
        </w:tc>
      </w:tr>
      <w:tr>
        <w:tc>
          <w:tcPr>
            <w:tcW w:w="2500" w:type="dxa"/>
          </w:tcPr>
          <w:p>
            <w:pPr/>
            <w:r>
              <w:rPr>
                <w:color w:val="4A5568"/>
                <w:sz w:val="20"/>
              </w:rPr>
              <w:t>Point Omega</w:t>
            </w:r>
          </w:p>
        </w:tc>
        <w:tc>
          <w:tcPr>
            <w:tcW w:w="2500" w:type="dxa"/>
          </w:tcPr>
          <w:p>
            <w:pPr/>
            <w:r>
              <w:rPr>
                <w:color w:val="4A5568"/>
                <w:sz w:val="20"/>
              </w:rPr>
              <w:t>26 deg 30.00 min</w:t>
            </w:r>
          </w:p>
        </w:tc>
        <w:tc>
          <w:tcPr>
            <w:tcW w:w="2500" w:type="dxa"/>
          </w:tcPr>
          <w:p>
            <w:pPr/>
            <w:r>
              <w:rPr>
                <w:color w:val="4A5568"/>
                <w:sz w:val="20"/>
              </w:rPr>
              <w:t>56 deg 15.00 min</w:t>
            </w:r>
          </w:p>
        </w:tc>
        <w:tc>
          <w:tcPr>
            <w:tcW w:w="2500" w:type="dxa"/>
          </w:tcPr>
          <w:p>
            <w:pPr/>
            <w:r>
              <w:rPr>
                <w:color w:val="4A5568"/>
                <w:sz w:val="20"/>
              </w:rPr>
              <w:t>Western entrance (Persian Gulf side)</w:t>
            </w:r>
          </w:p>
        </w:tc>
      </w:tr>
    </w:tbl>
    <w:p>
      <w:r>
        <w:t>Point Alpha marks the eastern entrance to the transit corridor. A commercial vessel enters the transit corridor when its AIS position reports a latitude east of 56 degrees 25.00 minutes N and the vessel's course indicates transit toward the Persian Gulf.</w:t>
      </w:r>
    </w:p>
    <w:p>
      <w:r>
        <w:t>Point Omega marks the western entrance to the transit corridor. A commercial vessel exits the transit corridor when its AIS position reports a latitude west of 56 degrees 15.00 minutes N and the vessel's course indicates transit toward the Gulf of Oman.</w:t>
      </w:r>
    </w:p>
    <w:p>
      <w:r>
        <w:t>The TSS inbound lane (westbound) occupies the northern portion of the separation scheme. The TSS outbound lane (eastbound) occupies the southern portion. The separation zone occupies the centre. Commercial vessels transit in the lane corresponding to their direction of travel.</w:t>
      </w:r>
    </w:p>
    <w:p>
      <w:pPr>
        <w:pStyle w:val="Heading2"/>
      </w:pPr>
      <w:r>
        <w:t>2.3 Dual-Corridor Architecture</w:t>
      </w:r>
    </w:p>
    <w:p>
      <w:r>
        <w:t>As of April 2026, the Strait of Hormuz operates under a dual-corridor system. The framework architecture recognizes both corridors for the purpose of this verification regime:</w:t>
      </w:r>
    </w:p>
    <w:p>
      <w:pPr>
        <w:numPr>
          <w:ilvl w:val="0"/>
          <w:numId w:val="2"/>
        </w:numPr>
      </w:pPr>
      <w:r>
        <w:t>Northern Corridor: The IRGC-controlled route via Larak Island. This corridor follows the Iranian coastline through Iranian territorial waters.</w:t>
      </w:r>
    </w:p>
    <w:p>
      <w:pPr>
        <w:numPr>
          <w:ilvl w:val="0"/>
          <w:numId w:val="2"/>
        </w:numPr>
      </w:pPr>
      <w:r>
        <w:t>Southern Corridor: The Oman-aligned route along the Omani coastline. This corridor operates outside the original control zone and transits through Omani and international waters.</w:t>
      </w:r>
    </w:p>
    <w:p>
      <w:r>
        <w:t>The framework architecture treats transit through either corridor as valid for the purpose of verifying unobstructed passage, provided the transit satisfies all metrics defined in Section 3. The Technical Working Group records which corridor each transit uses for data analysis purposes. Neither corridor receives preferential treatment in the verification process.</w:t>
      </w:r>
    </w:p>
    <w:p>
      <w:pPr>
        <w:pStyle w:val="Heading2"/>
      </w:pPr>
      <w:r>
        <w:t>2.4 Navigational Waypoints</w:t>
      </w:r>
    </w:p>
    <w:p>
      <w:r>
        <w:t>The following waypoints define the standard transit path for verification purposes. Vessels are not required to follow these waypoints precisely, but the waypoints serve as the reference track against which lane adherence and deviation are measured.</w:t>
      </w:r>
    </w:p>
    <w:tbl>
      <w:tblPr>
        <w:tblW w:w="5000" w:type="pct"/>
        <w:tblBorders>
          <w:top w:val="single" w:color="2E5A6B" w:sz="12"/>
          <w:left w:val="nil"/>
          <w:bottom w:val="single" w:color="2E5A6B" w:sz="12"/>
          <w:right w:val="nil"/>
          <w:insideH w:val="single" w:color="C0C8D0" w:sz="4"/>
          <w:insideV w:val="nil"/>
        </w:tblBorders>
      </w:tblPr>
      <w:tblGrid>
        <w:gridCol w:w="2000"/>
        <w:gridCol w:w="3000"/>
        <w:gridCol w:w="2500"/>
        <w:gridCol w:w="2500"/>
      </w:tblGrid>
      <w:tr>
        <w:trPr>
          <w:tblHeader/>
        </w:trPr>
        <w:tc>
          <w:tcPr>
            <w:tcW w:w="2000" w:type="dxa"/>
            <w:shd w:val="clear" w:fill="E8EDF2"/>
          </w:tcPr>
          <w:p>
            <w:pPr/>
            <w:r>
              <w:rPr>
                <w:b/>
                <w:color w:val="1A2744"/>
                <w:sz w:val="20"/>
              </w:rPr>
              <w:t>Leg</w:t>
            </w:r>
          </w:p>
        </w:tc>
        <w:tc>
          <w:tcPr>
            <w:tcW w:w="3000" w:type="dxa"/>
            <w:shd w:val="clear" w:fill="E8EDF2"/>
          </w:tcPr>
          <w:p>
            <w:pPr/>
            <w:r>
              <w:rPr>
                <w:b/>
                <w:color w:val="1A2744"/>
                <w:sz w:val="20"/>
              </w:rPr>
              <w:t>From</w:t>
            </w:r>
          </w:p>
        </w:tc>
        <w:tc>
          <w:tcPr>
            <w:tcW w:w="2500" w:type="dxa"/>
            <w:shd w:val="clear" w:fill="E8EDF2"/>
          </w:tcPr>
          <w:p>
            <w:pPr/>
            <w:r>
              <w:rPr>
                <w:b/>
                <w:color w:val="1A2744"/>
                <w:sz w:val="20"/>
              </w:rPr>
              <w:t>To</w:t>
            </w:r>
          </w:p>
        </w:tc>
        <w:tc>
          <w:tcPr>
            <w:tcW w:w="2500" w:type="dxa"/>
            <w:shd w:val="clear" w:fill="E8EDF2"/>
          </w:tcPr>
          <w:p>
            <w:pPr/>
            <w:r>
              <w:rPr>
                <w:b/>
                <w:color w:val="1A2744"/>
                <w:sz w:val="20"/>
              </w:rPr>
              <w:t>Distance (approx.)</w:t>
            </w:r>
          </w:p>
        </w:tc>
      </w:tr>
      <w:tr>
        <w:tc>
          <w:tcPr>
            <w:tcW w:w="2000" w:type="dxa"/>
          </w:tcPr>
          <w:p>
            <w:pPr/>
            <w:r>
              <w:rPr>
                <w:color w:val="4A5568"/>
                <w:sz w:val="20"/>
              </w:rPr>
              <w:t>Alpha to WP-1</w:t>
            </w:r>
          </w:p>
        </w:tc>
        <w:tc>
          <w:tcPr>
            <w:tcW w:w="3000" w:type="dxa"/>
          </w:tcPr>
          <w:p>
            <w:pPr/>
            <w:r>
              <w:rPr>
                <w:color w:val="4A5568"/>
                <w:sz w:val="20"/>
              </w:rPr>
              <w:t>Eastern entrance</w:t>
            </w:r>
          </w:p>
        </w:tc>
        <w:tc>
          <w:tcPr>
            <w:tcW w:w="2500" w:type="dxa"/>
          </w:tcPr>
          <w:p>
            <w:pPr/>
            <w:r>
              <w:rPr>
                <w:color w:val="4A5568"/>
                <w:sz w:val="20"/>
              </w:rPr>
              <w:t>Lane entry point</w:t>
            </w:r>
          </w:p>
        </w:tc>
        <w:tc>
          <w:tcPr>
            <w:tcW w:w="2500" w:type="dxa"/>
          </w:tcPr>
          <w:p>
            <w:pPr/>
            <w:r>
              <w:rPr>
                <w:color w:val="4A5568"/>
                <w:sz w:val="20"/>
              </w:rPr>
              <w:t>2.8 NM</w:t>
            </w:r>
          </w:p>
        </w:tc>
      </w:tr>
      <w:tr>
        <w:tc>
          <w:tcPr>
            <w:tcW w:w="2000" w:type="dxa"/>
          </w:tcPr>
          <w:p>
            <w:pPr/>
            <w:r>
              <w:rPr>
                <w:color w:val="4A5568"/>
                <w:sz w:val="20"/>
              </w:rPr>
              <w:t>WP-1 to WP-2</w:t>
            </w:r>
          </w:p>
        </w:tc>
        <w:tc>
          <w:tcPr>
            <w:tcW w:w="3000" w:type="dxa"/>
          </w:tcPr>
          <w:p>
            <w:pPr/>
            <w:r>
              <w:rPr>
                <w:color w:val="4A5568"/>
                <w:sz w:val="20"/>
              </w:rPr>
              <w:t>Lane entry</w:t>
            </w:r>
          </w:p>
        </w:tc>
        <w:tc>
          <w:tcPr>
            <w:tcW w:w="2500" w:type="dxa"/>
          </w:tcPr>
          <w:p>
            <w:pPr/>
            <w:r>
              <w:rPr>
                <w:color w:val="4A5568"/>
                <w:sz w:val="20"/>
              </w:rPr>
              <w:t>Northern corridor</w:t>
            </w:r>
          </w:p>
        </w:tc>
        <w:tc>
          <w:tcPr>
            <w:tcW w:w="2500" w:type="dxa"/>
          </w:tcPr>
          <w:p>
            <w:pPr/>
            <w:r>
              <w:rPr>
                <w:color w:val="4A5568"/>
                <w:sz w:val="20"/>
              </w:rPr>
              <w:t>1.8 NM</w:t>
            </w:r>
          </w:p>
        </w:tc>
      </w:tr>
      <w:tr>
        <w:tc>
          <w:tcPr>
            <w:tcW w:w="2000" w:type="dxa"/>
          </w:tcPr>
          <w:p>
            <w:pPr/>
            <w:r>
              <w:rPr>
                <w:color w:val="4A5568"/>
                <w:sz w:val="20"/>
              </w:rPr>
              <w:t>WP-2 to WP-3</w:t>
            </w:r>
          </w:p>
        </w:tc>
        <w:tc>
          <w:tcPr>
            <w:tcW w:w="3000" w:type="dxa"/>
          </w:tcPr>
          <w:p>
            <w:pPr/>
            <w:r>
              <w:rPr>
                <w:color w:val="4A5568"/>
                <w:sz w:val="20"/>
              </w:rPr>
              <w:t>Northern corridor</w:t>
            </w:r>
          </w:p>
        </w:tc>
        <w:tc>
          <w:tcPr>
            <w:tcW w:w="2500" w:type="dxa"/>
          </w:tcPr>
          <w:p>
            <w:pPr/>
            <w:r>
              <w:rPr>
                <w:color w:val="4A5568"/>
                <w:sz w:val="20"/>
              </w:rPr>
              <w:t>Mid-strait</w:t>
            </w:r>
          </w:p>
        </w:tc>
        <w:tc>
          <w:tcPr>
            <w:tcW w:w="2500" w:type="dxa"/>
          </w:tcPr>
          <w:p>
            <w:pPr/>
            <w:r>
              <w:rPr>
                <w:color w:val="4A5568"/>
                <w:sz w:val="20"/>
              </w:rPr>
              <w:t>2.5 NM</w:t>
            </w:r>
          </w:p>
        </w:tc>
      </w:tr>
      <w:tr>
        <w:tc>
          <w:tcPr>
            <w:tcW w:w="2000" w:type="dxa"/>
          </w:tcPr>
          <w:p>
            <w:pPr/>
            <w:r>
              <w:rPr>
                <w:color w:val="4A5568"/>
                <w:sz w:val="20"/>
              </w:rPr>
              <w:t>WP-3 to WP-4</w:t>
            </w:r>
          </w:p>
        </w:tc>
        <w:tc>
          <w:tcPr>
            <w:tcW w:w="3000" w:type="dxa"/>
          </w:tcPr>
          <w:p>
            <w:pPr/>
            <w:r>
              <w:rPr>
                <w:color w:val="4A5568"/>
                <w:sz w:val="20"/>
              </w:rPr>
              <w:t>Mid-strait</w:t>
            </w:r>
          </w:p>
        </w:tc>
        <w:tc>
          <w:tcPr>
            <w:tcW w:w="2500" w:type="dxa"/>
          </w:tcPr>
          <w:p>
            <w:pPr/>
            <w:r>
              <w:rPr>
                <w:color w:val="4A5568"/>
                <w:sz w:val="20"/>
              </w:rPr>
              <w:t>Southern corridor</w:t>
            </w:r>
          </w:p>
        </w:tc>
        <w:tc>
          <w:tcPr>
            <w:tcW w:w="2500" w:type="dxa"/>
          </w:tcPr>
          <w:p>
            <w:pPr/>
            <w:r>
              <w:rPr>
                <w:color w:val="4A5568"/>
                <w:sz w:val="20"/>
              </w:rPr>
              <w:t>1.0 NM</w:t>
            </w:r>
          </w:p>
        </w:tc>
      </w:tr>
      <w:tr>
        <w:tc>
          <w:tcPr>
            <w:tcW w:w="2000" w:type="dxa"/>
          </w:tcPr>
          <w:p>
            <w:pPr/>
            <w:r>
              <w:rPr>
                <w:color w:val="4A5568"/>
                <w:sz w:val="20"/>
              </w:rPr>
              <w:t>WP-4 to Omega</w:t>
            </w:r>
          </w:p>
        </w:tc>
        <w:tc>
          <w:tcPr>
            <w:tcW w:w="3000" w:type="dxa"/>
          </w:tcPr>
          <w:p>
            <w:pPr/>
            <w:r>
              <w:rPr>
                <w:color w:val="4A5568"/>
                <w:sz w:val="20"/>
              </w:rPr>
              <w:t>Southern corridor</w:t>
            </w:r>
          </w:p>
        </w:tc>
        <w:tc>
          <w:tcPr>
            <w:tcW w:w="2500" w:type="dxa"/>
          </w:tcPr>
          <w:p>
            <w:pPr/>
            <w:r>
              <w:rPr>
                <w:color w:val="4A5568"/>
                <w:sz w:val="20"/>
              </w:rPr>
              <w:t>Western entrance</w:t>
            </w:r>
          </w:p>
        </w:tc>
        <w:tc>
          <w:tcPr>
            <w:tcW w:w="2500" w:type="dxa"/>
          </w:tcPr>
          <w:p>
            <w:pPr/>
            <w:r>
              <w:rPr>
                <w:color w:val="4A5568"/>
                <w:sz w:val="20"/>
              </w:rPr>
              <w:t>1.0 NM</w:t>
            </w:r>
          </w:p>
        </w:tc>
      </w:tr>
      <w:tr>
        <w:tc>
          <w:tcPr>
            <w:tcW w:w="2000" w:type="dxa"/>
          </w:tcPr>
          <w:p>
            <w:pPr/>
            <w:r>
              <w:rPr>
                <w:color w:val="4A5568"/>
                <w:sz w:val="20"/>
              </w:rPr>
              <w:t>Total transit</w:t>
            </w:r>
          </w:p>
        </w:tc>
        <w:tc>
          <w:tcPr>
            <w:tcW w:w="3000" w:type="dxa"/>
          </w:tcPr>
          <w:p>
            <w:pPr/>
            <w:r>
              <w:rPr>
                <w:color w:val="4A5568"/>
                <w:sz w:val="20"/>
              </w:rPr>
              <w:t>Point Alpha</w:t>
            </w:r>
          </w:p>
        </w:tc>
        <w:tc>
          <w:tcPr>
            <w:tcW w:w="2500" w:type="dxa"/>
          </w:tcPr>
          <w:p>
            <w:pPr/>
            <w:r>
              <w:rPr>
                <w:color w:val="4A5568"/>
                <w:sz w:val="20"/>
              </w:rPr>
              <w:t>Point Omega</w:t>
            </w:r>
          </w:p>
        </w:tc>
        <w:tc>
          <w:tcPr>
            <w:tcW w:w="2500" w:type="dxa"/>
          </w:tcPr>
          <w:p>
            <w:pPr/>
            <w:r>
              <w:rPr>
                <w:color w:val="4A5568"/>
                <w:sz w:val="20"/>
              </w:rPr>
              <w:t>39 NM (72 km)</w:t>
            </w:r>
          </w:p>
        </w:tc>
      </w:tr>
    </w:tbl>
    <w:p>
      <w:pPr>
        <w:pStyle w:val="Heading1"/>
      </w:pPr>
      <w:r>
        <w:t>Section 3: Definitions of Key Metrics</w:t>
      </w:r>
      <w:bookmarkStart w:name="_S3" w:id="4"/>
      <w:bookmarkEnd w:id="4"/>
    </w:p>
    <w:p>
      <w:pPr>
        <w:pStyle w:val="Heading2"/>
      </w:pPr>
      <w:r>
        <w:t>3.1 Transit Speed</w:t>
      </w:r>
    </w:p>
    <w:p>
      <w:pPr>
        <w:pStyle w:val="Heading3"/>
      </w:pPr>
      <w:r>
        <w:t>3.1.1 Minimum Average Speed</w:t>
      </w:r>
    </w:p>
    <w:p>
      <w:r>
        <w:t>A commercial vessel maintains an average speed of no less than 12 knots over the course of its transit through the transit corridor. The framework architecture calculates average speed as the total distance traveled from Point Alpha to Point Omega (or vice versa) divided by the total elapsed time between entry and exit.</w:t>
      </w:r>
    </w:p>
    <w:p>
      <w:r>
        <w:t>The formula for average transit speed reads: Average Speed equals total nautical miles divided by total elapsed hours. The Technical Working Group computes this figure using AIS-reported positions at corridor entry and exit.</w:t>
      </w:r>
    </w:p>
    <w:p>
      <w:pPr>
        <w:pStyle w:val="Heading3"/>
      </w:pPr>
      <w:r>
        <w:t>3.1.2 Speed Tolerance</w:t>
      </w:r>
    </w:p>
    <w:p>
      <w:r>
        <w:t>A variance of up to 1.5 knots below the 12-knot minimum constitutes an acceptable tolerance, provided the variance results from one of the following conditions:</w:t>
      </w:r>
    </w:p>
    <w:p>
      <w:pPr>
        <w:numPr>
          <w:ilvl w:val="0"/>
          <w:numId w:val="2"/>
        </w:numPr>
      </w:pPr>
      <w:r>
        <w:t>Adverse sea conditions below the force majeure threshold defined in Section 6.1</w:t>
      </w:r>
    </w:p>
    <w:p>
      <w:pPr>
        <w:numPr>
          <w:ilvl w:val="0"/>
          <w:numId w:val="2"/>
        </w:numPr>
      </w:pPr>
      <w:r>
        <w:t>Navigation within high-density traffic zones requiring speed reduction for safety</w:t>
      </w:r>
    </w:p>
    <w:p>
      <w:pPr>
        <w:numPr>
          <w:ilvl w:val="0"/>
          <w:numId w:val="2"/>
        </w:numPr>
      </w:pPr>
      <w:r>
        <w:t>Temporary speed adjustment to maintain safe separation from other vessels</w:t>
      </w:r>
    </w:p>
    <w:p>
      <w:r>
        <w:t>A variance exceeding 1.5 knots below the minimum constitutes a failure of the transit speed metric, unless the vessel invokes a force majeure exception under Section 6.</w:t>
      </w:r>
    </w:p>
    <w:p>
      <w:pPr>
        <w:pStyle w:val="Heading3"/>
      </w:pPr>
      <w:r>
        <w:t>3.1.3 Speed Measurement Method</w:t>
      </w:r>
    </w:p>
    <w:p>
      <w:r>
        <w:t>The Technical Working Group calculates speed using the following data hierarchy:</w:t>
      </w:r>
    </w:p>
    <w:p>
      <w:pPr>
        <w:numPr>
          <w:ilvl w:val="0"/>
          <w:numId w:val="2"/>
        </w:numPr>
      </w:pPr>
      <w:r>
        <w:t>Primary: AIS-reported speed over ground (SOG), averaged at 5-minute intervals throughout the transit</w:t>
      </w:r>
    </w:p>
    <w:p>
      <w:pPr>
        <w:numPr>
          <w:ilvl w:val="0"/>
          <w:numId w:val="2"/>
        </w:numPr>
      </w:pPr>
      <w:r>
        <w:t>Secondary: Satellite-derived speed from Doppler shift analysis of AIS transmissions</w:t>
      </w:r>
    </w:p>
    <w:p>
      <w:pPr>
        <w:numPr>
          <w:ilvl w:val="0"/>
          <w:numId w:val="2"/>
        </w:numPr>
      </w:pPr>
      <w:r>
        <w:t>Tertiary: Ground-based VTS radar speed tracking, where available</w:t>
      </w:r>
    </w:p>
    <w:p>
      <w:r>
        <w:t>The TWG uses the highest-confidence data source available. Where multiple sources report consistent values, the TWG records the arithmetic mean. Where sources disagree by more than 1 knot, the TWG applies the corroboration procedure in Section 4.2.</w:t>
      </w:r>
    </w:p>
    <w:p>
      <w:pPr>
        <w:pStyle w:val="Heading2"/>
      </w:pPr>
      <w:r>
        <w:t>3.2 Clearance Width and Lane Adherence</w:t>
      </w:r>
    </w:p>
    <w:p>
      <w:pPr>
        <w:pStyle w:val="Heading3"/>
      </w:pPr>
      <w:r>
        <w:t>3.2.1 Lane Adherence Standard</w:t>
      </w:r>
    </w:p>
    <w:p>
      <w:r>
        <w:t>The commercial vessel remains within its designated TSS lane throughout the transit. The framework architecture measures lane adherence as the perpendicular distance between the vessel's reported position and the centreline of the designated TSS lane.</w:t>
      </w:r>
    </w:p>
    <w:p>
      <w:pPr>
        <w:pStyle w:val="Heading3"/>
      </w:pPr>
      <w:r>
        <w:t>3.2.2 Deviation Threshold</w:t>
      </w:r>
    </w:p>
    <w:p>
      <w:r>
        <w:t>A deviation exceeding 0.5 nautical miles from the centreline of the designated TSS lane for more than 15 consecutive minutes constitutes a failure of the lane adherence metric, unless the deviation results from one of the following:</w:t>
      </w:r>
    </w:p>
    <w:p>
      <w:pPr>
        <w:numPr>
          <w:ilvl w:val="0"/>
          <w:numId w:val="2"/>
        </w:numPr>
      </w:pPr>
      <w:r>
        <w:t>Emergency collision avoidance manoeuvre</w:t>
      </w:r>
    </w:p>
    <w:p>
      <w:pPr>
        <w:numPr>
          <w:ilvl w:val="0"/>
          <w:numId w:val="2"/>
        </w:numPr>
      </w:pPr>
      <w:r>
        <w:t>Weather avoidance (storms, fog banks)</w:t>
      </w:r>
    </w:p>
    <w:p>
      <w:pPr>
        <w:numPr>
          <w:ilvl w:val="0"/>
          <w:numId w:val="2"/>
        </w:numPr>
      </w:pPr>
      <w:r>
        <w:t>Navigational hazard avoidance (debris, uncharted obstruction)</w:t>
      </w:r>
    </w:p>
    <w:p>
      <w:pPr>
        <w:numPr>
          <w:ilvl w:val="0"/>
          <w:numId w:val="2"/>
        </w:numPr>
      </w:pPr>
      <w:r>
        <w:t>Directed manoeuvre by Vessel Traffic Service for traffic management</w:t>
      </w:r>
    </w:p>
    <w:p>
      <w:r>
        <w:t>The vessel bears the burden of demonstrating that the deviation falls within one of these exceptions. The vessel provides documentary evidence (bridge logs, VHF recordings, VTS instructions) to the Technical Working Group within 24 hours of the transit.</w:t>
      </w:r>
    </w:p>
    <w:p>
      <w:pPr>
        <w:pStyle w:val="Heading3"/>
      </w:pPr>
      <w:r>
        <w:t>3.2.3 Channel Clearance</w:t>
      </w:r>
    </w:p>
    <w:p>
      <w:r>
        <w:t>The commercial vessel maintains a minimum distance of 0.25 nautical miles from the edge of the designated TSS lane at all times during transit. Cross-track error exceeding this margin for more than 5 consecutive minutes constitutes a failure of the channel clearance metric.</w:t>
      </w:r>
    </w:p>
    <w:p>
      <w:pPr>
        <w:pStyle w:val="Heading2"/>
      </w:pPr>
      <w:r>
        <w:t>3.3 Non-Interference</w:t>
      </w:r>
    </w:p>
    <w:p>
      <w:pPr>
        <w:pStyle w:val="Heading3"/>
      </w:pPr>
      <w:r>
        <w:t>3.3.1 Definition of Interference</w:t>
      </w:r>
    </w:p>
    <w:p>
      <w:r>
        <w:t>The framework architecture defines interference as any act by any Party or entity acting on behalf of any Party that disrupts, impedes, threatens, or obstructs the normal transit of a commercial vessel through the Strait of Hormuz.</w:t>
      </w:r>
    </w:p>
    <w:p>
      <w:pPr>
        <w:pStyle w:val="Heading3"/>
      </w:pPr>
      <w:r>
        <w:t>3.3.2 Prohibited Actions</w:t>
      </w:r>
    </w:p>
    <w:p>
      <w:r>
        <w:t>The following acts constitute interference under this verification regime:</w:t>
      </w:r>
    </w:p>
    <w:p>
      <w:pPr>
        <w:numPr>
          <w:ilvl w:val="0"/>
          <w:numId w:val="2"/>
        </w:numPr>
      </w:pPr>
      <w:r>
        <w:t>Attempted boarding or interdiction of a commercial vessel by military, paramilitary, or law enforcement personnel</w:t>
      </w:r>
    </w:p>
    <w:p>
      <w:pPr>
        <w:numPr>
          <w:ilvl w:val="0"/>
          <w:numId w:val="2"/>
        </w:numPr>
      </w:pPr>
      <w:r>
        <w:t>Use of force, threat of force, or warning shots directed at a commercial vessel</w:t>
      </w:r>
    </w:p>
    <w:p>
      <w:pPr>
        <w:numPr>
          <w:ilvl w:val="0"/>
          <w:numId w:val="2"/>
        </w:numPr>
      </w:pPr>
      <w:r>
        <w:t>Directed communications (VHF, loudhailer, visual signals) that threaten the vessel, its crew, or its cargo</w:t>
      </w:r>
    </w:p>
    <w:p>
      <w:pPr>
        <w:numPr>
          <w:ilvl w:val="0"/>
          <w:numId w:val="2"/>
        </w:numPr>
      </w:pPr>
      <w:r>
        <w:t>Interference with navigation systems, including GPS jamming, AIS spoofing, or electronic countermeasures</w:t>
      </w:r>
    </w:p>
    <w:p>
      <w:pPr>
        <w:numPr>
          <w:ilvl w:val="0"/>
          <w:numId w:val="2"/>
        </w:numPr>
      </w:pPr>
      <w:r>
        <w:t>Physical obstruction of the vessel's path by military vessels, patrol craft, or placed obstacles</w:t>
      </w:r>
    </w:p>
    <w:p>
      <w:pPr>
        <w:numPr>
          <w:ilvl w:val="0"/>
          <w:numId w:val="2"/>
        </w:numPr>
      </w:pPr>
      <w:r>
        <w:t>Mandatory inspection or detention of a commercial vessel without prior consent of the flag state</w:t>
      </w:r>
    </w:p>
    <w:p>
      <w:pPr>
        <w:numPr>
          <w:ilvl w:val="0"/>
          <w:numId w:val="2"/>
        </w:numPr>
      </w:pPr>
      <w:r>
        <w:t>Imposition of tolls, fees, or passage charges not authorized under international law</w:t>
      </w:r>
    </w:p>
    <w:p>
      <w:pPr>
        <w:pStyle w:val="Heading3"/>
      </w:pPr>
      <w:r>
        <w:t>3.3.3 Verification Standard for Interference</w:t>
      </w:r>
    </w:p>
    <w:p>
      <w:r>
        <w:t>An interference event is deemed to have occurred when independently verified by at least two of the following sources:</w:t>
      </w:r>
    </w:p>
    <w:p>
      <w:pPr>
        <w:numPr>
          <w:ilvl w:val="0"/>
          <w:numId w:val="2"/>
        </w:numPr>
      </w:pPr>
      <w:r>
        <w:t>AIS data showing abnormal vessel behaviour (sudden course change, speed reduction to near-zero, anchoring in non-designated area)</w:t>
      </w:r>
    </w:p>
    <w:p>
      <w:pPr>
        <w:numPr>
          <w:ilvl w:val="0"/>
          <w:numId w:val="2"/>
        </w:numPr>
      </w:pPr>
      <w:r>
        <w:t>Satellite imagery (optical or Synthetic Aperture Radar) showing vessel interaction with military/paramilitary craft</w:t>
      </w:r>
    </w:p>
    <w:p>
      <w:pPr>
        <w:numPr>
          <w:ilvl w:val="0"/>
          <w:numId w:val="2"/>
        </w:numPr>
      </w:pPr>
      <w:r>
        <w:t>VHF communications intercepts containing threatening or directive language</w:t>
      </w:r>
    </w:p>
    <w:p>
      <w:pPr>
        <w:numPr>
          <w:ilvl w:val="0"/>
          <w:numId w:val="2"/>
        </w:numPr>
      </w:pPr>
      <w:r>
        <w:t>Crew reports filed through the vessel's flag state or protection and indemnity club</w:t>
      </w:r>
    </w:p>
    <w:p>
      <w:pPr>
        <w:numPr>
          <w:ilvl w:val="0"/>
          <w:numId w:val="2"/>
        </w:numPr>
      </w:pPr>
      <w:r>
        <w:t>Independent maritime security monitoring service reports</w:t>
      </w:r>
    </w:p>
    <w:p>
      <w:r>
        <w:t>A single-source report of interference does not constitute verified interference. The Technical Working Group applies the corroboration standard in Section 4.2 before recording an interference event.</w:t>
      </w:r>
    </w:p>
    <w:p>
      <w:pPr>
        <w:pStyle w:val="Heading2"/>
      </w:pPr>
      <w:r>
        <w:t>3.4 Continuous AIS Transmission</w:t>
      </w:r>
    </w:p>
    <w:p>
      <w:pPr>
        <w:pStyle w:val="Heading3"/>
      </w:pPr>
      <w:r>
        <w:t>3.4.1 Operational Requirement</w:t>
      </w:r>
    </w:p>
    <w:p>
      <w:r>
        <w:t>The commercial vessel maintains an operational AIS transponder transmitting accurate data continuously throughout the transit. The AIS transmission includes the following minimum data fields as required under SOLAS Chapter V, Regulation 19:</w:t>
      </w:r>
    </w:p>
    <w:p>
      <w:pPr>
        <w:numPr>
          <w:ilvl w:val="0"/>
          <w:numId w:val="2"/>
        </w:numPr>
      </w:pPr>
      <w:r>
        <w:t>Maritime Mobile Service Identity (MMSI) number</w:t>
      </w:r>
    </w:p>
    <w:p>
      <w:pPr>
        <w:numPr>
          <w:ilvl w:val="0"/>
          <w:numId w:val="2"/>
        </w:numPr>
      </w:pPr>
      <w:r>
        <w:t>Vessel name and call sign</w:t>
      </w:r>
    </w:p>
    <w:p>
      <w:pPr>
        <w:numPr>
          <w:ilvl w:val="0"/>
          <w:numId w:val="2"/>
        </w:numPr>
      </w:pPr>
      <w:r>
        <w:t>Position (latitude and longitude, WGS 84)</w:t>
      </w:r>
    </w:p>
    <w:p>
      <w:pPr>
        <w:numPr>
          <w:ilvl w:val="0"/>
          <w:numId w:val="2"/>
        </w:numPr>
      </w:pPr>
      <w:r>
        <w:t>Speed over ground (SOG)</w:t>
      </w:r>
    </w:p>
    <w:p>
      <w:pPr>
        <w:numPr>
          <w:ilvl w:val="0"/>
          <w:numId w:val="2"/>
        </w:numPr>
      </w:pPr>
      <w:r>
        <w:t>Course over ground (COG)</w:t>
      </w:r>
    </w:p>
    <w:p>
      <w:pPr>
        <w:numPr>
          <w:ilvl w:val="0"/>
          <w:numId w:val="2"/>
        </w:numPr>
      </w:pPr>
      <w:r>
        <w:t>True heading</w:t>
      </w:r>
    </w:p>
    <w:p>
      <w:pPr>
        <w:numPr>
          <w:ilvl w:val="0"/>
          <w:numId w:val="2"/>
        </w:numPr>
      </w:pPr>
      <w:r>
        <w:t>Navigation status (under way, anchored, etc.)</w:t>
      </w:r>
    </w:p>
    <w:p>
      <w:pPr>
        <w:numPr>
          <w:ilvl w:val="0"/>
          <w:numId w:val="2"/>
        </w:numPr>
      </w:pPr>
      <w:r>
        <w:t>Destination port and ETA</w:t>
      </w:r>
    </w:p>
    <w:p>
      <w:pPr>
        <w:numPr>
          <w:ilvl w:val="0"/>
          <w:numId w:val="2"/>
        </w:numPr>
      </w:pPr>
      <w:r>
        <w:t>Vessel type and dimensions</w:t>
      </w:r>
    </w:p>
    <w:p>
      <w:pPr>
        <w:pStyle w:val="Heading3"/>
      </w:pPr>
      <w:r>
        <w:t>3.4.2 Permitted Interruptions</w:t>
      </w:r>
    </w:p>
    <w:p>
      <w:r>
        <w:t>AIS transmission interrupts only for the following technical reasons:</w:t>
      </w:r>
    </w:p>
    <w:p>
      <w:pPr>
        <w:numPr>
          <w:ilvl w:val="0"/>
          <w:numId w:val="2"/>
        </w:numPr>
      </w:pPr>
      <w:r>
        <w:t>Scheduled equipment maintenance, not exceeding 10 minutes per transit</w:t>
      </w:r>
    </w:p>
    <w:p>
      <w:pPr>
        <w:numPr>
          <w:ilvl w:val="0"/>
          <w:numId w:val="2"/>
        </w:numPr>
      </w:pPr>
      <w:r>
        <w:t>Equipment malfunction, with immediate notification to the Joint Secretariat upon restoration</w:t>
      </w:r>
    </w:p>
    <w:p>
      <w:pPr>
        <w:numPr>
          <w:ilvl w:val="0"/>
          <w:numId w:val="2"/>
        </w:numPr>
      </w:pPr>
      <w:r>
        <w:t>Security protocol authorized by the vessel's flag state in specific threat conditions</w:t>
      </w:r>
    </w:p>
    <w:p>
      <w:r>
        <w:t>The aggregate AIS downtime per transit does not exceed 15 minutes. The vessel notifies the Joint Secretariat within 30 minutes of any unplanned AIS interruption exceeding 5 minutes.</w:t>
      </w:r>
    </w:p>
    <w:p>
      <w:pPr>
        <w:pStyle w:val="Heading3"/>
      </w:pPr>
      <w:r>
        <w:t>3.4.3 AIS Failure Metric</w:t>
      </w:r>
    </w:p>
    <w:p>
      <w:r>
        <w:t>An AIS outage exceeding 15 minutes in aggregate during a single transit constitutes a failure of the continuous AIS transmission metric. The Technical Working Group records this failure regardless of the cause, though the cause informs the determination of whether the transit qualifies as unobstructed passage.</w:t>
      </w:r>
    </w:p>
    <w:p>
      <w:pPr>
        <w:pStyle w:val="Heading3"/>
      </w:pPr>
      <w:r>
        <w:t>3.4.4 AIS Spoofing Detection</w:t>
      </w:r>
    </w:p>
    <w:p>
      <w:r>
        <w:t>The Technical Working Group cross-validates AIS data against satellite-based Synthetic Aperture Radar (SAR) imagery and independent radar tracking to detect AIS spoofing or dark vessel activity. A vessel whose AIS position deviates by more than 0.5 nautical miles from its independently verified position for more than 10 consecutive minutes triggers an AIS integrity alert. The TWG investigates all integrity alerts within 24 hours.</w:t>
      </w:r>
    </w:p>
    <w:p>
      <w:pPr>
        <w:pStyle w:val="Heading2"/>
      </w:pPr>
      <w:r>
        <w:t>3.5 Security Buffer Zone</w:t>
      </w:r>
    </w:p>
    <w:p>
      <w:pPr>
        <w:pStyle w:val="Heading3"/>
      </w:pPr>
      <w:r>
        <w:t>3.5.1 Buffer Zone Definition</w:t>
      </w:r>
    </w:p>
    <w:p>
      <w:r>
        <w:t>The framework architecture establishes a security buffer zone extending 2 nautical miles on either side of the TSS corridor centreline. No military vessel, patrol craft, or naval auxiliary enters this buffer zone during active commercial transit without prior notification to the Joint Secretariat and the commercial vessel's master.</w:t>
      </w:r>
    </w:p>
    <w:p>
      <w:r>
        <w:t>Military vessels transit through separate corridors outside the commercial TSS lanes. The framework architecture excludes military vessels from the unobstructed passage metrics. Military transits do not count toward or against the performance thresholds.</w:t>
      </w:r>
    </w:p>
    <w:p>
      <w:pPr>
        <w:pStyle w:val="Heading3"/>
      </w:pPr>
      <w:r>
        <w:t>3.5.2 Buffer Zone Violation</w:t>
      </w:r>
    </w:p>
    <w:p>
      <w:r>
        <w:t>A military or paramilitary vessel entering the security buffer zone during active commercial transit constitutes a buffer zone violation. The Technical Working Group records all buffer zone violations and includes them in the performance index calculation for tranche activation purposes.</w:t>
      </w:r>
    </w:p>
    <w:p>
      <w:pPr>
        <w:pStyle w:val="Heading1"/>
      </w:pPr>
      <w:r>
        <w:t>Section 4: Verification Methodology</w:t>
      </w:r>
      <w:bookmarkStart w:name="_S4" w:id="5"/>
      <w:bookmarkEnd w:id="5"/>
    </w:p>
    <w:p>
      <w:pPr>
        <w:pStyle w:val="Heading2"/>
      </w:pPr>
      <w:r>
        <w:t>4.1 Primary Data Sources</w:t>
      </w:r>
    </w:p>
    <w:p>
      <w:r>
        <w:t>The Technical Working Group uses the following data sources, listed in order of verification priority:</w:t>
      </w:r>
    </w:p>
    <w:tbl>
      <w:tblPr>
        <w:tblW w:w="5000" w:type="pct"/>
        <w:tblBorders>
          <w:top w:val="single" w:color="2E5A6B" w:sz="12"/>
          <w:left w:val="nil"/>
          <w:bottom w:val="single" w:color="2E5A6B" w:sz="12"/>
          <w:right w:val="nil"/>
          <w:insideH w:val="single" w:color="C0C8D0" w:sz="4"/>
          <w:insideV w:val="nil"/>
        </w:tblBorders>
      </w:tblPr>
      <w:tblGrid>
        <w:gridCol w:w="800"/>
        <w:gridCol w:w="2200"/>
        <w:gridCol w:w="4500"/>
        <w:gridCol w:w="2500"/>
      </w:tblGrid>
      <w:tr>
        <w:trPr>
          <w:tblHeader/>
        </w:trPr>
        <w:tc>
          <w:tcPr>
            <w:tcW w:w="800" w:type="dxa"/>
            <w:shd w:val="clear" w:fill="E8EDF2"/>
          </w:tcPr>
          <w:p>
            <w:pPr/>
            <w:r>
              <w:rPr>
                <w:b/>
                <w:color w:val="1A2744"/>
                <w:sz w:val="20"/>
              </w:rPr>
              <w:t>Priority</w:t>
            </w:r>
          </w:p>
        </w:tc>
        <w:tc>
          <w:tcPr>
            <w:tcW w:w="2200" w:type="dxa"/>
            <w:shd w:val="clear" w:fill="E8EDF2"/>
          </w:tcPr>
          <w:p>
            <w:pPr/>
            <w:r>
              <w:rPr>
                <w:b/>
                <w:color w:val="1A2744"/>
                <w:sz w:val="20"/>
              </w:rPr>
              <w:t>Source</w:t>
            </w:r>
          </w:p>
        </w:tc>
        <w:tc>
          <w:tcPr>
            <w:tcW w:w="4500" w:type="dxa"/>
            <w:shd w:val="clear" w:fill="E8EDF2"/>
          </w:tcPr>
          <w:p>
            <w:pPr/>
            <w:r>
              <w:rPr>
                <w:b/>
                <w:color w:val="1A2744"/>
                <w:sz w:val="20"/>
              </w:rPr>
              <w:t>Data Provided</w:t>
            </w:r>
          </w:p>
        </w:tc>
        <w:tc>
          <w:tcPr>
            <w:tcW w:w="2500" w:type="dxa"/>
            <w:shd w:val="clear" w:fill="E8EDF2"/>
          </w:tcPr>
          <w:p>
            <w:pPr/>
            <w:r>
              <w:rPr>
                <w:b/>
                <w:color w:val="1A2744"/>
                <w:sz w:val="20"/>
              </w:rPr>
              <w:t>Reliability</w:t>
            </w:r>
          </w:p>
        </w:tc>
      </w:tr>
      <w:tr>
        <w:tc>
          <w:tcPr>
            <w:tcW w:w="800" w:type="dxa"/>
          </w:tcPr>
          <w:p>
            <w:pPr/>
            <w:r>
              <w:rPr>
                <w:color w:val="4A5568"/>
                <w:sz w:val="20"/>
              </w:rPr>
              <w:t>1</w:t>
            </w:r>
          </w:p>
        </w:tc>
        <w:tc>
          <w:tcPr>
            <w:tcW w:w="2200" w:type="dxa"/>
          </w:tcPr>
          <w:p>
            <w:pPr/>
            <w:r>
              <w:rPr>
                <w:color w:val="4A5568"/>
                <w:sz w:val="20"/>
              </w:rPr>
              <w:t>Satellite AIS (commercial)</w:t>
            </w:r>
          </w:p>
        </w:tc>
        <w:tc>
          <w:tcPr>
            <w:tcW w:w="4500" w:type="dxa"/>
          </w:tcPr>
          <w:p>
            <w:pPr/>
            <w:r>
              <w:rPr>
                <w:color w:val="4A5568"/>
                <w:sz w:val="20"/>
              </w:rPr>
              <w:t>Position, SOG, COG, heading, MMSI</w:t>
            </w:r>
          </w:p>
        </w:tc>
        <w:tc>
          <w:tcPr>
            <w:tcW w:w="2500" w:type="dxa"/>
          </w:tcPr>
          <w:p>
            <w:pPr/>
            <w:r>
              <w:rPr>
                <w:color w:val="4A5568"/>
                <w:sz w:val="20"/>
              </w:rPr>
              <w:t>High; 5-min update interval</w:t>
            </w:r>
          </w:p>
        </w:tc>
      </w:tr>
      <w:tr>
        <w:tc>
          <w:tcPr>
            <w:tcW w:w="800" w:type="dxa"/>
          </w:tcPr>
          <w:p>
            <w:pPr/>
            <w:r>
              <w:rPr>
                <w:color w:val="4A5568"/>
                <w:sz w:val="20"/>
              </w:rPr>
              <w:t>2</w:t>
            </w:r>
          </w:p>
        </w:tc>
        <w:tc>
          <w:tcPr>
            <w:tcW w:w="2200" w:type="dxa"/>
          </w:tcPr>
          <w:p>
            <w:pPr/>
            <w:r>
              <w:rPr>
                <w:color w:val="4A5568"/>
                <w:sz w:val="20"/>
              </w:rPr>
              <w:t>SAR satellite imagery</w:t>
            </w:r>
          </w:p>
        </w:tc>
        <w:tc>
          <w:tcPr>
            <w:tcW w:w="4500" w:type="dxa"/>
          </w:tcPr>
          <w:p>
            <w:pPr/>
            <w:r>
              <w:rPr>
                <w:color w:val="4A5568"/>
                <w:sz w:val="20"/>
              </w:rPr>
              <w:t>Vessel detection regardless of AIS status</w:t>
            </w:r>
          </w:p>
        </w:tc>
        <w:tc>
          <w:tcPr>
            <w:tcW w:w="2500" w:type="dxa"/>
          </w:tcPr>
          <w:p>
            <w:pPr/>
            <w:r>
              <w:rPr>
                <w:color w:val="4A5568"/>
                <w:sz w:val="20"/>
              </w:rPr>
              <w:t>High; all-weather capable</w:t>
            </w:r>
          </w:p>
        </w:tc>
      </w:tr>
      <w:tr>
        <w:tc>
          <w:tcPr>
            <w:tcW w:w="800" w:type="dxa"/>
          </w:tcPr>
          <w:p>
            <w:pPr/>
            <w:r>
              <w:rPr>
                <w:color w:val="4A5568"/>
                <w:sz w:val="20"/>
              </w:rPr>
              <w:t>3</w:t>
            </w:r>
          </w:p>
        </w:tc>
        <w:tc>
          <w:tcPr>
            <w:tcW w:w="2200" w:type="dxa"/>
          </w:tcPr>
          <w:p>
            <w:pPr/>
            <w:r>
              <w:rPr>
                <w:color w:val="4A5568"/>
                <w:sz w:val="20"/>
              </w:rPr>
              <w:t>Joint Iran-Oman Committee</w:t>
            </w:r>
          </w:p>
        </w:tc>
        <w:tc>
          <w:tcPr>
            <w:tcW w:w="4500" w:type="dxa"/>
          </w:tcPr>
          <w:p>
            <w:pPr/>
            <w:r>
              <w:rPr>
                <w:color w:val="4A5568"/>
                <w:sz w:val="20"/>
              </w:rPr>
              <w:t>Transit schedules, vessel manifests, corridor assignments</w:t>
            </w:r>
          </w:p>
        </w:tc>
        <w:tc>
          <w:tcPr>
            <w:tcW w:w="2500" w:type="dxa"/>
          </w:tcPr>
          <w:p>
            <w:pPr/>
            <w:r>
              <w:rPr>
                <w:color w:val="4A5568"/>
                <w:sz w:val="20"/>
              </w:rPr>
              <w:t>Medium; subject to corroboration</w:t>
            </w:r>
          </w:p>
        </w:tc>
      </w:tr>
      <w:tr>
        <w:tc>
          <w:tcPr>
            <w:tcW w:w="800" w:type="dxa"/>
          </w:tcPr>
          <w:p>
            <w:pPr/>
            <w:r>
              <w:rPr>
                <w:color w:val="4A5568"/>
                <w:sz w:val="20"/>
              </w:rPr>
              <w:t>4</w:t>
            </w:r>
          </w:p>
        </w:tc>
        <w:tc>
          <w:tcPr>
            <w:tcW w:w="2200" w:type="dxa"/>
          </w:tcPr>
          <w:p>
            <w:pPr/>
            <w:r>
              <w:rPr>
                <w:color w:val="4A5568"/>
                <w:sz w:val="20"/>
              </w:rPr>
              <w:t>Ground-based VTS radar</w:t>
            </w:r>
          </w:p>
        </w:tc>
        <w:tc>
          <w:tcPr>
            <w:tcW w:w="4500" w:type="dxa"/>
          </w:tcPr>
          <w:p>
            <w:pPr/>
            <w:r>
              <w:rPr>
                <w:color w:val="4A5568"/>
                <w:sz w:val="20"/>
              </w:rPr>
              <w:t>Position, speed, track within coverage area</w:t>
            </w:r>
          </w:p>
        </w:tc>
        <w:tc>
          <w:tcPr>
            <w:tcW w:w="2500" w:type="dxa"/>
          </w:tcPr>
          <w:p>
            <w:pPr/>
            <w:r>
              <w:rPr>
                <w:color w:val="4A5568"/>
                <w:sz w:val="20"/>
              </w:rPr>
              <w:t>Medium; coverage limited</w:t>
            </w:r>
          </w:p>
        </w:tc>
      </w:tr>
      <w:tr>
        <w:tc>
          <w:tcPr>
            <w:tcW w:w="800" w:type="dxa"/>
          </w:tcPr>
          <w:p>
            <w:pPr/>
            <w:r>
              <w:rPr>
                <w:color w:val="4A5568"/>
                <w:sz w:val="20"/>
              </w:rPr>
              <w:t>5</w:t>
            </w:r>
          </w:p>
        </w:tc>
        <w:tc>
          <w:tcPr>
            <w:tcW w:w="2200" w:type="dxa"/>
          </w:tcPr>
          <w:p>
            <w:pPr/>
            <w:r>
              <w:rPr>
                <w:color w:val="4A5568"/>
                <w:sz w:val="20"/>
              </w:rPr>
              <w:t>Optical satellite imagery</w:t>
            </w:r>
          </w:p>
        </w:tc>
        <w:tc>
          <w:tcPr>
            <w:tcW w:w="4500" w:type="dxa"/>
          </w:tcPr>
          <w:p>
            <w:pPr/>
            <w:r>
              <w:rPr>
                <w:color w:val="4A5568"/>
                <w:sz w:val="20"/>
              </w:rPr>
              <w:t>Visual confirmation of vessel interactions</w:t>
            </w:r>
          </w:p>
        </w:tc>
        <w:tc>
          <w:tcPr>
            <w:tcW w:w="2500" w:type="dxa"/>
          </w:tcPr>
          <w:p>
            <w:pPr/>
            <w:r>
              <w:rPr>
                <w:color w:val="4A5568"/>
                <w:sz w:val="20"/>
              </w:rPr>
              <w:t>Low-Moderate; weather dependent</w:t>
            </w:r>
          </w:p>
        </w:tc>
      </w:tr>
      <w:tr>
        <w:tc>
          <w:tcPr>
            <w:tcW w:w="800" w:type="dxa"/>
          </w:tcPr>
          <w:p>
            <w:pPr/>
            <w:r>
              <w:rPr>
                <w:color w:val="4A5568"/>
                <w:sz w:val="20"/>
              </w:rPr>
              <w:t>6</w:t>
            </w:r>
          </w:p>
        </w:tc>
        <w:tc>
          <w:tcPr>
            <w:tcW w:w="2200" w:type="dxa"/>
          </w:tcPr>
          <w:p>
            <w:pPr/>
            <w:r>
              <w:rPr>
                <w:color w:val="4A5568"/>
                <w:sz w:val="20"/>
              </w:rPr>
              <w:t>Crew/company reports</w:t>
            </w:r>
          </w:p>
        </w:tc>
        <w:tc>
          <w:tcPr>
            <w:tcW w:w="4500" w:type="dxa"/>
          </w:tcPr>
          <w:p>
            <w:pPr/>
            <w:r>
              <w:rPr>
                <w:color w:val="4A5568"/>
                <w:sz w:val="20"/>
              </w:rPr>
              <w:t>Narrative accounts of interference events</w:t>
            </w:r>
          </w:p>
        </w:tc>
        <w:tc>
          <w:tcPr>
            <w:tcW w:w="2500" w:type="dxa"/>
          </w:tcPr>
          <w:p>
            <w:pPr/>
            <w:r>
              <w:rPr>
                <w:color w:val="4A5568"/>
                <w:sz w:val="20"/>
              </w:rPr>
              <w:t>Low; single source, unverified</w:t>
            </w:r>
          </w:p>
        </w:tc>
      </w:tr>
    </w:tbl>
    <w:p>
      <w:pPr>
        <w:pStyle w:val="Heading2"/>
      </w:pPr>
      <w:r>
        <w:t>4.2 Data Corroboration Process</w:t>
      </w:r>
    </w:p>
    <w:p>
      <w:pPr>
        <w:pStyle w:val="Heading3"/>
      </w:pPr>
      <w:r>
        <w:t>4.2.1 Corroboration Standard</w:t>
      </w:r>
    </w:p>
    <w:p>
      <w:r>
        <w:t>The Technical Working Group considers a metric verified when data from at least two independent sources are consistent. Consistent means the data values fall within the measurement tolerance defined for each metric in Section 3.</w:t>
      </w:r>
    </w:p>
    <w:p>
      <w:pPr>
        <w:pStyle w:val="Heading3"/>
      </w:pPr>
      <w:r>
        <w:t>4.2.2 Inconsistency Protocol</w:t>
      </w:r>
    </w:p>
    <w:p>
      <w:r>
        <w:t>In the event of inconsistency between data sources, the following sequence activates:</w:t>
      </w:r>
    </w:p>
    <w:p>
      <w:pPr>
        <w:numPr>
          <w:ilvl w:val="0"/>
          <w:numId w:val="2"/>
        </w:numPr>
      </w:pPr>
      <w:r>
        <w:t>Step 1: The Technical Working Group requests clarification from the data source providers within 1 hour of identifying the inconsistency</w:t>
      </w:r>
    </w:p>
    <w:p>
      <w:pPr>
        <w:numPr>
          <w:ilvl w:val="0"/>
          <w:numId w:val="2"/>
        </w:numPr>
      </w:pPr>
      <w:r>
        <w:t>Step 2: If the inconsistency persists, the Swiss relay provides technical clarification as expeditiously as practicable and normally within 2 hours, per Section 7.1 of the CTAF</w:t>
      </w:r>
    </w:p>
    <w:p>
      <w:pPr>
        <w:numPr>
          <w:ilvl w:val="0"/>
          <w:numId w:val="2"/>
        </w:numPr>
      </w:pPr>
      <w:r>
        <w:t>Step 3: If the Swiss relay fails to resolve the inconsistency within 2 hours, the Technical Working Group records the metric as unverified and flags the transit for review</w:t>
      </w:r>
    </w:p>
    <w:p>
      <w:pPr>
        <w:numPr>
          <w:ilvl w:val="0"/>
          <w:numId w:val="2"/>
        </w:numPr>
      </w:pPr>
      <w:r>
        <w:t>Step 4: Unverified transits do not count as successful transits for the purpose of performance-indexed tranche activation</w:t>
      </w:r>
    </w:p>
    <w:p>
      <w:pPr>
        <w:numPr>
          <w:ilvl w:val="0"/>
          <w:numId w:val="2"/>
        </w:numPr>
      </w:pPr>
      <w:r>
        <w:t>Step 5: Unverified transits do not count as failed transits unless corroborated evidence of a metric failure emerges</w:t>
      </w:r>
    </w:p>
    <w:p>
      <w:pPr>
        <w:pStyle w:val="Heading3"/>
      </w:pPr>
      <w:r>
        <w:t>4.2.3 TWG Consensus</w:t>
      </w:r>
    </w:p>
    <w:p>
      <w:r>
        <w:t>The Technical Working Group reviews corroborated data and recommends tranche activations on the basis of consensus, per Section 5.4 of the CTAF. Where consensus is not achieved, the Co-Chairs certify the matter for referral through the dispute resolution procedures in Section 7 of the CTAF.</w:t>
      </w:r>
    </w:p>
    <w:p>
      <w:pPr>
        <w:pStyle w:val="Heading2"/>
      </w:pPr>
      <w:r>
        <w:t>4.3 Transit Period Definitions</w:t>
      </w:r>
    </w:p>
    <w:p>
      <w:pPr>
        <w:pStyle w:val="Heading3"/>
      </w:pPr>
      <w:r>
        <w:t>4.3.1 Transit Definition</w:t>
      </w:r>
    </w:p>
    <w:p>
      <w:r>
        <w:t>A transit means the passage of a commercial vessel from Point Alpha (eastern entrance, 26 degrees 30.00 minutes N, 56 degrees 25.00 minutes E) to Point Omega (western entrance, 26 degrees 30.00 minutes N, 56 degrees 15.00 minutes E), or vice versa.</w:t>
      </w:r>
    </w:p>
    <w:p>
      <w:pPr>
        <w:pStyle w:val="Heading3"/>
      </w:pPr>
      <w:r>
        <w:t>4.3.2 Successful Transit</w:t>
      </w:r>
    </w:p>
    <w:p>
      <w:r>
        <w:t>A successful transit means a transit in which all four metrics defined in Section 3 meet their respective standards for the entire duration of the transit. The four metrics are:</w:t>
      </w:r>
    </w:p>
    <w:p>
      <w:pPr>
        <w:numPr>
          <w:ilvl w:val="0"/>
          <w:numId w:val="2"/>
        </w:numPr>
      </w:pPr>
      <w:r>
        <w:t>Transit speed: average speed equals or exceeds 10.5 knots (12-knot minimum minus 1.5-knot tolerance)</w:t>
      </w:r>
    </w:p>
    <w:p>
      <w:pPr>
        <w:numPr>
          <w:ilvl w:val="0"/>
          <w:numId w:val="2"/>
        </w:numPr>
      </w:pPr>
      <w:r>
        <w:t>Lane adherence: vessel remains within 0.5 nautical miles of TSS lane centreline</w:t>
      </w:r>
    </w:p>
    <w:p>
      <w:pPr>
        <w:numPr>
          <w:ilvl w:val="0"/>
          <w:numId w:val="2"/>
        </w:numPr>
      </w:pPr>
      <w:r>
        <w:t>Non-interference: zero verified interference events during the transit</w:t>
      </w:r>
    </w:p>
    <w:p>
      <w:pPr>
        <w:numPr>
          <w:ilvl w:val="0"/>
          <w:numId w:val="2"/>
        </w:numPr>
      </w:pPr>
      <w:r>
        <w:t>Continuous AIS: aggregate AIS downtime does not exceed 15 minutes</w:t>
      </w:r>
    </w:p>
    <w:p>
      <w:pPr>
        <w:pStyle w:val="Heading3"/>
      </w:pPr>
      <w:r>
        <w:t>4.3.3 Successful 48-Hour Period</w:t>
      </w:r>
    </w:p>
    <w:p>
      <w:r>
        <w:t>A successful 48-hour period means a continuous 48-hour window in which at least 90 percent of commercial transits through the Strait of Hormuz qualify as successful transits. The 90 percent threshold accounts for mechanical failures, legitimate AIS interruptions, and minor navigational deviations that do not indicate systematic obstruction.</w:t>
      </w:r>
    </w:p>
    <w:p>
      <w:r>
        <w:t>The Technical Working Group calculates the 90 percent threshold as follows: the number of successful transits divided by the total number of verified transits, multiplied by 100. The result equals or exceeds 90.</w:t>
      </w:r>
    </w:p>
    <w:p>
      <w:pPr>
        <w:pStyle w:val="Heading3"/>
      </w:pPr>
      <w:r>
        <w:t>4.3.4 Successful 15-Day Cycle</w:t>
      </w:r>
    </w:p>
    <w:p>
      <w:r>
        <w:t>A successful 15-day cycle means a continuous 15-day period in which at least 85 percent of all 48-hour periods qualify as successful 48-hour periods. This threshold accounts for localized weather events and temporary operational disruptions.</w:t>
      </w:r>
    </w:p>
    <w:p>
      <w:pPr>
        <w:pStyle w:val="Heading1"/>
      </w:pPr>
      <w:r>
        <w:t>Section 5: Performance Thresholds for Tranches</w:t>
      </w:r>
      <w:bookmarkStart w:name="_S5" w:id="6"/>
      <w:bookmarkEnd w:id="6"/>
    </w:p>
    <w:p>
      <w:r>
        <w:t>The following table maps verification outcomes to financial activation triggers under Section 5.2 of the CTAF:</w:t>
      </w:r>
    </w:p>
    <w:tbl>
      <w:tblPr>
        <w:tblW w:w="5000" w:type="pct"/>
        <w:tblBorders>
          <w:top w:val="single" w:color="2E5A6B" w:sz="12"/>
          <w:left w:val="nil"/>
          <w:bottom w:val="single" w:color="2E5A6B" w:sz="12"/>
          <w:right w:val="nil"/>
          <w:insideH w:val="single" w:color="C0C8D0" w:sz="4"/>
          <w:insideV w:val="nil"/>
        </w:tblBorders>
      </w:tblPr>
      <w:tblGrid>
        <w:gridCol w:w="2500"/>
        <w:gridCol w:w="4500"/>
        <w:gridCol w:w="3000"/>
      </w:tblGrid>
      <w:tr>
        <w:trPr>
          <w:tblHeader/>
        </w:trPr>
        <w:tc>
          <w:tcPr>
            <w:tcW w:w="2500" w:type="dxa"/>
            <w:shd w:val="clear" w:fill="E8EDF2"/>
          </w:tcPr>
          <w:p>
            <w:pPr/>
            <w:r>
              <w:rPr>
                <w:b/>
                <w:color w:val="1A2744"/>
                <w:sz w:val="20"/>
              </w:rPr>
              <w:t>Trigger Event</w:t>
            </w:r>
          </w:p>
        </w:tc>
        <w:tc>
          <w:tcPr>
            <w:tcW w:w="4500" w:type="dxa"/>
            <w:shd w:val="clear" w:fill="E8EDF2"/>
          </w:tcPr>
          <w:p>
            <w:pPr/>
            <w:r>
              <w:rPr>
                <w:b/>
                <w:color w:val="1A2744"/>
                <w:sz w:val="20"/>
              </w:rPr>
              <w:t>Performance Metric</w:t>
            </w:r>
          </w:p>
        </w:tc>
        <w:tc>
          <w:tcPr>
            <w:tcW w:w="3000" w:type="dxa"/>
            <w:shd w:val="clear" w:fill="E8EDF2"/>
          </w:tcPr>
          <w:p>
            <w:pPr/>
            <w:r>
              <w:rPr>
                <w:b/>
                <w:color w:val="1A2744"/>
                <w:sz w:val="20"/>
              </w:rPr>
              <w:t>Financial Effect</w:t>
            </w:r>
          </w:p>
        </w:tc>
      </w:tr>
      <w:tr>
        <w:tc>
          <w:tcPr>
            <w:tcW w:w="2500" w:type="dxa"/>
          </w:tcPr>
          <w:p>
            <w:pPr/>
            <w:r>
              <w:rPr>
                <w:color w:val="4A5568"/>
                <w:sz w:val="20"/>
              </w:rPr>
              <w:t>Initial CBM</w:t>
            </w:r>
          </w:p>
        </w:tc>
        <w:tc>
          <w:tcPr>
            <w:tcW w:w="4500" w:type="dxa"/>
          </w:tcPr>
          <w:p>
            <w:pPr/>
            <w:r>
              <w:rPr>
                <w:color w:val="4A5568"/>
                <w:sz w:val="20"/>
              </w:rPr>
              <w:t>First verified 48-hour period of unobstructed passage</w:t>
            </w:r>
          </w:p>
        </w:tc>
        <w:tc>
          <w:tcPr>
            <w:tcW w:w="3000" w:type="dxa"/>
          </w:tcPr>
          <w:p>
            <w:pPr/>
            <w:r>
              <w:rPr>
                <w:color w:val="4A5568"/>
                <w:sz w:val="20"/>
              </w:rPr>
              <w:t>$500M eligible for activation</w:t>
            </w:r>
          </w:p>
        </w:tc>
      </w:tr>
      <w:tr>
        <w:tc>
          <w:tcPr>
            <w:tcW w:w="2500" w:type="dxa"/>
          </w:tcPr>
          <w:p>
            <w:pPr/>
            <w:r>
              <w:rPr>
                <w:color w:val="4A5568"/>
                <w:sz w:val="20"/>
              </w:rPr>
              <w:t>Cycle 1 (Days 1-15)</w:t>
            </w:r>
          </w:p>
        </w:tc>
        <w:tc>
          <w:tcPr>
            <w:tcW w:w="4500" w:type="dxa"/>
          </w:tcPr>
          <w:p>
            <w:pPr/>
            <w:r>
              <w:rPr>
                <w:color w:val="4A5568"/>
                <w:sz w:val="20"/>
              </w:rPr>
              <w:t>Each 48-hour period meeting 90% success threshold</w:t>
            </w:r>
          </w:p>
        </w:tc>
        <w:tc>
          <w:tcPr>
            <w:tcW w:w="3000" w:type="dxa"/>
          </w:tcPr>
          <w:p>
            <w:pPr/>
            <w:r>
              <w:rPr>
                <w:color w:val="4A5568"/>
                <w:sz w:val="20"/>
              </w:rPr>
              <w:t>$200M per 48-hour period</w:t>
            </w:r>
          </w:p>
        </w:tc>
      </w:tr>
      <w:tr>
        <w:tc>
          <w:tcPr>
            <w:tcW w:w="2500" w:type="dxa"/>
          </w:tcPr>
          <w:p>
            <w:pPr/>
            <w:r>
              <w:rPr>
                <w:color w:val="4A5568"/>
                <w:sz w:val="20"/>
              </w:rPr>
              <w:t>Cycle 2 (Days 16-30)</w:t>
            </w:r>
          </w:p>
        </w:tc>
        <w:tc>
          <w:tcPr>
            <w:tcW w:w="4500" w:type="dxa"/>
          </w:tcPr>
          <w:p>
            <w:pPr/>
            <w:r>
              <w:rPr>
                <w:color w:val="4A5568"/>
                <w:sz w:val="20"/>
              </w:rPr>
              <w:t>Each 48-hour period meeting 90% success threshold</w:t>
            </w:r>
          </w:p>
        </w:tc>
        <w:tc>
          <w:tcPr>
            <w:tcW w:w="3000" w:type="dxa"/>
          </w:tcPr>
          <w:p>
            <w:pPr/>
            <w:r>
              <w:rPr>
                <w:color w:val="4A5568"/>
                <w:sz w:val="20"/>
              </w:rPr>
              <w:t>$200M per 48-hour period</w:t>
            </w:r>
          </w:p>
        </w:tc>
      </w:tr>
      <w:tr>
        <w:tc>
          <w:tcPr>
            <w:tcW w:w="2500" w:type="dxa"/>
          </w:tcPr>
          <w:p>
            <w:pPr/>
            <w:r>
              <w:rPr>
                <w:color w:val="4A5568"/>
                <w:sz w:val="20"/>
              </w:rPr>
              <w:t>Cycle 3 (Days 31-45)</w:t>
            </w:r>
          </w:p>
        </w:tc>
        <w:tc>
          <w:tcPr>
            <w:tcW w:w="4500" w:type="dxa"/>
          </w:tcPr>
          <w:p>
            <w:pPr/>
            <w:r>
              <w:rPr>
                <w:color w:val="4A5568"/>
                <w:sz w:val="20"/>
              </w:rPr>
              <w:t>Each 48-hour period meeting 90% success threshold</w:t>
            </w:r>
          </w:p>
        </w:tc>
        <w:tc>
          <w:tcPr>
            <w:tcW w:w="3000" w:type="dxa"/>
          </w:tcPr>
          <w:p>
            <w:pPr/>
            <w:r>
              <w:rPr>
                <w:color w:val="4A5568"/>
                <w:sz w:val="20"/>
              </w:rPr>
              <w:t>$200M per 48-hour period</w:t>
            </w:r>
          </w:p>
        </w:tc>
      </w:tr>
      <w:tr>
        <w:tc>
          <w:tcPr>
            <w:tcW w:w="2500" w:type="dxa"/>
          </w:tcPr>
          <w:p>
            <w:pPr/>
            <w:r>
              <w:rPr>
                <w:color w:val="4A5568"/>
                <w:sz w:val="20"/>
              </w:rPr>
              <w:t>Cycle 4 (Days 46-60)</w:t>
            </w:r>
          </w:p>
        </w:tc>
        <w:tc>
          <w:tcPr>
            <w:tcW w:w="4500" w:type="dxa"/>
          </w:tcPr>
          <w:p>
            <w:pPr/>
            <w:r>
              <w:rPr>
                <w:color w:val="4A5568"/>
                <w:sz w:val="20"/>
              </w:rPr>
              <w:t>Each 48-hour period meeting 90% success threshold</w:t>
            </w:r>
          </w:p>
        </w:tc>
        <w:tc>
          <w:tcPr>
            <w:tcW w:w="3000" w:type="dxa"/>
          </w:tcPr>
          <w:p>
            <w:pPr/>
            <w:r>
              <w:rPr>
                <w:color w:val="4A5568"/>
                <w:sz w:val="20"/>
              </w:rPr>
              <w:t>$200M per 48-hour period</w:t>
            </w:r>
          </w:p>
        </w:tc>
      </w:tr>
      <w:tr>
        <w:tc>
          <w:tcPr>
            <w:tcW w:w="2500" w:type="dxa"/>
          </w:tcPr>
          <w:p>
            <w:pPr/>
            <w:r>
              <w:rPr>
                <w:color w:val="4A5568"/>
                <w:sz w:val="20"/>
              </w:rPr>
              <w:t>Final reconciliation</w:t>
            </w:r>
          </w:p>
        </w:tc>
        <w:tc>
          <w:tcPr>
            <w:tcW w:w="4500" w:type="dxa"/>
          </w:tcPr>
          <w:p>
            <w:pPr/>
            <w:r>
              <w:rPr>
                <w:color w:val="4A5568"/>
                <w:sz w:val="20"/>
              </w:rPr>
              <w:t>Sustained unobstructed passage throughout 60 days</w:t>
            </w:r>
          </w:p>
        </w:tc>
        <w:tc>
          <w:tcPr>
            <w:tcW w:w="3000" w:type="dxa"/>
          </w:tcPr>
          <w:p>
            <w:pPr/>
            <w:r>
              <w:rPr>
                <w:color w:val="4A5568"/>
                <w:sz w:val="20"/>
              </w:rPr>
              <w:t>Final reconciliation under Annex ES</w:t>
            </w:r>
          </w:p>
        </w:tc>
      </w:tr>
    </w:tbl>
    <w:p>
      <w:r>
        <w:t>The Initial Confidence-Building Measure of $500 million activates upon delivery of the first verified transit data package from the Joint Iran-Oman Committee to the Swiss relay, confirming unobstructed passage for a minimum 48-hour period. The Swiss relay timestamps this delivery and forwards the verification package to the Joint Secretariat and the Qatari Central Bank simultaneously.</w:t>
      </w:r>
    </w:p>
    <w:p>
      <w:r>
        <w:t>Each subsequent tranche of $200 million activates per 48-hour period of confirmed unobstructed transit, subject to Annex ES confirmation procedures. The Qatari Central Bank releases funds only upon receipt of the Joint Secretariat's certification letter confirming that the 48-hour period meets the success threshold.</w:t>
      </w:r>
    </w:p>
    <w:p>
      <w:pPr>
        <w:pStyle w:val="Heading1"/>
      </w:pPr>
      <w:r>
        <w:t>Section 6: Exceptions and Force Majeure</w:t>
      </w:r>
      <w:bookmarkStart w:name="_S6" w:id="7"/>
      <w:bookmarkEnd w:id="7"/>
    </w:p>
    <w:p>
      <w:pPr>
        <w:pStyle w:val="Heading2"/>
      </w:pPr>
      <w:r>
        <w:t>6.1 Weather and Sea Conditions</w:t>
      </w:r>
    </w:p>
    <w:p>
      <w:pPr>
        <w:pStyle w:val="Heading3"/>
      </w:pPr>
      <w:r>
        <w:t>6.1.1 Force Majeure Weather Threshold</w:t>
      </w:r>
    </w:p>
    <w:p>
      <w:r>
        <w:t>Weather conditions constituting force majeure for the purpose of this Annex occur when any of the following thresholds are met or exceeded:</w:t>
      </w:r>
    </w:p>
    <w:p>
      <w:pPr>
        <w:numPr>
          <w:ilvl w:val="0"/>
          <w:numId w:val="2"/>
        </w:numPr>
      </w:pPr>
      <w:r>
        <w:t>Beaufort Scale Force 8 (Gale): sustained wind speeds of 34 to 40 knots (17.5 to 20.7 metres per second)</w:t>
      </w:r>
    </w:p>
    <w:p>
      <w:pPr>
        <w:numPr>
          <w:ilvl w:val="0"/>
          <w:numId w:val="2"/>
        </w:numPr>
      </w:pPr>
      <w:r>
        <w:t>Significant wave height exceeding 4.0 metres (13 feet)</w:t>
      </w:r>
    </w:p>
    <w:p>
      <w:pPr>
        <w:numPr>
          <w:ilvl w:val="0"/>
          <w:numId w:val="2"/>
        </w:numPr>
      </w:pPr>
      <w:r>
        <w:t>Visibility reduced to less than 0.5 nautical miles (1 kilometre) by fog, dust, or precipitation</w:t>
      </w:r>
    </w:p>
    <w:p>
      <w:pPr>
        <w:numPr>
          <w:ilvl w:val="0"/>
          <w:numId w:val="2"/>
        </w:numPr>
      </w:pPr>
      <w:r>
        <w:t>Thunderstorm activity with lightning within 5 nautical miles of the transit corridor</w:t>
      </w:r>
    </w:p>
    <w:p>
      <w:pPr>
        <w:pStyle w:val="Heading3"/>
      </w:pPr>
      <w:r>
        <w:t>6.1.2 Effect of Force Majeure Weather</w:t>
      </w:r>
    </w:p>
    <w:p>
      <w:r>
        <w:t>When force majeure weather conditions exist, the framework architecture relaxes the following metrics by mutual agreement of the Technical Working Group:</w:t>
      </w:r>
    </w:p>
    <w:p>
      <w:pPr>
        <w:numPr>
          <w:ilvl w:val="0"/>
          <w:numId w:val="2"/>
        </w:numPr>
      </w:pPr>
      <w:r>
        <w:t>Transit speed minimum reduces to 8 knots (from 10.5 knots effective)</w:t>
      </w:r>
    </w:p>
    <w:p>
      <w:pPr>
        <w:numPr>
          <w:ilvl w:val="0"/>
          <w:numId w:val="2"/>
        </w:numPr>
      </w:pPr>
      <w:r>
        <w:t>Lane adherence deviation tolerance expands to 1.0 nautical mile (from 0.5 nautical miles)</w:t>
      </w:r>
    </w:p>
    <w:p>
      <w:pPr>
        <w:numPr>
          <w:ilvl w:val="0"/>
          <w:numId w:val="2"/>
        </w:numPr>
      </w:pPr>
      <w:r>
        <w:t>AIS interruption tolerance expands to 30 minutes aggregate (from 15 minutes)</w:t>
      </w:r>
    </w:p>
    <w:p>
      <w:r>
        <w:t>The Technical Working Group notifies the Joint Secretariat of the force majeure weather event within 4 hours of onset. The Joint Secretariat distributes the notification to all Parties and the Qatari Central Bank. The force majeure relaxation remains in effect for the duration of the qualifying weather conditions plus a 2-hour recovery period.</w:t>
      </w:r>
    </w:p>
    <w:p>
      <w:pPr>
        <w:pStyle w:val="Heading3"/>
      </w:pPr>
      <w:r>
        <w:t>6.1.3 Weather Monitoring Sources</w:t>
      </w:r>
    </w:p>
    <w:p>
      <w:r>
        <w:t>The Technical Working Group monitors weather conditions using the following sources:</w:t>
      </w:r>
    </w:p>
    <w:p>
      <w:pPr>
        <w:numPr>
          <w:ilvl w:val="0"/>
          <w:numId w:val="2"/>
        </w:numPr>
      </w:pPr>
      <w:r>
        <w:t>Joint Iran-Oman Committee meteorological reports</w:t>
      </w:r>
    </w:p>
    <w:p>
      <w:pPr>
        <w:numPr>
          <w:ilvl w:val="0"/>
          <w:numId w:val="2"/>
        </w:numPr>
      </w:pPr>
      <w:r>
        <w:t>European Centre for Medium-Range Weather Forecasts (ECMWF) marine forecasts</w:t>
      </w:r>
    </w:p>
    <w:p>
      <w:pPr>
        <w:numPr>
          <w:ilvl w:val="0"/>
          <w:numId w:val="2"/>
        </w:numPr>
      </w:pPr>
      <w:r>
        <w:t>National Oceanic and Atmospheric Administration (NOAA) marine weather bulletins</w:t>
      </w:r>
    </w:p>
    <w:p>
      <w:pPr>
        <w:numPr>
          <w:ilvl w:val="0"/>
          <w:numId w:val="2"/>
        </w:numPr>
      </w:pPr>
      <w:r>
        <w:t>Vessel-reported weather conditions via AIS safety-related messages</w:t>
      </w:r>
    </w:p>
    <w:p>
      <w:pPr>
        <w:pStyle w:val="Heading2"/>
      </w:pPr>
      <w:r>
        <w:t>6.2 Mechanical or Operational Emergencies</w:t>
      </w:r>
    </w:p>
    <w:p>
      <w:r>
        <w:t>Commercial vessels experiencing mechanical failure, engine malfunction, steering gear failure, or other operational emergencies are exempt from the metrics for the duration of the emergency, provided the vessel satisfies all of the following conditions:</w:t>
      </w:r>
    </w:p>
    <w:p>
      <w:pPr>
        <w:numPr>
          <w:ilvl w:val="0"/>
          <w:numId w:val="2"/>
        </w:numPr>
      </w:pPr>
      <w:r>
        <w:t>The vessel broadcasts a distress signal (MAYDAY or PAN-PAN) on VHF Channel 16</w:t>
      </w:r>
    </w:p>
    <w:p>
      <w:pPr>
        <w:numPr>
          <w:ilvl w:val="0"/>
          <w:numId w:val="2"/>
        </w:numPr>
      </w:pPr>
      <w:r>
        <w:t>The vessel notifies the Joint Secretariat as soon as practicable and within 2 hours of the emergency onset</w:t>
      </w:r>
    </w:p>
    <w:p>
      <w:pPr>
        <w:numPr>
          <w:ilvl w:val="0"/>
          <w:numId w:val="2"/>
        </w:numPr>
      </w:pPr>
      <w:r>
        <w:t>The vessel maintains AIS transmission throughout the emergency (unless AIS failure is the emergency itself)</w:t>
      </w:r>
    </w:p>
    <w:p>
      <w:pPr>
        <w:numPr>
          <w:ilvl w:val="0"/>
          <w:numId w:val="2"/>
        </w:numPr>
      </w:pPr>
      <w:r>
        <w:t>The vessel cooperates with coordination measures implemented by the Joint Iran-Oman Committee or local maritime rescue coordination centre</w:t>
      </w:r>
    </w:p>
    <w:p>
      <w:r>
        <w:t>A transit interrupted by mechanical emergency does not count as a successful transit, but it also does not count as a failed transit for the purpose of the 90 percent threshold. The Technical Working Group records the transit as emergency-exempt.</w:t>
      </w:r>
    </w:p>
    <w:p>
      <w:pPr>
        <w:pStyle w:val="Heading2"/>
      </w:pPr>
      <w:r>
        <w:t>6.3 Maritime Security Incidents</w:t>
      </w:r>
    </w:p>
    <w:p>
      <w:r>
        <w:t>The following events constitute maritime security incidents that trigger the dispute resolution procedures in Section 7 of the CTAF:</w:t>
      </w:r>
    </w:p>
    <w:p>
      <w:pPr>
        <w:numPr>
          <w:ilvl w:val="0"/>
          <w:numId w:val="2"/>
        </w:numPr>
      </w:pPr>
      <w:r>
        <w:t>Actual or attempted attack on a commercial vessel by any state or non-state actor</w:t>
      </w:r>
    </w:p>
    <w:p>
      <w:pPr>
        <w:numPr>
          <w:ilvl w:val="0"/>
          <w:numId w:val="2"/>
        </w:numPr>
      </w:pPr>
      <w:r>
        <w:t>Discovery of naval mines or improvised explosive devices in the transit corridor</w:t>
      </w:r>
    </w:p>
    <w:p>
      <w:pPr>
        <w:numPr>
          <w:ilvl w:val="0"/>
          <w:numId w:val="2"/>
        </w:numPr>
      </w:pPr>
      <w:r>
        <w:t>Hijacking or piracy of a commercial vessel within the transit corridor</w:t>
      </w:r>
    </w:p>
    <w:p>
      <w:pPr>
        <w:numPr>
          <w:ilvl w:val="0"/>
          <w:numId w:val="2"/>
        </w:numPr>
      </w:pPr>
      <w:r>
        <w:t>Cyberattack on vessel navigation or communication systems</w:t>
      </w:r>
    </w:p>
    <w:p>
      <w:r>
        <w:t>A maritime security incident triggers an automatic Operational Pause under Section 8 of the CTAF. All timelines suspend during the Operational Pause. Neither Party loses benefits already earned.</w:t>
      </w:r>
    </w:p>
    <w:p>
      <w:pPr>
        <w:pStyle w:val="Heading1"/>
      </w:pPr>
      <w:r>
        <w:t>Section 7: Amendment and Review</w:t>
      </w:r>
      <w:bookmarkStart w:name="_S7" w:id="8"/>
      <w:bookmarkEnd w:id="8"/>
    </w:p>
    <w:p>
      <w:pPr>
        <w:pStyle w:val="Heading2"/>
      </w:pPr>
      <w:r>
        <w:t>7.1 Technical Review Cycle</w:t>
      </w:r>
    </w:p>
    <w:p>
      <w:r>
        <w:t>The Technical Working Group reviews the metrics in this Annex after each 15-day cycle. The review addresses:</w:t>
      </w:r>
    </w:p>
    <w:p>
      <w:pPr>
        <w:numPr>
          <w:ilvl w:val="0"/>
          <w:numId w:val="2"/>
        </w:numPr>
      </w:pPr>
      <w:r>
        <w:t>Accuracy of the defined thresholds against observed transit data</w:t>
      </w:r>
    </w:p>
    <w:p>
      <w:pPr>
        <w:numPr>
          <w:ilvl w:val="0"/>
          <w:numId w:val="2"/>
        </w:numPr>
      </w:pPr>
      <w:r>
        <w:t>Frequency of force majeure exemptions and their causes</w:t>
      </w:r>
    </w:p>
    <w:p>
      <w:pPr>
        <w:numPr>
          <w:ilvl w:val="0"/>
          <w:numId w:val="2"/>
        </w:numPr>
      </w:pPr>
      <w:r>
        <w:t>Technical feasibility of data corroboration procedures</w:t>
      </w:r>
    </w:p>
    <w:p>
      <w:pPr>
        <w:numPr>
          <w:ilvl w:val="0"/>
          <w:numId w:val="2"/>
        </w:numPr>
      </w:pPr>
      <w:r>
        <w:t>Emerging navigational patterns or corridor usage trends</w:t>
      </w:r>
    </w:p>
    <w:p>
      <w:r>
        <w:t>The Technical Working Group issues a Technical Review Report within 72 hours of each cycle's conclusion.</w:t>
      </w:r>
    </w:p>
    <w:p>
      <w:pPr>
        <w:pStyle w:val="Heading2"/>
      </w:pPr>
      <w:r>
        <w:t>7.2 Amendment Procedure</w:t>
      </w:r>
    </w:p>
    <w:p>
      <w:r>
        <w:t>Amendments to this Annex require consensus of the Technical Working Group and endorsement by all four Parties through the procedural mechanisms established in Section 9 of the CTAF.</w:t>
      </w:r>
    </w:p>
    <w:p>
      <w:r>
        <w:t>Any Party proposes an amendment by submitting the proposed amendment in writing to the Joint Secretariat. The Joint Secretariat distributes the proposal to all TWG members within 24 hours. The TWG discusses the proposal for 72 hours and votes by consensus. A TWG consensus recommendation proceeds to the Co-Chairs for endorsement by all four Parties.</w:t>
      </w:r>
    </w:p>
    <w:p>
      <w:r>
        <w:t>Amendments enter into force 48 hours after endorsement by all four Parties. The Joint Secretariat notifies all Parties and the Qatari Central Bank of the amendment's entry into force.</w:t>
      </w:r>
    </w:p>
    <w:p>
      <w:pPr>
        <w:pStyle w:val="Heading2"/>
      </w:pPr>
      <w:r>
        <w:t>7.3 Standing Review Authority</w:t>
      </w:r>
    </w:p>
    <w:p>
      <w:r>
        <w:t>The Technical Working Group retains standing authority to adjust the following parameters by consensus without formal amendment, provided the adjustment does not alter the fundamental structure of the verification regime:</w:t>
      </w:r>
    </w:p>
    <w:p>
      <w:pPr>
        <w:numPr>
          <w:ilvl w:val="0"/>
          <w:numId w:val="2"/>
        </w:numPr>
      </w:pPr>
      <w:r>
        <w:t>Numerical tolerances (speed variance, deviation distance, AIS downtime) within plus or minus 20 percent of the defined values</w:t>
      </w:r>
    </w:p>
    <w:p>
      <w:pPr>
        <w:numPr>
          <w:ilvl w:val="0"/>
          <w:numId w:val="2"/>
        </w:numPr>
      </w:pPr>
      <w:r>
        <w:t>Corroboration source priority order</w:t>
      </w:r>
    </w:p>
    <w:p>
      <w:pPr>
        <w:numPr>
          <w:ilvl w:val="0"/>
          <w:numId w:val="2"/>
        </w:numPr>
      </w:pPr>
      <w:r>
        <w:t>Weather threshold values within one Beaufort force level</w:t>
      </w:r>
    </w:p>
    <w:p>
      <w:pPr>
        <w:numPr>
          <w:ilvl w:val="0"/>
          <w:numId w:val="2"/>
        </w:numPr>
      </w:pPr>
      <w:r>
        <w:t>Reporting timeframes (notification windows, response deadlines)</w:t>
      </w:r>
    </w:p>
    <w:p>
      <w:r>
        <w:t>All standing review adjustments are documented in the cycle Technical Review Report and are subject to objection by any Party within 48 hours of report issuance.</w:t>
      </w:r>
    </w:p>
    <w:p>
      <w:pPr>
        <w:pStyle w:val="Heading1"/>
      </w:pPr>
      <w:r>
        <w:t>Section 8: Non-Recognition Clause</w:t>
      </w:r>
      <w:bookmarkStart w:name="_S8" w:id="9"/>
      <w:bookmarkEnd w:id="9"/>
    </w:p>
    <w:p>
      <w:r>
        <w:t>References to the Persian Gulf Strait Authority (PGSA) in this Annex are included solely for the technical purposes of implementing this Framework. The use of PGSA data does not constitute recognition of the PGSA's legal status, sovereignty, jurisdiction, institutional legitimacy, maritime claims, or the legal position of any Party.</w:t>
      </w:r>
    </w:p>
    <w:p>
      <w:r>
        <w:t>References to the Joint Iran-Oman Committee on the Strait of Hormuz are included solely for the technical purposes of implementing this Framework. The use of Committee data does not constitute recognition of any territorial claim, jurisdictional assertion, or legal position regarding the status of the Strait of Hormuz.</w:t>
      </w:r>
    </w:p>
    <w:p>
      <w:r>
        <w:t>The IMO Traffic Separation Scheme coordinates referenced in this Annex are adopted solely for navigational safety purposes. Their inclusion does not constitute recognition of any maritime boundary, territorial sea claim, or exclusive economic zone delimitation.</w:t>
      </w:r>
    </w:p>
    <w:p>
      <w:r>
        <w:t>All Parties retain their respective positions regarding the legal status of the Strait of Hormuz, the Persian Gulf, and adjacent maritime areas. Nothing in this Annex alters, amends, or supersedes the legal positions of any Party.</w:t>
      </w:r>
    </w:p>
    <w:p>
      <w:pPr>
        <w:pStyle w:val="Heading1"/>
      </w:pPr>
      <w:r>
        <w:t>End of Annex A</w:t>
      </w:r>
      <w:bookmarkStart w:name="_End" w:id="10"/>
      <w:bookmarkEnd w:id="10"/>
    </w:p>
    <w:p>
      <w:pPr>
        <w:spacing w:before="600"/>
      </w:pPr>
      <w:r>
        <w:t/>
      </w:r>
    </w:p>
    <w:p>
      <w:r>
        <w:t>In witness whereof, the undersigned, being duly authorized by their respective governments, have signed this Annex A to CTAF-2026-001.</w:t>
      </w:r>
    </w:p>
    <w:p>
      <w:r>
        <w:t>Done at Muscat, Sultanate of Oman, this ______ day of __________, 2026, in quadruplicate in the English language.</w:t>
      </w:r>
    </w:p>
    <w:p>
      <w:pPr>
        <w:spacing w:before="600"/>
      </w:pPr>
      <w:r>
        <w:t/>
      </w:r>
    </w:p>
    <w:tbl>
      <w:tblPr>
        <w:tblW w:w="5000" w:type="pct"/>
        <w:tblBorders>
          <w:top w:val="single" w:color="2E5A6B" w:sz="12"/>
          <w:left w:val="nil"/>
          <w:bottom w:val="single" w:color="2E5A6B" w:sz="12"/>
          <w:right w:val="nil"/>
          <w:insideH w:val="single" w:color="C0C8D0" w:sz="4"/>
          <w:insideV w:val="nil"/>
        </w:tblBorders>
      </w:tblPr>
      <w:tblGrid>
        <w:gridCol w:w="5000"/>
        <w:gridCol w:w="5000"/>
      </w:tblGrid>
      <w:tr>
        <w:tc>
          <w:tcPr>
            <w:tcW w:w="5000" w:type="dxa"/>
          </w:tcPr>
          <w:p>
            <w:pPr/>
            <w:r>
              <w:rPr>
                <w:color w:val="4A5568"/>
                <w:sz w:val="20"/>
              </w:rPr>
              <w:t>For the United States of America:</w:t>
            </w:r>
          </w:p>
        </w:tc>
        <w:tc>
          <w:tcPr>
            <w:tcW w:w="5000" w:type="dxa"/>
          </w:tcPr>
          <w:p>
            <w:pPr/>
            <w:r>
              <w:rPr>
                <w:color w:val="4A5568"/>
                <w:sz w:val="20"/>
              </w:rPr>
              <w:t>For the Islamic Republic of Iran:</w:t>
            </w:r>
          </w:p>
        </w:tc>
      </w:tr>
      <w:tr>
        <w:tc>
          <w:tcPr>
            <w:tcW w:w="5000" w:type="dxa"/>
          </w:tcPr>
          <w:p>
            <w:pPr>
              <w:spacing w:before="20" w:after="20"/>
            </w:pPr>
            <w:r>
              <w:rPr>
                <w:color w:val="4A5568"/>
                <w:sz w:val="20"/>
              </w:rPr>
              <w:t>Name:</w:t>
            </w:r>
          </w:p>
        </w:tc>
        <w:tc>
          <w:tcPr>
            <w:tcW w:w="5000" w:type="dxa"/>
          </w:tcPr>
          <w:p>
            <w:pPr>
              <w:spacing w:before="20" w:after="20"/>
            </w:pPr>
            <w:r>
              <w:rPr>
                <w:color w:val="4A5568"/>
                <w:sz w:val="20"/>
              </w:rPr>
              <w:t>Name:</w:t>
            </w:r>
          </w:p>
        </w:tc>
      </w:tr>
      <w:tr>
        <w:tc>
          <w:tcPr>
            <w:tcW w:w="5000" w:type="dxa"/>
          </w:tcPr>
          <w:p>
            <w:pPr>
              <w:spacing w:before="20" w:after="20"/>
            </w:pPr>
            <w:r>
              <w:rPr>
                <w:color w:val="4A5568"/>
                <w:sz w:val="20"/>
              </w:rPr>
              <w:t>Title:</w:t>
            </w:r>
          </w:p>
        </w:tc>
        <w:tc>
          <w:tcPr>
            <w:tcW w:w="5000" w:type="dxa"/>
          </w:tcPr>
          <w:p>
            <w:pPr>
              <w:spacing w:before="20" w:after="20"/>
            </w:pPr>
            <w:r>
              <w:rPr>
                <w:color w:val="4A5568"/>
                <w:sz w:val="20"/>
              </w:rPr>
              <w:t>Title:</w:t>
            </w:r>
          </w:p>
        </w:tc>
      </w:tr>
      <w:tr>
        <w:tc>
          <w:tcPr>
            <w:tcW w:w="5000" w:type="dxa"/>
          </w:tcPr>
          <w:p>
            <w:pPr>
              <w:spacing w:before="20" w:after="20"/>
            </w:pPr>
            <w:r>
              <w:rPr>
                <w:color w:val="4A5568"/>
                <w:sz w:val="20"/>
              </w:rPr>
              <w:t>Date:</w:t>
            </w:r>
          </w:p>
        </w:tc>
        <w:tc>
          <w:tcPr>
            <w:tcW w:w="5000" w:type="dxa"/>
          </w:tcPr>
          <w:p>
            <w:pPr>
              <w:spacing w:before="20" w:after="20"/>
            </w:pPr>
            <w:r>
              <w:rPr>
                <w:color w:val="4A5568"/>
                <w:sz w:val="20"/>
              </w:rPr>
              <w:t>Date:</w:t>
            </w:r>
          </w:p>
        </w:tc>
      </w:tr>
      <w:tr>
        <w:tc>
          <w:tcPr>
            <w:tcW w:w="5000" w:type="dxa"/>
          </w:tcPr>
          <w:p>
            <w:pPr>
              <w:spacing w:before="20" w:after="20"/>
            </w:pPr>
            <w:r>
              <w:rPr>
                <w:color w:val="4A5568"/>
                <w:sz w:val="20"/>
              </w:rPr>
              <w:t>Signature:</w:t>
            </w:r>
          </w:p>
        </w:tc>
        <w:tc>
          <w:tcPr>
            <w:tcW w:w="5000" w:type="dxa"/>
          </w:tcPr>
          <w:p>
            <w:pPr>
              <w:spacing w:before="20" w:after="20"/>
            </w:pPr>
            <w:r>
              <w:rPr>
                <w:color w:val="4A5568"/>
                <w:sz w:val="20"/>
              </w:rPr>
              <w:t>Signature:</w:t>
            </w:r>
          </w:p>
        </w:tc>
      </w:tr>
      <w:tr>
        <w:tc>
          <w:tcPr>
            <w:tcW w:w="5000" w:type="dxa"/>
          </w:tcPr>
          <w:p>
            <w:pPr/>
            <w:r>
              <w:rPr>
                <w:color w:val="4A5568"/>
                <w:sz w:val="20"/>
              </w:rPr>
              <w:t/>
            </w:r>
          </w:p>
        </w:tc>
        <w:tc>
          <w:tcPr>
            <w:tcW w:w="5000" w:type="dxa"/>
          </w:tcPr>
          <w:p>
            <w:pPr/>
            <w:r>
              <w:rPr>
                <w:color w:val="4A5568"/>
                <w:sz w:val="20"/>
              </w:rPr>
              <w:t/>
            </w:r>
          </w:p>
        </w:tc>
      </w:tr>
      <w:tr>
        <w:tc>
          <w:tcPr>
            <w:tcW w:w="5000" w:type="dxa"/>
          </w:tcPr>
          <w:p>
            <w:pPr/>
            <w:r>
              <w:rPr>
                <w:color w:val="4A5568"/>
                <w:sz w:val="20"/>
              </w:rPr>
              <w:t>Witnessed by State of Qatar (Co-Chair):</w:t>
            </w:r>
          </w:p>
        </w:tc>
        <w:tc>
          <w:tcPr>
            <w:tcW w:w="5000" w:type="dxa"/>
          </w:tcPr>
          <w:p>
            <w:pPr/>
            <w:r>
              <w:rPr>
                <w:color w:val="4A5568"/>
                <w:sz w:val="20"/>
              </w:rPr>
              <w:t>Witnessed by Sultanate of Oman (Co-Chair):</w:t>
            </w:r>
          </w:p>
        </w:tc>
      </w:tr>
      <w:tr>
        <w:tc>
          <w:tcPr>
            <w:tcW w:w="5000" w:type="dxa"/>
          </w:tcPr>
          <w:p>
            <w:pPr>
              <w:spacing w:before="20" w:after="20"/>
            </w:pPr>
            <w:r>
              <w:rPr>
                <w:color w:val="4A5568"/>
                <w:sz w:val="20"/>
              </w:rPr>
              <w:t>Name:</w:t>
            </w:r>
          </w:p>
        </w:tc>
        <w:tc>
          <w:tcPr>
            <w:tcW w:w="5000" w:type="dxa"/>
          </w:tcPr>
          <w:p>
            <w:pPr>
              <w:spacing w:before="20" w:after="20"/>
            </w:pPr>
            <w:r>
              <w:rPr>
                <w:color w:val="4A5568"/>
                <w:sz w:val="20"/>
              </w:rPr>
              <w:t>Name:</w:t>
            </w:r>
          </w:p>
        </w:tc>
      </w:tr>
      <w:tr>
        <w:tc>
          <w:tcPr>
            <w:tcW w:w="5000" w:type="dxa"/>
          </w:tcPr>
          <w:p>
            <w:pPr>
              <w:spacing w:before="20" w:after="20"/>
            </w:pPr>
            <w:r>
              <w:rPr>
                <w:color w:val="4A5568"/>
                <w:sz w:val="20"/>
              </w:rPr>
              <w:t>Title:</w:t>
            </w:r>
          </w:p>
        </w:tc>
        <w:tc>
          <w:tcPr>
            <w:tcW w:w="5000" w:type="dxa"/>
          </w:tcPr>
          <w:p>
            <w:pPr>
              <w:spacing w:before="20" w:after="20"/>
            </w:pPr>
            <w:r>
              <w:rPr>
                <w:color w:val="4A5568"/>
                <w:sz w:val="20"/>
              </w:rPr>
              <w:t>Title:</w:t>
            </w:r>
          </w:p>
        </w:tc>
      </w:tr>
      <w:tr>
        <w:tc>
          <w:tcPr>
            <w:tcW w:w="5000" w:type="dxa"/>
          </w:tcPr>
          <w:p>
            <w:pPr>
              <w:spacing w:before="20" w:after="20"/>
            </w:pPr>
            <w:r>
              <w:rPr>
                <w:color w:val="4A5568"/>
                <w:sz w:val="20"/>
              </w:rPr>
              <w:t>Date:</w:t>
            </w:r>
          </w:p>
        </w:tc>
        <w:tc>
          <w:tcPr>
            <w:tcW w:w="5000" w:type="dxa"/>
          </w:tcPr>
          <w:p>
            <w:pPr>
              <w:spacing w:before="20" w:after="20"/>
            </w:pPr>
            <w:r>
              <w:rPr>
                <w:color w:val="4A5568"/>
                <w:sz w:val="20"/>
              </w:rPr>
              <w:t>Date:</w:t>
            </w:r>
          </w:p>
        </w:tc>
      </w:tr>
      <w:tr>
        <w:tc>
          <w:tcPr>
            <w:tcW w:w="5000" w:type="dxa"/>
          </w:tcPr>
          <w:p>
            <w:pPr>
              <w:spacing w:before="20" w:after="20"/>
            </w:pPr>
            <w:r>
              <w:rPr>
                <w:color w:val="4A5568"/>
                <w:sz w:val="20"/>
              </w:rPr>
              <w:t>Signature:</w:t>
            </w:r>
          </w:p>
        </w:tc>
        <w:tc>
          <w:tcPr>
            <w:tcW w:w="5000" w:type="dxa"/>
          </w:tcPr>
          <w:p>
            <w:pPr>
              <w:spacing w:before="20" w:after="20"/>
            </w:pPr>
            <w:r>
              <w:rPr>
                <w:color w:val="4A5568"/>
                <w:sz w:val="20"/>
              </w:rPr>
              <w:t>Signature:</w:t>
            </w:r>
          </w:p>
        </w:tc>
      </w:tr>
    </w:tbl>
    <w:p>
      <w:pPr>
        <w:spacing w:before="400"/>
      </w:pPr>
      <w:r>
        <w:t/>
      </w:r>
    </w:p>
    <w:p>
      <w:r>
        <w:rPr>
          <w:i/>
          <w:color w:val="7A8A9A"/>
          <w:sz w:val="20"/>
        </w:rPr>
        <w:t>Participation in this Annex does not prejudice the legal positions, sovereignty claims, sanctions positions, or future political negotiations of any Party.</w:t>
      </w:r>
    </w:p>
    <w:sectPr>
      <w:pgSz w:w="11906" w:h="16838"/>
      <w:pgMar w:top="1440" w:right="1440" w:bottom="1440" w:left="1440" w:header="720" w:footer="720"/>
    </w:sectPr>
  </w:body>
</w:document>
</file>

<file path=word/footer1.xml><?xml version="1.0" encoding="utf-8"?>
<w:ftr xmlns:w="http://schemas.openxmlformats.org/wordprocessingml/2006/main">
  <w:p>
    <w:pPr>
      <w:jc w:val="center"/>
    </w:pPr>
    <w:r>
      <w:rPr>
        <w:color w:val="7A8A9A"/>
        <w:sz w:val="18"/>
      </w:rPr>
      <w:fldChar w:fldCharType="begin"/>
    </w:r>
    <w:r>
      <w:rPr>
        <w:color w:val="7A8A9A"/>
        <w:sz w:val="18"/>
      </w:rPr>
      <w:instrText xml:space="preserve"> PAGE </w:instrText>
    </w:r>
    <w:r>
      <w:rPr>
        <w:color w:val="7A8A9A"/>
        <w:sz w:val="18"/>
      </w:rPr>
      <w:fldChar w:fldCharType="separate"/>
    </w:r>
    <w:r>
      <w:rPr>
        <w:color w:val="7A8A9A"/>
        <w:sz w:val="18"/>
      </w:rPr>
      <w:t>1</w:t>
    </w:r>
    <w:r>
      <w:rPr>
        <w:color w:val="7A8A9A"/>
        <w:sz w:val="18"/>
      </w:rPr>
      <w:fldChar w:fldCharType="end"/>
    </w:r>
  </w:p>
</w:ftr>
</file>

<file path=word/header1.xml><?xml version="1.0" encoding="utf-8"?>
<w:hdr xmlns:w="http://schemas.openxmlformats.org/wordprocessingml/2006/main">
  <w:p>
    <w:pPr>
      <w:jc w:val="right"/>
    </w:pPr>
    <w:r>
      <w:rPr>
        <w:i/>
        <w:color w:val="7A8A9A"/>
        <w:sz w:val="18"/>
      </w:rPr>
      <w:t>CTAF-2026-001  |  Annex A  |  CONFIDENTIAL</w:t>
    </w:r>
  </w:p>
</w:hdr>
</file>

<file path=word/numbering.xml><?xml version="1.0" encoding="utf-8"?>
<w:numbering xmlns:w="http://schemas.openxmlformats.org/wordprocessingml/2006/main">
  <w:abstractNum w:abstractNumId="1">
    <w:lvl w:ilvl="0">
      <w:numFmt w:val="decimal"/>
      <w:lvlText w:val="%1."/>
      <w:lvlJc w:val="left"/>
      <w:pPr>
        <w:ind w:left="720" w:hanging="360"/>
      </w:pPr>
    </w:lvl>
  </w:abstractNum>
  <w:abstractNum w:abstractNumId="2">
    <w:lvl w:ilvl="0">
      <w:numFmt w:val="bullet"/>
      <w:lvlText w:val="•"/>
      <w:lvlJc w:val="left"/>
      <w:pPr>
        <w:ind w:left="720" w:hanging="360"/>
      </w:pPr>
    </w:lvl>
  </w:abstractNum>
  <w:num w:numId="1">
    <w:abstractNumId w:val="1"/>
  </w:num>
  <w:num w:numId="2">
    <w:abstractNumId w:val="2"/>
  </w:num>
</w:numbering>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style w:type="paragraph" w:styleId="Normal" w:default="true">
    <w:name w:val="Normal"/>
    <w:pPr>
      <w:spacing w:after="200" w:line="288" w:lineRule="auto"/>
      <w:jc w:val="both"/>
    </w:pPr>
    <w:rPr>
      <w:rFonts w:ascii="Cambria" w:hAnsi="Cambria" w:eastAsia="Microsoft YaHei"/>
      <w:color w:val="2A2A2A"/>
      <w:sz w:val="22"/>
    </w:rPr>
  </w:style>
  <w:style w:type="paragraph" w:styleId="Heading1">
    <w:name w:val="heading 1"/>
    <w:basedOn w:val="Normal"/>
    <w:pPr>
      <w:keepNext/>
      <w:keepLines/>
      <w:spacing w:before="600" w:after="240"/>
      <w:outlineLvl w:val="0"/>
    </w:pPr>
    <w:rPr>
      <w:rFonts w:ascii="Cambria" w:hAnsi="Cambria"/>
      <w:b/>
      <w:color w:val="1A2744"/>
      <w:sz w:val="40"/>
    </w:rPr>
  </w:style>
  <w:style w:type="paragraph" w:styleId="Heading2">
    <w:name w:val="heading 2"/>
    <w:basedOn w:val="Normal"/>
    <w:pPr>
      <w:keepNext/>
      <w:keepLines/>
      <w:spacing w:before="400" w:after="160"/>
      <w:outlineLvl w:val="1"/>
    </w:pPr>
    <w:rPr>
      <w:rFonts w:ascii="Cambria" w:hAnsi="Cambria"/>
      <w:b/>
      <w:color w:val="2E5A6B"/>
      <w:sz w:val="28"/>
    </w:rPr>
  </w:style>
  <w:style w:type="paragraph" w:styleId="Heading3">
    <w:name w:val="heading 3"/>
    <w:basedOn w:val="Normal"/>
    <w:pPr>
      <w:keepNext/>
      <w:keepLines/>
      <w:spacing w:before="280" w:after="120"/>
      <w:outlineLvl w:val="2"/>
    </w:pPr>
    <w:rPr>
      <w:rFonts w:ascii="Cambria" w:hAnsi="Cambria"/>
      <w:b/>
      <w:color w:val="4A5568"/>
      <w:sz w:val="24"/>
    </w:rPr>
  </w:style>
  <w:style w:type="paragraph" w:styleId="TOCHeading">
    <w:name w:val="TOC Heading"/>
    <w:basedOn w:val="Normal"/>
    <w:pPr>
      <w:outlineLvl w:val="9"/>
    </w:pPr>
    <w:rPr>
      <w:b/>
      <w:color w:val="1A2744"/>
      <w:sz w:val="32"/>
    </w:rPr>
  </w:style>
  <w:style w:type="paragraph" w:styleId="TOC1">
    <w:name w:val="toc 1"/>
    <w:basedOn w:val="Normal"/>
    <w:pPr>
      <w:tabs>
        <w:tab w:val="right" w:leader="dot" w:pos="9350"/>
      </w:tabs>
      <w:spacing w:before="200" w:after="60"/>
    </w:pPr>
    <w:rPr>
      <w:b/>
      <w:color w:val="1A2744"/>
    </w:rPr>
  </w:style>
  <w:style w:type="paragraph" w:styleId="TOC2">
    <w:name w:val="toc 2"/>
    <w:basedOn w:val="Normal"/>
    <w:pPr>
      <w:tabs>
        <w:tab w:val="right" w:leader="dot" w:pos="9350"/>
      </w:tabs>
      <w:spacing w:before="60" w:after="40"/>
      <w:ind w:left="360"/>
    </w:pPr>
    <w:rPr>
      <w:color w:val="4A5568"/>
    </w:rPr>
  </w:style>
  <w:style w:type="paragraph" w:styleId="TOC3">
    <w:name w:val="toc 3"/>
    <w:basedOn w:val="Normal"/>
    <w:pPr>
      <w:tabs>
        <w:tab w:val="right" w:leader="dot" w:pos="9350"/>
      </w:tabs>
      <w:spacing w:before="40" w:after="20"/>
      <w:ind w:left="720"/>
    </w:pPr>
    <w:rPr>
      <w:i/>
      <w:color w:val="7A8A9A"/>
    </w:rPr>
  </w:style>
</w:styles>
</file>

<file path=word/_rels/document.xml.rels><?xml version='1.0' encoding='UTF-8'?>
<Relationships xmlns="http://schemas.openxmlformats.org/package/2006/relationships"><Relationship Id="R219a7529aa3e44d7" Type="http://schemas.openxmlformats.org/officeDocument/2006/relationships/header" Target="header1.xml" /><Relationship Id="R59f5d57df24c41b8" Type="http://schemas.openxmlformats.org/officeDocument/2006/relationships/footer" Target="footer1.xml" /><Relationship Id="Rb05dc70c03c4406f" Type="http://schemas.openxmlformats.org/officeDocument/2006/relationships/styles" Target="styles.xml" /><Relationship Id="Rbac0f38c919e4da1" Type="http://schemas.openxmlformats.org/officeDocument/2006/relationships/settings" Target="settings.xml" /><Relationship Id="Rfec1945f77c14b76" Type="http://schemas.openxmlformats.org/officeDocument/2006/relationships/numbering" Target="numbering.xml" /></Relationships>
</file>