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70d929b86f3744b1"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
      <w:pPr>
        <w:spacing w:before="5500"/>
      </w:pPr>
      <w:r/>
    </w:p>
    <w:p>
      <w:pPr>
        <w:spacing w:after="200"/>
        <w:jc w:val="center"/>
      </w:pPr>
      <w:r>
        <w:rPr>
          <w:rFonts w:ascii="Cambria" w:hAnsi="Cambria"/>
          <w:color w:val="a6894a"/>
          <w:spacing w:val="60"/>
          <w:sz w:val="24"/>
        </w:rPr>
        <w:t>ANNEX B</w:t>
      </w:r>
    </w:p>
    <w:p>
      <w:pPr>
        <w:spacing w:after="300"/>
        <w:jc w:val="center"/>
      </w:pPr>
      <w:r>
        <w:rPr>
          <w:rFonts w:ascii="Cambria" w:hAnsi="Cambria"/>
          <w:b/>
          <w:color w:val="1a2744"/>
          <w:spacing w:val="30"/>
          <w:sz w:val="64"/>
        </w:rPr>
        <w:t>Maritime Monitoring</w:t>
      </w:r>
    </w:p>
    <w:p>
      <w:pPr>
        <w:spacing w:after="400"/>
        <w:jc w:val="center"/>
      </w:pPr>
      <w:r>
        <w:rPr>
          <w:rFonts w:ascii="Cambria" w:hAnsi="Cambria"/>
          <w:i/>
          <w:color w:val="1a2744"/>
          <w:sz w:val="36"/>
        </w:rPr>
        <w:t>and Verification Protocol</w:t>
      </w:r>
    </w:p>
    <w:p>
      <w:pPr>
        <w:spacing w:after="200"/>
        <w:jc w:val="center"/>
      </w:pPr>
      <w:r>
        <w:rPr>
          <w:rFonts w:ascii="Cambria" w:hAnsi="Cambria"/>
          <w:color w:val="1A1A1A"/>
          <w:sz w:val="22"/>
        </w:rPr>
        <w:t>Coordinated Technical Activation Framework</w:t>
      </w:r>
    </w:p>
    <w:p>
      <w:pPr>
        <w:spacing w:after="3500"/>
        <w:jc w:val="center"/>
      </w:pPr>
      <w:r>
        <w:rPr>
          <w:rFonts w:ascii="Cambria" w:hAnsi="Cambria"/>
          <w:color w:val="1A1A1A"/>
          <w:sz w:val="22"/>
        </w:rPr>
        <w:t>CTAF-2026-001  --  Annex B</w:t>
      </w:r>
    </w:p>
    <w:p>
      <w:pPr>
        <w:spacing w:after="120"/>
        <w:jc w:val="center"/>
      </w:pPr>
      <w:r>
        <w:rPr>
          <w:rFonts w:ascii="Cambria" w:hAnsi="Cambria"/>
          <w:color w:val="1A1A1A"/>
          <w:sz w:val="20"/>
        </w:rPr>
        <w:t>Version 1.0  ·  June 2026</w:t>
      </w:r>
    </w:p>
    <w:p>
      <w:pPr>
        <w:spacing w:after="200"/>
        <w:jc w:val="center"/>
      </w:pPr>
      <w:r>
        <w:rPr>
          <w:rFonts w:ascii="Cambria" w:hAnsi="Cambria"/>
          <w:color w:val="1A1A1A"/>
          <w:sz w:val="20"/>
        </w:rPr>
        <w:t>Status: Adoptable by Reference</w:t>
      </w:r>
    </w:p>
    <w:p>
      <w:pPr>
        <w:sectPr>
          <w:type w:val="nextPage"/>
          <w:pgSz w:w="11906" w:h="16838"/>
          <w:pgMar w:top="0" w:right="0" w:bottom="0" w:left="0" w:header="0" w:footer="0"/>
          <w:titlePg/>
        </w:sectPr>
      </w:pPr>
    </w:p>
    <w:p>
      <w:pPr>
        <w:pStyle w:val="Heading1"/>
      </w:pPr>
      <w:r>
        <w:rPr>
          <w:rFonts w:ascii="Cambria" w:hAnsi="Cambria"/>
          <w:b/>
          <w:color w:val="1a2744"/>
          <w:sz w:val="36"/>
        </w:rPr>
        <w:t>Table of Contents</w:t>
      </w:r>
      <w:bookmarkStart w:name="_Toc000" w:id="0"/>
      <w:bookmarkEnd w:id="0"/>
    </w:p>
    <w:p>
      <w:pPr>
        <w:spacing w:after="300"/>
      </w:pPr>
      <w:r>
        <w:rPr>
          <w:color w:val="1A1A1A"/>
          <w:sz w:val="18"/>
        </w:rPr>
        <w:t>Right-click the TOC and select "Update Field" to refresh page numbers</w:t>
      </w:r>
    </w:p>
    <w:p>
      <w:r>
        <w:fldChar w:fldCharType="begin"/>
      </w:r>
      <w:r>
        <w:instrText xml:space="preserve"> TOC \o "1-3" \h \z \u </w:instrText>
      </w:r>
      <w:r>
        <w:fldChar w:fldCharType="separate"/>
      </w:r>
    </w:p>
    <w:p>
      <w:pPr>
        <w:pStyle w:val="TOC1"/>
      </w:pPr>
      <w:r>
        <w:t>Preamble</w:t>
      </w:r>
      <w:r>
        <w:tab/>
      </w:r>
      <w:r>
        <w:t>3</w:t>
      </w:r>
    </w:p>
    <w:p>
      <w:pPr>
        <w:pStyle w:val="TOC1"/>
      </w:pPr>
      <w:r>
        <w:t>Article 1: Definitions</w:t>
      </w:r>
      <w:r>
        <w:tab/>
      </w:r>
      <w:r>
        <w:t>4</w:t>
      </w:r>
    </w:p>
    <w:p>
      <w:pPr>
        <w:pStyle w:val="TOC1"/>
      </w:pPr>
      <w:r>
        <w:t>Article 2: Scope</w:t>
      </w:r>
      <w:r>
        <w:tab/>
      </w:r>
      <w:r>
        <w:t>6</w:t>
      </w:r>
    </w:p>
    <w:p>
      <w:pPr>
        <w:pStyle w:val="TOC1"/>
      </w:pPr>
      <w:r>
        <w:t>Article 3: Monitoring Systems</w:t>
      </w:r>
      <w:r>
        <w:tab/>
      </w:r>
      <w:r>
        <w:t>7</w:t>
      </w:r>
    </w:p>
    <w:p>
      <w:pPr>
        <w:pStyle w:val="TOC1"/>
      </w:pPr>
      <w:r>
        <w:t>Article 4: Data Collection Standards</w:t>
      </w:r>
      <w:r>
        <w:tab/>
      </w:r>
      <w:r>
        <w:t>9</w:t>
      </w:r>
    </w:p>
    <w:p>
      <w:pPr>
        <w:pStyle w:val="TOC1"/>
      </w:pPr>
      <w:r>
        <w:t>Article 5: Technical Working Group Operations</w:t>
      </w:r>
      <w:r>
        <w:tab/>
      </w:r>
      <w:r>
        <w:t>11</w:t>
      </w:r>
    </w:p>
    <w:p>
      <w:pPr>
        <w:pStyle w:val="TOC1"/>
      </w:pPr>
      <w:r>
        <w:t>Article 6: Identification and Verification</w:t>
      </w:r>
      <w:r>
        <w:tab/>
      </w:r>
      <w:r>
        <w:t>13</w:t>
      </w:r>
    </w:p>
    <w:p>
      <w:pPr>
        <w:pStyle w:val="TOC1"/>
      </w:pPr>
      <w:r>
        <w:t>Article 7: Verification and Activation</w:t>
      </w:r>
      <w:r>
        <w:tab/>
      </w:r>
      <w:r>
        <w:t>15</w:t>
      </w:r>
    </w:p>
    <w:p>
      <w:pPr>
        <w:pStyle w:val="TOC1"/>
      </w:pPr>
      <w:r>
        <w:t>Article 8: Response Protocols</w:t>
      </w:r>
      <w:r>
        <w:tab/>
      </w:r>
      <w:r>
        <w:t>17</w:t>
      </w:r>
    </w:p>
    <w:p>
      <w:pPr>
        <w:pStyle w:val="TOC1"/>
      </w:pPr>
      <w:r>
        <w:t>Article 9: Information Sharing</w:t>
      </w:r>
      <w:r>
        <w:tab/>
      </w:r>
      <w:r>
        <w:t>19</w:t>
      </w:r>
    </w:p>
    <w:p>
      <w:pPr>
        <w:pStyle w:val="TOC1"/>
      </w:pPr>
      <w:r>
        <w:t>Article 10: Secure Communications</w:t>
      </w:r>
      <w:r>
        <w:tab/>
      </w:r>
      <w:r>
        <w:t>21</w:t>
      </w:r>
    </w:p>
    <w:p>
      <w:pPr>
        <w:pStyle w:val="TOC1"/>
      </w:pPr>
      <w:r>
        <w:t>Article 11: Training and Capacity Building</w:t>
      </w:r>
      <w:r>
        <w:tab/>
      </w:r>
      <w:r>
        <w:t>23</w:t>
      </w:r>
    </w:p>
    <w:p>
      <w:pPr>
        <w:pStyle w:val="TOC1"/>
      </w:pPr>
      <w:r>
        <w:t>Article 12: Non-Recognition Clause</w:t>
      </w:r>
      <w:r>
        <w:tab/>
      </w:r>
      <w:r>
        <w:t>25</w:t>
      </w:r>
    </w:p>
    <w:p>
      <w:pPr>
        <w:pStyle w:val="TOC1"/>
      </w:pPr>
      <w:r>
        <w:t>Article 13: Budget and Resources</w:t>
      </w:r>
      <w:r>
        <w:tab/>
      </w:r>
      <w:r>
        <w:t>27</w:t>
      </w:r>
    </w:p>
    <w:p>
      <w:pPr>
        <w:pStyle w:val="TOC1"/>
      </w:pPr>
      <w:r>
        <w:t>Article 14: Review and Amendment</w:t>
      </w:r>
      <w:r>
        <w:tab/>
      </w:r>
      <w:r>
        <w:t>29</w:t>
      </w:r>
    </w:p>
    <w:p>
      <w:pPr>
        <w:pStyle w:val="TOC1"/>
      </w:pPr>
      <w:r>
        <w:t>Article 15: Dispute Resolution</w:t>
      </w:r>
      <w:r>
        <w:tab/>
      </w:r>
      <w:r>
        <w:t>30</w:t>
      </w:r>
    </w:p>
    <w:p>
      <w:pPr>
        <w:pStyle w:val="TOC1"/>
      </w:pPr>
      <w:r>
        <w:t>Article 16: Technical Disputes</w:t>
      </w:r>
      <w:r>
        <w:tab/>
      </w:r>
      <w:r>
        <w:t>31</w:t>
      </w:r>
    </w:p>
    <w:p>
      <w:pPr>
        <w:pStyle w:val="TOC1"/>
      </w:pPr>
      <w:r>
        <w:t>Article 17: Entry into Force</w:t>
      </w:r>
      <w:r>
        <w:tab/>
      </w:r>
      <w:r>
        <w:t>32</w:t>
      </w:r>
    </w:p>
    <w:p>
      <w:pPr>
        <w:pStyle w:val="TOC1"/>
      </w:pPr>
      <w:r>
        <w:t>Appendix A: Monitoring Network Architecture</w:t>
      </w:r>
      <w:r>
        <w:tab/>
      </w:r>
      <w:r>
        <w:t>33</w:t>
      </w:r>
    </w:p>
    <w:p>
      <w:pPr>
        <w:pStyle w:val="TOC1"/>
      </w:pPr>
      <w:r>
        <w:t>Appendix B: Data Format Specification</w:t>
      </w:r>
      <w:r>
        <w:tab/>
      </w:r>
      <w:r>
        <w:t>35</w:t>
      </w:r>
    </w:p>
    <w:p>
      <w:pPr>
        <w:pStyle w:val="TOC1"/>
      </w:pPr>
      <w:r>
        <w:t>Appendix C: Flag State Notification Matrix</w:t>
      </w:r>
      <w:r>
        <w:tab/>
      </w:r>
      <w:r>
        <w:t>37</w:t>
      </w:r>
    </w:p>
    <w:p>
      <w:pPr>
        <w:pStyle w:val="TOC1"/>
      </w:pPr>
      <w:r>
        <w:t>Appendix D: Standard Operating Procedures</w:t>
      </w:r>
      <w:r>
        <w:tab/>
      </w:r>
      <w:r>
        <w:t>39</w:t>
      </w:r>
    </w:p>
    <w:p>
      <w:r>
        <w:fldChar w:fldCharType="end"/>
      </w:r>
    </w:p>
    <w:p>
      <w:pPr>
        <w:sectPr>
          <w:type w:val="nextPage"/>
          <w:pgSz w:w="11906" w:h="16838"/>
          <w:pgMar w:top="1800" w:right="1440" w:bottom="1440" w:left="1440" w:header="720" w:footer="720"/>
        </w:sectPr>
      </w:pPr>
    </w:p>
    <w:p>
      <w:pPr>
        <w:pStyle w:val="Heading1"/>
      </w:pPr>
      <w:r>
        <w:rPr>
          <w:rFonts w:ascii="Cambria" w:hAnsi="Cambria"/>
          <w:b/>
          <w:color w:val="1a2744"/>
          <w:sz w:val="36"/>
        </w:rPr>
        <w:t>Preamble</w:t>
      </w:r>
      <w:bookmarkStart w:name="_TocPre" w:id="1"/>
      <w:bookmarkEnd w:id="1"/>
    </w:p>
    <w:p>
      <w:pPr>
        <w:spacing w:after="160" w:line="288" w:lineRule="auto"/>
        <w:jc w:val="both"/>
      </w:pPr>
      <w:r>
        <w:rPr>
          <w:rFonts w:ascii="Cambria" w:hAnsi="Cambria"/>
          <w:color w:val="1a1a1a"/>
          <w:sz w:val="22"/>
        </w:rPr>
        <w:t>The Parties recognize that effective maritime monitoring through the Strait of Hormuz constitutes an essential element of the Coordinated Technical Activation Framework (CTAF-2026-001). Independent, third-party verification of transit data enables the objective assessment of unobstructed passage, which in turn triggers the financial mechanisms established under the Islamabad MoU.</w:t>
      </w:r>
    </w:p>
    <w:p>
      <w:pPr>
        <w:spacing w:after="160" w:line="288" w:lineRule="auto"/>
        <w:jc w:val="both"/>
      </w:pPr>
      <w:r>
        <w:rPr>
          <w:rFonts w:ascii="Cambria" w:hAnsi="Cambria"/>
          <w:color w:val="1a1a1a"/>
          <w:sz w:val="22"/>
        </w:rPr>
        <w:t>This Annex establishes the technical infrastructure for maritime monitoring that supports the CTAF's verification architecture. It creates the data collection systems, analytical methodology, and corroboration procedures necessary to transform raw maritime data into verified transit metrics for the Technical Working Group.</w:t>
      </w:r>
    </w:p>
    <w:p>
      <w:pPr>
        <w:spacing w:after="160" w:line="288" w:lineRule="auto"/>
        <w:jc w:val="both"/>
      </w:pPr>
      <w:r>
        <w:rPr>
          <w:rFonts w:ascii="Cambria" w:hAnsi="Cambria"/>
          <w:color w:val="1a1a1a"/>
          <w:sz w:val="22"/>
        </w:rPr>
        <w:t>The framework rests on three operational pillars:</w:t>
      </w:r>
    </w:p>
    <w:p>
      <w:pPr>
        <w:spacing w:after="160" w:line="288" w:lineRule="auto"/>
        <w:jc w:val="both"/>
      </w:pPr>
      <w:r>
        <w:rPr>
          <w:rFonts w:ascii="Cambria" w:hAnsi="Cambria"/>
          <w:color w:val="1a1a1a"/>
          <w:sz w:val="22"/>
        </w:rPr>
        <w:t>Technical Monitoring: Satellite-based AIS tracking, coastal radar integration, and UAV patrol routes provide comprehensive visibility over the Strait of Hormuz transit corridor. The system tracks vessel movements, identifies anomalies, and flags deviations from the metrics defined in Annex A.</w:t>
      </w:r>
    </w:p>
    <w:p>
      <w:pPr>
        <w:spacing w:after="160" w:line="288" w:lineRule="auto"/>
        <w:jc w:val="both"/>
      </w:pPr>
      <w:r>
        <w:rPr>
          <w:rFonts w:ascii="Cambria" w:hAnsi="Cambria"/>
          <w:color w:val="1a1a1a"/>
          <w:sz w:val="22"/>
        </w:rPr>
        <w:t>Analytical Verification: The Technical Working Group processes raw maritime data, applies the corroboration methodology defined in this Annex, and produces Verification Packages for tranche activation.</w:t>
      </w:r>
    </w:p>
    <w:p>
      <w:pPr>
        <w:spacing w:after="160" w:line="288" w:lineRule="auto"/>
        <w:jc w:val="both"/>
      </w:pPr>
      <w:r>
        <w:rPr>
          <w:rFonts w:ascii="Cambria" w:hAnsi="Cambria"/>
          <w:color w:val="1a1a1a"/>
          <w:sz w:val="22"/>
        </w:rPr>
        <w:t>Coordinated Notification: Verified findings route through the Joint Secretariat to the Qatari Central Bank for eligibility determination under Annex ES. Disputes follow the procedures in Section 7 of the CTAF.</w:t>
      </w:r>
    </w:p>
    <w:p>
      <w:pPr>
        <w:spacing w:after="160" w:line="288" w:lineRule="auto"/>
        <w:jc w:val="both"/>
      </w:pPr>
      <w:r>
        <w:rPr>
          <w:rFonts w:ascii="Cambria" w:hAnsi="Cambria"/>
          <w:color w:val="1a1a1a"/>
          <w:sz w:val="22"/>
        </w:rPr>
        <w:t>This Annex operates as a technical implementation document subordinate to CTAF-2026-001. References to monitoring systems, data sources, and analytical methods are included solely for the operational implementation of this Framework and do not constitute recognition of legal status, sovereignty, or maritime claims by any Party.</w:t>
      </w:r>
    </w:p>
    <w:p>
      <w:pPr>
        <w:pStyle w:val="Heading1"/>
      </w:pPr>
      <w:r>
        <w:rPr>
          <w:rFonts w:ascii="Cambria" w:hAnsi="Cambria"/>
          <w:b/>
          <w:color w:val="1a2744"/>
          <w:sz w:val="36"/>
        </w:rPr>
        <w:t>Article 1: Definitions</w:t>
      </w:r>
      <w:bookmarkStart w:name="_TocArt1" w:id="2"/>
      <w:bookmarkEnd w:id="2"/>
    </w:p>
    <w:p>
      <w:pPr>
        <w:spacing w:after="160" w:line="288" w:lineRule="auto"/>
        <w:jc w:val="both"/>
      </w:pPr>
      <w:r>
        <w:rPr>
          <w:rFonts w:ascii="Cambria" w:hAnsi="Cambria"/>
          <w:color w:val="1a1a1a"/>
          <w:sz w:val="22"/>
        </w:rPr>
        <w:t>For the purposes of this Annex, the following terms bear the meanings set forth below.</w:t>
      </w:r>
    </w:p>
    <w:p>
      <w:pPr>
        <w:pStyle w:val="Heading2"/>
      </w:pPr>
      <w:r>
        <w:rPr>
          <w:rFonts w:ascii="Cambria" w:hAnsi="Cambria"/>
          <w:b/>
          <w:color w:val="1a1a1a"/>
          <w:sz w:val="28"/>
        </w:rPr>
        <w:t>1.1 "Maritime Domain"</w:t>
      </w:r>
    </w:p>
    <w:p>
      <w:pPr>
        <w:spacing w:after="160" w:line="288" w:lineRule="auto"/>
        <w:jc w:val="both"/>
      </w:pPr>
      <w:r>
        <w:rPr>
          <w:rFonts w:ascii="Cambria" w:hAnsi="Cambria"/>
          <w:color w:val="1a1a1a"/>
          <w:sz w:val="22"/>
        </w:rPr>
        <w:t>The waters of the Persian Gulf, the Gulf of Oman, and the Strait of Hormuz, extending from the outer limit of territorial seas to the high seas boundaries as defined by the United Nations Convention on the Law of the Sea (UNCLOS). The Maritime Domain includes all vessel traffic, offshore installations, and associated infrastructure within these waters.</w:t>
      </w:r>
    </w:p>
    <w:p>
      <w:pPr>
        <w:pStyle w:val="Heading2"/>
      </w:pPr>
      <w:r>
        <w:rPr>
          <w:rFonts w:ascii="Cambria" w:hAnsi="Cambria"/>
          <w:b/>
          <w:color w:val="1a1a1a"/>
          <w:sz w:val="28"/>
        </w:rPr>
        <w:t>1.2 "AIS" or "Automatic Identification System"</w:t>
      </w:r>
    </w:p>
    <w:p>
      <w:pPr>
        <w:spacing w:after="160" w:line="288" w:lineRule="auto"/>
        <w:jc w:val="both"/>
      </w:pPr>
      <w:r>
        <w:rPr>
          <w:rFonts w:ascii="Cambria" w:hAnsi="Cambria"/>
          <w:color w:val="1a1a1a"/>
          <w:sz w:val="22"/>
        </w:rPr>
        <w:t>The international maritime navigation safety system that uses VHF radio frequencies to automatically broadcast vessel identity, position, course, speed, and other navigational data. Class A transponders carry on vessels over 300 gross tons and all passenger vessels. Class B transponders serve smaller craft. AIS serves as the foundational data layer for the monitoring architecture.</w:t>
      </w:r>
    </w:p>
    <w:p>
      <w:pPr>
        <w:pStyle w:val="Heading2"/>
      </w:pPr>
      <w:r>
        <w:rPr>
          <w:rFonts w:ascii="Cambria" w:hAnsi="Cambria"/>
          <w:b/>
          <w:color w:val="1a1a1a"/>
          <w:sz w:val="28"/>
        </w:rPr>
        <w:t>1.3 "Technical Working Group" or "TWG"</w:t>
      </w:r>
    </w:p>
    <w:p>
      <w:pPr>
        <w:spacing w:after="160" w:line="288" w:lineRule="auto"/>
        <w:jc w:val="both"/>
      </w:pPr>
      <w:r>
        <w:rPr>
          <w:rFonts w:ascii="Cambria" w:hAnsi="Cambria"/>
          <w:color w:val="1a1a1a"/>
          <w:sz w:val="22"/>
        </w:rPr>
        <w:t>The technical body comprising delegates from each Party as defined in Section 1.6 of the CTAF. The TWG performs the analytical functions described in this Annex, operating through the Joint Secretariat in Muscat per Section 2.5 of the CTAF. The TWG processes maritime data, applies corroboration methodologies, and produces Verification Packages.</w:t>
      </w:r>
    </w:p>
    <w:p>
      <w:pPr>
        <w:pStyle w:val="Heading2"/>
      </w:pPr>
      <w:r>
        <w:rPr>
          <w:rFonts w:ascii="Cambria" w:hAnsi="Cambria"/>
          <w:b/>
          <w:color w:val="1a1a1a"/>
          <w:sz w:val="28"/>
        </w:rPr>
        <w:t>1.4 "Joint Secretariat"</w:t>
      </w:r>
    </w:p>
    <w:p>
      <w:pPr>
        <w:spacing w:after="160" w:line="288" w:lineRule="auto"/>
        <w:jc w:val="both"/>
      </w:pPr>
      <w:r>
        <w:rPr>
          <w:rFonts w:ascii="Cambria" w:hAnsi="Cambria"/>
          <w:color w:val="1a1a1a"/>
          <w:sz w:val="22"/>
        </w:rPr>
        <w:t>The administrative body established under Section 2.5 of the CTAF, located in Muscat, Oman. The Joint Secretariat coordinates data flows between the Parties, the Swiss relay, and the Technical Working Group. It distributes Verification Packages to the Qatari Central Bank for eligibility determination.</w:t>
      </w:r>
    </w:p>
    <w:p>
      <w:pPr>
        <w:pStyle w:val="Heading2"/>
      </w:pPr>
      <w:r>
        <w:rPr>
          <w:rFonts w:ascii="Cambria" w:hAnsi="Cambria"/>
          <w:b/>
          <w:color w:val="1a1a1a"/>
          <w:sz w:val="28"/>
        </w:rPr>
        <w:t>1.5 "Flag State"</w:t>
      </w:r>
    </w:p>
    <w:p>
      <w:pPr>
        <w:spacing w:after="160" w:line="288" w:lineRule="auto"/>
        <w:jc w:val="both"/>
      </w:pPr>
      <w:r>
        <w:rPr>
          <w:rFonts w:ascii="Cambria" w:hAnsi="Cambria"/>
          <w:color w:val="1a1a1a"/>
          <w:sz w:val="22"/>
        </w:rPr>
        <w:t>The state under whose laws a vessel registers and whose flag the vessel flies. The flag state exercises primary jurisdiction over the vessel under international law. In the context of this Annex, the flag state receives notifications regarding vessel activities, responds to requests for information, and provides clarification when transit data requires verification.</w:t>
      </w:r>
    </w:p>
    <w:p>
      <w:pPr>
        <w:pStyle w:val="Heading2"/>
      </w:pPr>
      <w:r>
        <w:rPr>
          <w:rFonts w:ascii="Cambria" w:hAnsi="Cambria"/>
          <w:b/>
          <w:color w:val="1a1a1a"/>
          <w:sz w:val="28"/>
        </w:rPr>
        <w:t>1.6 "Port State"</w:t>
      </w:r>
    </w:p>
    <w:p>
      <w:pPr>
        <w:spacing w:after="160" w:line="288" w:lineRule="auto"/>
        <w:jc w:val="both"/>
      </w:pPr>
      <w:r>
        <w:rPr>
          <w:rFonts w:ascii="Cambria" w:hAnsi="Cambria"/>
          <w:color w:val="1a1a1a"/>
          <w:sz w:val="22"/>
        </w:rPr>
        <w:t>A state in whose ports or territorial waters a vessel seeks to enter, anchor, or conduct operations. The port state exercises jurisdiction over vessels in its internal waters and ports. Under this Annex, port states coordinate with the TWG when vessels flagged for verification issues seek port access.</w:t>
      </w:r>
    </w:p>
    <w:p>
      <w:pPr>
        <w:pStyle w:val="Heading2"/>
      </w:pPr>
      <w:r>
        <w:rPr>
          <w:rFonts w:ascii="Cambria" w:hAnsi="Cambria"/>
          <w:b/>
          <w:color w:val="1a1a1a"/>
          <w:sz w:val="28"/>
        </w:rPr>
        <w:t>1.7 "Verification Package"</w:t>
      </w:r>
    </w:p>
    <w:p>
      <w:pPr>
        <w:spacing w:after="160" w:line="288" w:lineRule="auto"/>
        <w:jc w:val="both"/>
      </w:pPr>
      <w:r>
        <w:rPr>
          <w:rFonts w:ascii="Cambria" w:hAnsi="Cambria"/>
          <w:color w:val="1a1a1a"/>
          <w:sz w:val="22"/>
        </w:rPr>
        <w:t>A formal analytical product issued by the Technical Working Group that documents transit metrics, corroborates unobstructed passage against independent monitoring sources, and recommends tranche activation or non-activation per Section 5.2 of the CTAF. Each Verification Package undergoes a rigorous verification process before dissemination through the Joint Secretariat.</w:t>
      </w:r>
    </w:p>
    <w:p>
      <w:pPr>
        <w:pStyle w:val="Heading2"/>
      </w:pPr>
      <w:r>
        <w:rPr>
          <w:rFonts w:ascii="Cambria" w:hAnsi="Cambria"/>
          <w:b/>
          <w:color w:val="1a1a1a"/>
          <w:sz w:val="28"/>
        </w:rPr>
        <w:t>1.8 "Vessel of Interest"</w:t>
      </w:r>
    </w:p>
    <w:p>
      <w:pPr>
        <w:spacing w:after="160" w:line="288" w:lineRule="auto"/>
        <w:jc w:val="both"/>
      </w:pPr>
      <w:r>
        <w:rPr>
          <w:rFonts w:ascii="Cambria" w:hAnsi="Cambria"/>
          <w:color w:val="1a1a1a"/>
          <w:sz w:val="22"/>
        </w:rPr>
        <w:t>Any vessel that the Technical Working Group identifies through the anomaly detection process as requiring enhanced monitoring or verification attention. A vessel becomes a Vessel of Interest upon issuance of a preliminary alert; the designation escalates or de-escalates based on subsequent analytical findings.</w:t>
      </w:r>
    </w:p>
    <w:p>
      <w:pPr>
        <w:pStyle w:val="Heading2"/>
      </w:pPr>
      <w:r>
        <w:rPr>
          <w:rFonts w:ascii="Cambria" w:hAnsi="Cambria"/>
          <w:b/>
          <w:color w:val="1a1a1a"/>
          <w:sz w:val="28"/>
        </w:rPr>
        <w:t>1.9 "Dark Vessel"</w:t>
      </w:r>
    </w:p>
    <w:p>
      <w:pPr>
        <w:spacing w:after="160" w:line="288" w:lineRule="auto"/>
        <w:jc w:val="both"/>
      </w:pPr>
      <w:r>
        <w:rPr>
          <w:rFonts w:ascii="Cambria" w:hAnsi="Cambria"/>
          <w:color w:val="1a1a1a"/>
          <w:sz w:val="22"/>
        </w:rPr>
        <w:t>A vessel whose AIS transponder has ceased broadcasting or whose broadcast contains falsified identifying information. Dark vessels trigger enhanced monitoring protocols under Article 3. The TWG distinguishes between legitimate AIS gaps (equipment failure, poor satellite coverage) and deliberate dark activity through corroborating intelligence sources.</w:t>
      </w:r>
    </w:p>
    <w:p>
      <w:pPr>
        <w:pStyle w:val="Heading2"/>
      </w:pPr>
      <w:r>
        <w:rPr>
          <w:rFonts w:ascii="Cambria" w:hAnsi="Cambria"/>
          <w:b/>
          <w:color w:val="1a1a1a"/>
          <w:sz w:val="28"/>
        </w:rPr>
        <w:t>1.10 "Ship-to-Ship Transfer"</w:t>
      </w:r>
    </w:p>
    <w:p>
      <w:pPr>
        <w:spacing w:after="160" w:line="288" w:lineRule="auto"/>
        <w:jc w:val="both"/>
      </w:pPr>
      <w:r>
        <w:rPr>
          <w:rFonts w:ascii="Cambria" w:hAnsi="Cambria"/>
          <w:color w:val="1a1a1a"/>
          <w:sz w:val="22"/>
        </w:rPr>
        <w:t>The transfer of cargo, fuel, or materials between vessels at sea, outside port facilities. Ship-to-Ship transfers occur for legitimate logistical reasons but also serve as a mechanism for interference with commercial transit. The monitoring system identifies unauthorized transfers through combined AIS, radar, and optical intelligence.</w:t>
      </w:r>
    </w:p>
    <w:p>
      <w:pPr>
        <w:pStyle w:val="Heading2"/>
      </w:pPr>
      <w:r>
        <w:rPr>
          <w:rFonts w:ascii="Cambria" w:hAnsi="Cambria"/>
          <w:b/>
          <w:color w:val="1a1a1a"/>
          <w:sz w:val="28"/>
        </w:rPr>
        <w:t>1.11 "Compliance Dashboard"</w:t>
      </w:r>
    </w:p>
    <w:p>
      <w:pPr>
        <w:spacing w:after="160" w:line="288" w:lineRule="auto"/>
        <w:jc w:val="both"/>
      </w:pPr>
      <w:r>
        <w:rPr>
          <w:rFonts w:ascii="Cambria" w:hAnsi="Cambria"/>
          <w:color w:val="1a1a1a"/>
          <w:sz w:val="22"/>
        </w:rPr>
        <w:t>The centralized information system that provides real-time visibility into the maritime monitoring operation. The dashboard displays: current vessel positions; active anomaly alerts; pending verification actions; Verification Package status tracking; and system health indicators. Authorized personnel from all Parties access the dashboard through secure portals.</w:t>
      </w:r>
    </w:p>
    <w:p>
      <w:pPr>
        <w:pStyle w:val="Heading2"/>
      </w:pPr>
      <w:r>
        <w:rPr>
          <w:rFonts w:ascii="Cambria" w:hAnsi="Cambria"/>
          <w:b/>
          <w:color w:val="1a1a1a"/>
          <w:sz w:val="28"/>
        </w:rPr>
        <w:t>1.12 "Anomaly"</w:t>
      </w:r>
    </w:p>
    <w:p>
      <w:pPr>
        <w:spacing w:after="160" w:line="288" w:lineRule="auto"/>
        <w:jc w:val="both"/>
      </w:pPr>
      <w:r>
        <w:rPr>
          <w:rFonts w:ascii="Cambria" w:hAnsi="Cambria"/>
          <w:color w:val="1a1a1a"/>
          <w:sz w:val="22"/>
        </w:rPr>
        <w:t>A vessel behavior pattern that deviates from established norms in ways that suggest potential interference with unobstructed passage, navigational deception, or other activities of concern. Anomalies include: AIS gap events exceeding defined thresholds; course deviations inconsistent with established transit corridors; rendezvous with other vessels in areas known for unauthorized transfers; speed patterns suggesting clandestine operations; and other behavioral indicators defined in Appendix D.</w:t>
      </w:r>
    </w:p>
    <w:p>
      <w:pPr>
        <w:pStyle w:val="Heading1"/>
      </w:pPr>
      <w:r>
        <w:rPr>
          <w:rFonts w:ascii="Cambria" w:hAnsi="Cambria"/>
          <w:b/>
          <w:color w:val="1a2744"/>
          <w:sz w:val="36"/>
        </w:rPr>
        <w:t>Article 2: Scope</w:t>
      </w:r>
      <w:bookmarkStart w:name="_TocArt2" w:id="3"/>
      <w:bookmarkEnd w:id="3"/>
    </w:p>
    <w:p>
      <w:pPr>
        <w:pStyle w:val="Heading2"/>
      </w:pPr>
      <w:r>
        <w:rPr>
          <w:rFonts w:ascii="Cambria" w:hAnsi="Cambria"/>
          <w:b/>
          <w:color w:val="1a1a1a"/>
          <w:sz w:val="28"/>
        </w:rPr>
        <w:t>2.1 Geographic Scope</w:t>
      </w:r>
    </w:p>
    <w:p>
      <w:pPr>
        <w:spacing w:after="160" w:line="288" w:lineRule="auto"/>
        <w:jc w:val="both"/>
      </w:pPr>
      <w:r>
        <w:rPr>
          <w:rFonts w:ascii="Cambria" w:hAnsi="Cambria"/>
          <w:color w:val="1a1a1a"/>
          <w:sz w:val="22"/>
        </w:rPr>
        <w:t>This Annex covers all maritime traffic transiting the Persian Gulf, the Strait of Hormuz, and the Gulf of Oman. The monitoring network extends from the Shatt al-Arab waterway in the northwest to the maritime approaches to the Gulf of Oman in the southeast. The Parties define the precise coordinates of the monitored zone in Appendix A.</w:t>
      </w:r>
    </w:p>
    <w:p>
      <w:pPr>
        <w:pStyle w:val="Heading2"/>
      </w:pPr>
      <w:r>
        <w:rPr>
          <w:rFonts w:ascii="Cambria" w:hAnsi="Cambria"/>
          <w:b/>
          <w:color w:val="1a1a1a"/>
          <w:sz w:val="28"/>
        </w:rPr>
        <w:t>2.2 Vessel Coverage</w:t>
      </w:r>
    </w:p>
    <w:p>
      <w:pPr>
        <w:spacing w:after="160" w:line="288" w:lineRule="auto"/>
        <w:jc w:val="both"/>
      </w:pPr>
      <w:r>
        <w:rPr>
          <w:rFonts w:ascii="Cambria" w:hAnsi="Cambria"/>
          <w:color w:val="1a1a1a"/>
          <w:sz w:val="22"/>
        </w:rPr>
        <w:t>The monitoring systems track all vessels over 300 gross tons equipped with Class A AIS transponders, all passenger vessels regardless of size, and all vessels identified through coastal radar or UAV patrols regardless of AIS status. The system also monitors smaller vessels of interest identified through intelligence or behavioral analysis.</w:t>
      </w:r>
    </w:p>
    <w:p>
      <w:pPr>
        <w:pStyle w:val="Heading2"/>
      </w:pPr>
      <w:r>
        <w:rPr>
          <w:rFonts w:ascii="Cambria" w:hAnsi="Cambria"/>
          <w:b/>
          <w:color w:val="1a1a1a"/>
          <w:sz w:val="28"/>
        </w:rPr>
        <w:t>2.3 Material Scope</w:t>
      </w:r>
    </w:p>
    <w:p>
      <w:pPr>
        <w:spacing w:after="160" w:line="288" w:lineRule="auto"/>
        <w:jc w:val="both"/>
      </w:pPr>
      <w:r>
        <w:rPr>
          <w:rFonts w:ascii="Cambria" w:hAnsi="Cambria"/>
          <w:color w:val="1a1a1a"/>
          <w:sz w:val="22"/>
        </w:rPr>
        <w:t>This Annex monitors commercial vessel transits through the Strait of Hormuz for the purpose of verifying unobstructed passage, as defined in Annex A. The monitoring system tracks:</w:t>
      </w:r>
    </w:p>
    <w:p>
      <w:pPr>
        <w:spacing w:after="160" w:line="288" w:lineRule="auto"/>
        <w:jc w:val="both"/>
      </w:pPr>
      <w:r>
        <w:rPr>
          <w:rFonts w:ascii="Cambria" w:hAnsi="Cambria"/>
          <w:color w:val="1a1a1a"/>
          <w:sz w:val="22"/>
        </w:rPr>
        <w:t>Transit speed (minimum average 12 knots, per Annex A, Section 3.1).</w:t>
      </w:r>
    </w:p>
    <w:p>
      <w:pPr>
        <w:spacing w:after="160" w:line="288" w:lineRule="auto"/>
        <w:jc w:val="both"/>
      </w:pPr>
      <w:r>
        <w:rPr>
          <w:rFonts w:ascii="Cambria" w:hAnsi="Cambria"/>
          <w:color w:val="1a1a1a"/>
          <w:sz w:val="22"/>
        </w:rPr>
        <w:t>Lane adherence (deviation within 0.5 nautical miles, per Annex A, Section 3.2).</w:t>
      </w:r>
    </w:p>
    <w:p>
      <w:pPr>
        <w:spacing w:after="160" w:line="288" w:lineRule="auto"/>
        <w:jc w:val="both"/>
      </w:pPr>
      <w:r>
        <w:rPr>
          <w:rFonts w:ascii="Cambria" w:hAnsi="Cambria"/>
          <w:color w:val="1a1a1a"/>
          <w:sz w:val="22"/>
        </w:rPr>
        <w:t>Interference events (zero verified interference, per Annex A, Section 3.3).</w:t>
      </w:r>
    </w:p>
    <w:p>
      <w:pPr>
        <w:spacing w:after="160" w:line="288" w:lineRule="auto"/>
        <w:jc w:val="both"/>
      </w:pPr>
      <w:r>
        <w:rPr>
          <w:rFonts w:ascii="Cambria" w:hAnsi="Cambria"/>
          <w:color w:val="1a1a1a"/>
          <w:sz w:val="22"/>
        </w:rPr>
        <w:t>AIS continuity (aggregate downtime under 15 minutes, per Annex A, Section 3.4).</w:t>
      </w:r>
    </w:p>
    <w:p>
      <w:pPr>
        <w:spacing w:after="160" w:line="288" w:lineRule="auto"/>
        <w:jc w:val="both"/>
      </w:pPr>
      <w:r>
        <w:rPr>
          <w:rFonts w:ascii="Cambria" w:hAnsi="Cambria"/>
          <w:color w:val="1a1a1a"/>
          <w:sz w:val="22"/>
        </w:rPr>
        <w:t>The system also detects anomalies that indicate obstruction, interference, or navigational deception, including dark vessel activity, course deviations, and unauthorized interactions with commercial vessels.</w:t>
      </w:r>
    </w:p>
    <w:p>
      <w:pPr>
        <w:pStyle w:val="Heading2"/>
      </w:pPr>
      <w:r>
        <w:rPr>
          <w:rFonts w:ascii="Cambria" w:hAnsi="Cambria"/>
          <w:b/>
          <w:color w:val="1a1a1a"/>
          <w:sz w:val="28"/>
        </w:rPr>
        <w:t>2.4 Relationship to Other Instruments</w:t>
      </w:r>
    </w:p>
    <w:p>
      <w:pPr>
        <w:spacing w:after="160" w:line="288" w:lineRule="auto"/>
        <w:jc w:val="both"/>
      </w:pPr>
      <w:r>
        <w:rPr>
          <w:rFonts w:ascii="Cambria" w:hAnsi="Cambria"/>
          <w:color w:val="1a1a1a"/>
          <w:sz w:val="22"/>
        </w:rPr>
        <w:t>This Annex operates as a component of the CTAF verification architecture. It complements Annex A (Transit Metrics and Assessment) by providing independent monitoring data for transit verification. It supports Annex ES (Economic Safeguards) by supplying the Verification Packages that trigger tranche activation. It informs the dispute resolution procedures in Section 7 of the CTAF by providing objective, third-party transit data.</w:t>
      </w:r>
    </w:p>
    <w:p>
      <w:pPr>
        <w:pStyle w:val="Heading1"/>
      </w:pPr>
      <w:r>
        <w:rPr>
          <w:rFonts w:ascii="Cambria" w:hAnsi="Cambria"/>
          <w:b/>
          <w:color w:val="1a2744"/>
          <w:sz w:val="36"/>
        </w:rPr>
        <w:t>Article 3: Monitoring Systems</w:t>
      </w:r>
      <w:bookmarkStart w:name="_TocArt3" w:id="4"/>
      <w:bookmarkEnd w:id="4"/>
    </w:p>
    <w:p>
      <w:pPr>
        <w:spacing w:after="160" w:line="288" w:lineRule="auto"/>
        <w:jc w:val="both"/>
      </w:pPr>
      <w:r>
        <w:rPr>
          <w:rFonts w:ascii="Cambria" w:hAnsi="Cambria"/>
          <w:color w:val="1a1a1a"/>
          <w:sz w:val="22"/>
        </w:rPr>
        <w:t>This Annex deploys a multi-layered monitoring architecture that combines satellite-based AIS reception, coastal radar integration, aerial surveillance, and data fusion to achieve comprehensive maritime domain awareness. Each layer provides independent verification of the others.</w:t>
      </w:r>
    </w:p>
    <w:p>
      <w:pPr>
        <w:pStyle w:val="Heading2"/>
      </w:pPr>
      <w:r>
        <w:rPr>
          <w:rFonts w:ascii="Cambria" w:hAnsi="Cambria"/>
          <w:b/>
          <w:color w:val="1a1a1a"/>
          <w:sz w:val="28"/>
        </w:rPr>
        <w:t>3.1 AIS Satellite Coverage</w:t>
      </w:r>
    </w:p>
    <w:p>
      <w:pPr>
        <w:spacing w:after="160" w:line="288" w:lineRule="auto"/>
        <w:jc w:val="both"/>
      </w:pPr>
      <w:r>
        <w:rPr>
          <w:rFonts w:ascii="Cambria" w:hAnsi="Cambria"/>
          <w:color w:val="1a1a1a"/>
          <w:sz w:val="22"/>
        </w:rPr>
        <w:t>The monitoring network receives AIS broadcasts through commercial satellite constellations. The current primary provider is Spire Global, Inc., whose constellation of over one hundred LEMUR satellites provides global AIS reception with a revisit rate of approximately thirty minutes for any given vessel. Spire maintains contracts with the European Maritime Safety Agency and provides data that supplements coastal reception gaps.</w:t>
      </w:r>
    </w:p>
    <w:p>
      <w:pPr>
        <w:spacing w:after="160" w:line="288" w:lineRule="auto"/>
        <w:jc w:val="both"/>
      </w:pPr>
      <w:r>
        <w:rPr>
          <w:rFonts w:ascii="Cambria" w:hAnsi="Cambria"/>
          <w:color w:val="1a1a1a"/>
          <w:sz w:val="22"/>
        </w:rPr>
        <w:t>The Technical Working Group accesses Spire AIS data through a dedicated API that delivers real-time vessel positions, historical tracks, and anomaly alerts. The TWG also maintains secondary AIS feeds from ORBCOMM and exactEarth as redundancy.</w:t>
      </w:r>
    </w:p>
    <w:p>
      <w:pPr>
        <w:spacing w:after="160" w:line="288" w:lineRule="auto"/>
        <w:jc w:val="both"/>
      </w:pPr>
      <w:r>
        <w:rPr>
          <w:rFonts w:ascii="Cambria" w:hAnsi="Cambria"/>
          <w:color w:val="1a1a1a"/>
          <w:sz w:val="22"/>
        </w:rPr>
        <w:t>The system captures both Class A and Class B AIS transmissions. Class A transponders broadcast every two to ten seconds (depending on vessel speed) and carry detailed voyage data. Class B transponders broadcast less frequently but cover the smaller craft population.</w:t>
      </w:r>
    </w:p>
    <w:p>
      <w:pPr>
        <w:pStyle w:val="Heading2"/>
      </w:pPr>
      <w:r>
        <w:rPr>
          <w:rFonts w:ascii="Cambria" w:hAnsi="Cambria"/>
          <w:b/>
          <w:color w:val="1a1a1a"/>
          <w:sz w:val="28"/>
        </w:rPr>
        <w:t>3.2 Coastal Radar Integration</w:t>
      </w:r>
    </w:p>
    <w:p>
      <w:pPr>
        <w:spacing w:after="160" w:line="288" w:lineRule="auto"/>
        <w:jc w:val="both"/>
      </w:pPr>
      <w:r>
        <w:rPr>
          <w:rFonts w:ascii="Cambria" w:hAnsi="Cambria"/>
          <w:color w:val="1a1a1a"/>
          <w:sz w:val="22"/>
        </w:rPr>
        <w:t>The Parties integrate coastal radar systems at designated monitoring stations to provide high-resolution tracking of vessels approaching territorial waters. Radar fills the coverage gaps that satellite AIS cannot address: small vessels without AIS, vessels that have disabled their transponders, and vessels engaged in close-quarters maneuvers.</w:t>
      </w:r>
    </w:p>
    <w:p>
      <w:pPr>
        <w:spacing w:after="160" w:line="288" w:lineRule="auto"/>
        <w:jc w:val="both"/>
      </w:pPr>
      <w:r>
        <w:rPr>
          <w:rFonts w:ascii="Cambria" w:hAnsi="Cambria"/>
          <w:color w:val="1a1a1a"/>
          <w:sz w:val="22"/>
        </w:rPr>
        <w:t>Coastal radar stations operate at the following locations: Bandar Abbas (Iran); Fujairah (UAE); Muscat (Oman); Dammam (Saudi Arabia); and Umm Qasr (Iraq). Each station provides coverage out to forty nautical miles under normal atmospheric conditions.</w:t>
      </w:r>
    </w:p>
    <w:p>
      <w:pPr>
        <w:spacing w:after="160" w:line="288" w:lineRule="auto"/>
        <w:jc w:val="both"/>
      </w:pPr>
      <w:r>
        <w:rPr>
          <w:rFonts w:ascii="Cambria" w:hAnsi="Cambria"/>
          <w:color w:val="1a1a1a"/>
          <w:sz w:val="22"/>
        </w:rPr>
        <w:t>The Technical Working Group receives radar tracks in real time through encrypted data links. Radar data correlates automatically with AIS feeds to identify dark vessels and validate AIS-reported positions.</w:t>
      </w:r>
    </w:p>
    <w:p>
      <w:pPr>
        <w:pStyle w:val="Heading2"/>
      </w:pPr>
      <w:r>
        <w:rPr>
          <w:rFonts w:ascii="Cambria" w:hAnsi="Cambria"/>
          <w:b/>
          <w:color w:val="1a1a1a"/>
          <w:sz w:val="28"/>
        </w:rPr>
        <w:t>3.3 UAV Patrol Routes</w:t>
      </w:r>
    </w:p>
    <w:p>
      <w:pPr>
        <w:spacing w:after="160" w:line="288" w:lineRule="auto"/>
        <w:jc w:val="both"/>
      </w:pPr>
      <w:r>
        <w:rPr>
          <w:rFonts w:ascii="Cambria" w:hAnsi="Cambria"/>
          <w:color w:val="1a1a1a"/>
          <w:sz w:val="22"/>
        </w:rPr>
        <w:t>Unmanned aerial vehicles conduct periodic patrols over high-traffic areas and known ship-to-ship transfer zones. UAVs carry electro-optical and infrared sensors that provide visual confirmation of vessel activities.</w:t>
      </w:r>
    </w:p>
    <w:p>
      <w:pPr>
        <w:spacing w:after="160" w:line="288" w:lineRule="auto"/>
        <w:jc w:val="both"/>
      </w:pPr>
      <w:r>
        <w:rPr>
          <w:rFonts w:ascii="Cambria" w:hAnsi="Cambria"/>
          <w:color w:val="1a1a1a"/>
          <w:sz w:val="22"/>
        </w:rPr>
        <w:t>UAV patrol routes cover: the Strait of Hormuz transit corridor; the designated anchorage areas off Fujairah; the waters between Abu Musa Island and the Iranian coast; and other areas designated by the Technical Working Group based on intelligence priorities.</w:t>
      </w:r>
    </w:p>
    <w:p>
      <w:pPr>
        <w:spacing w:after="160" w:line="288" w:lineRule="auto"/>
        <w:jc w:val="both"/>
      </w:pPr>
      <w:r>
        <w:rPr>
          <w:rFonts w:ascii="Cambria" w:hAnsi="Cambria"/>
          <w:color w:val="1a1a1a"/>
          <w:sz w:val="22"/>
        </w:rPr>
        <w:t>UAV patrols operate exclusively in international airspace or with the explicit authorization of the territorial state. No UAV enters sovereign airspace without prior coordination.</w:t>
      </w:r>
    </w:p>
    <w:p>
      <w:pPr>
        <w:pStyle w:val="Heading2"/>
      </w:pPr>
      <w:r>
        <w:rPr>
          <w:rFonts w:ascii="Cambria" w:hAnsi="Cambria"/>
          <w:b/>
          <w:color w:val="1a1a1a"/>
          <w:sz w:val="28"/>
        </w:rPr>
        <w:t>3.4 Dark Vessel Detection</w:t>
      </w:r>
    </w:p>
    <w:p>
      <w:pPr>
        <w:spacing w:after="160" w:line="288" w:lineRule="auto"/>
        <w:jc w:val="both"/>
      </w:pPr>
      <w:r>
        <w:rPr>
          <w:rFonts w:ascii="Cambria" w:hAnsi="Cambria"/>
          <w:color w:val="1a1a1a"/>
          <w:sz w:val="22"/>
        </w:rPr>
        <w:t>When the AIS system flags a vessel as dark, the following protocol activates:</w:t>
      </w:r>
    </w:p>
    <w:p>
      <w:pPr>
        <w:spacing w:after="160" w:line="288" w:lineRule="auto"/>
        <w:jc w:val="both"/>
      </w:pPr>
      <w:r>
        <w:rPr>
          <w:rFonts w:ascii="Cambria" w:hAnsi="Cambria"/>
          <w:color w:val="1a1a1a"/>
          <w:sz w:val="22"/>
        </w:rPr>
        <w:t>Phase One -- Correlation: The Technical Working Group checks coastal radar and other AIS feeds for positional data. If radar tracks correlate with the last known AIS position, the system continues tracking the vessel as a dark track.</w:t>
      </w:r>
    </w:p>
    <w:p>
      <w:pPr>
        <w:spacing w:after="160" w:line="288" w:lineRule="auto"/>
        <w:jc w:val="both"/>
      </w:pPr>
      <w:r>
        <w:rPr>
          <w:rFonts w:ascii="Cambria" w:hAnsi="Cambria"/>
          <w:color w:val="1a1a1a"/>
          <w:sz w:val="22"/>
        </w:rPr>
        <w:t>Phase Two -- Alert: If radar does not correlate within fifteen minutes, the TWG issues a Dark Vessel Alert to all monitoring stations and deploys the nearest UAV for visual search.</w:t>
      </w:r>
    </w:p>
    <w:p>
      <w:pPr>
        <w:spacing w:after="160" w:line="288" w:lineRule="auto"/>
        <w:jc w:val="both"/>
      </w:pPr>
      <w:r>
        <w:rPr>
          <w:rFonts w:ascii="Cambria" w:hAnsi="Cambria"/>
          <w:color w:val="1a1a1a"/>
          <w:sz w:val="22"/>
        </w:rPr>
        <w:t>Phase Three -- Classification: The TWG classifies the dark event as either equipment failure (no verification implication) or deliberate deactivation (triggers full anomaly investigation). Classification occurs within two hours of the initial dark event.</w:t>
      </w:r>
    </w:p>
    <w:p>
      <w:pPr>
        <w:pStyle w:val="Heading2"/>
      </w:pPr>
      <w:r>
        <w:rPr>
          <w:rFonts w:ascii="Cambria" w:hAnsi="Cambria"/>
          <w:b/>
          <w:color w:val="1a1a1a"/>
          <w:sz w:val="28"/>
        </w:rPr>
        <w:t>3.5 System Redundancy</w:t>
      </w:r>
    </w:p>
    <w:p>
      <w:pPr>
        <w:spacing w:after="160" w:line="288" w:lineRule="auto"/>
        <w:jc w:val="both"/>
      </w:pPr>
      <w:r>
        <w:rPr>
          <w:rFonts w:ascii="Cambria" w:hAnsi="Cambria"/>
          <w:color w:val="1a1a1a"/>
          <w:sz w:val="22"/>
        </w:rPr>
        <w:t>The monitoring architecture maintains triple redundancy for all critical functions: primary AIS feed from Spire Global with automatic failover to ORBCOMM; coastal radar backup through overlapping station coverage; and UAV rapid deployment capability from three forward operating locations.</w:t>
      </w:r>
    </w:p>
    <w:p>
      <w:pPr>
        <w:spacing w:after="160" w:line="288" w:lineRule="auto"/>
        <w:jc w:val="both"/>
      </w:pPr>
      <w:r>
        <w:rPr>
          <w:rFonts w:ascii="Cambria" w:hAnsi="Cambria"/>
          <w:color w:val="1a1a1a"/>
          <w:sz w:val="22"/>
        </w:rPr>
        <w:t>No single system failure degrades monitoring capability below the threshold required for transit verification. The Technical Working Group publishes a monthly system availability report showing uptime percentages for each monitoring layer.</w:t>
      </w:r>
    </w:p>
    <w:p>
      <w:pPr>
        <w:pStyle w:val="Heading2"/>
      </w:pPr>
      <w:r>
        <w:rPr>
          <w:rFonts w:ascii="Cambria" w:hAnsi="Cambria"/>
          <w:b/>
          <w:color w:val="1a1a1a"/>
          <w:sz w:val="28"/>
        </w:rPr>
        <w:t>3.6 Integration with CTAF Data Flow</w:t>
      </w:r>
    </w:p>
    <w:p>
      <w:pPr>
        <w:spacing w:after="160" w:line="288" w:lineRule="auto"/>
        <w:jc w:val="both"/>
      </w:pPr>
      <w:r>
        <w:rPr>
          <w:rFonts w:ascii="Cambria" w:hAnsi="Cambria"/>
          <w:color w:val="1a1a1a"/>
          <w:sz w:val="22"/>
        </w:rPr>
        <w:t>Monitoring data collected under this Annex feeds into the CTAF data-sharing chain described in the Framework. The data flow proceeds as follows:</w:t>
      </w:r>
    </w:p>
    <w:p>
      <w:pPr>
        <w:spacing w:after="160" w:line="288" w:lineRule="auto"/>
        <w:jc w:val="both"/>
      </w:pPr>
      <w:r>
        <w:rPr>
          <w:rFonts w:ascii="Cambria" w:hAnsi="Cambria"/>
          <w:color w:val="1a1a1a"/>
          <w:sz w:val="22"/>
        </w:rPr>
        <w:t>Step 1: The Persian Gulf Strait Authority (PGSA) collects transit and scheduling data.</w:t>
      </w:r>
    </w:p>
    <w:p>
      <w:pPr>
        <w:spacing w:after="160" w:line="288" w:lineRule="auto"/>
        <w:jc w:val="both"/>
      </w:pPr>
      <w:r>
        <w:rPr>
          <w:rFonts w:ascii="Cambria" w:hAnsi="Cambria"/>
          <w:color w:val="1a1a1a"/>
          <w:sz w:val="22"/>
        </w:rPr>
        <w:t>Step 2: The Joint Iran-Oman Committee on the Strait of Hormuz relays data to the Swiss relay.</w:t>
      </w:r>
    </w:p>
    <w:p>
      <w:pPr>
        <w:spacing w:after="160" w:line="288" w:lineRule="auto"/>
        <w:jc w:val="both"/>
      </w:pPr>
      <w:r>
        <w:rPr>
          <w:rFonts w:ascii="Cambria" w:hAnsi="Cambria"/>
          <w:color w:val="1a1a1a"/>
          <w:sz w:val="22"/>
        </w:rPr>
        <w:t>Step 3: The Swiss relay distributes data simultaneously to Doha and Muscat.</w:t>
      </w:r>
    </w:p>
    <w:p>
      <w:pPr>
        <w:spacing w:after="160" w:line="288" w:lineRule="auto"/>
        <w:jc w:val="both"/>
      </w:pPr>
      <w:r>
        <w:rPr>
          <w:rFonts w:ascii="Cambria" w:hAnsi="Cambria"/>
          <w:color w:val="1a1a1a"/>
          <w:sz w:val="22"/>
        </w:rPr>
        <w:t>Step 4: The Technical Working Group receives data through the Joint Secretariat.</w:t>
      </w:r>
    </w:p>
    <w:p>
      <w:pPr>
        <w:spacing w:after="160" w:line="288" w:lineRule="auto"/>
        <w:jc w:val="both"/>
      </w:pPr>
      <w:r>
        <w:rPr>
          <w:rFonts w:ascii="Cambria" w:hAnsi="Cambria"/>
          <w:color w:val="1a1a1a"/>
          <w:sz w:val="22"/>
        </w:rPr>
        <w:t>Step 5: The TWG corroborates data against monitoring sources (AIS satellite, coastal radar, UAV).</w:t>
      </w:r>
    </w:p>
    <w:p>
      <w:pPr>
        <w:spacing w:after="160" w:line="288" w:lineRule="auto"/>
        <w:jc w:val="both"/>
      </w:pPr>
      <w:r>
        <w:rPr>
          <w:rFonts w:ascii="Cambria" w:hAnsi="Cambria"/>
          <w:color w:val="1a1a1a"/>
          <w:sz w:val="22"/>
        </w:rPr>
        <w:t>Step 6: The TWG produces a Verification Package and recommends tranche activation.</w:t>
      </w:r>
    </w:p>
    <w:p>
      <w:pPr>
        <w:spacing w:after="160" w:line="288" w:lineRule="auto"/>
        <w:jc w:val="both"/>
      </w:pPr>
      <w:r>
        <w:rPr>
          <w:rFonts w:ascii="Cambria" w:hAnsi="Cambria"/>
          <w:color w:val="1a1a1a"/>
          <w:sz w:val="22"/>
        </w:rPr>
        <w:t>This data flow ensures that no single Party controls the verification chain and that all data receives independent corroboration before triggering financial mechanisms.</w:t>
      </w:r>
    </w:p>
    <w:p>
      <w:pPr>
        <w:pStyle w:val="Heading1"/>
      </w:pPr>
      <w:r>
        <w:rPr>
          <w:rFonts w:ascii="Cambria" w:hAnsi="Cambria"/>
          <w:b/>
          <w:color w:val="1a2744"/>
          <w:sz w:val="36"/>
        </w:rPr>
        <w:t>Article 4: Data Collection Standards</w:t>
      </w:r>
      <w:bookmarkStart w:name="_TocArt4" w:id="5"/>
      <w:bookmarkEnd w:id="5"/>
    </w:p>
    <w:p>
      <w:pPr>
        <w:spacing w:after="160" w:line="288" w:lineRule="auto"/>
        <w:jc w:val="both"/>
      </w:pPr>
      <w:r>
        <w:rPr>
          <w:rFonts w:ascii="Cambria" w:hAnsi="Cambria"/>
          <w:color w:val="1a1a1a"/>
          <w:sz w:val="22"/>
        </w:rPr>
        <w:t>The monitoring system collects, processes, and stores maritime data according to the standards defined in this Article. These standards ensure data quality, interoperability, and legal admissibility.</w:t>
      </w:r>
    </w:p>
    <w:p>
      <w:pPr>
        <w:pStyle w:val="Heading2"/>
      </w:pPr>
      <w:r>
        <w:rPr>
          <w:rFonts w:ascii="Cambria" w:hAnsi="Cambria"/>
          <w:b/>
          <w:color w:val="1a1a1a"/>
          <w:sz w:val="28"/>
        </w:rPr>
        <w:t>4.1 Data Fields</w:t>
      </w:r>
    </w:p>
    <w:p>
      <w:pPr>
        <w:spacing w:after="160" w:line="288" w:lineRule="auto"/>
        <w:jc w:val="both"/>
      </w:pPr>
      <w:r>
        <w:rPr>
          <w:rFonts w:ascii="Cambria" w:hAnsi="Cambria"/>
          <w:color w:val="1a1a1a"/>
          <w:sz w:val="22"/>
        </w:rPr>
        <w:t>The system records the following fields for every vessel track:</w:t>
      </w:r>
    </w:p>
    <w:p>
      <w:pPr>
        <w:spacing w:after="160" w:line="288" w:lineRule="auto"/>
        <w:jc w:val="both"/>
      </w:pPr>
      <w:r>
        <w:rPr>
          <w:rFonts w:ascii="Cambria" w:hAnsi="Cambria"/>
          <w:color w:val="1a1a1a"/>
          <w:sz w:val="22"/>
        </w:rPr>
        <w:t>Identity Data: MMSI number, vessel name, call sign, IMO number, vessel type, and flag state.</w:t>
      </w:r>
    </w:p>
    <w:p>
      <w:pPr>
        <w:spacing w:after="160" w:line="288" w:lineRule="auto"/>
        <w:jc w:val="both"/>
      </w:pPr>
      <w:r>
        <w:rPr>
          <w:rFonts w:ascii="Cambria" w:hAnsi="Cambria"/>
          <w:color w:val="1a1a1a"/>
          <w:sz w:val="22"/>
        </w:rPr>
        <w:t>Position Data: Latitude and longitude (WGS84 datum), position accuracy indicator, timestamp (UTC), and position source (AIS, radar, or fused).</w:t>
      </w:r>
    </w:p>
    <w:p>
      <w:pPr>
        <w:spacing w:after="160" w:line="288" w:lineRule="auto"/>
        <w:jc w:val="both"/>
      </w:pPr>
      <w:r>
        <w:rPr>
          <w:rFonts w:ascii="Cambria" w:hAnsi="Cambria"/>
          <w:color w:val="1a1a1a"/>
          <w:sz w:val="22"/>
        </w:rPr>
        <w:t>Movement Data: Speed over ground, course over ground, heading, rate of turn, and navigation status (underway, anchored, moored, etc.).</w:t>
      </w:r>
    </w:p>
    <w:p>
      <w:pPr>
        <w:spacing w:after="160" w:line="288" w:lineRule="auto"/>
        <w:jc w:val="both"/>
      </w:pPr>
      <w:r>
        <w:rPr>
          <w:rFonts w:ascii="Cambria" w:hAnsi="Cambria"/>
          <w:color w:val="1a1a1a"/>
          <w:sz w:val="22"/>
        </w:rPr>
        <w:t>Voyage Data: Destination port, estimated time of arrival, draught, cargo type (if reported), and voyage number.</w:t>
      </w:r>
    </w:p>
    <w:p>
      <w:pPr>
        <w:spacing w:after="160" w:line="288" w:lineRule="auto"/>
        <w:jc w:val="both"/>
      </w:pPr>
      <w:r>
        <w:rPr>
          <w:rFonts w:ascii="Cambria" w:hAnsi="Cambria"/>
          <w:color w:val="1a1a1a"/>
          <w:sz w:val="22"/>
        </w:rPr>
        <w:t>System Data: Data source identifier, reception quality metric, correlation confidence level, and anomaly flags.</w:t>
      </w:r>
    </w:p>
    <w:p>
      <w:pPr>
        <w:pStyle w:val="Heading2"/>
      </w:pPr>
      <w:r>
        <w:rPr>
          <w:rFonts w:ascii="Cambria" w:hAnsi="Cambria"/>
          <w:b/>
          <w:color w:val="1a1a1a"/>
          <w:sz w:val="28"/>
        </w:rPr>
        <w:t>4.2 Data Fields for CTAF Verification</w:t>
      </w:r>
    </w:p>
    <w:p>
      <w:pPr>
        <w:spacing w:after="160" w:line="288" w:lineRule="auto"/>
        <w:jc w:val="both"/>
      </w:pPr>
      <w:r>
        <w:rPr>
          <w:rFonts w:ascii="Cambria" w:hAnsi="Cambria"/>
          <w:color w:val="1a1a1a"/>
          <w:sz w:val="22"/>
        </w:rPr>
        <w:t>In addition to the fields defined in Section 4.1, the system records the following fields required for CTAF verification:</w:t>
      </w:r>
    </w:p>
    <w:p>
      <w:pPr>
        <w:spacing w:after="160" w:line="288" w:lineRule="auto"/>
        <w:jc w:val="both"/>
      </w:pPr>
      <w:r>
        <w:rPr>
          <w:rFonts w:ascii="Cambria" w:hAnsi="Cambria"/>
          <w:color w:val="1a1a1a"/>
          <w:sz w:val="22"/>
        </w:rPr>
        <w:t>Transit speed: Average speed over ground across the transit corridor, measured in knots. The TWG compares this against the minimum average of 12 knots defined in Annex A, Section 3.1.</w:t>
      </w:r>
    </w:p>
    <w:p>
      <w:pPr>
        <w:spacing w:after="160" w:line="288" w:lineRule="auto"/>
        <w:jc w:val="both"/>
      </w:pPr>
      <w:r>
        <w:rPr>
          <w:rFonts w:ascii="Cambria" w:hAnsi="Cambria"/>
          <w:color w:val="1a1a1a"/>
          <w:sz w:val="22"/>
        </w:rPr>
        <w:t>Lane deviation: Maximum distance from the IMO Traffic Separation Scheme centreline, measured in nautical miles. The TWG compares this against the 0.5 nautical mile threshold in Annex A, Section 3.2.</w:t>
      </w:r>
    </w:p>
    <w:p>
      <w:pPr>
        <w:spacing w:after="160" w:line="288" w:lineRule="auto"/>
        <w:jc w:val="both"/>
      </w:pPr>
      <w:r>
        <w:rPr>
          <w:rFonts w:ascii="Cambria" w:hAnsi="Cambria"/>
          <w:color w:val="1a1a1a"/>
          <w:sz w:val="22"/>
        </w:rPr>
        <w:t>Interference events: Number of verified interference incidents during the transit period. The threshold requires zero verified interference per Annex A, Section 3.3.</w:t>
      </w:r>
    </w:p>
    <w:p>
      <w:pPr>
        <w:spacing w:after="160" w:line="288" w:lineRule="auto"/>
        <w:jc w:val="both"/>
      </w:pPr>
      <w:r>
        <w:rPr>
          <w:rFonts w:ascii="Cambria" w:hAnsi="Cambria"/>
          <w:color w:val="1a1a1a"/>
          <w:sz w:val="22"/>
        </w:rPr>
        <w:t>AIS downtime: Aggregate minutes during which the vessel's AIS signal is not detected, summed across the transit period. The threshold requires aggregate downtime under 15 minutes per Annex A, Section 3.4.</w:t>
      </w:r>
    </w:p>
    <w:p>
      <w:pPr>
        <w:pStyle w:val="Heading2"/>
      </w:pPr>
      <w:r>
        <w:rPr>
          <w:rFonts w:ascii="Cambria" w:hAnsi="Cambria"/>
          <w:b/>
          <w:color w:val="1a1a1a"/>
          <w:sz w:val="28"/>
        </w:rPr>
        <w:t>4.3 Data Format Specification</w:t>
      </w:r>
    </w:p>
    <w:p>
      <w:pPr>
        <w:spacing w:after="160" w:line="288" w:lineRule="auto"/>
        <w:jc w:val="both"/>
      </w:pPr>
      <w:r>
        <w:rPr>
          <w:rFonts w:ascii="Cambria" w:hAnsi="Cambria"/>
          <w:color w:val="1a1a1a"/>
          <w:sz w:val="22"/>
        </w:rPr>
        <w:t>All data interchange between monitoring systems and the Technical Working Group uses standardized formats. The primary interchange format is JSON (JavaScript Object Notation) following the schema defined in Appendix B. Historical data archives use CSV (Comma-Separated Values) for compatibility with analytical tools. XML format remains available for legacy system integration.</w:t>
      </w:r>
    </w:p>
    <w:p>
      <w:pPr>
        <w:spacing w:after="160" w:line="288" w:lineRule="auto"/>
        <w:jc w:val="both"/>
      </w:pPr>
      <w:r>
        <w:rPr>
          <w:rFonts w:ascii="Cambria" w:hAnsi="Cambria"/>
          <w:color w:val="1a1a1a"/>
          <w:sz w:val="22"/>
        </w:rPr>
        <w:t>The data format includes standardized codes for: vessel types (per IMO classification); cargo categories (per Harmonized System codes where applicable); and country codes (ISO 3166-1 alpha-3).</w:t>
      </w:r>
    </w:p>
    <w:p>
      <w:pPr>
        <w:pStyle w:val="Heading2"/>
      </w:pPr>
      <w:r>
        <w:rPr>
          <w:rFonts w:ascii="Cambria" w:hAnsi="Cambria"/>
          <w:b/>
          <w:color w:val="1a1a1a"/>
          <w:sz w:val="28"/>
        </w:rPr>
        <w:t>4.4 Retention Period</w:t>
      </w:r>
    </w:p>
    <w:p>
      <w:pPr>
        <w:spacing w:after="160" w:line="288" w:lineRule="auto"/>
        <w:jc w:val="both"/>
      </w:pPr>
      <w:r>
        <w:rPr>
          <w:rFonts w:ascii="Cambria" w:hAnsi="Cambria"/>
          <w:color w:val="1a1a1a"/>
          <w:sz w:val="22"/>
        </w:rPr>
        <w:t>Raw AIS data: Retained for a minimum of twenty-four months.</w:t>
      </w:r>
    </w:p>
    <w:p>
      <w:pPr>
        <w:spacing w:after="160" w:line="288" w:lineRule="auto"/>
        <w:jc w:val="both"/>
      </w:pPr>
      <w:r>
        <w:rPr>
          <w:rFonts w:ascii="Cambria" w:hAnsi="Cambria"/>
          <w:color w:val="1a1a1a"/>
          <w:sz w:val="22"/>
        </w:rPr>
        <w:t>Processed track data: Retained for a minimum of sixty months.</w:t>
      </w:r>
    </w:p>
    <w:p>
      <w:pPr>
        <w:spacing w:after="160" w:line="288" w:lineRule="auto"/>
        <w:jc w:val="both"/>
      </w:pPr>
      <w:r>
        <w:rPr>
          <w:rFonts w:ascii="Cambria" w:hAnsi="Cambria"/>
          <w:color w:val="1a1a1a"/>
          <w:sz w:val="22"/>
        </w:rPr>
        <w:t>Verification Packages: Retained indefinitely as the official record.</w:t>
      </w:r>
    </w:p>
    <w:p>
      <w:pPr>
        <w:spacing w:after="160" w:line="288" w:lineRule="auto"/>
        <w:jc w:val="both"/>
      </w:pPr>
      <w:r>
        <w:rPr>
          <w:rFonts w:ascii="Cambria" w:hAnsi="Cambria"/>
          <w:color w:val="1a1a1a"/>
          <w:sz w:val="22"/>
        </w:rPr>
        <w:t>Anomaly alert logs: Retained for a minimum of thirty-six months.</w:t>
      </w:r>
    </w:p>
    <w:p>
      <w:pPr>
        <w:spacing w:after="160" w:line="288" w:lineRule="auto"/>
        <w:jc w:val="both"/>
      </w:pPr>
      <w:r>
        <w:rPr>
          <w:rFonts w:ascii="Cambria" w:hAnsi="Cambria"/>
          <w:color w:val="1a1a1a"/>
          <w:sz w:val="22"/>
        </w:rPr>
        <w:t>System audit logs: Retained for a minimum of sixty months.</w:t>
      </w:r>
    </w:p>
    <w:p>
      <w:pPr>
        <w:pStyle w:val="Heading2"/>
      </w:pPr>
      <w:r>
        <w:rPr>
          <w:rFonts w:ascii="Cambria" w:hAnsi="Cambria"/>
          <w:b/>
          <w:color w:val="1a1a1a"/>
          <w:sz w:val="28"/>
        </w:rPr>
        <w:t>4.5 Data Quality Assurance</w:t>
      </w:r>
    </w:p>
    <w:p>
      <w:pPr>
        <w:spacing w:after="160" w:line="288" w:lineRule="auto"/>
        <w:jc w:val="both"/>
      </w:pPr>
      <w:r>
        <w:rPr>
          <w:rFonts w:ascii="Cambria" w:hAnsi="Cambria"/>
          <w:color w:val="1a1a1a"/>
          <w:sz w:val="22"/>
        </w:rPr>
        <w:t>The Technical Working Group implements continuous data quality monitoring. The quality assurance process includes: automated validation of incoming data against known reference points; cross-correlation between independent data sources; manual review of anomaly-flagged records; and monthly data accuracy reports showing the percentage of validated tracks versus flagged tracks.</w:t>
      </w:r>
    </w:p>
    <w:p>
      <w:pPr>
        <w:spacing w:after="160" w:line="288" w:lineRule="auto"/>
        <w:jc w:val="both"/>
      </w:pPr>
      <w:r>
        <w:rPr>
          <w:rFonts w:ascii="Cambria" w:hAnsi="Cambria"/>
          <w:color w:val="1a1a1a"/>
          <w:sz w:val="22"/>
        </w:rPr>
        <w:t>Data falling below quality thresholds triggers an automatic alert to the monitoring station responsible for that data source. Persistent quality issues result in suspension of the affected data feed pending technical remediation.</w:t>
      </w:r>
    </w:p>
    <w:p>
      <w:pPr>
        <w:pStyle w:val="Heading1"/>
      </w:pPr>
      <w:r>
        <w:rPr>
          <w:rFonts w:ascii="Cambria" w:hAnsi="Cambria"/>
          <w:b/>
          <w:color w:val="1a2744"/>
          <w:sz w:val="36"/>
        </w:rPr>
        <w:t>Article 5: Technical Working Group Operations</w:t>
      </w:r>
      <w:bookmarkStart w:name="_TocArt5" w:id="6"/>
      <w:bookmarkEnd w:id="6"/>
    </w:p>
    <w:p>
      <w:pPr>
        <w:pStyle w:val="Heading2"/>
      </w:pPr>
      <w:r>
        <w:rPr>
          <w:rFonts w:ascii="Cambria" w:hAnsi="Cambria"/>
          <w:b/>
          <w:color w:val="1a1a1a"/>
          <w:sz w:val="28"/>
        </w:rPr>
        <w:t>5.1 TWG Composition and Authority</w:t>
      </w:r>
    </w:p>
    <w:p>
      <w:pPr>
        <w:spacing w:after="160" w:line="288" w:lineRule="auto"/>
        <w:jc w:val="both"/>
      </w:pPr>
      <w:r>
        <w:rPr>
          <w:rFonts w:ascii="Cambria" w:hAnsi="Cambria"/>
          <w:color w:val="1a1a1a"/>
          <w:sz w:val="22"/>
        </w:rPr>
        <w:t>The Technical Working Group comprises technical delegates from each Party, as defined in Section 1.6 of the CTAF. The TWG operates through the Joint Secretariat in Muscat, per Section 2.5 of the CTAF.</w:t>
      </w:r>
    </w:p>
    <w:p>
      <w:pPr>
        <w:spacing w:after="160" w:line="288" w:lineRule="auto"/>
        <w:jc w:val="both"/>
      </w:pPr>
      <w:r>
        <w:rPr>
          <w:rFonts w:ascii="Cambria" w:hAnsi="Cambria"/>
          <w:color w:val="1a1a1a"/>
          <w:sz w:val="22"/>
        </w:rPr>
        <w:t>The TWG maintains twenty-four-hour operational capability. During normal conditions, the center operates with a minimum of four analysts on duty. During elevated alert conditions, staffing increases to eight analysts with supervisory oversight.</w:t>
      </w:r>
    </w:p>
    <w:p>
      <w:pPr>
        <w:pStyle w:val="Heading2"/>
      </w:pPr>
      <w:r>
        <w:rPr>
          <w:rFonts w:ascii="Cambria" w:hAnsi="Cambria"/>
          <w:b/>
          <w:color w:val="1a1a1a"/>
          <w:sz w:val="28"/>
        </w:rPr>
        <w:t>5.2 TWG Analytical Functions</w:t>
      </w:r>
    </w:p>
    <w:p>
      <w:pPr>
        <w:spacing w:after="160" w:line="288" w:lineRule="auto"/>
        <w:jc w:val="both"/>
      </w:pPr>
      <w:r>
        <w:rPr>
          <w:rFonts w:ascii="Cambria" w:hAnsi="Cambria"/>
          <w:color w:val="1a1a1a"/>
          <w:sz w:val="22"/>
        </w:rPr>
        <w:t>The TWG performs the following analytical functions using the monitoring systems described in Article 3:</w:t>
      </w:r>
    </w:p>
    <w:p>
      <w:pPr>
        <w:spacing w:after="160" w:line="288" w:lineRule="auto"/>
        <w:jc w:val="both"/>
      </w:pPr>
      <w:r>
        <w:rPr>
          <w:rFonts w:ascii="Cambria" w:hAnsi="Cambria"/>
          <w:color w:val="1a1a1a"/>
          <w:sz w:val="22"/>
        </w:rPr>
        <w:t>Reviews transit data received through the Swiss relay and Joint Secretariat.</w:t>
      </w:r>
    </w:p>
    <w:p>
      <w:pPr>
        <w:spacing w:after="160" w:line="288" w:lineRule="auto"/>
        <w:jc w:val="both"/>
      </w:pPr>
      <w:r>
        <w:rPr>
          <w:rFonts w:ascii="Cambria" w:hAnsi="Cambria"/>
          <w:color w:val="1a1a1a"/>
          <w:sz w:val="22"/>
        </w:rPr>
        <w:t>Corroborates data against independent monitoring sources (satellite AIS, coastal radar, UAV).</w:t>
      </w:r>
    </w:p>
    <w:p>
      <w:pPr>
        <w:spacing w:after="160" w:line="288" w:lineRule="auto"/>
        <w:jc w:val="both"/>
      </w:pPr>
      <w:r>
        <w:rPr>
          <w:rFonts w:ascii="Cambria" w:hAnsi="Cambria"/>
          <w:color w:val="1a1a1a"/>
          <w:sz w:val="22"/>
        </w:rPr>
        <w:t>Applies the metrics defined in Annex A to determine unobstructed passage.</w:t>
      </w:r>
    </w:p>
    <w:p>
      <w:pPr>
        <w:spacing w:after="160" w:line="288" w:lineRule="auto"/>
        <w:jc w:val="both"/>
      </w:pPr>
      <w:r>
        <w:rPr>
          <w:rFonts w:ascii="Cambria" w:hAnsi="Cambria"/>
          <w:color w:val="1a1a1a"/>
          <w:sz w:val="22"/>
        </w:rPr>
        <w:t>Identifies anomalies that indicate interference or obstruction.</w:t>
      </w:r>
    </w:p>
    <w:p>
      <w:pPr>
        <w:spacing w:after="160" w:line="288" w:lineRule="auto"/>
        <w:jc w:val="both"/>
      </w:pPr>
      <w:r>
        <w:rPr>
          <w:rFonts w:ascii="Cambria" w:hAnsi="Cambria"/>
          <w:color w:val="1a1a1a"/>
          <w:sz w:val="22"/>
        </w:rPr>
        <w:t>Produces Verification Packages for tranche activation.</w:t>
      </w:r>
    </w:p>
    <w:p>
      <w:pPr>
        <w:pStyle w:val="Heading2"/>
      </w:pPr>
      <w:r>
        <w:rPr>
          <w:rFonts w:ascii="Cambria" w:hAnsi="Cambria"/>
          <w:b/>
          <w:color w:val="1a1a1a"/>
          <w:sz w:val="28"/>
        </w:rPr>
        <w:t>5.3 Analytical Tools</w:t>
      </w:r>
    </w:p>
    <w:p>
      <w:pPr>
        <w:spacing w:after="160" w:line="288" w:lineRule="auto"/>
        <w:jc w:val="both"/>
      </w:pPr>
      <w:r>
        <w:rPr>
          <w:rFonts w:ascii="Cambria" w:hAnsi="Cambria"/>
          <w:color w:val="1a1a1a"/>
          <w:sz w:val="22"/>
        </w:rPr>
        <w:t>The TWG employs the following categories of analytical tools:</w:t>
      </w:r>
    </w:p>
    <w:p>
      <w:pPr>
        <w:spacing w:after="160" w:line="288" w:lineRule="auto"/>
        <w:jc w:val="both"/>
      </w:pPr>
      <w:r>
        <w:rPr>
          <w:rFonts w:ascii="Cambria" w:hAnsi="Cambria"/>
          <w:color w:val="1a1a1a"/>
          <w:sz w:val="22"/>
        </w:rPr>
        <w:t>Behavioral Analytics: Pattern recognition algorithms that identify anomalous vessel behavior based on speed, course, anchorage duration, and proximity to other vessels.</w:t>
      </w:r>
    </w:p>
    <w:p>
      <w:pPr>
        <w:spacing w:after="160" w:line="288" w:lineRule="auto"/>
        <w:jc w:val="both"/>
      </w:pPr>
      <w:r>
        <w:rPr>
          <w:rFonts w:ascii="Cambria" w:hAnsi="Cambria"/>
          <w:color w:val="1a1a1a"/>
          <w:sz w:val="22"/>
        </w:rPr>
        <w:t>Predictive Analytics: Models that forecast vessel movements based on historical track data, declared destinations, and known routing patterns.</w:t>
      </w:r>
    </w:p>
    <w:p>
      <w:pPr>
        <w:spacing w:after="160" w:line="288" w:lineRule="auto"/>
        <w:jc w:val="both"/>
      </w:pPr>
      <w:r>
        <w:rPr>
          <w:rFonts w:ascii="Cambria" w:hAnsi="Cambria"/>
          <w:color w:val="1a1a1a"/>
          <w:sz w:val="22"/>
        </w:rPr>
        <w:t>Network Analytics: Tools that map relationships between vessels, companies, and ports to identify interference networks.</w:t>
      </w:r>
    </w:p>
    <w:p>
      <w:pPr>
        <w:spacing w:after="160" w:line="288" w:lineRule="auto"/>
        <w:jc w:val="both"/>
      </w:pPr>
      <w:r>
        <w:rPr>
          <w:rFonts w:ascii="Cambria" w:hAnsi="Cambria"/>
          <w:color w:val="1a1a1a"/>
          <w:sz w:val="22"/>
        </w:rPr>
        <w:t>Geospatial Analytics: Visualization tools that overlay vessel tracks with geographic features, restricted zones, and known transfer areas.</w:t>
      </w:r>
    </w:p>
    <w:p>
      <w:pPr>
        <w:pStyle w:val="Heading2"/>
      </w:pPr>
      <w:r>
        <w:rPr>
          <w:rFonts w:ascii="Cambria" w:hAnsi="Cambria"/>
          <w:b/>
          <w:color w:val="1a1a1a"/>
          <w:sz w:val="28"/>
        </w:rPr>
        <w:t>5.4 Analyst Qualifications</w:t>
      </w:r>
    </w:p>
    <w:p>
      <w:pPr>
        <w:spacing w:after="160" w:line="288" w:lineRule="auto"/>
        <w:jc w:val="both"/>
      </w:pPr>
      <w:r>
        <w:rPr>
          <w:rFonts w:ascii="Cambria" w:hAnsi="Cambria"/>
          <w:color w:val="1a1a1a"/>
          <w:sz w:val="22"/>
        </w:rPr>
        <w:t>TWG analysts possess expertise in maritime operations, intelligence analysis, and the specific regulatory frameworks applicable to the monitored region. Each analyst completes a certification program covering: AIS data interpretation; radar track analysis; transit corridor requirements; and Verification Package writing standards.</w:t>
      </w:r>
    </w:p>
    <w:p>
      <w:pPr>
        <w:pStyle w:val="Heading2"/>
      </w:pPr>
      <w:r>
        <w:rPr>
          <w:rFonts w:ascii="Cambria" w:hAnsi="Cambria"/>
          <w:b/>
          <w:color w:val="1a1a1a"/>
          <w:sz w:val="28"/>
        </w:rPr>
        <w:t>5.5 TWG Decision-Making</w:t>
      </w:r>
    </w:p>
    <w:p>
      <w:pPr>
        <w:spacing w:after="160" w:line="288" w:lineRule="auto"/>
        <w:jc w:val="both"/>
      </w:pPr>
      <w:r>
        <w:rPr>
          <w:rFonts w:ascii="Cambria" w:hAnsi="Cambria"/>
          <w:color w:val="1a1a1a"/>
          <w:sz w:val="22"/>
        </w:rPr>
        <w:t>The TWG operates on the basis of consensus, per Section 5.4 of the CTAF. Where consensus is not achieved on a technical matter, the Co-Chairs certify the matter for referral through the dispute resolution procedures in Section 7 of the CTAF.</w:t>
      </w:r>
    </w:p>
    <w:p>
      <w:pPr>
        <w:pStyle w:val="Heading2"/>
      </w:pPr>
      <w:r>
        <w:rPr>
          <w:rFonts w:ascii="Cambria" w:hAnsi="Cambria"/>
          <w:b/>
          <w:color w:val="1a1a1a"/>
          <w:sz w:val="28"/>
        </w:rPr>
        <w:t>5.6 TWG Reporting</w:t>
      </w:r>
    </w:p>
    <w:p>
      <w:pPr>
        <w:spacing w:after="160" w:line="288" w:lineRule="auto"/>
        <w:jc w:val="both"/>
      </w:pPr>
      <w:r>
        <w:rPr>
          <w:rFonts w:ascii="Cambria" w:hAnsi="Cambria"/>
          <w:color w:val="1a1a1a"/>
          <w:sz w:val="22"/>
        </w:rPr>
        <w:t>The TWG reports to the Co-Chairs through the Joint Secretariat. Verification Packages route through the Joint Secretariat to the Qatari Central Bank for eligibility determination under Annex ES.</w:t>
      </w:r>
    </w:p>
    <w:p>
      <w:pPr>
        <w:spacing w:after="160" w:line="288" w:lineRule="auto"/>
        <w:jc w:val="both"/>
      </w:pPr>
      <w:r>
        <w:rPr>
          <w:rFonts w:ascii="Cambria" w:hAnsi="Cambria"/>
          <w:color w:val="1a1a1a"/>
          <w:sz w:val="22"/>
        </w:rPr>
        <w:t>Every Verification Package undergoes peer review before dissemination. A second analyst independently validates the findings, checks the supporting evidence, and confirms the recommended activation determination. Supervisors review all packages before external release.</w:t>
      </w:r>
    </w:p>
    <w:p>
      <w:pPr>
        <w:pStyle w:val="Heading1"/>
      </w:pPr>
      <w:r>
        <w:rPr>
          <w:rFonts w:ascii="Cambria" w:hAnsi="Cambria"/>
          <w:b/>
          <w:color w:val="1a2744"/>
          <w:sz w:val="36"/>
        </w:rPr>
        <w:t>Article 6: Identification and Verification</w:t>
      </w:r>
      <w:bookmarkStart w:name="_TocArt6" w:id="7"/>
      <w:bookmarkEnd w:id="7"/>
    </w:p>
    <w:p>
      <w:pPr>
        <w:pStyle w:val="Heading2"/>
      </w:pPr>
      <w:r>
        <w:rPr>
          <w:rFonts w:ascii="Cambria" w:hAnsi="Cambria"/>
          <w:b/>
          <w:color w:val="1a1a1a"/>
          <w:sz w:val="28"/>
        </w:rPr>
        <w:t>6.1 Vessel Identification Process</w:t>
      </w:r>
    </w:p>
    <w:p>
      <w:pPr>
        <w:spacing w:after="160" w:line="288" w:lineRule="auto"/>
        <w:jc w:val="both"/>
      </w:pPr>
      <w:r>
        <w:rPr>
          <w:rFonts w:ascii="Cambria" w:hAnsi="Cambria"/>
          <w:color w:val="1a1a1a"/>
          <w:sz w:val="22"/>
        </w:rPr>
        <w:t>The monitoring system identifies vessels through a multi-source correlation process:</w:t>
      </w:r>
    </w:p>
    <w:p>
      <w:pPr>
        <w:spacing w:after="160" w:line="288" w:lineRule="auto"/>
        <w:jc w:val="both"/>
      </w:pPr>
      <w:r>
        <w:rPr>
          <w:rFonts w:ascii="Cambria" w:hAnsi="Cambria"/>
          <w:color w:val="1a1a1a"/>
          <w:sz w:val="22"/>
        </w:rPr>
        <w:t>Primary Identification: AIS broadcasts provide the primary identification source. The system records MMSI, vessel name, IMO number, and call sign from each transmission.</w:t>
      </w:r>
    </w:p>
    <w:p>
      <w:pPr>
        <w:spacing w:after="160" w:line="288" w:lineRule="auto"/>
        <w:jc w:val="both"/>
      </w:pPr>
      <w:r>
        <w:rPr>
          <w:rFonts w:ascii="Cambria" w:hAnsi="Cambria"/>
          <w:color w:val="1a1a1a"/>
          <w:sz w:val="22"/>
        </w:rPr>
        <w:t>Secondary Verification: Radar cross-section analysis confirms the vessel type and approximate size reported in AIS. Discrepancies between AIS-declared characteristics and radar-observed characteristics trigger an automatic alert.</w:t>
      </w:r>
    </w:p>
    <w:p>
      <w:pPr>
        <w:spacing w:after="160" w:line="288" w:lineRule="auto"/>
        <w:jc w:val="both"/>
      </w:pPr>
      <w:r>
        <w:rPr>
          <w:rFonts w:ascii="Cambria" w:hAnsi="Cambria"/>
          <w:color w:val="1a1a1a"/>
          <w:sz w:val="22"/>
        </w:rPr>
        <w:t>Tertiary Confirmation: Where available, electro-optical imagery from UAV patrols or satellite providers provides visual confirmation of vessel identity.</w:t>
      </w:r>
    </w:p>
    <w:p>
      <w:pPr>
        <w:spacing w:after="160" w:line="288" w:lineRule="auto"/>
        <w:jc w:val="both"/>
      </w:pPr>
      <w:r>
        <w:rPr>
          <w:rFonts w:ascii="Cambria" w:hAnsi="Cambria"/>
          <w:color w:val="1a1a1a"/>
          <w:sz w:val="22"/>
        </w:rPr>
        <w:t>Identity Resolution: The TWG maintains a master vessel registry that correlates all identification sources. When sources disagree, the TWG initiates an identity resolution process that flags the vessel for enhanced monitoring and notifies the flag state.</w:t>
      </w:r>
    </w:p>
    <w:p>
      <w:pPr>
        <w:pStyle w:val="Heading2"/>
      </w:pPr>
      <w:r>
        <w:rPr>
          <w:rFonts w:ascii="Cambria" w:hAnsi="Cambria"/>
          <w:b/>
          <w:color w:val="1a1a1a"/>
          <w:sz w:val="28"/>
        </w:rPr>
        <w:t>6.2 Ship-to-Ship Transfer Detection</w:t>
      </w:r>
    </w:p>
    <w:p>
      <w:pPr>
        <w:spacing w:after="160" w:line="288" w:lineRule="auto"/>
        <w:jc w:val="both"/>
      </w:pPr>
      <w:r>
        <w:rPr>
          <w:rFonts w:ascii="Cambria" w:hAnsi="Cambria"/>
          <w:color w:val="1a1a1a"/>
          <w:sz w:val="22"/>
        </w:rPr>
        <w:t>The monitoring system identifies ship-to-ship transfers through the following indicators:</w:t>
      </w:r>
    </w:p>
    <w:p>
      <w:pPr>
        <w:spacing w:after="160" w:line="288" w:lineRule="auto"/>
        <w:jc w:val="both"/>
      </w:pPr>
      <w:r>
        <w:rPr>
          <w:rFonts w:ascii="Cambria" w:hAnsi="Cambria"/>
          <w:color w:val="1a1a1a"/>
          <w:sz w:val="22"/>
        </w:rPr>
        <w:t>Proximity Alert: Two vessels passing within five hundred meters of each other in open water triggers a proximity alert. Analysts review the encounter to determine whether a transfer occurred.</w:t>
      </w:r>
    </w:p>
    <w:p>
      <w:pPr>
        <w:spacing w:after="160" w:line="288" w:lineRule="auto"/>
        <w:jc w:val="both"/>
      </w:pPr>
      <w:r>
        <w:rPr>
          <w:rFonts w:ascii="Cambria" w:hAnsi="Cambria"/>
          <w:color w:val="1a1a1a"/>
          <w:sz w:val="22"/>
        </w:rPr>
        <w:t>Speed Correlation: Vessels engaging in transfer operations typically reduce speed to under three knots. Coordinated speed reductions between proximal vessels indicate probable transfer activity.</w:t>
      </w:r>
    </w:p>
    <w:p>
      <w:pPr>
        <w:spacing w:after="160" w:line="288" w:lineRule="auto"/>
        <w:jc w:val="both"/>
      </w:pPr>
      <w:r>
        <w:rPr>
          <w:rFonts w:ascii="Cambria" w:hAnsi="Cambria"/>
          <w:color w:val="1a1a1a"/>
          <w:sz w:val="22"/>
        </w:rPr>
        <w:t>Duration Analysis: Encounters lasting more than thirty minutes at low speed in transfer-prone areas receive elevated scrutiny.</w:t>
      </w:r>
    </w:p>
    <w:p>
      <w:pPr>
        <w:spacing w:after="160" w:line="288" w:lineRule="auto"/>
        <w:jc w:val="both"/>
      </w:pPr>
      <w:r>
        <w:rPr>
          <w:rFonts w:ascii="Cambria" w:hAnsi="Cambria"/>
          <w:color w:val="1a1a1a"/>
          <w:sz w:val="22"/>
        </w:rPr>
        <w:t>Location Assessment: Encounters occurring in known transfer zones (defined in Appendix A) receive automatic priority classification.</w:t>
      </w:r>
    </w:p>
    <w:p>
      <w:pPr>
        <w:spacing w:after="160" w:line="288" w:lineRule="auto"/>
        <w:jc w:val="both"/>
      </w:pPr>
      <w:r>
        <w:rPr>
          <w:rFonts w:ascii="Cambria" w:hAnsi="Cambria"/>
          <w:color w:val="1a1a1a"/>
          <w:sz w:val="22"/>
        </w:rPr>
        <w:t>Combined Analysis: The system weights all indicators to produce a transfer probability score. Scores exceeding the defined threshold trigger a preliminary alert for analyst review.</w:t>
      </w:r>
    </w:p>
    <w:p>
      <w:pPr>
        <w:pStyle w:val="Heading2"/>
      </w:pPr>
      <w:r>
        <w:rPr>
          <w:rFonts w:ascii="Cambria" w:hAnsi="Cambria"/>
          <w:b/>
          <w:color w:val="1a1a1a"/>
          <w:sz w:val="28"/>
        </w:rPr>
        <w:t>6.3 False Positive Management</w:t>
      </w:r>
    </w:p>
    <w:p>
      <w:pPr>
        <w:spacing w:after="160" w:line="288" w:lineRule="auto"/>
        <w:jc w:val="both"/>
      </w:pPr>
      <w:r>
        <w:rPr>
          <w:rFonts w:ascii="Cambria" w:hAnsi="Cambria"/>
          <w:color w:val="1a1a1a"/>
          <w:sz w:val="22"/>
        </w:rPr>
        <w:t>The TWG tracks and reports false positive rates for all detection categories. A false positive occurs when the system flags legitimate activity as anomalous.</w:t>
      </w:r>
    </w:p>
    <w:p>
      <w:pPr>
        <w:spacing w:after="160" w:line="288" w:lineRule="auto"/>
        <w:jc w:val="both"/>
      </w:pPr>
      <w:r>
        <w:rPr>
          <w:rFonts w:ascii="Cambria" w:hAnsi="Cambria"/>
          <w:color w:val="1a1a1a"/>
          <w:sz w:val="22"/>
        </w:rPr>
        <w:t>Current performance targets: ship-to-ship transfer detection maintains a false positive rate below fifteen percent; dark vessel alerts maintain a false positive rate below twenty percent; and course anomaly alerts maintain a false positive rate below twenty-five percent.</w:t>
      </w:r>
    </w:p>
    <w:p>
      <w:pPr>
        <w:spacing w:after="160" w:line="288" w:lineRule="auto"/>
        <w:jc w:val="both"/>
      </w:pPr>
      <w:r>
        <w:rPr>
          <w:rFonts w:ascii="Cambria" w:hAnsi="Cambria"/>
          <w:color w:val="1a1a1a"/>
          <w:sz w:val="22"/>
        </w:rPr>
        <w:t>When false positive rates exceed these targets, the TWG adjusts algorithm parameters and retrains detection models. The TWG publishes monthly false positive statistics to all Parties.</w:t>
      </w:r>
    </w:p>
    <w:p>
      <w:pPr>
        <w:pStyle w:val="Heading1"/>
      </w:pPr>
      <w:r>
        <w:rPr>
          <w:rFonts w:ascii="Cambria" w:hAnsi="Cambria"/>
          <w:b/>
          <w:color w:val="1a2744"/>
          <w:sz w:val="36"/>
        </w:rPr>
        <w:t>Article 7: Verification and Activation</w:t>
      </w:r>
      <w:bookmarkStart w:name="_TocArt7" w:id="8"/>
      <w:bookmarkEnd w:id="8"/>
    </w:p>
    <w:p>
      <w:pPr>
        <w:pStyle w:val="Heading2"/>
      </w:pPr>
      <w:r>
        <w:rPr>
          <w:rFonts w:ascii="Cambria" w:hAnsi="Cambria"/>
          <w:b/>
          <w:color w:val="1a1a1a"/>
          <w:sz w:val="28"/>
        </w:rPr>
        <w:t>7.1 Verification Standard</w:t>
      </w:r>
    </w:p>
    <w:p>
      <w:pPr>
        <w:spacing w:after="160" w:line="288" w:lineRule="auto"/>
        <w:jc w:val="both"/>
      </w:pPr>
      <w:r>
        <w:rPr>
          <w:rFonts w:ascii="Cambria" w:hAnsi="Cambria"/>
          <w:color w:val="1a1a1a"/>
          <w:sz w:val="22"/>
        </w:rPr>
        <w:t>The TWG considers a metric "verified" when data from at least two independent monitoring sources is consistent, per Annex A, Section 4.2. The monitoring sources available under this Annex include satellite AIS, coastal radar, and UAV patrols.</w:t>
      </w:r>
    </w:p>
    <w:p>
      <w:pPr>
        <w:spacing w:after="160" w:line="288" w:lineRule="auto"/>
        <w:jc w:val="both"/>
      </w:pPr>
      <w:r>
        <w:rPr>
          <w:rFonts w:ascii="Cambria" w:hAnsi="Cambria"/>
          <w:color w:val="1a1a1a"/>
          <w:sz w:val="22"/>
        </w:rPr>
        <w:t>A single-source finding receives "provisional" status pending corroboration. The TWG does not recommend activation based solely on provisional findings.</w:t>
      </w:r>
    </w:p>
    <w:p>
      <w:pPr>
        <w:pStyle w:val="Heading2"/>
      </w:pPr>
      <w:r>
        <w:rPr>
          <w:rFonts w:ascii="Cambria" w:hAnsi="Cambria"/>
          <w:b/>
          <w:color w:val="1a1a1a"/>
          <w:sz w:val="28"/>
        </w:rPr>
        <w:t>7.2 Verification Package Content</w:t>
      </w:r>
    </w:p>
    <w:p>
      <w:pPr>
        <w:spacing w:after="160" w:line="288" w:lineRule="auto"/>
        <w:jc w:val="both"/>
      </w:pPr>
      <w:r>
        <w:rPr>
          <w:rFonts w:ascii="Cambria" w:hAnsi="Cambria"/>
          <w:color w:val="1a1a1a"/>
          <w:sz w:val="22"/>
        </w:rPr>
        <w:t>The Verification Package contains:</w:t>
      </w:r>
    </w:p>
    <w:p>
      <w:pPr>
        <w:spacing w:after="160" w:line="288" w:lineRule="auto"/>
        <w:jc w:val="both"/>
      </w:pPr>
      <w:r>
        <w:rPr>
          <w:rFonts w:ascii="Cambria" w:hAnsi="Cambria"/>
          <w:color w:val="1a1a1a"/>
          <w:sz w:val="22"/>
        </w:rPr>
        <w:t>Original transit data from the Joint Iran-Oman Committee on the Strait of Hormuz.</w:t>
      </w:r>
    </w:p>
    <w:p>
      <w:pPr>
        <w:spacing w:after="160" w:line="288" w:lineRule="auto"/>
        <w:jc w:val="both"/>
      </w:pPr>
      <w:r>
        <w:rPr>
          <w:rFonts w:ascii="Cambria" w:hAnsi="Cambria"/>
          <w:color w:val="1a1a1a"/>
          <w:sz w:val="22"/>
        </w:rPr>
        <w:t>Corroborating data from independent monitoring sources.</w:t>
      </w:r>
    </w:p>
    <w:p>
      <w:pPr>
        <w:spacing w:after="160" w:line="288" w:lineRule="auto"/>
        <w:jc w:val="both"/>
      </w:pPr>
      <w:r>
        <w:rPr>
          <w:rFonts w:ascii="Cambria" w:hAnsi="Cambria"/>
          <w:color w:val="1a1a1a"/>
          <w:sz w:val="22"/>
        </w:rPr>
        <w:t>A summary of any discrepancies and their resolution.</w:t>
      </w:r>
    </w:p>
    <w:p>
      <w:pPr>
        <w:spacing w:after="160" w:line="288" w:lineRule="auto"/>
        <w:jc w:val="both"/>
      </w:pPr>
      <w:r>
        <w:rPr>
          <w:rFonts w:ascii="Cambria" w:hAnsi="Cambria"/>
          <w:color w:val="1a1a1a"/>
          <w:sz w:val="22"/>
        </w:rPr>
        <w:t>A determination of whether the transit period meets the thresholds in Annex A, Section 5.</w:t>
      </w:r>
    </w:p>
    <w:p>
      <w:pPr>
        <w:spacing w:after="160" w:line="288" w:lineRule="auto"/>
        <w:jc w:val="both"/>
      </w:pPr>
      <w:r>
        <w:rPr>
          <w:rFonts w:ascii="Cambria" w:hAnsi="Cambria"/>
          <w:color w:val="1a1a1a"/>
          <w:sz w:val="22"/>
        </w:rPr>
        <w:t>A recommendation for tranche activation or non-activation.</w:t>
      </w:r>
    </w:p>
    <w:p>
      <w:pPr>
        <w:pStyle w:val="Heading2"/>
      </w:pPr>
      <w:r>
        <w:rPr>
          <w:rFonts w:ascii="Cambria" w:hAnsi="Cambria"/>
          <w:b/>
          <w:color w:val="1a1a1a"/>
          <w:sz w:val="28"/>
        </w:rPr>
        <w:t>7.3 Activation Recommendation</w:t>
      </w:r>
    </w:p>
    <w:p>
      <w:pPr>
        <w:spacing w:after="160" w:line="288" w:lineRule="auto"/>
        <w:jc w:val="both"/>
      </w:pPr>
      <w:r>
        <w:rPr>
          <w:rFonts w:ascii="Cambria" w:hAnsi="Cambria"/>
          <w:color w:val="1a1a1a"/>
          <w:sz w:val="22"/>
        </w:rPr>
        <w:t>Where the TWG verifies successful 48-hour periods meeting the thresholds in Annex A, Section 5, the TWG recommends activation to the Co-Chairs through the Joint Secretariat.</w:t>
      </w:r>
    </w:p>
    <w:p>
      <w:pPr>
        <w:spacing w:after="160" w:line="288" w:lineRule="auto"/>
        <w:jc w:val="both"/>
      </w:pPr>
      <w:r>
        <w:rPr>
          <w:rFonts w:ascii="Cambria" w:hAnsi="Cambria"/>
          <w:color w:val="1a1a1a"/>
          <w:sz w:val="22"/>
        </w:rPr>
        <w:t>The recommendation includes: the specific time period covered; the metrics achieved for each threshold; the monitoring sources that provided corroboration; and any qualifications or reservations.</w:t>
      </w:r>
    </w:p>
    <w:p>
      <w:pPr>
        <w:pStyle w:val="Heading2"/>
      </w:pPr>
      <w:r>
        <w:rPr>
          <w:rFonts w:ascii="Cambria" w:hAnsi="Cambria"/>
          <w:b/>
          <w:color w:val="1a1a1a"/>
          <w:sz w:val="28"/>
        </w:rPr>
        <w:t>7.4 Transmission to Qatari Central Bank</w:t>
      </w:r>
    </w:p>
    <w:p>
      <w:pPr>
        <w:spacing w:after="160" w:line="288" w:lineRule="auto"/>
        <w:jc w:val="both"/>
      </w:pPr>
      <w:r>
        <w:rPr>
          <w:rFonts w:ascii="Cambria" w:hAnsi="Cambria"/>
          <w:color w:val="1a1a1a"/>
          <w:sz w:val="22"/>
        </w:rPr>
        <w:t>The Verification Package routes through the Joint Secretariat to the Qatari Central Bank for eligibility determination under Annex ES. The Joint Secretariat maintains a transmission log showing: package reference number; date and time of transmission; recipient confirmation; and any delivery exceptions.</w:t>
      </w:r>
    </w:p>
    <w:p>
      <w:pPr>
        <w:spacing w:after="160" w:line="288" w:lineRule="auto"/>
        <w:jc w:val="both"/>
      </w:pPr>
      <w:r>
        <w:rPr>
          <w:rFonts w:ascii="Cambria" w:hAnsi="Cambria"/>
          <w:color w:val="1a1a1a"/>
          <w:sz w:val="22"/>
        </w:rPr>
        <w:t>The Qatari Central Bank acknowledges receipt within twenty-four hours. Non-acknowledgment triggers an automatic escalation to the Co-Chairs.</w:t>
      </w:r>
    </w:p>
    <w:p>
      <w:pPr>
        <w:pStyle w:val="Heading2"/>
      </w:pPr>
      <w:r>
        <w:rPr>
          <w:rFonts w:ascii="Cambria" w:hAnsi="Cambria"/>
          <w:b/>
          <w:color w:val="1a1a1a"/>
          <w:sz w:val="28"/>
        </w:rPr>
        <w:t>7.5 Non-Activation Determination</w:t>
      </w:r>
    </w:p>
    <w:p>
      <w:pPr>
        <w:spacing w:after="160" w:line="288" w:lineRule="auto"/>
        <w:jc w:val="both"/>
      </w:pPr>
      <w:r>
        <w:rPr>
          <w:rFonts w:ascii="Cambria" w:hAnsi="Cambria"/>
          <w:color w:val="1a1a1a"/>
          <w:sz w:val="22"/>
        </w:rPr>
        <w:t>Where the TWG determines that a transit period does not meet the thresholds in Annex A, Section 5, the TWG documents the specific failures and routes the non-activation determination through the same channels as an activation recommendation.</w:t>
      </w:r>
    </w:p>
    <w:p>
      <w:pPr>
        <w:spacing w:after="160" w:line="288" w:lineRule="auto"/>
        <w:jc w:val="both"/>
      </w:pPr>
      <w:r>
        <w:rPr>
          <w:rFonts w:ascii="Cambria" w:hAnsi="Cambria"/>
          <w:color w:val="1a1a1a"/>
          <w:sz w:val="22"/>
        </w:rPr>
        <w:t>Non-activation determinations include: the specific thresholds that the transit period failed to meet; the supporting evidence for each failure; any mitigating factors; and recommendations for addressing the failure.</w:t>
      </w:r>
    </w:p>
    <w:p>
      <w:pPr>
        <w:pStyle w:val="Heading1"/>
      </w:pPr>
      <w:r>
        <w:rPr>
          <w:rFonts w:ascii="Cambria" w:hAnsi="Cambria"/>
          <w:b/>
          <w:color w:val="1a2744"/>
          <w:sz w:val="36"/>
        </w:rPr>
        <w:t>Article 8: Response Protocols</w:t>
      </w:r>
      <w:bookmarkStart w:name="_TocArt8" w:id="9"/>
      <w:bookmarkEnd w:id="9"/>
    </w:p>
    <w:p>
      <w:pPr>
        <w:pStyle w:val="Heading2"/>
      </w:pPr>
      <w:r>
        <w:rPr>
          <w:rFonts w:ascii="Cambria" w:hAnsi="Cambria"/>
          <w:b/>
          <w:color w:val="1a1a1a"/>
          <w:sz w:val="28"/>
        </w:rPr>
        <w:t>8.1 Incident Classification</w:t>
      </w:r>
    </w:p>
    <w:p>
      <w:pPr>
        <w:spacing w:after="160" w:line="288" w:lineRule="auto"/>
        <w:jc w:val="both"/>
      </w:pPr>
      <w:r>
        <w:rPr>
          <w:rFonts w:ascii="Cambria" w:hAnsi="Cambria"/>
          <w:color w:val="1a1a1a"/>
          <w:sz w:val="22"/>
        </w:rPr>
        <w:t>The Technical Working Group classifies all maritime incidents into three tiers:</w:t>
      </w:r>
    </w:p>
    <w:p>
      <w:pPr>
        <w:spacing w:after="160" w:line="288" w:lineRule="auto"/>
        <w:jc w:val="both"/>
      </w:pPr>
      <w:r>
        <w:rPr>
          <w:rFonts w:ascii="Cambria" w:hAnsi="Cambria"/>
          <w:color w:val="1a1a1a"/>
          <w:sz w:val="22"/>
        </w:rPr>
        <w:t>Tier 1 -- Informational: Anomalies that warrant monitoring but present no immediate transit concern. Tier 1 incidents receive automated tracking with analyst review at scheduled intervals.</w:t>
      </w:r>
    </w:p>
    <w:p>
      <w:pPr>
        <w:spacing w:after="160" w:line="288" w:lineRule="auto"/>
        <w:jc w:val="both"/>
      </w:pPr>
      <w:r>
        <w:rPr>
          <w:rFonts w:ascii="Cambria" w:hAnsi="Cambria"/>
          <w:color w:val="1a1a1a"/>
          <w:sz w:val="22"/>
        </w:rPr>
        <w:t>Tier 2 -- Suspicious: Anomalies that present a credible transit concern but lack conclusive evidence of interference. Tier 2 incidents trigger enhanced monitoring, analyst assignment, and preparation of a preliminary report.</w:t>
      </w:r>
    </w:p>
    <w:p>
      <w:pPr>
        <w:spacing w:after="160" w:line="288" w:lineRule="auto"/>
        <w:jc w:val="both"/>
      </w:pPr>
      <w:r>
        <w:rPr>
          <w:rFonts w:ascii="Cambria" w:hAnsi="Cambria"/>
          <w:color w:val="1a1a1a"/>
          <w:sz w:val="22"/>
        </w:rPr>
        <w:t>Tier 3 -- Confirmed Interference: Anomalies that present conclusive evidence of interference with unobstructed passage, unauthorized transfer, or other transit violation. Tier 3 incidents trigger immediate Verification Package production, flag state notification, and escalation to the Joint Secretariat.</w:t>
      </w:r>
    </w:p>
    <w:p>
      <w:pPr>
        <w:pStyle w:val="Heading2"/>
      </w:pPr>
      <w:r>
        <w:rPr>
          <w:rFonts w:ascii="Cambria" w:hAnsi="Cambria"/>
          <w:b/>
          <w:color w:val="1a1a1a"/>
          <w:sz w:val="28"/>
        </w:rPr>
        <w:t>8.2 Response Timeline</w:t>
      </w:r>
    </w:p>
    <w:p>
      <w:pPr>
        <w:spacing w:after="160" w:line="288" w:lineRule="auto"/>
        <w:jc w:val="both"/>
      </w:pPr>
      <w:r>
        <w:rPr>
          <w:rFonts w:ascii="Cambria" w:hAnsi="Cambria"/>
          <w:color w:val="1a1a1a"/>
          <w:sz w:val="22"/>
        </w:rPr>
        <w:t>The TWG adheres to the following response timeline for all incidents:</w:t>
      </w:r>
    </w:p>
    <w:p>
      <w:pPr>
        <w:spacing w:after="160" w:line="288" w:lineRule="auto"/>
        <w:jc w:val="both"/>
      </w:pPr>
      <w:r>
        <w:rPr>
          <w:rFonts w:ascii="Cambria" w:hAnsi="Cambria"/>
          <w:color w:val="1a1a1a"/>
          <w:sz w:val="22"/>
        </w:rPr>
        <w:t>Initial Detection: Automated systems detect anomalies in real time. The system logs the detection timestamp and assigns a unique incident identifier.</w:t>
      </w:r>
    </w:p>
    <w:p>
      <w:pPr>
        <w:spacing w:after="160" w:line="288" w:lineRule="auto"/>
        <w:jc w:val="both"/>
      </w:pPr>
      <w:r>
        <w:rPr>
          <w:rFonts w:ascii="Cambria" w:hAnsi="Cambria"/>
          <w:color w:val="1a1a1a"/>
          <w:sz w:val="22"/>
        </w:rPr>
        <w:t>Analyst Assignment: Within thirty minutes of detection, the TWG assigns an analyst to review the incident. The analyst has access to all relevant data sources and historical records.</w:t>
      </w:r>
    </w:p>
    <w:p>
      <w:pPr>
        <w:spacing w:after="160" w:line="288" w:lineRule="auto"/>
        <w:jc w:val="both"/>
      </w:pPr>
      <w:r>
        <w:rPr>
          <w:rFonts w:ascii="Cambria" w:hAnsi="Cambria"/>
          <w:color w:val="1a1a1a"/>
          <w:sz w:val="22"/>
        </w:rPr>
        <w:t>Preliminary Assessment: Within four hours of detection, the analyst completes a preliminary assessment and assigns a Tier classification.</w:t>
      </w:r>
    </w:p>
    <w:p>
      <w:pPr>
        <w:spacing w:after="160" w:line="288" w:lineRule="auto"/>
        <w:jc w:val="both"/>
      </w:pPr>
      <w:r>
        <w:rPr>
          <w:rFonts w:ascii="Cambria" w:hAnsi="Cambria"/>
          <w:color w:val="1a1a1a"/>
          <w:sz w:val="22"/>
        </w:rPr>
        <w:t>Verification (Tier 2 and 3): Within twenty-four hours, the analyst completes the verification process, obtains peer review, and prepares the Verification Package (for Tier 3) or the enhanced monitoring report (for Tier 2).</w:t>
      </w:r>
    </w:p>
    <w:p>
      <w:pPr>
        <w:spacing w:after="160" w:line="288" w:lineRule="auto"/>
        <w:jc w:val="both"/>
      </w:pPr>
      <w:r>
        <w:rPr>
          <w:rFonts w:ascii="Cambria" w:hAnsi="Cambria"/>
          <w:color w:val="1a1a1a"/>
          <w:sz w:val="22"/>
        </w:rPr>
        <w:t>Dissemination: Within forty-eight hours of initial detection, the TWG disseminates all findings to the appropriate recipients as defined in Article 7.4.</w:t>
      </w:r>
    </w:p>
    <w:p>
      <w:pPr>
        <w:pStyle w:val="Heading2"/>
      </w:pPr>
      <w:r>
        <w:rPr>
          <w:rFonts w:ascii="Cambria" w:hAnsi="Cambria"/>
          <w:b/>
          <w:color w:val="1a1a1a"/>
          <w:sz w:val="28"/>
        </w:rPr>
        <w:t>8.3 De-escalation Procedures</w:t>
      </w:r>
    </w:p>
    <w:p>
      <w:pPr>
        <w:spacing w:after="160" w:line="288" w:lineRule="auto"/>
        <w:jc w:val="both"/>
      </w:pPr>
      <w:r>
        <w:rPr>
          <w:rFonts w:ascii="Cambria" w:hAnsi="Cambria"/>
          <w:color w:val="1a1a1a"/>
          <w:sz w:val="22"/>
        </w:rPr>
        <w:t>Where subsequent analysis resolves an anomaly in favor of the vessel, the TWG initiates de-escalation:</w:t>
      </w:r>
    </w:p>
    <w:p>
      <w:pPr>
        <w:spacing w:after="160" w:line="288" w:lineRule="auto"/>
        <w:jc w:val="both"/>
      </w:pPr>
      <w:r>
        <w:rPr>
          <w:rFonts w:ascii="Cambria" w:hAnsi="Cambria"/>
          <w:color w:val="1a1a1a"/>
          <w:sz w:val="22"/>
        </w:rPr>
        <w:t>The TWG removes the vessel from the enhanced monitoring list.</w:t>
      </w:r>
    </w:p>
    <w:p>
      <w:pPr>
        <w:spacing w:after="160" w:line="288" w:lineRule="auto"/>
        <w:jc w:val="both"/>
      </w:pPr>
      <w:r>
        <w:rPr>
          <w:rFonts w:ascii="Cambria" w:hAnsi="Cambria"/>
          <w:color w:val="1a1a1a"/>
          <w:sz w:val="22"/>
        </w:rPr>
        <w:t>The TWG updates the incident record to reflect the resolution.</w:t>
      </w:r>
    </w:p>
    <w:p>
      <w:pPr>
        <w:spacing w:after="160" w:line="288" w:lineRule="auto"/>
        <w:jc w:val="both"/>
      </w:pPr>
      <w:r>
        <w:rPr>
          <w:rFonts w:ascii="Cambria" w:hAnsi="Cambria"/>
          <w:color w:val="1a1a1a"/>
          <w:sz w:val="22"/>
        </w:rPr>
        <w:t>The TWG notifies the flag state that the incident has closed.</w:t>
      </w:r>
    </w:p>
    <w:p>
      <w:pPr>
        <w:spacing w:after="160" w:line="288" w:lineRule="auto"/>
        <w:jc w:val="both"/>
      </w:pPr>
      <w:r>
        <w:rPr>
          <w:rFonts w:ascii="Cambria" w:hAnsi="Cambria"/>
          <w:color w:val="1a1a1a"/>
          <w:sz w:val="22"/>
        </w:rPr>
        <w:t>The TWG records the false positive for statistical reporting.</w:t>
      </w:r>
    </w:p>
    <w:p>
      <w:pPr>
        <w:spacing w:after="160" w:line="288" w:lineRule="auto"/>
        <w:jc w:val="both"/>
      </w:pPr>
      <w:r>
        <w:rPr>
          <w:rFonts w:ascii="Cambria" w:hAnsi="Cambria"/>
          <w:color w:val="1a1a1a"/>
          <w:sz w:val="22"/>
        </w:rPr>
        <w:t>The vessel's historical record retains the incident annotation for pattern analysis but carries no verification implication.</w:t>
      </w:r>
    </w:p>
    <w:p>
      <w:pPr>
        <w:pStyle w:val="Heading1"/>
      </w:pPr>
      <w:r>
        <w:rPr>
          <w:rFonts w:ascii="Cambria" w:hAnsi="Cambria"/>
          <w:b/>
          <w:color w:val="1a2744"/>
          <w:sz w:val="36"/>
        </w:rPr>
        <w:t>Article 9: Information Sharing</w:t>
      </w:r>
      <w:bookmarkStart w:name="_TocArt9" w:id="10"/>
      <w:bookmarkEnd w:id="10"/>
    </w:p>
    <w:p>
      <w:pPr>
        <w:pStyle w:val="Heading2"/>
      </w:pPr>
      <w:r>
        <w:rPr>
          <w:rFonts w:ascii="Cambria" w:hAnsi="Cambria"/>
          <w:b/>
          <w:color w:val="1a1a1a"/>
          <w:sz w:val="28"/>
        </w:rPr>
        <w:t>9.1 Sharing Principles</w:t>
      </w:r>
    </w:p>
    <w:p>
      <w:pPr>
        <w:spacing w:after="160" w:line="288" w:lineRule="auto"/>
        <w:jc w:val="both"/>
      </w:pPr>
      <w:r>
        <w:rPr>
          <w:rFonts w:ascii="Cambria" w:hAnsi="Cambria"/>
          <w:color w:val="1a1a1a"/>
          <w:sz w:val="22"/>
        </w:rPr>
        <w:t>Information sharing under this Annex proceeds according to the following principles:</w:t>
      </w:r>
    </w:p>
    <w:p>
      <w:pPr>
        <w:spacing w:after="160" w:line="288" w:lineRule="auto"/>
        <w:jc w:val="both"/>
      </w:pPr>
      <w:r>
        <w:rPr>
          <w:rFonts w:ascii="Cambria" w:hAnsi="Cambria"/>
          <w:color w:val="1a1a1a"/>
          <w:sz w:val="22"/>
        </w:rPr>
        <w:t>Timeliness: The TWG shares verified intelligence within the timelines defined in Article 8. Preliminary alerts flow to authorized recipients in real time.</w:t>
      </w:r>
    </w:p>
    <w:p>
      <w:pPr>
        <w:spacing w:after="160" w:line="288" w:lineRule="auto"/>
        <w:jc w:val="both"/>
      </w:pPr>
      <w:r>
        <w:rPr>
          <w:rFonts w:ascii="Cambria" w:hAnsi="Cambria"/>
          <w:color w:val="1a1a1a"/>
          <w:sz w:val="22"/>
        </w:rPr>
        <w:t>Accuracy: The TWG shares only verified, corroborated information. Raw data remains internal to the TWG until analysts complete the verification process.</w:t>
      </w:r>
    </w:p>
    <w:p>
      <w:pPr>
        <w:spacing w:after="160" w:line="288" w:lineRule="auto"/>
        <w:jc w:val="both"/>
      </w:pPr>
      <w:r>
        <w:rPr>
          <w:rFonts w:ascii="Cambria" w:hAnsi="Cambria"/>
          <w:color w:val="1a1a1a"/>
          <w:sz w:val="22"/>
        </w:rPr>
        <w:t>Reciprocity: All Parties contribute data to the monitoring system and receive intelligence outputs. No Party participates as a passive consumer.</w:t>
      </w:r>
    </w:p>
    <w:p>
      <w:pPr>
        <w:spacing w:after="160" w:line="288" w:lineRule="auto"/>
        <w:jc w:val="both"/>
      </w:pPr>
      <w:r>
        <w:rPr>
          <w:rFonts w:ascii="Cambria" w:hAnsi="Cambria"/>
          <w:color w:val="1a1a1a"/>
          <w:sz w:val="22"/>
        </w:rPr>
        <w:t>Security: The TWG distributes intelligence only through approved secure channels to authorized recipients. The TWG maintains access logs showing who received what information and when.</w:t>
      </w:r>
    </w:p>
    <w:p>
      <w:pPr>
        <w:pStyle w:val="Heading2"/>
      </w:pPr>
      <w:r>
        <w:rPr>
          <w:rFonts w:ascii="Cambria" w:hAnsi="Cambria"/>
          <w:b/>
          <w:color w:val="1a1a1a"/>
          <w:sz w:val="28"/>
        </w:rPr>
        <w:t>9.2 Sharing Categories</w:t>
      </w:r>
    </w:p>
    <w:p>
      <w:pPr>
        <w:spacing w:after="160" w:line="288" w:lineRule="auto"/>
        <w:jc w:val="both"/>
      </w:pPr>
      <w:r>
        <w:rPr>
          <w:rFonts w:ascii="Cambria" w:hAnsi="Cambria"/>
          <w:color w:val="1a1a1a"/>
          <w:sz w:val="22"/>
        </w:rPr>
        <w:t>The TWG categorizes intelligence products into two tiers:</w:t>
      </w:r>
    </w:p>
    <w:p>
      <w:pPr>
        <w:spacing w:after="160" w:line="288" w:lineRule="auto"/>
        <w:jc w:val="both"/>
      </w:pPr>
      <w:r>
        <w:rPr>
          <w:rFonts w:ascii="Cambria" w:hAnsi="Cambria"/>
          <w:color w:val="1a1a1a"/>
          <w:sz w:val="22"/>
        </w:rPr>
        <w:t>Tier A -- All Parties: General maritime situational awareness reports, transit summaries, and system health reports. All Parties receive Tier A products through the Joint Secretariat.</w:t>
      </w:r>
    </w:p>
    <w:p>
      <w:pPr>
        <w:spacing w:after="160" w:line="288" w:lineRule="auto"/>
        <w:jc w:val="both"/>
      </w:pPr>
      <w:r>
        <w:rPr>
          <w:rFonts w:ascii="Cambria" w:hAnsi="Cambria"/>
          <w:color w:val="1a1a1a"/>
          <w:sz w:val="22"/>
        </w:rPr>
        <w:t>Tier B -- Relevant Recipients: Verification Packages, anomaly alerts, and activation recommendations distributed to the Co-Chairs, Joint Secretariat, and Qatari Central Bank as required under Annex ES.</w:t>
      </w:r>
    </w:p>
    <w:p>
      <w:pPr>
        <w:pStyle w:val="Heading2"/>
      </w:pPr>
      <w:r>
        <w:rPr>
          <w:rFonts w:ascii="Cambria" w:hAnsi="Cambria"/>
          <w:b/>
          <w:color w:val="1a1a1a"/>
          <w:sz w:val="28"/>
        </w:rPr>
        <w:t>9.3 Confidentiality</w:t>
      </w:r>
    </w:p>
    <w:p>
      <w:pPr>
        <w:spacing w:after="160" w:line="288" w:lineRule="auto"/>
        <w:jc w:val="both"/>
      </w:pPr>
      <w:r>
        <w:rPr>
          <w:rFonts w:ascii="Cambria" w:hAnsi="Cambria"/>
          <w:color w:val="1a1a1a"/>
          <w:sz w:val="22"/>
        </w:rPr>
        <w:t>All technical discussions, draft matrices, and working papers generated under this Annex remain confidential unless jointly released by both Parties, per Section 1.2 of the CTAF.</w:t>
      </w:r>
    </w:p>
    <w:p>
      <w:pPr>
        <w:pStyle w:val="Heading2"/>
      </w:pPr>
      <w:r>
        <w:rPr>
          <w:rFonts w:ascii="Cambria" w:hAnsi="Cambria"/>
          <w:b/>
          <w:color w:val="1a1a1a"/>
          <w:sz w:val="28"/>
        </w:rPr>
        <w:t>9.4 Information Sharing Agreements</w:t>
      </w:r>
    </w:p>
    <w:p>
      <w:pPr>
        <w:spacing w:after="160" w:line="288" w:lineRule="auto"/>
        <w:jc w:val="both"/>
      </w:pPr>
      <w:r>
        <w:rPr>
          <w:rFonts w:ascii="Cambria" w:hAnsi="Cambria"/>
          <w:color w:val="1a1a1a"/>
          <w:sz w:val="22"/>
        </w:rPr>
        <w:t>The TWG coordinates with non-Party maritime monitoring organizations where such coordination supports the CTAF's verification objectives. These organizations include the International Maritime Organization (IMO), regional maritime information fusion centers with coverage in the Gulf and Gulf of Oman, and the European Maritime Safety Agency (EMSA) for AIS data sharing. Coordination enables data exchange while protecting sensitive sources and methods.</w:t>
      </w:r>
    </w:p>
    <w:p>
      <w:pPr>
        <w:pStyle w:val="Heading2"/>
      </w:pPr>
      <w:r>
        <w:rPr>
          <w:rFonts w:ascii="Cambria" w:hAnsi="Cambria"/>
          <w:b/>
          <w:color w:val="1a1a1a"/>
          <w:sz w:val="28"/>
        </w:rPr>
        <w:t>9.5 Public Reporting</w:t>
      </w:r>
    </w:p>
    <w:p>
      <w:pPr>
        <w:spacing w:after="160" w:line="288" w:lineRule="auto"/>
        <w:jc w:val="both"/>
      </w:pPr>
      <w:r>
        <w:rPr>
          <w:rFonts w:ascii="Cambria" w:hAnsi="Cambria"/>
          <w:color w:val="1a1a1a"/>
          <w:sz w:val="22"/>
        </w:rPr>
        <w:t>The TWG publishes an unclassified quarterly Maritime Activity Report summarizing: total vessel traffic statistics; aggregate anomaly detection rates; verification summary (without vessel-specific detail); and system performance metrics.</w:t>
      </w:r>
    </w:p>
    <w:p>
      <w:pPr>
        <w:spacing w:after="160" w:line="288" w:lineRule="auto"/>
        <w:jc w:val="both"/>
      </w:pPr>
      <w:r>
        <w:rPr>
          <w:rFonts w:ascii="Cambria" w:hAnsi="Cambria"/>
          <w:color w:val="1a1a1a"/>
          <w:sz w:val="22"/>
        </w:rPr>
        <w:t>The Public Report demonstrates transparency without compromising operational security or revealing sensitive intelligence.</w:t>
      </w:r>
    </w:p>
    <w:p>
      <w:pPr>
        <w:pStyle w:val="Heading1"/>
      </w:pPr>
      <w:r>
        <w:rPr>
          <w:rFonts w:ascii="Cambria" w:hAnsi="Cambria"/>
          <w:b/>
          <w:color w:val="1a2744"/>
          <w:sz w:val="36"/>
        </w:rPr>
        <w:t>Article 10: Secure Communications</w:t>
      </w:r>
      <w:bookmarkStart w:name="_TocArt10" w:id="11"/>
      <w:bookmarkEnd w:id="11"/>
    </w:p>
    <w:p>
      <w:pPr>
        <w:spacing w:after="160" w:line="288" w:lineRule="auto"/>
        <w:jc w:val="both"/>
      </w:pPr>
      <w:r>
        <w:rPr>
          <w:rFonts w:ascii="Cambria" w:hAnsi="Cambria"/>
          <w:color w:val="1a1a1a"/>
          <w:sz w:val="22"/>
        </w:rPr>
        <w:t>All communications between monitoring stations, the Technical Working Group, and Party authorities use encryption and secure protocols as specified in this Article.</w:t>
      </w:r>
    </w:p>
    <w:p>
      <w:pPr>
        <w:pStyle w:val="Heading2"/>
      </w:pPr>
      <w:r>
        <w:rPr>
          <w:rFonts w:ascii="Cambria" w:hAnsi="Cambria"/>
          <w:b/>
          <w:color w:val="1a1a1a"/>
          <w:sz w:val="28"/>
        </w:rPr>
        <w:t>10.1 Encryption Standards</w:t>
      </w:r>
    </w:p>
    <w:p>
      <w:pPr>
        <w:spacing w:after="160" w:line="288" w:lineRule="auto"/>
        <w:jc w:val="both"/>
      </w:pPr>
      <w:r>
        <w:rPr>
          <w:rFonts w:ascii="Cambria" w:hAnsi="Cambria"/>
          <w:color w:val="1a1a1a"/>
          <w:sz w:val="22"/>
        </w:rPr>
        <w:t>All data transmissions use AES-256 encryption in GCM (Galois/Counter Mode) for authenticated encryption. AES-256-GCM provides confidentiality and integrity verification for all transmitted data. Key exchange uses ECDH P-384 (Elliptic Curve Diffie-Hellman with a 384-bit curve) for forward secrecy.</w:t>
      </w:r>
    </w:p>
    <w:p>
      <w:pPr>
        <w:spacing w:after="160" w:line="288" w:lineRule="auto"/>
        <w:jc w:val="both"/>
      </w:pPr>
      <w:r>
        <w:rPr>
          <w:rFonts w:ascii="Cambria" w:hAnsi="Cambria"/>
          <w:color w:val="1a1a1a"/>
          <w:sz w:val="22"/>
        </w:rPr>
        <w:t>The TWG rotates encryption keys every twenty-four hours. Key rotation occurs automatically through the key management infrastructure. Compromised keys trigger immediate revocation and rekeying across all connected systems.</w:t>
      </w:r>
    </w:p>
    <w:p>
      <w:pPr>
        <w:pStyle w:val="Heading2"/>
      </w:pPr>
      <w:r>
        <w:rPr>
          <w:rFonts w:ascii="Cambria" w:hAnsi="Cambria"/>
          <w:b/>
          <w:color w:val="1a1a1a"/>
          <w:sz w:val="28"/>
        </w:rPr>
        <w:t>10.2 Communication Protocols</w:t>
      </w:r>
    </w:p>
    <w:p>
      <w:pPr>
        <w:spacing w:after="160" w:line="288" w:lineRule="auto"/>
        <w:jc w:val="both"/>
      </w:pPr>
      <w:r>
        <w:rPr>
          <w:rFonts w:ascii="Cambria" w:hAnsi="Cambria"/>
          <w:color w:val="1a1a1a"/>
          <w:sz w:val="22"/>
        </w:rPr>
        <w:t>Inter-system communications use the following protocols:</w:t>
      </w:r>
    </w:p>
    <w:p>
      <w:pPr>
        <w:spacing w:after="160" w:line="288" w:lineRule="auto"/>
        <w:jc w:val="both"/>
      </w:pPr>
      <w:r>
        <w:rPr>
          <w:rFonts w:ascii="Cambria" w:hAnsi="Cambria"/>
          <w:color w:val="1a1a1a"/>
          <w:sz w:val="22"/>
        </w:rPr>
        <w:t>Primary Channel: TLS 1.3 over dedicated fiber-optic links between the TWG and major monitoring stations.</w:t>
      </w:r>
    </w:p>
    <w:p>
      <w:pPr>
        <w:spacing w:after="160" w:line="288" w:lineRule="auto"/>
        <w:jc w:val="both"/>
      </w:pPr>
      <w:r>
        <w:rPr>
          <w:rFonts w:ascii="Cambria" w:hAnsi="Cambria"/>
          <w:color w:val="1a1a1a"/>
          <w:sz w:val="22"/>
        </w:rPr>
        <w:t>Secondary Channel: VPN tunnels over commercial internet with AES-256 encryption for stations without dedicated fiber.</w:t>
      </w:r>
    </w:p>
    <w:p>
      <w:pPr>
        <w:spacing w:after="160" w:line="288" w:lineRule="auto"/>
        <w:jc w:val="both"/>
      </w:pPr>
      <w:r>
        <w:rPr>
          <w:rFonts w:ascii="Cambria" w:hAnsi="Cambria"/>
          <w:color w:val="1a1a1a"/>
          <w:sz w:val="22"/>
        </w:rPr>
        <w:t>Emergency Channel: Satellite communications (Iridium or Inmarsat) for failover when terrestrial links are unavailable.</w:t>
      </w:r>
    </w:p>
    <w:p>
      <w:pPr>
        <w:spacing w:after="160" w:line="288" w:lineRule="auto"/>
        <w:jc w:val="both"/>
      </w:pPr>
      <w:r>
        <w:rPr>
          <w:rFonts w:ascii="Cambria" w:hAnsi="Cambria"/>
          <w:color w:val="1a1a1a"/>
          <w:sz w:val="22"/>
        </w:rPr>
        <w:t>Mobile Channels: Encrypted radio links for UAV operations and mobile monitoring teams.</w:t>
      </w:r>
    </w:p>
    <w:p>
      <w:pPr>
        <w:pStyle w:val="Heading2"/>
      </w:pPr>
      <w:r>
        <w:rPr>
          <w:rFonts w:ascii="Cambria" w:hAnsi="Cambria"/>
          <w:b/>
          <w:color w:val="1a1a1a"/>
          <w:sz w:val="28"/>
        </w:rPr>
        <w:t>10.3 Authentication</w:t>
      </w:r>
    </w:p>
    <w:p>
      <w:pPr>
        <w:spacing w:after="160" w:line="288" w:lineRule="auto"/>
        <w:jc w:val="both"/>
      </w:pPr>
      <w:r>
        <w:rPr>
          <w:rFonts w:ascii="Cambria" w:hAnsi="Cambria"/>
          <w:color w:val="1a1a1a"/>
          <w:sz w:val="22"/>
        </w:rPr>
        <w:t>All system access requires multi-factor authentication combining: something the user knows (password or passphrase meeting complexity requirements); something the user has (hardware token or smart card); and something the user is (biometric verification for TWG facility access).</w:t>
      </w:r>
    </w:p>
    <w:p>
      <w:pPr>
        <w:spacing w:after="160" w:line="288" w:lineRule="auto"/>
        <w:jc w:val="both"/>
      </w:pPr>
      <w:r>
        <w:rPr>
          <w:rFonts w:ascii="Cambria" w:hAnsi="Cambria"/>
          <w:color w:val="1a1a1a"/>
          <w:sz w:val="22"/>
        </w:rPr>
        <w:t>The TWG maintains a centralized authentication server that validates credentials against the authorized personnel registry. Access logs record every authentication event, including successful and failed attempts.</w:t>
      </w:r>
    </w:p>
    <w:p>
      <w:pPr>
        <w:pStyle w:val="Heading2"/>
      </w:pPr>
      <w:r>
        <w:rPr>
          <w:rFonts w:ascii="Cambria" w:hAnsi="Cambria"/>
          <w:b/>
          <w:color w:val="1a1a1a"/>
          <w:sz w:val="28"/>
        </w:rPr>
        <w:t>10.4 Communications Security Procedures</w:t>
      </w:r>
    </w:p>
    <w:p>
      <w:pPr>
        <w:spacing w:after="160" w:line="288" w:lineRule="auto"/>
        <w:jc w:val="both"/>
      </w:pPr>
      <w:r>
        <w:rPr>
          <w:rFonts w:ascii="Cambria" w:hAnsi="Cambria"/>
          <w:color w:val="1a1a1a"/>
          <w:sz w:val="22"/>
        </w:rPr>
        <w:t>The TWG implements the following communications security procedures:</w:t>
      </w:r>
    </w:p>
    <w:p>
      <w:pPr>
        <w:spacing w:after="160" w:line="288" w:lineRule="auto"/>
        <w:jc w:val="both"/>
      </w:pPr>
      <w:r>
        <w:rPr>
          <w:rFonts w:ascii="Cambria" w:hAnsi="Cambria"/>
          <w:color w:val="1a1a1a"/>
          <w:sz w:val="22"/>
        </w:rPr>
        <w:t>All communications between the TWG and Parties use the secure channels defined in this Article. No classified or sensitive information travels over unencrypted channels.</w:t>
      </w:r>
    </w:p>
    <w:p>
      <w:pPr>
        <w:spacing w:after="160" w:line="288" w:lineRule="auto"/>
        <w:jc w:val="both"/>
      </w:pPr>
      <w:r>
        <w:rPr>
          <w:rFonts w:ascii="Cambria" w:hAnsi="Cambria"/>
          <w:color w:val="1a1a1a"/>
          <w:sz w:val="22"/>
        </w:rPr>
        <w:t>The TWG conducts quarterly communications security audits testing encryption effectiveness, key management integrity, and protocol compliance.</w:t>
      </w:r>
    </w:p>
    <w:p>
      <w:pPr>
        <w:spacing w:after="160" w:line="288" w:lineRule="auto"/>
        <w:jc w:val="both"/>
      </w:pPr>
      <w:r>
        <w:rPr>
          <w:rFonts w:ascii="Cambria" w:hAnsi="Cambria"/>
          <w:color w:val="1a1a1a"/>
          <w:sz w:val="22"/>
        </w:rPr>
        <w:t>All TWG personnel complete annual communications security training covering encryption principles, secure communications practices, and incident reporting procedures.</w:t>
      </w:r>
    </w:p>
    <w:p>
      <w:pPr>
        <w:spacing w:after="160" w:line="288" w:lineRule="auto"/>
        <w:jc w:val="both"/>
      </w:pPr>
      <w:r>
        <w:rPr>
          <w:rFonts w:ascii="Cambria" w:hAnsi="Cambria"/>
          <w:color w:val="1a1a1a"/>
          <w:sz w:val="22"/>
        </w:rPr>
        <w:t>Any suspected communications security compromise triggers immediate protocol activation: suspension of affected channels, activation of backup channels, forensic investigation, and notification to all Parties.</w:t>
      </w:r>
    </w:p>
    <w:p>
      <w:pPr>
        <w:pStyle w:val="Heading2"/>
      </w:pPr>
      <w:r>
        <w:rPr>
          <w:rFonts w:ascii="Cambria" w:hAnsi="Cambria"/>
          <w:b/>
          <w:color w:val="1a1a1a"/>
          <w:sz w:val="28"/>
        </w:rPr>
        <w:t>10.5 Integration with Swiss Relay</w:t>
      </w:r>
    </w:p>
    <w:p>
      <w:pPr>
        <w:spacing w:after="160" w:line="288" w:lineRule="auto"/>
        <w:jc w:val="both"/>
      </w:pPr>
      <w:r>
        <w:rPr>
          <w:rFonts w:ascii="Cambria" w:hAnsi="Cambria"/>
          <w:color w:val="1a1a1a"/>
          <w:sz w:val="22"/>
        </w:rPr>
        <w:t>All communications between the Joint Secretariat, the Swiss relay, and the TWG use the secure channels defined in this Article. The Swiss relay facilitates simultaneous distribution of data to Doha and Muscat, per Section 2.2 of the CTAF.</w:t>
      </w:r>
    </w:p>
    <w:p>
      <w:pPr>
        <w:spacing w:after="160" w:line="288" w:lineRule="auto"/>
        <w:jc w:val="both"/>
      </w:pPr>
      <w:r>
        <w:rPr>
          <w:rFonts w:ascii="Cambria" w:hAnsi="Cambria"/>
          <w:color w:val="1a1a1a"/>
          <w:sz w:val="22"/>
        </w:rPr>
        <w:t>The Swiss relay maintains its own encryption layer in addition to the TWG channel encryption. Data passing through the relay carries end-to-end encryption that the relay itself cannot decrypt.</w:t>
      </w:r>
    </w:p>
    <w:p>
      <w:pPr>
        <w:pStyle w:val="Heading1"/>
      </w:pPr>
      <w:r>
        <w:rPr>
          <w:rFonts w:ascii="Cambria" w:hAnsi="Cambria"/>
          <w:b/>
          <w:color w:val="1a2744"/>
          <w:sz w:val="36"/>
        </w:rPr>
        <w:t>Article 11: Training and Capacity Building</w:t>
      </w:r>
      <w:bookmarkStart w:name="_TocArt11" w:id="12"/>
      <w:bookmarkEnd w:id="12"/>
    </w:p>
    <w:p>
      <w:pPr>
        <w:pStyle w:val="Heading2"/>
      </w:pPr>
      <w:r>
        <w:rPr>
          <w:rFonts w:ascii="Cambria" w:hAnsi="Cambria"/>
          <w:b/>
          <w:color w:val="1a1a1a"/>
          <w:sz w:val="28"/>
        </w:rPr>
        <w:t>11.1 Training Program</w:t>
      </w:r>
    </w:p>
    <w:p>
      <w:pPr>
        <w:spacing w:after="160" w:line="288" w:lineRule="auto"/>
        <w:jc w:val="both"/>
      </w:pPr>
      <w:r>
        <w:rPr>
          <w:rFonts w:ascii="Cambria" w:hAnsi="Cambria"/>
          <w:color w:val="1a1a1a"/>
          <w:sz w:val="22"/>
        </w:rPr>
        <w:t>The TWG operates a training program for existing TWG personnel and national maritime analysts from the Parties. The program ensures that all analysts working under this Annex possess the technical competencies required for transit verification. The program includes:</w:t>
      </w:r>
    </w:p>
    <w:p>
      <w:pPr>
        <w:spacing w:after="160" w:line="288" w:lineRule="auto"/>
        <w:jc w:val="both"/>
      </w:pPr>
      <w:r>
        <w:rPr>
          <w:rFonts w:ascii="Cambria" w:hAnsi="Cambria"/>
          <w:color w:val="1a1a1a"/>
          <w:sz w:val="22"/>
        </w:rPr>
        <w:t>Basic Maritime Intelligence Course: AIS data interpretation, radar analysis, vessel behavior patterns, transit corridor requirements, and Verification Package writing. Duration: four weeks.</w:t>
      </w:r>
    </w:p>
    <w:p>
      <w:pPr>
        <w:spacing w:after="160" w:line="288" w:lineRule="auto"/>
        <w:jc w:val="both"/>
      </w:pPr>
      <w:r>
        <w:rPr>
          <w:rFonts w:ascii="Cambria" w:hAnsi="Cambria"/>
          <w:color w:val="1a1a1a"/>
          <w:sz w:val="22"/>
        </w:rPr>
        <w:t>Advanced Analytical Techniques: Network analysis, predictive modeling, geospatial intelligence, and counter-deception methods. Duration: two weeks.</w:t>
      </w:r>
    </w:p>
    <w:p>
      <w:pPr>
        <w:spacing w:after="160" w:line="288" w:lineRule="auto"/>
        <w:jc w:val="both"/>
      </w:pPr>
      <w:r>
        <w:rPr>
          <w:rFonts w:ascii="Cambria" w:hAnsi="Cambria"/>
          <w:color w:val="1a1a1a"/>
          <w:sz w:val="22"/>
        </w:rPr>
        <w:t>Regional Specialist Training: Deep expertise in the specific maritime routes, port infrastructure, and trade patterns of the Persian Gulf and Strait of Hormuz. Duration: one week.</w:t>
      </w:r>
    </w:p>
    <w:p>
      <w:pPr>
        <w:spacing w:after="160" w:line="288" w:lineRule="auto"/>
        <w:jc w:val="both"/>
      </w:pPr>
      <w:r>
        <w:rPr>
          <w:rFonts w:ascii="Cambria" w:hAnsi="Cambria"/>
          <w:color w:val="1a1a1a"/>
          <w:sz w:val="22"/>
        </w:rPr>
        <w:t>Certification Examination: A comprehensive examination that analysts pass before receiving independent analytical authority.</w:t>
      </w:r>
    </w:p>
    <w:p>
      <w:pPr>
        <w:pStyle w:val="Heading2"/>
      </w:pPr>
      <w:r>
        <w:rPr>
          <w:rFonts w:ascii="Cambria" w:hAnsi="Cambria"/>
          <w:b/>
          <w:color w:val="1a1a1a"/>
          <w:sz w:val="28"/>
        </w:rPr>
        <w:t>11.2 Capacity Building for Parties</w:t>
      </w:r>
    </w:p>
    <w:p>
      <w:pPr>
        <w:spacing w:after="160" w:line="288" w:lineRule="auto"/>
        <w:jc w:val="both"/>
      </w:pPr>
      <w:r>
        <w:rPr>
          <w:rFonts w:ascii="Cambria" w:hAnsi="Cambria"/>
          <w:color w:val="1a1a1a"/>
          <w:sz w:val="22"/>
        </w:rPr>
        <w:t>The TWG provides capacity building assistance to Parties establishing or enhancing their national maritime monitoring capabilities. Capacity building includes: technical assistance for coastal radar installation and maintenance; training for national maritime analysts in TWG methodologies; provision of analytical software tools and licenses; and integration of national monitoring systems with the TWG data architecture.</w:t>
      </w:r>
    </w:p>
    <w:p>
      <w:pPr>
        <w:pStyle w:val="Heading2"/>
      </w:pPr>
      <w:r>
        <w:rPr>
          <w:rFonts w:ascii="Cambria" w:hAnsi="Cambria"/>
          <w:b/>
          <w:color w:val="1a1a1a"/>
          <w:sz w:val="28"/>
        </w:rPr>
        <w:t>11.3 Exercise Program</w:t>
      </w:r>
    </w:p>
    <w:p>
      <w:pPr>
        <w:spacing w:after="160" w:line="288" w:lineRule="auto"/>
        <w:jc w:val="both"/>
      </w:pPr>
      <w:r>
        <w:rPr>
          <w:rFonts w:ascii="Cambria" w:hAnsi="Cambria"/>
          <w:color w:val="1a1a1a"/>
          <w:sz w:val="22"/>
        </w:rPr>
        <w:t>The TWG conducts semi-annual exercises that simulate real-world maritime verification scenarios. Exercises test: detection capabilities under realistic conditions; analytical response timelines; communications and coordination procedures; and Verification Package production.</w:t>
      </w:r>
    </w:p>
    <w:p>
      <w:pPr>
        <w:spacing w:after="160" w:line="288" w:lineRule="auto"/>
        <w:jc w:val="both"/>
      </w:pPr>
      <w:r>
        <w:rPr>
          <w:rFonts w:ascii="Cambria" w:hAnsi="Cambria"/>
          <w:color w:val="1a1a1a"/>
          <w:sz w:val="22"/>
        </w:rPr>
        <w:t>Exercise results feed directly into the Lessons Learned process and inform updates to Standard Operating Procedures.</w:t>
      </w:r>
    </w:p>
    <w:p>
      <w:pPr>
        <w:pStyle w:val="Heading1"/>
      </w:pPr>
      <w:r>
        <w:rPr>
          <w:rFonts w:ascii="Cambria" w:hAnsi="Cambria"/>
          <w:b/>
          <w:color w:val="1a2744"/>
          <w:sz w:val="36"/>
        </w:rPr>
        <w:t>Article 12: Non-Recognition Clause</w:t>
      </w:r>
      <w:bookmarkStart w:name="_TocArt12" w:id="13"/>
      <w:bookmarkEnd w:id="13"/>
    </w:p>
    <w:p>
      <w:pPr>
        <w:pStyle w:val="Heading2"/>
      </w:pPr>
      <w:r>
        <w:rPr>
          <w:rFonts w:ascii="Cambria" w:hAnsi="Cambria"/>
          <w:b/>
          <w:color w:val="1a1a1a"/>
          <w:sz w:val="28"/>
        </w:rPr>
        <w:t>12.1 Persian Gulf Strait Authority</w:t>
      </w:r>
    </w:p>
    <w:p>
      <w:pPr>
        <w:spacing w:after="160" w:line="288" w:lineRule="auto"/>
        <w:jc w:val="both"/>
      </w:pPr>
      <w:r>
        <w:rPr>
          <w:rFonts w:ascii="Cambria" w:hAnsi="Cambria"/>
          <w:color w:val="1a1a1a"/>
          <w:sz w:val="22"/>
        </w:rPr>
        <w:t>References to the Persian Gulf Strait Authority (PGSA) in this Annex are included solely for the technical purposes of implementing this Framework. References to the PGSA do not constitute recognition of legal status, sovereignty, jurisdiction, institutional legitimacy, maritime claims, or the legal position of any Party.</w:t>
      </w:r>
    </w:p>
    <w:p>
      <w:pPr>
        <w:pStyle w:val="Heading2"/>
      </w:pPr>
      <w:r>
        <w:rPr>
          <w:rFonts w:ascii="Cambria" w:hAnsi="Cambria"/>
          <w:b/>
          <w:color w:val="1a1a1a"/>
          <w:sz w:val="28"/>
        </w:rPr>
        <w:t>12.2 Joint Iran-Oman Committee</w:t>
      </w:r>
    </w:p>
    <w:p>
      <w:pPr>
        <w:spacing w:after="160" w:line="288" w:lineRule="auto"/>
        <w:jc w:val="both"/>
      </w:pPr>
      <w:r>
        <w:rPr>
          <w:rFonts w:ascii="Cambria" w:hAnsi="Cambria"/>
          <w:color w:val="1a1a1a"/>
          <w:sz w:val="22"/>
        </w:rPr>
        <w:t>References to the Joint Iran-Oman Committee on the Strait of Hormuz are included solely for the technical purposes of implementing this Framework. Their inclusion does not constitute recognition of any territorial claim, jurisdictional assertion, or legal position regarding the status of the Strait of Hormuz.</w:t>
      </w:r>
    </w:p>
    <w:p>
      <w:pPr>
        <w:pStyle w:val="Heading2"/>
      </w:pPr>
      <w:r>
        <w:rPr>
          <w:rFonts w:ascii="Cambria" w:hAnsi="Cambria"/>
          <w:b/>
          <w:color w:val="1a1a1a"/>
          <w:sz w:val="28"/>
        </w:rPr>
        <w:t>12.3 Traffic Separation Scheme</w:t>
      </w:r>
    </w:p>
    <w:p>
      <w:pPr>
        <w:spacing w:after="160" w:line="288" w:lineRule="auto"/>
        <w:jc w:val="both"/>
      </w:pPr>
      <w:r>
        <w:rPr>
          <w:rFonts w:ascii="Cambria" w:hAnsi="Cambria"/>
          <w:color w:val="1a1a1a"/>
          <w:sz w:val="22"/>
        </w:rPr>
        <w:t>The IMO Traffic Separation Scheme coordinates referenced in this Annex are adopted solely for navigational safety purposes. Their inclusion does not constitute recognition of any maritime boundary, territorial sea claim, or exclusive economic zone delimitation.</w:t>
      </w:r>
    </w:p>
    <w:p>
      <w:pPr>
        <w:pStyle w:val="Heading2"/>
      </w:pPr>
      <w:r>
        <w:rPr>
          <w:rFonts w:ascii="Cambria" w:hAnsi="Cambria"/>
          <w:b/>
          <w:color w:val="1a1a1a"/>
          <w:sz w:val="28"/>
        </w:rPr>
        <w:t>12.4 Reservation of Legal Positions</w:t>
      </w:r>
    </w:p>
    <w:p>
      <w:pPr>
        <w:spacing w:after="160" w:line="288" w:lineRule="auto"/>
        <w:jc w:val="both"/>
      </w:pPr>
      <w:r>
        <w:rPr>
          <w:rFonts w:ascii="Cambria" w:hAnsi="Cambria"/>
          <w:color w:val="1a1a1a"/>
          <w:sz w:val="22"/>
        </w:rPr>
        <w:t>All Parties retain their respective positions regarding the legal status of the Strait of Hormuz, the Persian Gulf, and adjacent maritime areas. Nothing in this Annex alters, amends, or supersedes the legal positions of any Party.</w:t>
      </w:r>
    </w:p>
    <w:p>
      <w:pPr>
        <w:spacing w:after="160" w:line="288" w:lineRule="auto"/>
        <w:jc w:val="both"/>
      </w:pPr>
      <w:r>
        <w:rPr>
          <w:rFonts w:ascii="Cambria" w:hAnsi="Cambria"/>
          <w:color w:val="1a1a1a"/>
          <w:sz w:val="22"/>
        </w:rPr>
        <w:t>The inclusion of geographic names, coordinates, or navigational references in this Annex carries no implication regarding sovereignty, jurisdiction, or legal status. All such references serve purely technical and operational purposes.</w:t>
      </w:r>
    </w:p>
    <w:p>
      <w:pPr>
        <w:pStyle w:val="Heading2"/>
      </w:pPr>
      <w:r>
        <w:rPr>
          <w:rFonts w:ascii="Cambria" w:hAnsi="Cambria"/>
          <w:b/>
          <w:color w:val="1a1a1a"/>
          <w:sz w:val="28"/>
        </w:rPr>
        <w:t>12.5 Monitoring and Sovereignty</w:t>
      </w:r>
    </w:p>
    <w:p>
      <w:pPr>
        <w:spacing w:after="160" w:line="288" w:lineRule="auto"/>
        <w:jc w:val="both"/>
      </w:pPr>
      <w:r>
        <w:rPr>
          <w:rFonts w:ascii="Cambria" w:hAnsi="Cambria"/>
          <w:color w:val="1a1a1a"/>
          <w:sz w:val="22"/>
        </w:rPr>
        <w:t>Monitoring activities conducted under this Annex occur exclusively in international waters or with the explicit consent of the coastal state in territorial waters. No monitoring activity implies recognition of any territorial claim or maritime boundary.</w:t>
      </w:r>
    </w:p>
    <w:p>
      <w:pPr>
        <w:spacing w:after="160" w:line="288" w:lineRule="auto"/>
        <w:jc w:val="both"/>
      </w:pPr>
      <w:r>
        <w:rPr>
          <w:rFonts w:ascii="Cambria" w:hAnsi="Cambria"/>
          <w:color w:val="1a1a1a"/>
          <w:sz w:val="22"/>
        </w:rPr>
        <w:t>UAV patrols operate exclusively in international airspace or with the explicit authorization of the territorial state. No UAV patrol implies recognition of any airspace claim or territorial sovereignty.</w:t>
      </w:r>
    </w:p>
    <w:p>
      <w:pPr>
        <w:pStyle w:val="Heading1"/>
      </w:pPr>
      <w:r>
        <w:rPr>
          <w:rFonts w:ascii="Cambria" w:hAnsi="Cambria"/>
          <w:b/>
          <w:color w:val="1a2744"/>
          <w:sz w:val="36"/>
        </w:rPr>
        <w:t>Article 13: Budget and Resources</w:t>
      </w:r>
      <w:bookmarkStart w:name="_TocArt13" w:id="14"/>
      <w:bookmarkEnd w:id="14"/>
    </w:p>
    <w:p>
      <w:pPr>
        <w:pStyle w:val="Heading2"/>
      </w:pPr>
      <w:r>
        <w:rPr>
          <w:rFonts w:ascii="Cambria" w:hAnsi="Cambria"/>
          <w:b/>
          <w:color w:val="1a1a1a"/>
          <w:sz w:val="28"/>
        </w:rPr>
        <w:t>13.1 Budget Principles</w:t>
      </w:r>
    </w:p>
    <w:p>
      <w:pPr>
        <w:spacing w:after="160" w:line="288" w:lineRule="auto"/>
        <w:jc w:val="both"/>
      </w:pPr>
      <w:r>
        <w:rPr>
          <w:rFonts w:ascii="Cambria" w:hAnsi="Cambria"/>
          <w:color w:val="1a1a1a"/>
          <w:sz w:val="22"/>
        </w:rPr>
        <w:t>The Technical Working Group operates on a shared funding model. All Parties contribute to the TWG budget according to an agreed cost-sharing formula. This budget covers the monitoring infrastructure that supports the TWG -- satellite data feeds, coastal radar maintenance, UAV operations, and analytical software. This Annex does not establish new funding mechanisms for the CTAF itself; the CTAF relies on existing structures including the Joint Secretariat and the Swiss relay.</w:t>
      </w:r>
    </w:p>
    <w:p>
      <w:pPr>
        <w:pStyle w:val="Heading2"/>
      </w:pPr>
      <w:r>
        <w:rPr>
          <w:rFonts w:ascii="Cambria" w:hAnsi="Cambria"/>
          <w:b/>
          <w:color w:val="1a1a1a"/>
          <w:sz w:val="28"/>
        </w:rPr>
        <w:t>13.2 Cost-Sharing Formula</w:t>
      </w:r>
    </w:p>
    <w:p>
      <w:pPr>
        <w:spacing w:after="160" w:line="288" w:lineRule="auto"/>
        <w:jc w:val="both"/>
      </w:pPr>
      <w:r>
        <w:rPr>
          <w:rFonts w:ascii="Cambria" w:hAnsi="Cambria"/>
          <w:color w:val="1a1a1a"/>
          <w:sz w:val="22"/>
        </w:rPr>
        <w:t>The Parties apply the following cost-sharing formula:</w:t>
      </w:r>
    </w:p>
    <w:p>
      <w:pPr>
        <w:spacing w:after="160" w:line="288" w:lineRule="auto"/>
        <w:jc w:val="both"/>
      </w:pPr>
      <w:r>
        <w:rPr>
          <w:rFonts w:ascii="Cambria" w:hAnsi="Cambria"/>
          <w:color w:val="1a1a1a"/>
          <w:sz w:val="22"/>
        </w:rPr>
        <w:t>Base Contribution: Each Party contributes a base amount determined by its relative share of vessel traffic through the monitored zone.</w:t>
      </w:r>
    </w:p>
    <w:p>
      <w:pPr>
        <w:spacing w:after="160" w:line="288" w:lineRule="auto"/>
        <w:jc w:val="both"/>
      </w:pPr>
      <w:r>
        <w:rPr>
          <w:rFonts w:ascii="Cambria" w:hAnsi="Cambria"/>
          <w:color w:val="1a1a1a"/>
          <w:sz w:val="22"/>
        </w:rPr>
        <w:t>Capability Contribution: Parties hosting TWG facilities, radar stations, or forward operating bases receive a credit against their base contribution reflecting the value of their in-kind contribution.</w:t>
      </w:r>
    </w:p>
    <w:p>
      <w:pPr>
        <w:spacing w:after="160" w:line="288" w:lineRule="auto"/>
        <w:jc w:val="both"/>
      </w:pPr>
      <w:r>
        <w:rPr>
          <w:rFonts w:ascii="Cambria" w:hAnsi="Cambria"/>
          <w:color w:val="1a1a1a"/>
          <w:sz w:val="22"/>
        </w:rPr>
        <w:t>Adjustment Mechanism: The cost-sharing formula adjusts annually based on updated traffic statistics and facility utilization.</w:t>
      </w:r>
    </w:p>
    <w:p>
      <w:pPr>
        <w:pStyle w:val="Heading2"/>
      </w:pPr>
      <w:r>
        <w:rPr>
          <w:rFonts w:ascii="Cambria" w:hAnsi="Cambria"/>
          <w:b/>
          <w:color w:val="1a1a1a"/>
          <w:sz w:val="28"/>
        </w:rPr>
        <w:t>13.3 Budget Categories</w:t>
      </w:r>
    </w:p>
    <w:p>
      <w:pPr>
        <w:spacing w:after="160" w:line="288" w:lineRule="auto"/>
        <w:jc w:val="both"/>
      </w:pPr>
      <w:r>
        <w:rPr>
          <w:rFonts w:ascii="Cambria" w:hAnsi="Cambria"/>
          <w:color w:val="1a1a1a"/>
          <w:sz w:val="22"/>
        </w:rPr>
        <w:t>The TWG budget allocates resources across the following categories:</w:t>
      </w:r>
    </w:p>
    <w:tbl>
      <w:tblPr>
        <w:tblW w:w="5000" w:type="pct"/>
        <w:tblBorders>
          <w:top w:val="single" w:color="1a2744" w:sz="8"/>
          <w:bottom w:val="single" w:color="1a2744" w:sz="8"/>
          <w:insideH w:val="single" w:color="c8c4b8" w:sz="4"/>
        </w:tblBorders>
      </w:tblPr>
      <w:tblGrid>
        <w:gridCol w:w="3600"/>
        <w:gridCol w:w="3600"/>
        <w:gridCol w:w="2200"/>
      </w:tblGrid>
      <w:tr>
        <w:tc>
          <w:tcPr>
            <w:tcW w:w="3600" w:type="dxa"/>
            <w:shd w:val="clear" w:fill="e8e5dd"/>
          </w:tcPr>
          <w:p>
            <w:pPr>
              <w:spacing w:before="60" w:after="60"/>
              <w:jc w:val="center"/>
            </w:pPr>
            <w:r>
              <w:rPr>
                <w:rFonts w:ascii="Cambria" w:hAnsi="Cambria"/>
                <w:b w:val="true"/>
                <w:color w:val="1a2744"/>
                <w:sz w:val="20"/>
              </w:rPr>
              <w:t>Category</w:t>
            </w:r>
          </w:p>
        </w:tc>
        <w:tc>
          <w:tcPr>
            <w:tcW w:w="3600" w:type="dxa"/>
            <w:shd w:val="clear" w:fill="e8e5dd"/>
          </w:tcPr>
          <w:p>
            <w:pPr>
              <w:spacing w:before="60" w:after="60"/>
              <w:jc w:val="center"/>
            </w:pPr>
            <w:r>
              <w:rPr>
                <w:rFonts w:ascii="Cambria" w:hAnsi="Cambria"/>
                <w:b w:val="true"/>
                <w:color w:val="1a2744"/>
                <w:sz w:val="20"/>
              </w:rPr>
              <w:t>Description</w:t>
            </w:r>
          </w:p>
        </w:tc>
        <w:tc>
          <w:tcPr>
            <w:tcW w:w="2200" w:type="dxa"/>
            <w:shd w:val="clear" w:fill="e8e5dd"/>
          </w:tcPr>
          <w:p>
            <w:pPr>
              <w:spacing w:before="60" w:after="60"/>
              <w:jc w:val="center"/>
            </w:pPr>
            <w:r>
              <w:rPr>
                <w:rFonts w:ascii="Cambria" w:hAnsi="Cambria"/>
                <w:b w:val="true"/>
                <w:color w:val="1a2744"/>
                <w:sz w:val="20"/>
              </w:rPr>
              <w:t>Allocation</w:t>
            </w:r>
          </w:p>
        </w:tc>
      </w:tr>
      <w:tr>
        <w:tc>
          <w:tcPr>
            <w:tcW w:w="3600" w:type="dxa"/>
          </w:tcPr>
          <w:p>
            <w:pPr>
              <w:spacing w:before="60" w:after="60"/>
            </w:pPr>
            <w:r>
              <w:rPr>
                <w:rFonts w:ascii="Cambria" w:hAnsi="Cambria"/>
                <w:b w:val="false"/>
                <w:color w:val="1a1a1a"/>
                <w:sz w:val="20"/>
              </w:rPr>
              <w:t>Personnel</w:t>
            </w:r>
          </w:p>
        </w:tc>
        <w:tc>
          <w:tcPr>
            <w:tcW w:w="3600" w:type="dxa"/>
          </w:tcPr>
          <w:p>
            <w:pPr>
              <w:spacing w:before="60" w:after="60"/>
            </w:pPr>
            <w:r>
              <w:rPr>
                <w:rFonts w:ascii="Cambria" w:hAnsi="Cambria"/>
                <w:b w:val="false"/>
                <w:color w:val="1a1a1a"/>
                <w:sz w:val="20"/>
              </w:rPr>
              <w:t>Analyst salaries, benefits, and training</w:t>
            </w:r>
          </w:p>
        </w:tc>
        <w:tc>
          <w:tcPr>
            <w:tcW w:w="2200" w:type="dxa"/>
          </w:tcPr>
          <w:p>
            <w:pPr>
              <w:spacing w:before="60" w:after="60"/>
            </w:pPr>
            <w:r>
              <w:rPr>
                <w:rFonts w:ascii="Cambria" w:hAnsi="Cambria"/>
                <w:b w:val="false"/>
                <w:color w:val="1a1a1a"/>
                <w:sz w:val="20"/>
              </w:rPr>
              <w:t>45%</w:t>
            </w:r>
          </w:p>
        </w:tc>
      </w:tr>
      <w:tr>
        <w:tc>
          <w:tcPr>
            <w:tcW w:w="3600" w:type="dxa"/>
          </w:tcPr>
          <w:p>
            <w:pPr>
              <w:spacing w:before="60" w:after="60"/>
            </w:pPr>
            <w:r>
              <w:rPr>
                <w:rFonts w:ascii="Cambria" w:hAnsi="Cambria"/>
                <w:b w:val="false"/>
                <w:color w:val="1a1a1a"/>
                <w:sz w:val="20"/>
              </w:rPr>
              <w:t>Technology</w:t>
            </w:r>
          </w:p>
        </w:tc>
        <w:tc>
          <w:tcPr>
            <w:tcW w:w="3600" w:type="dxa"/>
          </w:tcPr>
          <w:p>
            <w:pPr>
              <w:spacing w:before="60" w:after="60"/>
            </w:pPr>
            <w:r>
              <w:rPr>
                <w:rFonts w:ascii="Cambria" w:hAnsi="Cambria"/>
                <w:b w:val="false"/>
                <w:color w:val="1a1a1a"/>
                <w:sz w:val="20"/>
              </w:rPr>
              <w:t>Software licenses, data feeds, and IT infrastructure</w:t>
            </w:r>
          </w:p>
        </w:tc>
        <w:tc>
          <w:tcPr>
            <w:tcW w:w="2200" w:type="dxa"/>
          </w:tcPr>
          <w:p>
            <w:pPr>
              <w:spacing w:before="60" w:after="60"/>
            </w:pPr>
            <w:r>
              <w:rPr>
                <w:rFonts w:ascii="Cambria" w:hAnsi="Cambria"/>
                <w:b w:val="false"/>
                <w:color w:val="1a1a1a"/>
                <w:sz w:val="20"/>
              </w:rPr>
              <w:t>25%</w:t>
            </w:r>
          </w:p>
        </w:tc>
      </w:tr>
      <w:tr>
        <w:tc>
          <w:tcPr>
            <w:tcW w:w="3600" w:type="dxa"/>
          </w:tcPr>
          <w:p>
            <w:pPr>
              <w:spacing w:before="60" w:after="60"/>
            </w:pPr>
            <w:r>
              <w:rPr>
                <w:rFonts w:ascii="Cambria" w:hAnsi="Cambria"/>
                <w:b w:val="false"/>
                <w:color w:val="1a1a1a"/>
                <w:sz w:val="20"/>
              </w:rPr>
              <w:t>Operations</w:t>
            </w:r>
          </w:p>
        </w:tc>
        <w:tc>
          <w:tcPr>
            <w:tcW w:w="3600" w:type="dxa"/>
          </w:tcPr>
          <w:p>
            <w:pPr>
              <w:spacing w:before="60" w:after="60"/>
            </w:pPr>
            <w:r>
              <w:rPr>
                <w:rFonts w:ascii="Cambria" w:hAnsi="Cambria"/>
                <w:b w:val="false"/>
                <w:color w:val="1a1a1a"/>
                <w:sz w:val="20"/>
              </w:rPr>
              <w:t>UAV maintenance, radar upkeep, and communications</w:t>
            </w:r>
          </w:p>
        </w:tc>
        <w:tc>
          <w:tcPr>
            <w:tcW w:w="2200" w:type="dxa"/>
          </w:tcPr>
          <w:p>
            <w:pPr>
              <w:spacing w:before="60" w:after="60"/>
            </w:pPr>
            <w:r>
              <w:rPr>
                <w:rFonts w:ascii="Cambria" w:hAnsi="Cambria"/>
                <w:b w:val="false"/>
                <w:color w:val="1a1a1a"/>
                <w:sz w:val="20"/>
              </w:rPr>
              <w:t>15%</w:t>
            </w:r>
          </w:p>
        </w:tc>
      </w:tr>
      <w:tr>
        <w:tc>
          <w:tcPr>
            <w:tcW w:w="3600" w:type="dxa"/>
          </w:tcPr>
          <w:p>
            <w:pPr>
              <w:spacing w:before="60" w:after="60"/>
            </w:pPr>
            <w:r>
              <w:rPr>
                <w:rFonts w:ascii="Cambria" w:hAnsi="Cambria"/>
                <w:b w:val="false"/>
                <w:color w:val="1a1a1a"/>
                <w:sz w:val="20"/>
              </w:rPr>
              <w:t>Administration</w:t>
            </w:r>
          </w:p>
        </w:tc>
        <w:tc>
          <w:tcPr>
            <w:tcW w:w="3600" w:type="dxa"/>
          </w:tcPr>
          <w:p>
            <w:pPr>
              <w:spacing w:before="60" w:after="60"/>
            </w:pPr>
            <w:r>
              <w:rPr>
                <w:rFonts w:ascii="Cambria" w:hAnsi="Cambria"/>
                <w:b w:val="false"/>
                <w:color w:val="1a1a1a"/>
                <w:sz w:val="20"/>
              </w:rPr>
              <w:t>Facility costs, security, and general overhead</w:t>
            </w:r>
          </w:p>
        </w:tc>
        <w:tc>
          <w:tcPr>
            <w:tcW w:w="2200" w:type="dxa"/>
          </w:tcPr>
          <w:p>
            <w:pPr>
              <w:spacing w:before="60" w:after="60"/>
            </w:pPr>
            <w:r>
              <w:rPr>
                <w:rFonts w:ascii="Cambria" w:hAnsi="Cambria"/>
                <w:b w:val="false"/>
                <w:color w:val="1a1a1a"/>
                <w:sz w:val="20"/>
              </w:rPr>
              <w:t>10%</w:t>
            </w:r>
          </w:p>
        </w:tc>
      </w:tr>
      <w:tr>
        <w:tc>
          <w:tcPr>
            <w:tcW w:w="3600" w:type="dxa"/>
          </w:tcPr>
          <w:p>
            <w:pPr>
              <w:spacing w:before="60" w:after="60"/>
            </w:pPr>
            <w:r>
              <w:rPr>
                <w:rFonts w:ascii="Cambria" w:hAnsi="Cambria"/>
                <w:b w:val="false"/>
                <w:color w:val="1a1a1a"/>
                <w:sz w:val="20"/>
              </w:rPr>
              <w:t>Contingency</w:t>
            </w:r>
          </w:p>
        </w:tc>
        <w:tc>
          <w:tcPr>
            <w:tcW w:w="3600" w:type="dxa"/>
          </w:tcPr>
          <w:p>
            <w:pPr>
              <w:spacing w:before="60" w:after="60"/>
            </w:pPr>
            <w:r>
              <w:rPr>
                <w:rFonts w:ascii="Cambria" w:hAnsi="Cambria"/>
                <w:b w:val="false"/>
                <w:color w:val="1a1a1a"/>
                <w:sz w:val="20"/>
              </w:rPr>
              <w:t>Reserve for unplanned expenditures</w:t>
            </w:r>
          </w:p>
        </w:tc>
        <w:tc>
          <w:tcPr>
            <w:tcW w:w="2200" w:type="dxa"/>
          </w:tcPr>
          <w:p>
            <w:pPr>
              <w:spacing w:before="60" w:after="60"/>
            </w:pPr>
            <w:r>
              <w:rPr>
                <w:rFonts w:ascii="Cambria" w:hAnsi="Cambria"/>
                <w:b w:val="false"/>
                <w:color w:val="1a1a1a"/>
                <w:sz w:val="20"/>
              </w:rPr>
              <w:t>5%</w:t>
            </w:r>
          </w:p>
        </w:tc>
      </w:tr>
    </w:tbl>
    <w:p>
      <w:pPr>
        <w:pStyle w:val="Heading2"/>
      </w:pPr>
      <w:r>
        <w:rPr>
          <w:rFonts w:ascii="Cambria" w:hAnsi="Cambria"/>
          <w:b/>
          <w:color w:val="1a1a1a"/>
          <w:sz w:val="28"/>
        </w:rPr>
        <w:t>13.4 External Funding</w:t>
      </w:r>
    </w:p>
    <w:p>
      <w:pPr>
        <w:spacing w:after="160" w:line="288" w:lineRule="auto"/>
        <w:jc w:val="both"/>
      </w:pPr>
      <w:r>
        <w:rPr>
          <w:rFonts w:ascii="Cambria" w:hAnsi="Cambria"/>
          <w:color w:val="1a1a1a"/>
          <w:sz w:val="22"/>
        </w:rPr>
        <w:t>The TWG actively pursues external funding sources including: international organization grants (UN, IMO); regional development bank funding for capacity building; and technology partnerships with commercial satellite and analytical software providers.</w:t>
      </w:r>
    </w:p>
    <w:p>
      <w:pPr>
        <w:pStyle w:val="Heading2"/>
      </w:pPr>
      <w:r>
        <w:rPr>
          <w:rFonts w:ascii="Cambria" w:hAnsi="Cambria"/>
          <w:b/>
          <w:color w:val="1a1a1a"/>
          <w:sz w:val="28"/>
        </w:rPr>
        <w:t>13.5 Financial Transparency</w:t>
      </w:r>
    </w:p>
    <w:p>
      <w:pPr>
        <w:spacing w:after="160" w:line="288" w:lineRule="auto"/>
        <w:jc w:val="both"/>
      </w:pPr>
      <w:r>
        <w:rPr>
          <w:rFonts w:ascii="Cambria" w:hAnsi="Cambria"/>
          <w:color w:val="1a1a1a"/>
          <w:sz w:val="22"/>
        </w:rPr>
        <w:t>The TWG publishes an annual financial report showing: total budget and expenditure by category; contributions received from each Party; external funding sources and amounts; and audit certification by an independent auditor.</w:t>
      </w:r>
    </w:p>
    <w:p>
      <w:pPr>
        <w:pStyle w:val="Heading1"/>
      </w:pPr>
      <w:r>
        <w:rPr>
          <w:rFonts w:ascii="Cambria" w:hAnsi="Cambria"/>
          <w:b/>
          <w:color w:val="1a2744"/>
          <w:sz w:val="36"/>
        </w:rPr>
        <w:t>Article 14: Review and Amendment</w:t>
      </w:r>
      <w:bookmarkStart w:name="_TocArt14" w:id="15"/>
      <w:bookmarkEnd w:id="15"/>
    </w:p>
    <w:p>
      <w:pPr>
        <w:pStyle w:val="Heading2"/>
      </w:pPr>
      <w:r>
        <w:rPr>
          <w:rFonts w:ascii="Cambria" w:hAnsi="Cambria"/>
          <w:b/>
          <w:color w:val="1a1a1a"/>
          <w:sz w:val="28"/>
        </w:rPr>
        <w:t>14.1 Annual Review</w:t>
      </w:r>
    </w:p>
    <w:p>
      <w:pPr>
        <w:spacing w:after="160" w:line="288" w:lineRule="auto"/>
        <w:jc w:val="both"/>
      </w:pPr>
      <w:r>
        <w:rPr>
          <w:rFonts w:ascii="Cambria" w:hAnsi="Cambria"/>
          <w:color w:val="1a1a1a"/>
          <w:sz w:val="22"/>
        </w:rPr>
        <w:t>The Co-Chairs review the operation of this Annex annually. The review assesses: monitoring system effectiveness; analytical accuracy and timeliness; verification outcomes; budget utilization; and compliance with data protection standards.</w:t>
      </w:r>
    </w:p>
    <w:p>
      <w:pPr>
        <w:pStyle w:val="Heading2"/>
      </w:pPr>
      <w:r>
        <w:rPr>
          <w:rFonts w:ascii="Cambria" w:hAnsi="Cambria"/>
          <w:b/>
          <w:color w:val="1a1a1a"/>
          <w:sz w:val="28"/>
        </w:rPr>
        <w:t>14.2 Technical Updates</w:t>
      </w:r>
    </w:p>
    <w:p>
      <w:pPr>
        <w:spacing w:after="160" w:line="288" w:lineRule="auto"/>
        <w:jc w:val="both"/>
      </w:pPr>
      <w:r>
        <w:rPr>
          <w:rFonts w:ascii="Cambria" w:hAnsi="Cambria"/>
          <w:color w:val="1a1a1a"/>
          <w:sz w:val="22"/>
        </w:rPr>
        <w:t>The Parties update the technical specifications of this Annex as monitoring technology evolves. Technical updates include: revisions to the monitoring network architecture (Appendix A); updates to data format specifications (Appendix B); modifications to analytical algorithms and thresholds; and upgrades to secure communications protocols.</w:t>
      </w:r>
    </w:p>
    <w:p>
      <w:pPr>
        <w:pStyle w:val="Heading2"/>
      </w:pPr>
      <w:r>
        <w:rPr>
          <w:rFonts w:ascii="Cambria" w:hAnsi="Cambria"/>
          <w:b/>
          <w:color w:val="1a1a1a"/>
          <w:sz w:val="28"/>
        </w:rPr>
        <w:t>14.3 Amendment Procedure</w:t>
      </w:r>
    </w:p>
    <w:p>
      <w:pPr>
        <w:spacing w:after="160" w:line="288" w:lineRule="auto"/>
        <w:jc w:val="both"/>
      </w:pPr>
      <w:r>
        <w:rPr>
          <w:rFonts w:ascii="Cambria" w:hAnsi="Cambria"/>
          <w:color w:val="1a1a1a"/>
          <w:sz w:val="22"/>
        </w:rPr>
        <w:t>The Parties amend this Annex by consensus. Amendment proposals require: written submission by either Party; circulation to both Parties with a thirty-day review period; discussion at the next Co-Chairs meeting; and consensus approval.</w:t>
      </w:r>
    </w:p>
    <w:p>
      <w:pPr>
        <w:pStyle w:val="Heading2"/>
      </w:pPr>
      <w:r>
        <w:rPr>
          <w:rFonts w:ascii="Cambria" w:hAnsi="Cambria"/>
          <w:b/>
          <w:color w:val="1a1a1a"/>
          <w:sz w:val="28"/>
        </w:rPr>
        <w:t>14.4 Emergency Modifications</w:t>
      </w:r>
    </w:p>
    <w:p>
      <w:pPr>
        <w:spacing w:after="160" w:line="288" w:lineRule="auto"/>
        <w:jc w:val="both"/>
      </w:pPr>
      <w:r>
        <w:rPr>
          <w:rFonts w:ascii="Cambria" w:hAnsi="Cambria"/>
          <w:color w:val="1a1a1a"/>
          <w:sz w:val="22"/>
        </w:rPr>
        <w:t>Where the TWG Director determines that an emergency modification is necessary for operational security or system integrity, the Director implements the modification immediately and reports to the Co-Chairs within forty-eight hours. The Co-Chairs either ratify or reverse the emergency modification at their next session.</w:t>
      </w:r>
    </w:p>
    <w:p>
      <w:pPr>
        <w:pStyle w:val="Heading1"/>
      </w:pPr>
      <w:r>
        <w:rPr>
          <w:rFonts w:ascii="Cambria" w:hAnsi="Cambria"/>
          <w:b/>
          <w:color w:val="1a2744"/>
          <w:sz w:val="36"/>
        </w:rPr>
        <w:t>Article 15: Dispute Resolution</w:t>
      </w:r>
      <w:bookmarkStart w:name="_TocArt15" w:id="16"/>
      <w:bookmarkEnd w:id="16"/>
    </w:p>
    <w:p>
      <w:pPr>
        <w:pStyle w:val="Heading2"/>
      </w:pPr>
      <w:r>
        <w:rPr>
          <w:rFonts w:ascii="Cambria" w:hAnsi="Cambria"/>
          <w:b/>
          <w:color w:val="1a1a1a"/>
          <w:sz w:val="28"/>
        </w:rPr>
        <w:t>15.1 Scope</w:t>
      </w:r>
    </w:p>
    <w:p>
      <w:pPr>
        <w:spacing w:after="160" w:line="288" w:lineRule="auto"/>
        <w:jc w:val="both"/>
      </w:pPr>
      <w:r>
        <w:rPr>
          <w:rFonts w:ascii="Cambria" w:hAnsi="Cambria"/>
          <w:color w:val="1a1a1a"/>
          <w:sz w:val="22"/>
        </w:rPr>
        <w:t>This Article applies to disputes between Parties regarding the interpretation, application, or implementation of this Annex. This Article supplements and does not replace the dispute resolution procedures in Section 7 of the CTAF.</w:t>
      </w:r>
    </w:p>
    <w:p>
      <w:pPr>
        <w:pStyle w:val="Heading2"/>
      </w:pPr>
      <w:r>
        <w:rPr>
          <w:rFonts w:ascii="Cambria" w:hAnsi="Cambria"/>
          <w:b/>
          <w:color w:val="1a1a1a"/>
          <w:sz w:val="28"/>
        </w:rPr>
        <w:t>15.2 Resolution Stages</w:t>
      </w:r>
    </w:p>
    <w:p>
      <w:pPr>
        <w:spacing w:after="160" w:line="288" w:lineRule="auto"/>
        <w:jc w:val="both"/>
      </w:pPr>
      <w:r>
        <w:rPr>
          <w:rFonts w:ascii="Cambria" w:hAnsi="Cambria"/>
          <w:color w:val="1a1a1a"/>
          <w:sz w:val="22"/>
        </w:rPr>
        <w:t>Disputes proceed through the following stages:</w:t>
      </w:r>
    </w:p>
    <w:p>
      <w:pPr>
        <w:spacing w:after="160" w:line="288" w:lineRule="auto"/>
        <w:jc w:val="both"/>
      </w:pPr>
      <w:r>
        <w:rPr>
          <w:rFonts w:ascii="Cambria" w:hAnsi="Cambria"/>
          <w:color w:val="1a1a1a"/>
          <w:sz w:val="22"/>
        </w:rPr>
        <w:t>Stage 1 -- Consultation: The disputing Parties consult directly to resolve the matter. Consultation occurs within thirty days of the dispute arising.</w:t>
      </w:r>
    </w:p>
    <w:p>
      <w:pPr>
        <w:spacing w:after="160" w:line="288" w:lineRule="auto"/>
        <w:jc w:val="both"/>
      </w:pPr>
      <w:r>
        <w:rPr>
          <w:rFonts w:ascii="Cambria" w:hAnsi="Cambria"/>
          <w:color w:val="1a1a1a"/>
          <w:sz w:val="22"/>
        </w:rPr>
        <w:t>Stage 2 -- Good Offices: Where direct consultation fails, a mutually agreed third party provides good offices to facilitate resolution.</w:t>
      </w:r>
    </w:p>
    <w:p>
      <w:pPr>
        <w:spacing w:after="160" w:line="288" w:lineRule="auto"/>
        <w:jc w:val="both"/>
      </w:pPr>
      <w:r>
        <w:rPr>
          <w:rFonts w:ascii="Cambria" w:hAnsi="Cambria"/>
          <w:color w:val="1a1a1a"/>
          <w:sz w:val="22"/>
        </w:rPr>
        <w:t>Stage 3 -- Co-Chairs: Where good offices fail, the matter goes to the Co-Chairs for binding determination.</w:t>
      </w:r>
    </w:p>
    <w:p>
      <w:pPr>
        <w:spacing w:after="160" w:line="288" w:lineRule="auto"/>
        <w:jc w:val="both"/>
      </w:pPr>
      <w:r>
        <w:rPr>
          <w:rFonts w:ascii="Cambria" w:hAnsi="Cambria"/>
          <w:color w:val="1a1a1a"/>
          <w:sz w:val="22"/>
        </w:rPr>
        <w:t>Stage 4 -- Cycle Pause: Where the Co-Chairs cannot reach consensus, the Parties invoke the fallback mechanism in CTAF Section 7.3. The current tranche cycle pauses until the Parties resolve the dispute or agree to proceed despite it. No new tranche activation occurs during a cycle pause.</w:t>
      </w:r>
    </w:p>
    <w:p>
      <w:pPr>
        <w:pStyle w:val="Heading2"/>
      </w:pPr>
      <w:r>
        <w:rPr>
          <w:rFonts w:ascii="Cambria" w:hAnsi="Cambria"/>
          <w:b/>
          <w:color w:val="1a1a1a"/>
          <w:sz w:val="28"/>
        </w:rPr>
        <w:t>15.3 Relationship to CTAF Dispute Resolution</w:t>
      </w:r>
    </w:p>
    <w:p>
      <w:pPr>
        <w:spacing w:after="160" w:line="288" w:lineRule="auto"/>
        <w:jc w:val="both"/>
      </w:pPr>
      <w:r>
        <w:rPr>
          <w:rFonts w:ascii="Cambria" w:hAnsi="Cambria"/>
          <w:color w:val="1a1a1a"/>
          <w:sz w:val="22"/>
        </w:rPr>
        <w:t>Where a dispute under this Annex also involves matters under the CTAF, the Parties consolidate the disputes under the CTAF dispute resolution procedures in Section 7. Consolidation requires mutual agreement of both Parties.</w:t>
      </w:r>
    </w:p>
    <w:p>
      <w:pPr>
        <w:pStyle w:val="Heading1"/>
      </w:pPr>
      <w:r>
        <w:rPr>
          <w:rFonts w:ascii="Cambria" w:hAnsi="Cambria"/>
          <w:b/>
          <w:color w:val="1a2744"/>
          <w:sz w:val="36"/>
        </w:rPr>
        <w:t>Article 16: Technical Disputes</w:t>
      </w:r>
      <w:bookmarkStart w:name="_TocArt16" w:id="17"/>
      <w:bookmarkEnd w:id="17"/>
    </w:p>
    <w:p>
      <w:pPr>
        <w:pStyle w:val="Heading2"/>
      </w:pPr>
      <w:r>
        <w:rPr>
          <w:rFonts w:ascii="Cambria" w:hAnsi="Cambria"/>
          <w:b/>
          <w:color w:val="1a1a1a"/>
          <w:sz w:val="28"/>
        </w:rPr>
        <w:t>16.1 Scope</w:t>
      </w:r>
    </w:p>
    <w:p>
      <w:pPr>
        <w:spacing w:after="160" w:line="288" w:lineRule="auto"/>
        <w:jc w:val="both"/>
      </w:pPr>
      <w:r>
        <w:rPr>
          <w:rFonts w:ascii="Cambria" w:hAnsi="Cambria"/>
          <w:color w:val="1a1a1a"/>
          <w:sz w:val="22"/>
        </w:rPr>
        <w:t>This Article applies to disputes concerning technical findings under this Annex: vessel identifications, anomaly classifications, analytical methodologies, and verification determinations. This Article operates as a supplement to CTAF Section 7.1 (Swiss relay technical clarification) and does not replace it.</w:t>
      </w:r>
    </w:p>
    <w:p>
      <w:pPr>
        <w:pStyle w:val="Heading2"/>
      </w:pPr>
      <w:r>
        <w:rPr>
          <w:rFonts w:ascii="Cambria" w:hAnsi="Cambria"/>
          <w:b/>
          <w:color w:val="1a1a1a"/>
          <w:sz w:val="28"/>
        </w:rPr>
        <w:t>16.2 Technical Review Panel</w:t>
      </w:r>
    </w:p>
    <w:p>
      <w:pPr>
        <w:spacing w:after="160" w:line="288" w:lineRule="auto"/>
        <w:jc w:val="both"/>
      </w:pPr>
      <w:r>
        <w:rPr>
          <w:rFonts w:ascii="Cambria" w:hAnsi="Cambria"/>
          <w:color w:val="1a1a1a"/>
          <w:sz w:val="22"/>
        </w:rPr>
        <w:t>The TWG maintains a Technical Review Panel comprising senior analysts with expertise in the disputed technical area. The panel reviews the disputed findings, examines the underlying data and methodology, and issues advisory findings within thirty days. These findings inform the Swiss relay's technical clarification under CTAF Section 7.1.</w:t>
      </w:r>
    </w:p>
    <w:p>
      <w:pPr>
        <w:pStyle w:val="Heading2"/>
      </w:pPr>
      <w:r>
        <w:rPr>
          <w:rFonts w:ascii="Cambria" w:hAnsi="Cambria"/>
          <w:b/>
          <w:color w:val="1a1a1a"/>
          <w:sz w:val="28"/>
        </w:rPr>
        <w:t>16.3 Panel Composition</w:t>
      </w:r>
    </w:p>
    <w:p>
      <w:pPr>
        <w:spacing w:after="160" w:line="288" w:lineRule="auto"/>
        <w:jc w:val="both"/>
      </w:pPr>
      <w:r>
        <w:rPr>
          <w:rFonts w:ascii="Cambria" w:hAnsi="Cambria"/>
          <w:color w:val="1a1a1a"/>
          <w:sz w:val="22"/>
        </w:rPr>
        <w:t>Each Party nominates one panel member. The two nominees jointly select a third member who chairs the panel. If the nominees cannot agree on a chair within ten days, the Co-Chairs appoint the chair.</w:t>
      </w:r>
    </w:p>
    <w:p>
      <w:pPr>
        <w:pStyle w:val="Heading2"/>
      </w:pPr>
      <w:r>
        <w:rPr>
          <w:rFonts w:ascii="Cambria" w:hAnsi="Cambria"/>
          <w:b/>
          <w:color w:val="1a1a1a"/>
          <w:sz w:val="28"/>
        </w:rPr>
        <w:t>16.4 Panel Procedures</w:t>
      </w:r>
    </w:p>
    <w:p>
      <w:pPr>
        <w:spacing w:after="160" w:line="288" w:lineRule="auto"/>
        <w:jc w:val="both"/>
      </w:pPr>
      <w:r>
        <w:rPr>
          <w:rFonts w:ascii="Cambria" w:hAnsi="Cambria"/>
          <w:color w:val="1a1a1a"/>
          <w:sz w:val="22"/>
        </w:rPr>
        <w:t>The panel reviews all relevant data, analytical methodologies, and findings. The panel requests additional data or analysis from the TWG where the panel determines such data is necessary for a complete determination. The panel issues a written determination including: the factual findings; the methodological basis for the determination; and any recommendations for procedural or methodological improvements.</w:t>
      </w:r>
    </w:p>
    <w:p>
      <w:pPr>
        <w:pStyle w:val="Heading2"/>
      </w:pPr>
      <w:r>
        <w:rPr>
          <w:rFonts w:ascii="Cambria" w:hAnsi="Cambria"/>
          <w:b/>
          <w:color w:val="1a1a1a"/>
          <w:sz w:val="28"/>
        </w:rPr>
        <w:t>16.5 Relationship to CTAF Section 7</w:t>
      </w:r>
    </w:p>
    <w:p>
      <w:pPr>
        <w:spacing w:after="160" w:line="288" w:lineRule="auto"/>
        <w:jc w:val="both"/>
      </w:pPr>
      <w:r>
        <w:rPr>
          <w:rFonts w:ascii="Cambria" w:hAnsi="Cambria"/>
          <w:color w:val="1a1a1a"/>
          <w:sz w:val="22"/>
        </w:rPr>
        <w:t>The Technical Review Panel's findings are advisory, not binding. The Swiss relay's technical clarification under CTAF Section 7.1 takes precedence for all technical disputes. Where the panel's findings conflict with the Swiss relay's clarification, the Parties defer to the Swiss relay's determination.</w:t>
      </w:r>
    </w:p>
    <w:p>
      <w:pPr>
        <w:pStyle w:val="Heading1"/>
      </w:pPr>
      <w:r>
        <w:rPr>
          <w:rFonts w:ascii="Cambria" w:hAnsi="Cambria"/>
          <w:b/>
          <w:color w:val="1a2744"/>
          <w:sz w:val="36"/>
        </w:rPr>
        <w:t>Article 17: Entry into Force</w:t>
      </w:r>
      <w:bookmarkStart w:name="_TocArt17" w:id="18"/>
      <w:bookmarkEnd w:id="18"/>
    </w:p>
    <w:p>
      <w:pPr>
        <w:spacing w:after="160" w:line="288" w:lineRule="auto"/>
        <w:jc w:val="both"/>
      </w:pPr>
      <w:r>
        <w:rPr>
          <w:rFonts w:ascii="Cambria" w:hAnsi="Cambria"/>
          <w:color w:val="1a1a1a"/>
          <w:sz w:val="22"/>
        </w:rPr>
        <w:t>This Annex enters into force on the date the Co-Chairs confirm that the following conditions are met:</w:t>
      </w:r>
    </w:p>
    <w:p>
      <w:pPr>
        <w:spacing w:after="160" w:line="288" w:lineRule="auto"/>
        <w:jc w:val="both"/>
      </w:pPr>
      <w:r>
        <w:rPr>
          <w:rFonts w:ascii="Cambria" w:hAnsi="Cambria"/>
          <w:color w:val="1a1a1a"/>
          <w:sz w:val="22"/>
        </w:rPr>
        <w:t>The Technical Working Group achieves full operational capability with all monitoring systems active and all analytical positions filled.</w:t>
      </w:r>
    </w:p>
    <w:p>
      <w:pPr>
        <w:spacing w:after="160" w:line="288" w:lineRule="auto"/>
        <w:jc w:val="both"/>
      </w:pPr>
      <w:r>
        <w:rPr>
          <w:rFonts w:ascii="Cambria" w:hAnsi="Cambria"/>
          <w:color w:val="1a1a1a"/>
          <w:sz w:val="22"/>
        </w:rPr>
        <w:t>Both Parties complete the integration of their national monitoring systems with the TWG data architecture.</w:t>
      </w:r>
    </w:p>
    <w:p>
      <w:pPr>
        <w:spacing w:after="160" w:line="288" w:lineRule="auto"/>
        <w:jc w:val="both"/>
      </w:pPr>
      <w:r>
        <w:rPr>
          <w:rFonts w:ascii="Cambria" w:hAnsi="Cambria"/>
          <w:color w:val="1a1a1a"/>
          <w:sz w:val="22"/>
        </w:rPr>
        <w:t>The secure communications infrastructure passes operational security certification.</w:t>
      </w:r>
    </w:p>
    <w:p>
      <w:pPr>
        <w:spacing w:after="160" w:line="288" w:lineRule="auto"/>
        <w:jc w:val="both"/>
      </w:pPr>
      <w:r>
        <w:rPr>
          <w:rFonts w:ascii="Cambria" w:hAnsi="Cambria"/>
          <w:color w:val="1a1a1a"/>
          <w:sz w:val="22"/>
        </w:rPr>
        <w:t>All TWG analysts complete the certification program defined in Article 11.</w:t>
      </w:r>
    </w:p>
    <w:p>
      <w:pPr>
        <w:spacing w:after="160" w:line="288" w:lineRule="auto"/>
        <w:jc w:val="both"/>
      </w:pPr>
      <w:r>
        <w:rPr>
          <w:rFonts w:ascii="Cambria" w:hAnsi="Cambria"/>
          <w:color w:val="1a1a1a"/>
          <w:sz w:val="22"/>
        </w:rPr>
        <w:t>The Co-Chairs approve the initial annual budget.</w:t>
      </w:r>
    </w:p>
    <w:p>
      <w:pPr>
        <w:spacing w:after="160" w:line="288" w:lineRule="auto"/>
        <w:jc w:val="both"/>
      </w:pPr>
      <w:r>
        <w:rPr>
          <w:rFonts w:ascii="Cambria" w:hAnsi="Cambria"/>
          <w:color w:val="1a1a1a"/>
          <w:sz w:val="22"/>
        </w:rPr>
        <w:t>The Co-Chairs establish a Transition Committee to oversee the phased entry into force. The Transition Committee reports monthly on progress toward the conditions above.</w:t>
      </w:r>
    </w:p>
    <w:p>
      <w:pPr>
        <w:spacing w:after="160" w:line="288" w:lineRule="auto"/>
        <w:jc w:val="both"/>
      </w:pPr>
      <w:r>
        <w:rPr>
          <w:rFonts w:ascii="Cambria" w:hAnsi="Cambria"/>
          <w:color w:val="1a1a1a"/>
          <w:sz w:val="22"/>
        </w:rPr>
        <w:t>This Annex remains in force for an initial period of five years from the date of entry into force, automatically renewing for successive five-year periods unless a Party provides written notice of non-renewal at least twelve months before the end of the current period.</w:t>
      </w:r>
    </w:p>
    <w:p>
      <w:pPr>
        <w:pStyle w:val="Heading1"/>
      </w:pPr>
      <w:r>
        <w:rPr>
          <w:rFonts w:ascii="Cambria" w:hAnsi="Cambria"/>
          <w:b/>
          <w:color w:val="1a2744"/>
          <w:sz w:val="36"/>
        </w:rPr>
        <w:t>Appendix A: Monitoring Network Architecture</w:t>
      </w:r>
      <w:bookmarkStart w:name="_TocAppA" w:id="19"/>
      <w:bookmarkEnd w:id="19"/>
    </w:p>
    <w:p>
      <w:pPr>
        <w:spacing w:after="160" w:line="288" w:lineRule="auto"/>
        <w:jc w:val="both"/>
      </w:pPr>
      <w:r>
        <w:rPr>
          <w:rFonts w:ascii="Cambria" w:hAnsi="Cambria"/>
          <w:color w:val="1a1a1a"/>
          <w:sz w:val="22"/>
        </w:rPr>
        <w:t>This Appendix defines the technical architecture of the maritime monitoring network. It specifies the geographic coverage of each monitoring layer, the technical parameters of each sensor system, and the communication pathways that connect field sensors to the Technical Working Group.</w:t>
      </w:r>
    </w:p>
    <w:p>
      <w:pPr>
        <w:pStyle w:val="Heading2"/>
      </w:pPr>
      <w:r>
        <w:rPr>
          <w:rFonts w:ascii="Cambria" w:hAnsi="Cambria"/>
          <w:b/>
          <w:color w:val="1a1a1a"/>
          <w:sz w:val="28"/>
        </w:rPr>
        <w:t>A.1 Monitored Zone Coordinates</w:t>
      </w:r>
    </w:p>
    <w:p>
      <w:pPr>
        <w:spacing w:after="160" w:line="288" w:lineRule="auto"/>
        <w:jc w:val="both"/>
      </w:pPr>
      <w:r>
        <w:rPr>
          <w:rFonts w:ascii="Cambria" w:hAnsi="Cambria"/>
          <w:color w:val="1a1a1a"/>
          <w:sz w:val="22"/>
        </w:rPr>
        <w:t>The Parties define the monitored zone using the following coordinate boundaries:</w:t>
      </w:r>
    </w:p>
    <w:p>
      <w:pPr>
        <w:spacing w:after="160" w:line="288" w:lineRule="auto"/>
        <w:jc w:val="both"/>
      </w:pPr>
      <w:r>
        <w:rPr>
          <w:rFonts w:ascii="Cambria" w:hAnsi="Cambria"/>
          <w:color w:val="1a1a1a"/>
          <w:sz w:val="22"/>
        </w:rPr>
        <w:t>Northern Boundary: From the Shatt al-Arab waterway (30.40 degrees N, 48.25 degrees E) eastward along the Iranian coast to the Strait of Hormuz.</w:t>
      </w:r>
    </w:p>
    <w:p>
      <w:pPr>
        <w:spacing w:after="160" w:line="288" w:lineRule="auto"/>
        <w:jc w:val="both"/>
      </w:pPr>
      <w:r>
        <w:rPr>
          <w:rFonts w:ascii="Cambria" w:hAnsi="Cambria"/>
          <w:color w:val="1a1a1a"/>
          <w:sz w:val="22"/>
        </w:rPr>
        <w:t>Southern Boundary: From Ra's al-Hadd, Oman (22.47 degrees N, 59.47 degrees E) northeastward across the Gulf of Oman to the maritime boundary with Pakistan.</w:t>
      </w:r>
    </w:p>
    <w:p>
      <w:pPr>
        <w:spacing w:after="160" w:line="288" w:lineRule="auto"/>
        <w:jc w:val="both"/>
      </w:pPr>
      <w:r>
        <w:rPr>
          <w:rFonts w:ascii="Cambria" w:hAnsi="Cambria"/>
          <w:color w:val="1a1a1a"/>
          <w:sz w:val="22"/>
        </w:rPr>
        <w:t>Eastern Boundary: The maritime boundary between Oman and Iran in the Gulf of Oman, extending to the high seas boundary.</w:t>
      </w:r>
    </w:p>
    <w:p>
      <w:pPr>
        <w:spacing w:after="160" w:line="288" w:lineRule="auto"/>
        <w:jc w:val="both"/>
      </w:pPr>
      <w:r>
        <w:rPr>
          <w:rFonts w:ascii="Cambria" w:hAnsi="Cambria"/>
          <w:color w:val="1a1a1a"/>
          <w:sz w:val="22"/>
        </w:rPr>
        <w:t>Western Boundary: The coastline of all littoral states from Kuwait through Saudi Arabia, Bahrain, Qatar, UAE, Oman, and Iran.</w:t>
      </w:r>
    </w:p>
    <w:p>
      <w:pPr>
        <w:spacing w:after="160" w:line="288" w:lineRule="auto"/>
        <w:jc w:val="both"/>
      </w:pPr>
      <w:r>
        <w:rPr>
          <w:rFonts w:ascii="Cambria" w:hAnsi="Cambria"/>
          <w:color w:val="1a1a1a"/>
          <w:sz w:val="22"/>
        </w:rPr>
        <w:t>The Technical Working Group maintains the precise coordinate set as a GeoJSON polygon file available to all authorized users through the secure data portal.</w:t>
      </w:r>
    </w:p>
    <w:p>
      <w:pPr>
        <w:pStyle w:val="Heading2"/>
      </w:pPr>
      <w:r>
        <w:rPr>
          <w:rFonts w:ascii="Cambria" w:hAnsi="Cambria"/>
          <w:b/>
          <w:color w:val="1a1a1a"/>
          <w:sz w:val="28"/>
        </w:rPr>
        <w:t>A.2 AIS Satellite Constellation Parameters</w:t>
      </w:r>
    </w:p>
    <w:p>
      <w:pPr>
        <w:spacing w:after="160" w:line="288" w:lineRule="auto"/>
        <w:jc w:val="both"/>
      </w:pPr>
      <w:r>
        <w:rPr>
          <w:rFonts w:ascii="Cambria" w:hAnsi="Cambria"/>
          <w:color w:val="1a1a1a"/>
          <w:sz w:val="22"/>
        </w:rPr>
        <w:t>The primary AIS data provider delivers coverage through the following constellation parameters:</w:t>
      </w:r>
    </w:p>
    <w:p>
      <w:pPr>
        <w:spacing w:after="160" w:line="288" w:lineRule="auto"/>
        <w:jc w:val="both"/>
      </w:pPr>
      <w:r>
        <w:rPr>
          <w:rFonts w:ascii="Cambria" w:hAnsi="Cambria"/>
          <w:color w:val="1a1a1a"/>
          <w:sz w:val="22"/>
        </w:rPr>
        <w:t>Orbital Configuration: LEO (Low Earth Orbit) satellites at approximately four hundred to six hundred kilometers altitude.</w:t>
      </w:r>
    </w:p>
    <w:p>
      <w:pPr>
        <w:spacing w:after="160" w:line="288" w:lineRule="auto"/>
        <w:jc w:val="both"/>
      </w:pPr>
      <w:r>
        <w:rPr>
          <w:rFonts w:ascii="Cambria" w:hAnsi="Cambria"/>
          <w:color w:val="1a1a1a"/>
          <w:sz w:val="22"/>
        </w:rPr>
        <w:t>Revisit Rate: Average thirty minutes between satellite passes for any given location in the monitored zone.</w:t>
      </w:r>
    </w:p>
    <w:p>
      <w:pPr>
        <w:spacing w:after="160" w:line="288" w:lineRule="auto"/>
        <w:jc w:val="both"/>
      </w:pPr>
      <w:r>
        <w:rPr>
          <w:rFonts w:ascii="Cambria" w:hAnsi="Cambria"/>
          <w:color w:val="1a1a1a"/>
          <w:sz w:val="22"/>
        </w:rPr>
        <w:t>Message Detection: The constellation detects both Class A and Class B AIS messages broadcast on VHF channels 87B (161.975 MHz) and 88B (162.025 MHz).</w:t>
      </w:r>
    </w:p>
    <w:p>
      <w:pPr>
        <w:spacing w:after="160" w:line="288" w:lineRule="auto"/>
        <w:jc w:val="both"/>
      </w:pPr>
      <w:r>
        <w:rPr>
          <w:rFonts w:ascii="Cambria" w:hAnsi="Cambria"/>
          <w:color w:val="1a1a1a"/>
          <w:sz w:val="22"/>
        </w:rPr>
        <w:t>Message Types: The system captures position reports (Message Types 1, 2, 3), static and voyage data (Message Types 5, 24), and binary messages (Message Types 6, 8).</w:t>
      </w:r>
    </w:p>
    <w:p>
      <w:pPr>
        <w:spacing w:after="160" w:line="288" w:lineRule="auto"/>
        <w:jc w:val="both"/>
      </w:pPr>
      <w:r>
        <w:rPr>
          <w:rFonts w:ascii="Cambria" w:hAnsi="Cambria"/>
          <w:color w:val="1a1a1a"/>
          <w:sz w:val="22"/>
        </w:rPr>
        <w:t>Data Latency: Maximum sixty seconds from satellite detection to delivery at the Technical Working Group.</w:t>
      </w:r>
    </w:p>
    <w:p>
      <w:pPr>
        <w:spacing w:after="160" w:line="288" w:lineRule="auto"/>
        <w:jc w:val="both"/>
      </w:pPr>
      <w:r>
        <w:rPr>
          <w:rFonts w:ascii="Cambria" w:hAnsi="Cambria"/>
          <w:color w:val="1a1a1a"/>
          <w:sz w:val="22"/>
        </w:rPr>
        <w:t>Secondary AIS providers maintain equivalent technical specifications. The Technical Working Group routes data automatically between primary and secondary feeds based on availability and quality metrics.</w:t>
      </w:r>
    </w:p>
    <w:p>
      <w:pPr>
        <w:pStyle w:val="Heading2"/>
      </w:pPr>
      <w:r>
        <w:rPr>
          <w:rFonts w:ascii="Cambria" w:hAnsi="Cambria"/>
          <w:b/>
          <w:color w:val="1a1a1a"/>
          <w:sz w:val="28"/>
        </w:rPr>
        <w:t>A.3 Coastal Radar Station Specifications</w:t>
      </w:r>
    </w:p>
    <w:p>
      <w:pPr>
        <w:spacing w:after="160" w:line="288" w:lineRule="auto"/>
        <w:jc w:val="both"/>
      </w:pPr>
      <w:r>
        <w:rPr>
          <w:rFonts w:ascii="Cambria" w:hAnsi="Cambria"/>
          <w:color w:val="1a1a1a"/>
          <w:sz w:val="22"/>
        </w:rPr>
        <w:t>Each coastal radar station operates with the following technical parameters:</w:t>
      </w:r>
    </w:p>
    <w:tbl>
      <w:tblPr>
        <w:tblW w:w="5000" w:type="pct"/>
        <w:tblBorders>
          <w:top w:val="single" w:color="1a2744" w:sz="8"/>
          <w:bottom w:val="single" w:color="1a2744" w:sz="8"/>
          <w:insideH w:val="single" w:color="c8c4b8" w:sz="4"/>
        </w:tblBorders>
      </w:tblPr>
      <w:tblGrid>
        <w:gridCol w:w="2000"/>
        <w:gridCol w:w="2000"/>
        <w:gridCol w:w="1800"/>
        <w:gridCol w:w="1800"/>
        <w:gridCol w:w="1800"/>
      </w:tblGrid>
      <w:tr>
        <w:tc>
          <w:tcPr>
            <w:tcW w:w="2000" w:type="dxa"/>
            <w:shd w:val="clear" w:fill="e8e5dd"/>
          </w:tcPr>
          <w:p>
            <w:pPr>
              <w:spacing w:before="60" w:after="60"/>
              <w:jc w:val="center"/>
            </w:pPr>
            <w:r>
              <w:rPr>
                <w:rFonts w:ascii="Cambria" w:hAnsi="Cambria"/>
                <w:b w:val="true"/>
                <w:color w:val="1a2744"/>
                <w:sz w:val="20"/>
              </w:rPr>
              <w:t>Station</w:t>
            </w:r>
          </w:p>
        </w:tc>
        <w:tc>
          <w:tcPr>
            <w:tcW w:w="2000" w:type="dxa"/>
            <w:shd w:val="clear" w:fill="e8e5dd"/>
          </w:tcPr>
          <w:p>
            <w:pPr>
              <w:spacing w:before="60" w:after="60"/>
              <w:jc w:val="center"/>
            </w:pPr>
            <w:r>
              <w:rPr>
                <w:rFonts w:ascii="Cambria" w:hAnsi="Cambria"/>
                <w:b w:val="true"/>
                <w:color w:val="1a2744"/>
                <w:sz w:val="20"/>
              </w:rPr>
              <w:t>Location</w:t>
            </w:r>
          </w:p>
        </w:tc>
        <w:tc>
          <w:tcPr>
            <w:tcW w:w="1800" w:type="dxa"/>
            <w:shd w:val="clear" w:fill="e8e5dd"/>
          </w:tcPr>
          <w:p>
            <w:pPr>
              <w:spacing w:before="60" w:after="60"/>
              <w:jc w:val="center"/>
            </w:pPr>
            <w:r>
              <w:rPr>
                <w:rFonts w:ascii="Cambria" w:hAnsi="Cambria"/>
                <w:b w:val="true"/>
                <w:color w:val="1a2744"/>
                <w:sz w:val="20"/>
              </w:rPr>
              <w:t>Range (nm)</w:t>
            </w:r>
          </w:p>
        </w:tc>
        <w:tc>
          <w:tcPr>
            <w:tcW w:w="1800" w:type="dxa"/>
            <w:shd w:val="clear" w:fill="e8e5dd"/>
          </w:tcPr>
          <w:p>
            <w:pPr>
              <w:spacing w:before="60" w:after="60"/>
              <w:jc w:val="center"/>
            </w:pPr>
            <w:r>
              <w:rPr>
                <w:rFonts w:ascii="Cambria" w:hAnsi="Cambria"/>
                <w:b w:val="true"/>
                <w:color w:val="1a2744"/>
                <w:sz w:val="20"/>
              </w:rPr>
              <w:t>Band</w:t>
            </w:r>
          </w:p>
        </w:tc>
        <w:tc>
          <w:tcPr>
            <w:tcW w:w="1800" w:type="dxa"/>
            <w:shd w:val="clear" w:fill="e8e5dd"/>
          </w:tcPr>
          <w:p>
            <w:pPr>
              <w:spacing w:before="60" w:after="60"/>
              <w:jc w:val="center"/>
            </w:pPr>
            <w:r>
              <w:rPr>
                <w:rFonts w:ascii="Cambria" w:hAnsi="Cambria"/>
                <w:b w:val="true"/>
                <w:color w:val="1a2744"/>
                <w:sz w:val="20"/>
              </w:rPr>
              <w:t>Status</w:t>
            </w:r>
          </w:p>
        </w:tc>
      </w:tr>
      <w:tr>
        <w:tc>
          <w:tcPr>
            <w:tcW w:w="2000" w:type="dxa"/>
          </w:tcPr>
          <w:p>
            <w:pPr>
              <w:spacing w:before="60" w:after="60"/>
            </w:pPr>
            <w:r>
              <w:rPr>
                <w:rFonts w:ascii="Cambria" w:hAnsi="Cambria"/>
                <w:b w:val="false"/>
                <w:color w:val="1a1a1a"/>
                <w:sz w:val="20"/>
              </w:rPr>
              <w:t>RS-01</w:t>
            </w:r>
          </w:p>
        </w:tc>
        <w:tc>
          <w:tcPr>
            <w:tcW w:w="2000" w:type="dxa"/>
          </w:tcPr>
          <w:p>
            <w:pPr>
              <w:spacing w:before="60" w:after="60"/>
            </w:pPr>
            <w:r>
              <w:rPr>
                <w:rFonts w:ascii="Cambria" w:hAnsi="Cambria"/>
                <w:b w:val="false"/>
                <w:color w:val="1a1a1a"/>
                <w:sz w:val="20"/>
              </w:rPr>
              <w:t>Bandar Abbas, IRN</w:t>
            </w:r>
          </w:p>
        </w:tc>
        <w:tc>
          <w:tcPr>
            <w:tcW w:w="1800" w:type="dxa"/>
          </w:tcPr>
          <w:p>
            <w:pPr>
              <w:spacing w:before="60" w:after="60"/>
            </w:pPr>
            <w:r>
              <w:rPr>
                <w:rFonts w:ascii="Cambria" w:hAnsi="Cambria"/>
                <w:b w:val="false"/>
                <w:color w:val="1a1a1a"/>
                <w:sz w:val="20"/>
              </w:rPr>
              <w:t>40</w:t>
            </w:r>
          </w:p>
        </w:tc>
        <w:tc>
          <w:tcPr>
            <w:tcW w:w="1800" w:type="dxa"/>
          </w:tcPr>
          <w:p>
            <w:pPr>
              <w:spacing w:before="60" w:after="60"/>
            </w:pPr>
            <w:r>
              <w:rPr>
                <w:rFonts w:ascii="Cambria" w:hAnsi="Cambria"/>
                <w:b w:val="false"/>
                <w:color w:val="1a1a1a"/>
                <w:sz w:val="20"/>
              </w:rPr>
              <w:t>X-Band</w:t>
            </w:r>
          </w:p>
        </w:tc>
        <w:tc>
          <w:tcPr>
            <w:tcW w:w="1800" w:type="dxa"/>
          </w:tcPr>
          <w:p>
            <w:pPr>
              <w:spacing w:before="60" w:after="60"/>
            </w:pPr>
            <w:r>
              <w:rPr>
                <w:rFonts w:ascii="Cambria" w:hAnsi="Cambria"/>
                <w:b w:val="false"/>
                <w:color w:val="1a1a1a"/>
                <w:sz w:val="20"/>
              </w:rPr>
              <w:t>Active</w:t>
            </w:r>
          </w:p>
        </w:tc>
      </w:tr>
      <w:tr>
        <w:tc>
          <w:tcPr>
            <w:tcW w:w="2000" w:type="dxa"/>
          </w:tcPr>
          <w:p>
            <w:pPr>
              <w:spacing w:before="60" w:after="60"/>
            </w:pPr>
            <w:r>
              <w:rPr>
                <w:rFonts w:ascii="Cambria" w:hAnsi="Cambria"/>
                <w:b w:val="false"/>
                <w:color w:val="1a1a1a"/>
                <w:sz w:val="20"/>
              </w:rPr>
              <w:t>RS-02</w:t>
            </w:r>
          </w:p>
        </w:tc>
        <w:tc>
          <w:tcPr>
            <w:tcW w:w="2000" w:type="dxa"/>
          </w:tcPr>
          <w:p>
            <w:pPr>
              <w:spacing w:before="60" w:after="60"/>
            </w:pPr>
            <w:r>
              <w:rPr>
                <w:rFonts w:ascii="Cambria" w:hAnsi="Cambria"/>
                <w:b w:val="false"/>
                <w:color w:val="1a1a1a"/>
                <w:sz w:val="20"/>
              </w:rPr>
              <w:t>Fujairah, UAE</w:t>
            </w:r>
          </w:p>
        </w:tc>
        <w:tc>
          <w:tcPr>
            <w:tcW w:w="1800" w:type="dxa"/>
          </w:tcPr>
          <w:p>
            <w:pPr>
              <w:spacing w:before="60" w:after="60"/>
            </w:pPr>
            <w:r>
              <w:rPr>
                <w:rFonts w:ascii="Cambria" w:hAnsi="Cambria"/>
                <w:b w:val="false"/>
                <w:color w:val="1a1a1a"/>
                <w:sz w:val="20"/>
              </w:rPr>
              <w:t>45</w:t>
            </w:r>
          </w:p>
        </w:tc>
        <w:tc>
          <w:tcPr>
            <w:tcW w:w="1800" w:type="dxa"/>
          </w:tcPr>
          <w:p>
            <w:pPr>
              <w:spacing w:before="60" w:after="60"/>
            </w:pPr>
            <w:r>
              <w:rPr>
                <w:rFonts w:ascii="Cambria" w:hAnsi="Cambria"/>
                <w:b w:val="false"/>
                <w:color w:val="1a1a1a"/>
                <w:sz w:val="20"/>
              </w:rPr>
              <w:t>S-Band</w:t>
            </w:r>
          </w:p>
        </w:tc>
        <w:tc>
          <w:tcPr>
            <w:tcW w:w="1800" w:type="dxa"/>
          </w:tcPr>
          <w:p>
            <w:pPr>
              <w:spacing w:before="60" w:after="60"/>
            </w:pPr>
            <w:r>
              <w:rPr>
                <w:rFonts w:ascii="Cambria" w:hAnsi="Cambria"/>
                <w:b w:val="false"/>
                <w:color w:val="1a1a1a"/>
                <w:sz w:val="20"/>
              </w:rPr>
              <w:t>Active</w:t>
            </w:r>
          </w:p>
        </w:tc>
      </w:tr>
      <w:tr>
        <w:tc>
          <w:tcPr>
            <w:tcW w:w="2000" w:type="dxa"/>
          </w:tcPr>
          <w:p>
            <w:pPr>
              <w:spacing w:before="60" w:after="60"/>
            </w:pPr>
            <w:r>
              <w:rPr>
                <w:rFonts w:ascii="Cambria" w:hAnsi="Cambria"/>
                <w:b w:val="false"/>
                <w:color w:val="1a1a1a"/>
                <w:sz w:val="20"/>
              </w:rPr>
              <w:t>RS-03</w:t>
            </w:r>
          </w:p>
        </w:tc>
        <w:tc>
          <w:tcPr>
            <w:tcW w:w="2000" w:type="dxa"/>
          </w:tcPr>
          <w:p>
            <w:pPr>
              <w:spacing w:before="60" w:after="60"/>
            </w:pPr>
            <w:r>
              <w:rPr>
                <w:rFonts w:ascii="Cambria" w:hAnsi="Cambria"/>
                <w:b w:val="false"/>
                <w:color w:val="1a1a1a"/>
                <w:sz w:val="20"/>
              </w:rPr>
              <w:t>Muscat, OMN</w:t>
            </w:r>
          </w:p>
        </w:tc>
        <w:tc>
          <w:tcPr>
            <w:tcW w:w="1800" w:type="dxa"/>
          </w:tcPr>
          <w:p>
            <w:pPr>
              <w:spacing w:before="60" w:after="60"/>
            </w:pPr>
            <w:r>
              <w:rPr>
                <w:rFonts w:ascii="Cambria" w:hAnsi="Cambria"/>
                <w:b w:val="false"/>
                <w:color w:val="1a1a1a"/>
                <w:sz w:val="20"/>
              </w:rPr>
              <w:t>40</w:t>
            </w:r>
          </w:p>
        </w:tc>
        <w:tc>
          <w:tcPr>
            <w:tcW w:w="1800" w:type="dxa"/>
          </w:tcPr>
          <w:p>
            <w:pPr>
              <w:spacing w:before="60" w:after="60"/>
            </w:pPr>
            <w:r>
              <w:rPr>
                <w:rFonts w:ascii="Cambria" w:hAnsi="Cambria"/>
                <w:b w:val="false"/>
                <w:color w:val="1a1a1a"/>
                <w:sz w:val="20"/>
              </w:rPr>
              <w:t>X-Band</w:t>
            </w:r>
          </w:p>
        </w:tc>
        <w:tc>
          <w:tcPr>
            <w:tcW w:w="1800" w:type="dxa"/>
          </w:tcPr>
          <w:p>
            <w:pPr>
              <w:spacing w:before="60" w:after="60"/>
            </w:pPr>
            <w:r>
              <w:rPr>
                <w:rFonts w:ascii="Cambria" w:hAnsi="Cambria"/>
                <w:b w:val="false"/>
                <w:color w:val="1a1a1a"/>
                <w:sz w:val="20"/>
              </w:rPr>
              <w:t>Active</w:t>
            </w:r>
          </w:p>
        </w:tc>
      </w:tr>
      <w:tr>
        <w:tc>
          <w:tcPr>
            <w:tcW w:w="2000" w:type="dxa"/>
          </w:tcPr>
          <w:p>
            <w:pPr>
              <w:spacing w:before="60" w:after="60"/>
            </w:pPr>
            <w:r>
              <w:rPr>
                <w:rFonts w:ascii="Cambria" w:hAnsi="Cambria"/>
                <w:b w:val="false"/>
                <w:color w:val="1a1a1a"/>
                <w:sz w:val="20"/>
              </w:rPr>
              <w:t>RS-04</w:t>
            </w:r>
          </w:p>
        </w:tc>
        <w:tc>
          <w:tcPr>
            <w:tcW w:w="2000" w:type="dxa"/>
          </w:tcPr>
          <w:p>
            <w:pPr>
              <w:spacing w:before="60" w:after="60"/>
            </w:pPr>
            <w:r>
              <w:rPr>
                <w:rFonts w:ascii="Cambria" w:hAnsi="Cambria"/>
                <w:b w:val="false"/>
                <w:color w:val="1a1a1a"/>
                <w:sz w:val="20"/>
              </w:rPr>
              <w:t>Dammam, SAU</w:t>
            </w:r>
          </w:p>
        </w:tc>
        <w:tc>
          <w:tcPr>
            <w:tcW w:w="1800" w:type="dxa"/>
          </w:tcPr>
          <w:p>
            <w:pPr>
              <w:spacing w:before="60" w:after="60"/>
            </w:pPr>
            <w:r>
              <w:rPr>
                <w:rFonts w:ascii="Cambria" w:hAnsi="Cambria"/>
                <w:b w:val="false"/>
                <w:color w:val="1a1a1a"/>
                <w:sz w:val="20"/>
              </w:rPr>
              <w:t>35</w:t>
            </w:r>
          </w:p>
        </w:tc>
        <w:tc>
          <w:tcPr>
            <w:tcW w:w="1800" w:type="dxa"/>
          </w:tcPr>
          <w:p>
            <w:pPr>
              <w:spacing w:before="60" w:after="60"/>
            </w:pPr>
            <w:r>
              <w:rPr>
                <w:rFonts w:ascii="Cambria" w:hAnsi="Cambria"/>
                <w:b w:val="false"/>
                <w:color w:val="1a1a1a"/>
                <w:sz w:val="20"/>
              </w:rPr>
              <w:t>S-Band</w:t>
            </w:r>
          </w:p>
        </w:tc>
        <w:tc>
          <w:tcPr>
            <w:tcW w:w="1800" w:type="dxa"/>
          </w:tcPr>
          <w:p>
            <w:pPr>
              <w:spacing w:before="60" w:after="60"/>
            </w:pPr>
            <w:r>
              <w:rPr>
                <w:rFonts w:ascii="Cambria" w:hAnsi="Cambria"/>
                <w:b w:val="false"/>
                <w:color w:val="1a1a1a"/>
                <w:sz w:val="20"/>
              </w:rPr>
              <w:t>Active</w:t>
            </w:r>
          </w:p>
        </w:tc>
      </w:tr>
      <w:tr>
        <w:tc>
          <w:tcPr>
            <w:tcW w:w="2000" w:type="dxa"/>
          </w:tcPr>
          <w:p>
            <w:pPr>
              <w:spacing w:before="60" w:after="60"/>
            </w:pPr>
            <w:r>
              <w:rPr>
                <w:rFonts w:ascii="Cambria" w:hAnsi="Cambria"/>
                <w:b w:val="false"/>
                <w:color w:val="1a1a1a"/>
                <w:sz w:val="20"/>
              </w:rPr>
              <w:t>RS-05</w:t>
            </w:r>
          </w:p>
        </w:tc>
        <w:tc>
          <w:tcPr>
            <w:tcW w:w="2000" w:type="dxa"/>
          </w:tcPr>
          <w:p>
            <w:pPr>
              <w:spacing w:before="60" w:after="60"/>
            </w:pPr>
            <w:r>
              <w:rPr>
                <w:rFonts w:ascii="Cambria" w:hAnsi="Cambria"/>
                <w:b w:val="false"/>
                <w:color w:val="1a1a1a"/>
                <w:sz w:val="20"/>
              </w:rPr>
              <w:t>Umm Qasr, IRQ</w:t>
            </w:r>
          </w:p>
        </w:tc>
        <w:tc>
          <w:tcPr>
            <w:tcW w:w="1800" w:type="dxa"/>
          </w:tcPr>
          <w:p>
            <w:pPr>
              <w:spacing w:before="60" w:after="60"/>
            </w:pPr>
            <w:r>
              <w:rPr>
                <w:rFonts w:ascii="Cambria" w:hAnsi="Cambria"/>
                <w:b w:val="false"/>
                <w:color w:val="1a1a1a"/>
                <w:sz w:val="20"/>
              </w:rPr>
              <w:t>30</w:t>
            </w:r>
          </w:p>
        </w:tc>
        <w:tc>
          <w:tcPr>
            <w:tcW w:w="1800" w:type="dxa"/>
          </w:tcPr>
          <w:p>
            <w:pPr>
              <w:spacing w:before="60" w:after="60"/>
            </w:pPr>
            <w:r>
              <w:rPr>
                <w:rFonts w:ascii="Cambria" w:hAnsi="Cambria"/>
                <w:b w:val="false"/>
                <w:color w:val="1a1a1a"/>
                <w:sz w:val="20"/>
              </w:rPr>
              <w:t>X-Band</w:t>
            </w:r>
          </w:p>
        </w:tc>
        <w:tc>
          <w:tcPr>
            <w:tcW w:w="1800" w:type="dxa"/>
          </w:tcPr>
          <w:p>
            <w:pPr>
              <w:spacing w:before="60" w:after="60"/>
            </w:pPr>
            <w:r>
              <w:rPr>
                <w:rFonts w:ascii="Cambria" w:hAnsi="Cambria"/>
                <w:b w:val="false"/>
                <w:color w:val="1a1a1a"/>
                <w:sz w:val="20"/>
              </w:rPr>
              <w:t>Planned</w:t>
            </w:r>
          </w:p>
        </w:tc>
      </w:tr>
    </w:tbl>
    <w:p>
      <w:pPr>
        <w:pStyle w:val="Heading2"/>
      </w:pPr>
      <w:r>
        <w:rPr>
          <w:rFonts w:ascii="Cambria" w:hAnsi="Cambria"/>
          <w:b/>
          <w:color w:val="1a1a1a"/>
          <w:sz w:val="28"/>
        </w:rPr>
        <w:t>A.4 UAV Forward Operating Bases</w:t>
      </w:r>
    </w:p>
    <w:p>
      <w:pPr>
        <w:spacing w:after="160" w:line="288" w:lineRule="auto"/>
        <w:jc w:val="both"/>
      </w:pPr>
      <w:r>
        <w:rPr>
          <w:rFonts w:ascii="Cambria" w:hAnsi="Cambria"/>
          <w:color w:val="1a1a1a"/>
          <w:sz w:val="22"/>
        </w:rPr>
        <w:t>The monitoring network maintains UAV capability from the following forward operating bases:</w:t>
      </w:r>
    </w:p>
    <w:p>
      <w:pPr>
        <w:spacing w:after="160" w:line="288" w:lineRule="auto"/>
        <w:jc w:val="both"/>
      </w:pPr>
      <w:r>
        <w:rPr>
          <w:rFonts w:ascii="Cambria" w:hAnsi="Cambria"/>
          <w:color w:val="1a1a1a"/>
          <w:sz w:val="22"/>
        </w:rPr>
        <w:t>FOB Central: Located at Fujairah, UAE. Coverage radius: two hundred nautical miles. Primary mission: Strait of Hormuz transit corridor patrol.</w:t>
      </w:r>
    </w:p>
    <w:p>
      <w:pPr>
        <w:spacing w:after="160" w:line="288" w:lineRule="auto"/>
        <w:jc w:val="both"/>
      </w:pPr>
      <w:r>
        <w:rPr>
          <w:rFonts w:ascii="Cambria" w:hAnsi="Cambria"/>
          <w:color w:val="1a1a1a"/>
          <w:sz w:val="22"/>
        </w:rPr>
        <w:t>FOB North: Located at Bandar Abbas, Iran. Coverage radius: one hundred fifty nautical miles. Primary mission: Northern Gulf shipping lane patrol.</w:t>
      </w:r>
    </w:p>
    <w:p>
      <w:pPr>
        <w:spacing w:after="160" w:line="288" w:lineRule="auto"/>
        <w:jc w:val="both"/>
      </w:pPr>
      <w:r>
        <w:rPr>
          <w:rFonts w:ascii="Cambria" w:hAnsi="Cambria"/>
          <w:color w:val="1a1a1a"/>
          <w:sz w:val="22"/>
        </w:rPr>
        <w:t>FOB East: Located at Muscat, Oman. Coverage radius: two hundred nautical miles. Primary mission: Eastern Gulf and Gulf of Oman patrol.</w:t>
      </w:r>
    </w:p>
    <w:p>
      <w:pPr>
        <w:spacing w:after="160" w:line="288" w:lineRule="auto"/>
        <w:jc w:val="both"/>
      </w:pPr>
      <w:r>
        <w:rPr>
          <w:rFonts w:ascii="Cambria" w:hAnsi="Cambria"/>
          <w:color w:val="1a1a1a"/>
          <w:sz w:val="22"/>
        </w:rPr>
        <w:t>Each forward operating base maintains two UAV platforms on rotating standby. Launch readiness: thirty minutes from tasking to airborne.</w:t>
      </w:r>
    </w:p>
    <w:p>
      <w:pPr>
        <w:pStyle w:val="Heading2"/>
      </w:pPr>
      <w:r>
        <w:rPr>
          <w:rFonts w:ascii="Cambria" w:hAnsi="Cambria"/>
          <w:b/>
          <w:color w:val="1a1a1a"/>
          <w:sz w:val="28"/>
        </w:rPr>
        <w:t>A.5 Communication Pathways</w:t>
      </w:r>
    </w:p>
    <w:p>
      <w:pPr>
        <w:spacing w:after="160" w:line="288" w:lineRule="auto"/>
        <w:jc w:val="both"/>
      </w:pPr>
      <w:r>
        <w:rPr>
          <w:rFonts w:ascii="Cambria" w:hAnsi="Cambria"/>
          <w:color w:val="1a1a1a"/>
          <w:sz w:val="22"/>
        </w:rPr>
        <w:t>Field sensors connect to the Technical Working Group through the following communication architecture:</w:t>
      </w:r>
    </w:p>
    <w:p>
      <w:pPr>
        <w:spacing w:after="160" w:line="288" w:lineRule="auto"/>
        <w:jc w:val="both"/>
      </w:pPr>
      <w:r>
        <w:rPr>
          <w:rFonts w:ascii="Cambria" w:hAnsi="Cambria"/>
          <w:color w:val="1a1a1a"/>
          <w:sz w:val="22"/>
        </w:rPr>
        <w:t>Primary Link: Dedicated fiber-optic connection via commercial telecommunications infrastructure.</w:t>
      </w:r>
    </w:p>
    <w:p>
      <w:pPr>
        <w:spacing w:after="160" w:line="288" w:lineRule="auto"/>
        <w:jc w:val="both"/>
      </w:pPr>
      <w:r>
        <w:rPr>
          <w:rFonts w:ascii="Cambria" w:hAnsi="Cambria"/>
          <w:color w:val="1a1a1a"/>
          <w:sz w:val="22"/>
        </w:rPr>
        <w:t>Backup Link: Encrypted satellite communication (VSAT) via commercial satellite providers.</w:t>
      </w:r>
    </w:p>
    <w:p>
      <w:pPr>
        <w:spacing w:after="160" w:line="288" w:lineRule="auto"/>
        <w:jc w:val="both"/>
      </w:pPr>
      <w:r>
        <w:rPr>
          <w:rFonts w:ascii="Cambria" w:hAnsi="Cambria"/>
          <w:color w:val="1a1a1a"/>
          <w:sz w:val="22"/>
        </w:rPr>
        <w:t>Emergency Link: HF radio backup for critical alerts when primary and backup links are unavailable.</w:t>
      </w:r>
    </w:p>
    <w:p>
      <w:pPr>
        <w:spacing w:after="160" w:line="288" w:lineRule="auto"/>
        <w:jc w:val="both"/>
      </w:pPr>
      <w:r>
        <w:rPr>
          <w:rFonts w:ascii="Cambria" w:hAnsi="Cambria"/>
          <w:color w:val="1a1a1a"/>
          <w:sz w:val="22"/>
        </w:rPr>
        <w:t>All communication links encrypt data in transit using AES-256-GCM encryption. The Technical Working Group manages key distribution and rotation through a hardware security module infrastructure.</w:t>
      </w:r>
    </w:p>
    <w:p>
      <w:pPr>
        <w:spacing w:after="160" w:line="288" w:lineRule="auto"/>
        <w:jc w:val="both"/>
      </w:pPr>
      <w:r>
        <w:rPr>
          <w:rFonts w:ascii="Cambria" w:hAnsi="Cambria"/>
          <w:color w:val="1a1a1a"/>
          <w:sz w:val="22"/>
        </w:rPr>
        <w:t>The network maintains a minimum bandwidth of ten megabits per second aggregate from each radar station and one megabit per second from each UAV control station.</w:t>
      </w:r>
    </w:p>
    <w:p>
      <w:pPr>
        <w:pStyle w:val="Heading2"/>
      </w:pPr>
      <w:r>
        <w:rPr>
          <w:rFonts w:ascii="Cambria" w:hAnsi="Cambria"/>
          <w:b/>
          <w:color w:val="1a1a1a"/>
          <w:sz w:val="28"/>
        </w:rPr>
        <w:t>A.6 Data Center Architecture</w:t>
      </w:r>
    </w:p>
    <w:p>
      <w:pPr>
        <w:spacing w:after="160" w:line="288" w:lineRule="auto"/>
        <w:jc w:val="both"/>
      </w:pPr>
      <w:r>
        <w:rPr>
          <w:rFonts w:ascii="Cambria" w:hAnsi="Cambria"/>
          <w:color w:val="1a1a1a"/>
          <w:sz w:val="22"/>
        </w:rPr>
        <w:t>The Technical Working Group hosts its primary data processing capability at the main facility location. The data center architecture includes:</w:t>
      </w:r>
    </w:p>
    <w:p>
      <w:pPr>
        <w:spacing w:after="160" w:line="288" w:lineRule="auto"/>
        <w:jc w:val="both"/>
      </w:pPr>
      <w:r>
        <w:rPr>
          <w:rFonts w:ascii="Cambria" w:hAnsi="Cambria"/>
          <w:color w:val="1a1a1a"/>
          <w:sz w:val="22"/>
        </w:rPr>
        <w:t>Real-time Processing Cluster: High-availability servers processing incoming AIS and radar streams. Capacity: fifty thousand vessel tracks processed per hour.</w:t>
      </w:r>
    </w:p>
    <w:p>
      <w:pPr>
        <w:spacing w:after="160" w:line="288" w:lineRule="auto"/>
        <w:jc w:val="both"/>
      </w:pPr>
      <w:r>
        <w:rPr>
          <w:rFonts w:ascii="Cambria" w:hAnsi="Cambria"/>
          <w:color w:val="1a1a1a"/>
          <w:sz w:val="22"/>
        </w:rPr>
        <w:t>Analytical Workstations: Twenty analyst workstations with multi-screen displays showing the Compliance Dashboard, analytical tools, and communication interfaces.</w:t>
      </w:r>
    </w:p>
    <w:p>
      <w:pPr>
        <w:spacing w:after="160" w:line="288" w:lineRule="auto"/>
        <w:jc w:val="both"/>
      </w:pPr>
      <w:r>
        <w:rPr>
          <w:rFonts w:ascii="Cambria" w:hAnsi="Cambria"/>
          <w:color w:val="1a1a1a"/>
          <w:sz w:val="22"/>
        </w:rPr>
        <w:t>Data Repository: Redundant storage arrays maintaining all operational data per the retention schedules in Article 4.4.</w:t>
      </w:r>
    </w:p>
    <w:p>
      <w:pPr>
        <w:spacing w:after="160" w:line="288" w:lineRule="auto"/>
        <w:jc w:val="both"/>
      </w:pPr>
      <w:r>
        <w:rPr>
          <w:rFonts w:ascii="Cambria" w:hAnsi="Cambria"/>
          <w:color w:val="1a1a1a"/>
          <w:sz w:val="22"/>
        </w:rPr>
        <w:t>Backup Site: A geographically separate backup facility maintains a hot standby of all critical systems. Failover occurs automatically within five minutes of primary site failure.</w:t>
      </w:r>
    </w:p>
    <w:p>
      <w:pPr>
        <w:spacing w:after="160" w:line="288" w:lineRule="auto"/>
        <w:jc w:val="both"/>
      </w:pPr>
      <w:r>
        <w:rPr>
          <w:rFonts w:ascii="Cambria" w:hAnsi="Cambria"/>
          <w:color w:val="1a1a1a"/>
          <w:sz w:val="22"/>
        </w:rPr>
        <w:t>For the CTAF data flow that integrates monitoring data into the verification architecture, see Article 3.6.</w:t>
      </w:r>
    </w:p>
    <w:p>
      <w:pPr>
        <w:pStyle w:val="Heading1"/>
      </w:pPr>
      <w:r>
        <w:rPr>
          <w:rFonts w:ascii="Cambria" w:hAnsi="Cambria"/>
          <w:b/>
          <w:color w:val="1a2744"/>
          <w:sz w:val="36"/>
        </w:rPr>
        <w:t>Appendix B: Data Format Specification</w:t>
      </w:r>
      <w:bookmarkStart w:name="_TocAppB" w:id="20"/>
      <w:bookmarkEnd w:id="20"/>
    </w:p>
    <w:p>
      <w:pPr>
        <w:spacing w:after="160" w:line="288" w:lineRule="auto"/>
        <w:jc w:val="both"/>
      </w:pPr>
      <w:r>
        <w:rPr>
          <w:rFonts w:ascii="Cambria" w:hAnsi="Cambria"/>
          <w:color w:val="1a1a1a"/>
          <w:sz w:val="22"/>
        </w:rPr>
        <w:t>This Appendix defines the data formats that all monitoring systems and the Technical Working Group use for data interchange. Standardized formats ensure interoperability, enable automated processing, and support legal admissibility of monitoring records.</w:t>
      </w:r>
    </w:p>
    <w:p>
      <w:pPr>
        <w:pStyle w:val="Heading2"/>
      </w:pPr>
      <w:r>
        <w:rPr>
          <w:rFonts w:ascii="Cambria" w:hAnsi="Cambria"/>
          <w:b/>
          <w:color w:val="1a1a1a"/>
          <w:sz w:val="28"/>
        </w:rPr>
        <w:t>B.1 JSON Message Schema</w:t>
      </w:r>
    </w:p>
    <w:p>
      <w:pPr>
        <w:spacing w:after="160" w:line="288" w:lineRule="auto"/>
        <w:jc w:val="both"/>
      </w:pPr>
      <w:r>
        <w:rPr>
          <w:rFonts w:ascii="Cambria" w:hAnsi="Cambria"/>
          <w:color w:val="1a1a1a"/>
          <w:sz w:val="22"/>
        </w:rPr>
        <w:t>The primary data interchange format uses JSON (JavaScript Object Notation) with the following schema structure for vessel position reports:</w:t>
      </w:r>
    </w:p>
    <w:p>
      <w:pPr>
        <w:spacing w:after="160" w:line="288" w:lineRule="auto"/>
        <w:jc w:val="both"/>
      </w:pPr>
      <w:r>
        <w:rPr>
          <w:rFonts w:ascii="Cambria" w:hAnsi="Cambria"/>
          <w:color w:val="1a1a1a"/>
          <w:sz w:val="22"/>
        </w:rPr>
        <w:t>Each position report contains the following mandatory fields: message_id (UUID v4); vessel_mmsi (nine-digit Maritime Mobile Service Identity); timestamp (ISO 8601 format, UTC); latitude (decimal degrees, WGS84); longitude (decimal degrees, WGS84); speed_over_ground (knots, one decimal); course_over_ground (degrees true); and data_source (identifier of the monitoring station or satellite that captured the report).</w:t>
      </w:r>
    </w:p>
    <w:p>
      <w:pPr>
        <w:spacing w:after="160" w:line="288" w:lineRule="auto"/>
        <w:jc w:val="both"/>
      </w:pPr>
      <w:r>
        <w:rPr>
          <w:rFonts w:ascii="Cambria" w:hAnsi="Cambria"/>
          <w:color w:val="1a1a1a"/>
          <w:sz w:val="22"/>
        </w:rPr>
        <w:t>Each position report contains the following optional fields: vessel_name (string); vessel_type (IMO classification code); vessel_flag (ISO 3166-1 alpha-3 code); destination (string); eta (ISO 8601 format); and draught (meters, one decimal).</w:t>
      </w:r>
    </w:p>
    <w:p>
      <w:pPr>
        <w:spacing w:after="160" w:line="288" w:lineRule="auto"/>
        <w:jc w:val="both"/>
      </w:pPr>
      <w:r>
        <w:rPr>
          <w:rFonts w:ascii="Cambria" w:hAnsi="Cambria"/>
          <w:color w:val="1a1a1a"/>
          <w:sz w:val="22"/>
        </w:rPr>
        <w:t>Each position report contains the following system-generated fields: correlation_confidence (percentage); anomaly_flags (array of string codes); and processing_timestamp (ISO 8601 format, UTC).</w:t>
      </w:r>
    </w:p>
    <w:p>
      <w:pPr>
        <w:pStyle w:val="Heading2"/>
      </w:pPr>
      <w:r>
        <w:rPr>
          <w:rFonts w:ascii="Cambria" w:hAnsi="Cambria"/>
          <w:b/>
          <w:color w:val="1a1a1a"/>
          <w:sz w:val="28"/>
        </w:rPr>
        <w:t>B.2 Anomaly Flag Codes</w:t>
      </w:r>
    </w:p>
    <w:p>
      <w:pPr>
        <w:spacing w:after="160" w:line="288" w:lineRule="auto"/>
        <w:jc w:val="both"/>
      </w:pPr>
      <w:r>
        <w:rPr>
          <w:rFonts w:ascii="Cambria" w:hAnsi="Cambria"/>
          <w:color w:val="1a1a1a"/>
          <w:sz w:val="22"/>
        </w:rPr>
        <w:t>The system uses standardized anomaly flag codes to identify specific behavioral deviations:</w:t>
      </w:r>
    </w:p>
    <w:p>
      <w:pPr>
        <w:spacing w:after="160" w:line="288" w:lineRule="auto"/>
        <w:jc w:val="both"/>
      </w:pPr>
      <w:r>
        <w:rPr>
          <w:rFonts w:ascii="Cambria" w:hAnsi="Cambria"/>
          <w:color w:val="1a1a1a"/>
          <w:sz w:val="22"/>
        </w:rPr>
        <w:t>AIS_GAP: Vessel AIS signal not detected for longer than the defined threshold period.</w:t>
      </w:r>
    </w:p>
    <w:p>
      <w:pPr>
        <w:spacing w:after="160" w:line="288" w:lineRule="auto"/>
        <w:jc w:val="both"/>
      </w:pPr>
      <w:r>
        <w:rPr>
          <w:rFonts w:ascii="Cambria" w:hAnsi="Cambria"/>
          <w:color w:val="1a1a1a"/>
          <w:sz w:val="22"/>
        </w:rPr>
        <w:t>SPEED_ANOMALY: Vessel speed deviates from predicted speed by more than defined thresholds.</w:t>
      </w:r>
    </w:p>
    <w:p>
      <w:pPr>
        <w:spacing w:after="160" w:line="288" w:lineRule="auto"/>
        <w:jc w:val="both"/>
      </w:pPr>
      <w:r>
        <w:rPr>
          <w:rFonts w:ascii="Cambria" w:hAnsi="Cambria"/>
          <w:color w:val="1a1a1a"/>
          <w:sz w:val="22"/>
        </w:rPr>
        <w:t>COURSE_DEV: Vessel course deviates from established transit corridor by more than defined thresholds.</w:t>
      </w:r>
    </w:p>
    <w:p>
      <w:pPr>
        <w:spacing w:after="160" w:line="288" w:lineRule="auto"/>
        <w:jc w:val="both"/>
      </w:pPr>
      <w:r>
        <w:rPr>
          <w:rFonts w:ascii="Cambria" w:hAnsi="Cambria"/>
          <w:color w:val="1a1a1a"/>
          <w:sz w:val="22"/>
        </w:rPr>
        <w:t>PROXIMITY_ALERT: Vessel passes within five hundred meters of another vessel in open water.</w:t>
      </w:r>
    </w:p>
    <w:p>
      <w:pPr>
        <w:spacing w:after="160" w:line="288" w:lineRule="auto"/>
        <w:jc w:val="both"/>
      </w:pPr>
      <w:r>
        <w:rPr>
          <w:rFonts w:ascii="Cambria" w:hAnsi="Cambria"/>
          <w:color w:val="1a1a1a"/>
          <w:sz w:val="22"/>
        </w:rPr>
        <w:t>TRANSFER_PROBABLE: Combined indicators suggest probable ship-to-ship transfer.</w:t>
      </w:r>
    </w:p>
    <w:p>
      <w:pPr>
        <w:spacing w:after="160" w:line="288" w:lineRule="auto"/>
        <w:jc w:val="both"/>
      </w:pPr>
      <w:r>
        <w:rPr>
          <w:rFonts w:ascii="Cambria" w:hAnsi="Cambria"/>
          <w:color w:val="1a1a1a"/>
          <w:sz w:val="22"/>
        </w:rPr>
        <w:t>DARK_VESSEL: Vessel AIS signal ceased with no radar correlation.</w:t>
      </w:r>
    </w:p>
    <w:p>
      <w:pPr>
        <w:spacing w:after="160" w:line="288" w:lineRule="auto"/>
        <w:jc w:val="both"/>
      </w:pPr>
      <w:r>
        <w:rPr>
          <w:rFonts w:ascii="Cambria" w:hAnsi="Cambria"/>
          <w:color w:val="1a1a1a"/>
          <w:sz w:val="22"/>
        </w:rPr>
        <w:t>IDENTITY_MISMATCH: Discrepancy between AIS-declared identity and observed characteristics.</w:t>
      </w:r>
    </w:p>
    <w:p>
      <w:pPr>
        <w:pStyle w:val="Heading2"/>
      </w:pPr>
      <w:r>
        <w:rPr>
          <w:rFonts w:ascii="Cambria" w:hAnsi="Cambria"/>
          <w:b/>
          <w:color w:val="1a1a1a"/>
          <w:sz w:val="28"/>
        </w:rPr>
        <w:t>B.3 Verification Package Format</w:t>
      </w:r>
    </w:p>
    <w:p>
      <w:pPr>
        <w:spacing w:after="160" w:line="288" w:lineRule="auto"/>
        <w:jc w:val="both"/>
      </w:pPr>
      <w:r>
        <w:rPr>
          <w:rFonts w:ascii="Cambria" w:hAnsi="Cambria"/>
          <w:color w:val="1a1a1a"/>
          <w:sz w:val="22"/>
        </w:rPr>
        <w:t>Each Verification Package follows a standardized format containing the following sections:</w:t>
      </w:r>
    </w:p>
    <w:p>
      <w:pPr>
        <w:spacing w:after="160" w:line="288" w:lineRule="auto"/>
        <w:jc w:val="both"/>
      </w:pPr>
      <w:r>
        <w:rPr>
          <w:rFonts w:ascii="Cambria" w:hAnsi="Cambria"/>
          <w:color w:val="1a1a1a"/>
          <w:sz w:val="22"/>
        </w:rPr>
        <w:t>Package Header: Verification Package reference number, date and time of issuance, classification level, issuing analyst identifier, and transit period covered.</w:t>
      </w:r>
    </w:p>
    <w:p>
      <w:pPr>
        <w:spacing w:after="160" w:line="288" w:lineRule="auto"/>
        <w:jc w:val="both"/>
      </w:pPr>
      <w:r>
        <w:rPr>
          <w:rFonts w:ascii="Cambria" w:hAnsi="Cambria"/>
          <w:color w:val="1a1a1a"/>
          <w:sz w:val="22"/>
        </w:rPr>
        <w:t>Transit Data Summary: Original transit data received from the Joint Iran-Oman Committee via the Swiss relay.</w:t>
      </w:r>
    </w:p>
    <w:p>
      <w:pPr>
        <w:spacing w:after="160" w:line="288" w:lineRule="auto"/>
        <w:jc w:val="both"/>
      </w:pPr>
      <w:r>
        <w:rPr>
          <w:rFonts w:ascii="Cambria" w:hAnsi="Cambria"/>
          <w:color w:val="1a1a1a"/>
          <w:sz w:val="22"/>
        </w:rPr>
        <w:t>Corroboration Evidence: Data from independent monitoring sources (AIS satellite, coastal radar, UAV) that corroborates or contradicts the transit data.</w:t>
      </w:r>
    </w:p>
    <w:p>
      <w:pPr>
        <w:spacing w:after="160" w:line="288" w:lineRule="auto"/>
        <w:jc w:val="both"/>
      </w:pPr>
      <w:r>
        <w:rPr>
          <w:rFonts w:ascii="Cambria" w:hAnsi="Cambria"/>
          <w:color w:val="1a1a1a"/>
          <w:sz w:val="22"/>
        </w:rPr>
        <w:t>Metrics Assessment: Evaluation of each threshold in Annex A, Section 5: transit speed (minimum average 12 knots); lane deviation (within 0.5 nautical miles); interference events (zero verified); and AIS downtime (under 15 minutes aggregate).</w:t>
      </w:r>
    </w:p>
    <w:p>
      <w:pPr>
        <w:spacing w:after="160" w:line="288" w:lineRule="auto"/>
        <w:jc w:val="both"/>
      </w:pPr>
      <w:r>
        <w:rPr>
          <w:rFonts w:ascii="Cambria" w:hAnsi="Cambria"/>
          <w:color w:val="1a1a1a"/>
          <w:sz w:val="22"/>
        </w:rPr>
        <w:t>Discrepancy Summary: Any differences between transit data and monitoring data, with explanation of resolution methodology.</w:t>
      </w:r>
    </w:p>
    <w:p>
      <w:pPr>
        <w:spacing w:after="160" w:line="288" w:lineRule="auto"/>
        <w:jc w:val="both"/>
      </w:pPr>
      <w:r>
        <w:rPr>
          <w:rFonts w:ascii="Cambria" w:hAnsi="Cambria"/>
          <w:color w:val="1a1a1a"/>
          <w:sz w:val="22"/>
        </w:rPr>
        <w:t>Determination: Whether the transit period meets all thresholds for tranche activation.</w:t>
      </w:r>
    </w:p>
    <w:p>
      <w:pPr>
        <w:spacing w:after="160" w:line="288" w:lineRule="auto"/>
        <w:jc w:val="both"/>
      </w:pPr>
      <w:r>
        <w:rPr>
          <w:rFonts w:ascii="Cambria" w:hAnsi="Cambria"/>
          <w:color w:val="1a1a1a"/>
          <w:sz w:val="22"/>
        </w:rPr>
        <w:t>Recommendation: Specific recommendation for activation or non-activation, with supporting rationale.</w:t>
      </w:r>
    </w:p>
    <w:p>
      <w:pPr>
        <w:pStyle w:val="Heading2"/>
      </w:pPr>
      <w:r>
        <w:rPr>
          <w:rFonts w:ascii="Cambria" w:hAnsi="Cambria"/>
          <w:b/>
          <w:color w:val="1a1a1a"/>
          <w:sz w:val="28"/>
        </w:rPr>
        <w:t>B.4 CSV Archive Format</w:t>
      </w:r>
    </w:p>
    <w:p>
      <w:pPr>
        <w:spacing w:after="160" w:line="288" w:lineRule="auto"/>
        <w:jc w:val="both"/>
      </w:pPr>
      <w:r>
        <w:rPr>
          <w:rFonts w:ascii="Cambria" w:hAnsi="Cambria"/>
          <w:color w:val="1a1a1a"/>
          <w:sz w:val="22"/>
        </w:rPr>
        <w:t>Historical data archives use CSV format with the following column structure: timestamp_utc; mmsi; vessel_name; lat; lon; sog; cog; heading; nav_status; destination; vessel_type; flag; data_source; anomaly_flags; transit_speed_avg; lane_deviation_max; and ais_downtime_min.</w:t>
      </w:r>
    </w:p>
    <w:p>
      <w:pPr>
        <w:spacing w:after="160" w:line="288" w:lineRule="auto"/>
        <w:jc w:val="both"/>
      </w:pPr>
      <w:r>
        <w:rPr>
          <w:rFonts w:ascii="Cambria" w:hAnsi="Cambria"/>
          <w:color w:val="1a1a1a"/>
          <w:sz w:val="22"/>
        </w:rPr>
        <w:t>CSV archives use UTF-8 encoding with comma delimiters and quoted string fields. Timestamp fields use ISO 8601 format. Coordinate fields use decimal degrees with six decimal places.</w:t>
      </w:r>
    </w:p>
    <w:p>
      <w:pPr>
        <w:pStyle w:val="Heading2"/>
      </w:pPr>
      <w:r>
        <w:rPr>
          <w:rFonts w:ascii="Cambria" w:hAnsi="Cambria"/>
          <w:b/>
          <w:color w:val="1a1a1a"/>
          <w:sz w:val="28"/>
        </w:rPr>
        <w:t>B.5 API Specifications</w:t>
      </w:r>
    </w:p>
    <w:p>
      <w:pPr>
        <w:spacing w:after="160" w:line="288" w:lineRule="auto"/>
        <w:jc w:val="both"/>
      </w:pPr>
      <w:r>
        <w:rPr>
          <w:rFonts w:ascii="Cambria" w:hAnsi="Cambria"/>
          <w:color w:val="1a1a1a"/>
          <w:sz w:val="22"/>
        </w:rPr>
        <w:t>The Technical Working Group exposes data access through a RESTful API with the following endpoints:</w:t>
      </w:r>
    </w:p>
    <w:p>
      <w:pPr>
        <w:spacing w:after="160" w:line="288" w:lineRule="auto"/>
        <w:jc w:val="both"/>
      </w:pPr>
      <w:r>
        <w:rPr>
          <w:rFonts w:ascii="Cambria" w:hAnsi="Cambria"/>
          <w:color w:val="1a1a1a"/>
          <w:sz w:val="22"/>
        </w:rPr>
        <w:t>GET /v1/vessels: Returns current vessel positions for all tracked vessels. Parameters: bounding box, vessel type filter, and anomaly status filter.</w:t>
      </w:r>
    </w:p>
    <w:p>
      <w:pPr>
        <w:spacing w:after="160" w:line="288" w:lineRule="auto"/>
        <w:jc w:val="both"/>
      </w:pPr>
      <w:r>
        <w:rPr>
          <w:rFonts w:ascii="Cambria" w:hAnsi="Cambria"/>
          <w:color w:val="1a1a1a"/>
          <w:sz w:val="22"/>
        </w:rPr>
        <w:t>GET /v1/vessels/{mmsi}: Returns detailed information and recent track history for a specific vessel.</w:t>
      </w:r>
    </w:p>
    <w:p>
      <w:pPr>
        <w:spacing w:after="160" w:line="288" w:lineRule="auto"/>
        <w:jc w:val="both"/>
      </w:pPr>
      <w:r>
        <w:rPr>
          <w:rFonts w:ascii="Cambria" w:hAnsi="Cambria"/>
          <w:color w:val="1a1a1a"/>
          <w:sz w:val="22"/>
        </w:rPr>
        <w:t>GET /v1/vessels/{mmsi}/track: Returns the complete position track for a specified time range.</w:t>
      </w:r>
    </w:p>
    <w:p>
      <w:pPr>
        <w:spacing w:after="160" w:line="288" w:lineRule="auto"/>
        <w:jc w:val="both"/>
      </w:pPr>
      <w:r>
        <w:rPr>
          <w:rFonts w:ascii="Cambria" w:hAnsi="Cambria"/>
          <w:color w:val="1a1a1a"/>
          <w:sz w:val="22"/>
        </w:rPr>
        <w:t>GET /v1/alerts: Returns active anomaly alerts. Parameters: alert type, severity level, and time range.</w:t>
      </w:r>
    </w:p>
    <w:p>
      <w:pPr>
        <w:spacing w:after="160" w:line="288" w:lineRule="auto"/>
        <w:jc w:val="both"/>
      </w:pPr>
      <w:r>
        <w:rPr>
          <w:rFonts w:ascii="Cambria" w:hAnsi="Cambria"/>
          <w:color w:val="1a1a1a"/>
          <w:sz w:val="22"/>
        </w:rPr>
        <w:t>GET /v1/verification: Returns Verification Packages. Parameters: date range, vessel MMSI, and status.</w:t>
      </w:r>
    </w:p>
    <w:p>
      <w:pPr>
        <w:spacing w:after="160" w:line="288" w:lineRule="auto"/>
        <w:jc w:val="both"/>
      </w:pPr>
      <w:r>
        <w:rPr>
          <w:rFonts w:ascii="Cambria" w:hAnsi="Cambria"/>
          <w:color w:val="1a1a1a"/>
          <w:sz w:val="22"/>
        </w:rPr>
        <w:t>All API endpoints require authentication via API key or OAuth 2.0 bearer token. Rate limits apply: one hundred requests per minute for standard users, one thousand requests per minute for system integrations.</w:t>
      </w:r>
    </w:p>
    <w:p>
      <w:pPr>
        <w:pStyle w:val="Heading1"/>
      </w:pPr>
      <w:r>
        <w:rPr>
          <w:rFonts w:ascii="Cambria" w:hAnsi="Cambria"/>
          <w:b/>
          <w:color w:val="1a2744"/>
          <w:sz w:val="36"/>
        </w:rPr>
        <w:t>Appendix C: Flag State Notification Matrix</w:t>
      </w:r>
      <w:bookmarkStart w:name="_TocAppC" w:id="21"/>
      <w:bookmarkEnd w:id="21"/>
    </w:p>
    <w:p>
      <w:pPr>
        <w:spacing w:after="160" w:line="288" w:lineRule="auto"/>
        <w:jc w:val="both"/>
      </w:pPr>
      <w:r>
        <w:rPr>
          <w:rFonts w:ascii="Cambria" w:hAnsi="Cambria"/>
          <w:color w:val="1a1a1a"/>
          <w:sz w:val="22"/>
        </w:rPr>
        <w:t>This Appendix defines the notification and clarification procedures for vessels flagged by signatory and non-signatory states. The matrix ensures that verification actions follow international law while maximizing the effectiveness of the monitoring system.</w:t>
      </w:r>
    </w:p>
    <w:p>
      <w:pPr>
        <w:pStyle w:val="Heading2"/>
      </w:pPr>
      <w:r>
        <w:rPr>
          <w:rFonts w:ascii="Cambria" w:hAnsi="Cambria"/>
          <w:b/>
          <w:color w:val="1a1a1a"/>
          <w:sz w:val="28"/>
        </w:rPr>
        <w:t>C.1 Jurisdiction Principles</w:t>
      </w:r>
    </w:p>
    <w:p>
      <w:pPr>
        <w:spacing w:after="160" w:line="288" w:lineRule="auto"/>
        <w:jc w:val="both"/>
      </w:pPr>
      <w:r>
        <w:rPr>
          <w:rFonts w:ascii="Cambria" w:hAnsi="Cambria"/>
          <w:color w:val="1a1a1a"/>
          <w:sz w:val="22"/>
        </w:rPr>
        <w:t>The following principles govern jurisdiction over vessels in the monitored zone:</w:t>
      </w:r>
    </w:p>
    <w:p>
      <w:pPr>
        <w:spacing w:after="160" w:line="288" w:lineRule="auto"/>
        <w:jc w:val="both"/>
      </w:pPr>
      <w:r>
        <w:rPr>
          <w:rFonts w:ascii="Cambria" w:hAnsi="Cambria"/>
          <w:color w:val="1a1a1a"/>
          <w:sz w:val="22"/>
        </w:rPr>
        <w:t>Flag State Primacy: The flag state retains primary jurisdiction over vessels flying its flag on the high seas. The monitoring system respects this primacy by notifying the flag state before taking any verification action.</w:t>
      </w:r>
    </w:p>
    <w:p>
      <w:pPr>
        <w:spacing w:after="160" w:line="288" w:lineRule="auto"/>
        <w:jc w:val="both"/>
      </w:pPr>
      <w:r>
        <w:rPr>
          <w:rFonts w:ascii="Cambria" w:hAnsi="Cambria"/>
          <w:color w:val="1a1a1a"/>
          <w:sz w:val="22"/>
        </w:rPr>
        <w:t>Port State Coordination: Port states exercise jurisdiction over vessels seeking entry to their ports or territorial waters. Port states coordinate with the TWG when vessels flagged for verification issues seek port access.</w:t>
      </w:r>
    </w:p>
    <w:p>
      <w:pPr>
        <w:spacing w:after="160" w:line="288" w:lineRule="auto"/>
        <w:jc w:val="both"/>
      </w:pPr>
      <w:r>
        <w:rPr>
          <w:rFonts w:ascii="Cambria" w:hAnsi="Cambria"/>
          <w:color w:val="1a1a1a"/>
          <w:sz w:val="22"/>
        </w:rPr>
        <w:t>Coastal State Authority: Coastal states exercise sovereignty in their territorial seas (up to twelve nautical miles from the baseline) and enforce their laws against any vessel in those waters.</w:t>
      </w:r>
    </w:p>
    <w:p>
      <w:pPr>
        <w:pStyle w:val="Heading2"/>
      </w:pPr>
      <w:r>
        <w:rPr>
          <w:rFonts w:ascii="Cambria" w:hAnsi="Cambria"/>
          <w:b/>
          <w:color w:val="1a1a1a"/>
          <w:sz w:val="28"/>
        </w:rPr>
        <w:t>C.2 Signatory State Notification Pathway</w:t>
      </w:r>
    </w:p>
    <w:p>
      <w:pPr>
        <w:spacing w:after="160" w:line="288" w:lineRule="auto"/>
        <w:jc w:val="both"/>
      </w:pPr>
      <w:r>
        <w:rPr>
          <w:rFonts w:ascii="Cambria" w:hAnsi="Cambria"/>
          <w:color w:val="1a1a1a"/>
          <w:sz w:val="22"/>
        </w:rPr>
        <w:t>For vessels flagged by Parties to the CTAF, the following notification pathway applies:</w:t>
      </w:r>
    </w:p>
    <w:tbl>
      <w:tblPr>
        <w:tblW w:w="5000" w:type="pct"/>
        <w:tblBorders>
          <w:top w:val="single" w:color="1a2744" w:sz="8"/>
          <w:bottom w:val="single" w:color="1a2744" w:sz="8"/>
          <w:insideH w:val="single" w:color="c8c4b8" w:sz="4"/>
        </w:tblBorders>
      </w:tblPr>
      <w:tblGrid>
        <w:gridCol w:w="2400"/>
        <w:gridCol w:w="3600"/>
        <w:gridCol w:w="3400"/>
      </w:tblGrid>
      <w:tr>
        <w:tc>
          <w:tcPr>
            <w:tcW w:w="2400" w:type="dxa"/>
            <w:shd w:val="clear" w:fill="e8e5dd"/>
          </w:tcPr>
          <w:p>
            <w:pPr>
              <w:spacing w:before="60" w:after="60"/>
              <w:jc w:val="center"/>
            </w:pPr>
            <w:r>
              <w:rPr>
                <w:rFonts w:ascii="Cambria" w:hAnsi="Cambria"/>
                <w:b w:val="true"/>
                <w:color w:val="1a2744"/>
                <w:sz w:val="20"/>
              </w:rPr>
              <w:t>Scenario</w:t>
            </w:r>
          </w:p>
        </w:tc>
        <w:tc>
          <w:tcPr>
            <w:tcW w:w="3600" w:type="dxa"/>
            <w:shd w:val="clear" w:fill="e8e5dd"/>
          </w:tcPr>
          <w:p>
            <w:pPr>
              <w:spacing w:before="60" w:after="60"/>
              <w:jc w:val="center"/>
            </w:pPr>
            <w:r>
              <w:rPr>
                <w:rFonts w:ascii="Cambria" w:hAnsi="Cambria"/>
                <w:b w:val="true"/>
                <w:color w:val="1a2744"/>
                <w:sz w:val="20"/>
              </w:rPr>
              <w:t>Flag State Action</w:t>
            </w:r>
          </w:p>
        </w:tc>
        <w:tc>
          <w:tcPr>
            <w:tcW w:w="3400" w:type="dxa"/>
            <w:shd w:val="clear" w:fill="e8e5dd"/>
          </w:tcPr>
          <w:p>
            <w:pPr>
              <w:spacing w:before="60" w:after="60"/>
              <w:jc w:val="center"/>
            </w:pPr>
            <w:r>
              <w:rPr>
                <w:rFonts w:ascii="Cambria" w:hAnsi="Cambria"/>
                <w:b w:val="true"/>
                <w:color w:val="1a2744"/>
                <w:sz w:val="20"/>
              </w:rPr>
              <w:t>Port State Action</w:t>
            </w:r>
          </w:p>
        </w:tc>
      </w:tr>
      <w:tr>
        <w:tc>
          <w:tcPr>
            <w:tcW w:w="2400" w:type="dxa"/>
          </w:tcPr>
          <w:p>
            <w:pPr>
              <w:spacing w:before="60" w:after="60"/>
            </w:pPr>
            <w:r>
              <w:rPr>
                <w:rFonts w:ascii="Cambria" w:hAnsi="Cambria"/>
                <w:b w:val="false"/>
                <w:color w:val="1a1a1a"/>
                <w:sz w:val="20"/>
              </w:rPr>
              <w:t>Verification alert issued</w:t>
            </w:r>
          </w:p>
        </w:tc>
        <w:tc>
          <w:tcPr>
            <w:tcW w:w="3600" w:type="dxa"/>
          </w:tcPr>
          <w:p>
            <w:pPr>
              <w:spacing w:before="60" w:after="60"/>
            </w:pPr>
            <w:r>
              <w:rPr>
                <w:rFonts w:ascii="Cambria" w:hAnsi="Cambria"/>
                <w:b w:val="false"/>
                <w:color w:val="1a1a1a"/>
                <w:sz w:val="20"/>
              </w:rPr>
              <w:t>Receives notification; provides clarification; responds to TWG within 14 days</w:t>
            </w:r>
          </w:p>
        </w:tc>
        <w:tc>
          <w:tcPr>
            <w:tcW w:w="3400" w:type="dxa"/>
          </w:tcPr>
          <w:p>
            <w:pPr>
              <w:spacing w:before="60" w:after="60"/>
            </w:pPr>
            <w:r>
              <w:rPr>
                <w:rFonts w:ascii="Cambria" w:hAnsi="Cambria"/>
                <w:b w:val="false"/>
                <w:color w:val="1a1a1a"/>
                <w:sz w:val="20"/>
              </w:rPr>
              <w:t>Reviews notification; coordinates with TWG on vessel status</w:t>
            </w:r>
          </w:p>
        </w:tc>
      </w:tr>
      <w:tr>
        <w:tc>
          <w:tcPr>
            <w:tcW w:w="2400" w:type="dxa"/>
          </w:tcPr>
          <w:p>
            <w:pPr>
              <w:spacing w:before="60" w:after="60"/>
            </w:pPr>
            <w:r>
              <w:rPr>
                <w:rFonts w:ascii="Cambria" w:hAnsi="Cambria"/>
                <w:b w:val="false"/>
                <w:color w:val="1a1a1a"/>
                <w:sz w:val="20"/>
              </w:rPr>
              <w:t>Flag state cooperates</w:t>
            </w:r>
          </w:p>
        </w:tc>
        <w:tc>
          <w:tcPr>
            <w:tcW w:w="3600" w:type="dxa"/>
          </w:tcPr>
          <w:p>
            <w:pPr>
              <w:spacing w:before="60" w:after="60"/>
            </w:pPr>
            <w:r>
              <w:rPr>
                <w:rFonts w:ascii="Cambria" w:hAnsi="Cambria"/>
                <w:b w:val="false"/>
                <w:color w:val="1a1a1a"/>
                <w:sz w:val="20"/>
              </w:rPr>
              <w:t>Provides requested data; accepts findings; implements corrective measures</w:t>
            </w:r>
          </w:p>
        </w:tc>
        <w:tc>
          <w:tcPr>
            <w:tcW w:w="3400" w:type="dxa"/>
          </w:tcPr>
          <w:p>
            <w:pPr>
              <w:spacing w:before="60" w:after="60"/>
            </w:pPr>
            <w:r>
              <w:rPr>
                <w:rFonts w:ascii="Cambria" w:hAnsi="Cambria"/>
                <w:b w:val="false"/>
                <w:color w:val="1a1a1a"/>
                <w:sz w:val="20"/>
              </w:rPr>
              <w:t>Clears vessel for entry upon TWG verification</w:t>
            </w:r>
          </w:p>
        </w:tc>
      </w:tr>
      <w:tr>
        <w:tc>
          <w:tcPr>
            <w:tcW w:w="2400" w:type="dxa"/>
          </w:tcPr>
          <w:p>
            <w:pPr>
              <w:spacing w:before="60" w:after="60"/>
            </w:pPr>
            <w:r>
              <w:rPr>
                <w:rFonts w:ascii="Cambria" w:hAnsi="Cambria"/>
                <w:b w:val="false"/>
                <w:color w:val="1a1a1a"/>
                <w:sz w:val="20"/>
              </w:rPr>
              <w:t>Flag state disputes findings</w:t>
            </w:r>
          </w:p>
        </w:tc>
        <w:tc>
          <w:tcPr>
            <w:tcW w:w="3600" w:type="dxa"/>
          </w:tcPr>
          <w:p>
            <w:pPr>
              <w:spacing w:before="60" w:after="60"/>
            </w:pPr>
            <w:r>
              <w:rPr>
                <w:rFonts w:ascii="Cambria" w:hAnsi="Cambria"/>
                <w:b w:val="false"/>
                <w:color w:val="1a1a1a"/>
                <w:sz w:val="20"/>
              </w:rPr>
              <w:t>Requests technical review; presents counter-evidence to Co-Chairs</w:t>
            </w:r>
          </w:p>
        </w:tc>
        <w:tc>
          <w:tcPr>
            <w:tcW w:w="3400" w:type="dxa"/>
          </w:tcPr>
          <w:p>
            <w:pPr>
              <w:spacing w:before="60" w:after="60"/>
            </w:pPr>
            <w:r>
              <w:rPr>
                <w:rFonts w:ascii="Cambria" w:hAnsi="Cambria"/>
                <w:b w:val="false"/>
                <w:color w:val="1a1a1a"/>
                <w:sz w:val="20"/>
              </w:rPr>
              <w:t>Maintains current coordination pending resolution</w:t>
            </w:r>
          </w:p>
        </w:tc>
      </w:tr>
      <w:tr>
        <w:tc>
          <w:tcPr>
            <w:tcW w:w="2400" w:type="dxa"/>
          </w:tcPr>
          <w:p>
            <w:pPr>
              <w:spacing w:before="60" w:after="60"/>
            </w:pPr>
            <w:r>
              <w:rPr>
                <w:rFonts w:ascii="Cambria" w:hAnsi="Cambria"/>
                <w:b w:val="false"/>
                <w:color w:val="1a1a1a"/>
                <w:sz w:val="20"/>
              </w:rPr>
              <w:t>No response within 14 days</w:t>
            </w:r>
          </w:p>
        </w:tc>
        <w:tc>
          <w:tcPr>
            <w:tcW w:w="3600" w:type="dxa"/>
          </w:tcPr>
          <w:p>
            <w:pPr>
              <w:spacing w:before="60" w:after="60"/>
            </w:pPr>
            <w:r>
              <w:rPr>
                <w:rFonts w:ascii="Cambria" w:hAnsi="Cambria"/>
                <w:b w:val="false"/>
                <w:color w:val="1a1a1a"/>
                <w:sz w:val="20"/>
              </w:rPr>
              <w:t>Co-Chairs escalate diplomatically through Joint Secretariat</w:t>
            </w:r>
          </w:p>
        </w:tc>
        <w:tc>
          <w:tcPr>
            <w:tcW w:w="3400" w:type="dxa"/>
          </w:tcPr>
          <w:p>
            <w:pPr>
              <w:spacing w:before="60" w:after="60"/>
            </w:pPr>
            <w:r>
              <w:rPr>
                <w:rFonts w:ascii="Cambria" w:hAnsi="Cambria"/>
                <w:b w:val="false"/>
                <w:color w:val="1a1a1a"/>
                <w:sz w:val="20"/>
              </w:rPr>
              <w:t>Imposes verification requirements until resolution</w:t>
            </w:r>
          </w:p>
        </w:tc>
      </w:tr>
    </w:tbl>
    <w:p>
      <w:pPr>
        <w:pStyle w:val="Heading2"/>
      </w:pPr>
      <w:r>
        <w:rPr>
          <w:rFonts w:ascii="Cambria" w:hAnsi="Cambria"/>
          <w:b/>
          <w:color w:val="1a1a1a"/>
          <w:sz w:val="28"/>
        </w:rPr>
        <w:t>C.3 Non-Signatory State Notification Pathway</w:t>
      </w:r>
    </w:p>
    <w:p>
      <w:pPr>
        <w:spacing w:after="160" w:line="288" w:lineRule="auto"/>
        <w:jc w:val="both"/>
      </w:pPr>
      <w:r>
        <w:rPr>
          <w:rFonts w:ascii="Cambria" w:hAnsi="Cambria"/>
          <w:color w:val="1a1a1a"/>
          <w:sz w:val="22"/>
        </w:rPr>
        <w:t>For vessels flagged by states that are not Parties to the CTAF, the following notification pathway applies:</w:t>
      </w:r>
    </w:p>
    <w:tbl>
      <w:tblPr>
        <w:tblW w:w="5000" w:type="pct"/>
        <w:tblBorders>
          <w:top w:val="single" w:color="1a2744" w:sz="8"/>
          <w:bottom w:val="single" w:color="1a2744" w:sz="8"/>
          <w:insideH w:val="single" w:color="c8c4b8" w:sz="4"/>
        </w:tblBorders>
      </w:tblPr>
      <w:tblGrid>
        <w:gridCol w:w="2400"/>
        <w:gridCol w:w="3600"/>
        <w:gridCol w:w="3400"/>
      </w:tblGrid>
      <w:tr>
        <w:tc>
          <w:tcPr>
            <w:tcW w:w="2400" w:type="dxa"/>
            <w:shd w:val="clear" w:fill="e8e5dd"/>
          </w:tcPr>
          <w:p>
            <w:pPr>
              <w:spacing w:before="60" w:after="60"/>
              <w:jc w:val="center"/>
            </w:pPr>
            <w:r>
              <w:rPr>
                <w:rFonts w:ascii="Cambria" w:hAnsi="Cambria"/>
                <w:b w:val="true"/>
                <w:color w:val="1a2744"/>
                <w:sz w:val="20"/>
              </w:rPr>
              <w:t>Scenario</w:t>
            </w:r>
          </w:p>
        </w:tc>
        <w:tc>
          <w:tcPr>
            <w:tcW w:w="3600" w:type="dxa"/>
            <w:shd w:val="clear" w:fill="e8e5dd"/>
          </w:tcPr>
          <w:p>
            <w:pPr>
              <w:spacing w:before="60" w:after="60"/>
              <w:jc w:val="center"/>
            </w:pPr>
            <w:r>
              <w:rPr>
                <w:rFonts w:ascii="Cambria" w:hAnsi="Cambria"/>
                <w:b w:val="true"/>
                <w:color w:val="1a2744"/>
                <w:sz w:val="20"/>
              </w:rPr>
              <w:t>Flag State Action</w:t>
            </w:r>
          </w:p>
        </w:tc>
        <w:tc>
          <w:tcPr>
            <w:tcW w:w="3400" w:type="dxa"/>
            <w:shd w:val="clear" w:fill="e8e5dd"/>
          </w:tcPr>
          <w:p>
            <w:pPr>
              <w:spacing w:before="60" w:after="60"/>
              <w:jc w:val="center"/>
            </w:pPr>
            <w:r>
              <w:rPr>
                <w:rFonts w:ascii="Cambria" w:hAnsi="Cambria"/>
                <w:b w:val="true"/>
                <w:color w:val="1a2744"/>
                <w:sz w:val="20"/>
              </w:rPr>
              <w:t>Port State Action</w:t>
            </w:r>
          </w:p>
        </w:tc>
      </w:tr>
      <w:tr>
        <w:tc>
          <w:tcPr>
            <w:tcW w:w="2400" w:type="dxa"/>
          </w:tcPr>
          <w:p>
            <w:pPr>
              <w:spacing w:before="60" w:after="60"/>
            </w:pPr>
            <w:r>
              <w:rPr>
                <w:rFonts w:ascii="Cambria" w:hAnsi="Cambria"/>
                <w:b w:val="false"/>
                <w:color w:val="1a1a1a"/>
                <w:sz w:val="20"/>
              </w:rPr>
              <w:t>Verification alert issued</w:t>
            </w:r>
          </w:p>
        </w:tc>
        <w:tc>
          <w:tcPr>
            <w:tcW w:w="3600" w:type="dxa"/>
          </w:tcPr>
          <w:p>
            <w:pPr>
              <w:spacing w:before="60" w:after="60"/>
            </w:pPr>
            <w:r>
              <w:rPr>
                <w:rFonts w:ascii="Cambria" w:hAnsi="Cambria"/>
                <w:b w:val="false"/>
                <w:color w:val="1a1a1a"/>
                <w:sz w:val="20"/>
              </w:rPr>
              <w:t>TWG notifies flag state through diplomatic channels; flag state not bound by CTAF procedures</w:t>
            </w:r>
          </w:p>
        </w:tc>
        <w:tc>
          <w:tcPr>
            <w:tcW w:w="3400" w:type="dxa"/>
          </w:tcPr>
          <w:p>
            <w:pPr>
              <w:spacing w:before="60" w:after="60"/>
            </w:pPr>
            <w:r>
              <w:rPr>
                <w:rFonts w:ascii="Cambria" w:hAnsi="Cambria"/>
                <w:b w:val="false"/>
                <w:color w:val="1a1a1a"/>
                <w:sz w:val="20"/>
              </w:rPr>
              <w:t>Port state implements coordination per its national law and applicable UN Security Council resolutions</w:t>
            </w:r>
          </w:p>
        </w:tc>
      </w:tr>
      <w:tr>
        <w:tc>
          <w:tcPr>
            <w:tcW w:w="2400" w:type="dxa"/>
          </w:tcPr>
          <w:p>
            <w:pPr>
              <w:spacing w:before="60" w:after="60"/>
            </w:pPr>
            <w:r>
              <w:rPr>
                <w:rFonts w:ascii="Cambria" w:hAnsi="Cambria"/>
                <w:b w:val="false"/>
                <w:color w:val="1a1a1a"/>
                <w:sz w:val="20"/>
              </w:rPr>
              <w:t>Flag state cooperates</w:t>
            </w:r>
          </w:p>
        </w:tc>
        <w:tc>
          <w:tcPr>
            <w:tcW w:w="3600" w:type="dxa"/>
          </w:tcPr>
          <w:p>
            <w:pPr>
              <w:spacing w:before="60" w:after="60"/>
            </w:pPr>
            <w:r>
              <w:rPr>
                <w:rFonts w:ascii="Cambria" w:hAnsi="Cambria"/>
                <w:b w:val="false"/>
                <w:color w:val="1a1a1a"/>
                <w:sz w:val="20"/>
              </w:rPr>
              <w:t>Flag state provides clarification voluntarily; reports findings; TWG verifies</w:t>
            </w:r>
          </w:p>
        </w:tc>
        <w:tc>
          <w:tcPr>
            <w:tcW w:w="3400" w:type="dxa"/>
          </w:tcPr>
          <w:p>
            <w:pPr>
              <w:spacing w:before="60" w:after="60"/>
            </w:pPr>
            <w:r>
              <w:rPr>
                <w:rFonts w:ascii="Cambria" w:hAnsi="Cambria"/>
                <w:b w:val="false"/>
                <w:color w:val="1a1a1a"/>
                <w:sz w:val="20"/>
              </w:rPr>
              <w:t>Port state adjusts coordination based on verified outcome</w:t>
            </w:r>
          </w:p>
        </w:tc>
      </w:tr>
      <w:tr>
        <w:tc>
          <w:tcPr>
            <w:tcW w:w="2400" w:type="dxa"/>
          </w:tcPr>
          <w:p>
            <w:pPr>
              <w:spacing w:before="60" w:after="60"/>
            </w:pPr>
            <w:r>
              <w:rPr>
                <w:rFonts w:ascii="Cambria" w:hAnsi="Cambria"/>
                <w:b w:val="false"/>
                <w:color w:val="1a1a1a"/>
                <w:sz w:val="20"/>
              </w:rPr>
              <w:t>Flag state declines cooperation</w:t>
            </w:r>
          </w:p>
        </w:tc>
        <w:tc>
          <w:tcPr>
            <w:tcW w:w="3600" w:type="dxa"/>
          </w:tcPr>
          <w:p>
            <w:pPr>
              <w:spacing w:before="60" w:after="60"/>
            </w:pPr>
            <w:r>
              <w:rPr>
                <w:rFonts w:ascii="Cambria" w:hAnsi="Cambria"/>
                <w:b w:val="false"/>
                <w:color w:val="1a1a1a"/>
                <w:sz w:val="20"/>
              </w:rPr>
              <w:t>TWG relies on independent verification; flag state receives no confidentiality protections</w:t>
            </w:r>
          </w:p>
        </w:tc>
        <w:tc>
          <w:tcPr>
            <w:tcW w:w="3400" w:type="dxa"/>
          </w:tcPr>
          <w:p>
            <w:pPr>
              <w:spacing w:before="60" w:after="60"/>
            </w:pPr>
            <w:r>
              <w:rPr>
                <w:rFonts w:ascii="Cambria" w:hAnsi="Cambria"/>
                <w:b w:val="false"/>
                <w:color w:val="1a1a1a"/>
                <w:sz w:val="20"/>
              </w:rPr>
              <w:t>Port state imposes verification requirements</w:t>
            </w:r>
          </w:p>
        </w:tc>
      </w:tr>
    </w:tbl>
    <w:p>
      <w:pPr>
        <w:pStyle w:val="Heading2"/>
      </w:pPr>
      <w:r>
        <w:rPr>
          <w:rFonts w:ascii="Cambria" w:hAnsi="Cambria"/>
          <w:b/>
          <w:color w:val="1a1a1a"/>
          <w:sz w:val="28"/>
        </w:rPr>
        <w:t>C.4 Stateless Vessels</w:t>
      </w:r>
    </w:p>
    <w:p>
      <w:pPr>
        <w:spacing w:after="160" w:line="288" w:lineRule="auto"/>
        <w:jc w:val="both"/>
      </w:pPr>
      <w:r>
        <w:rPr>
          <w:rFonts w:ascii="Cambria" w:hAnsi="Cambria"/>
          <w:color w:val="1a1a1a"/>
          <w:sz w:val="22"/>
        </w:rPr>
        <w:t>Stateless vessels -- vessels without valid registration or flying no recognized flag -- fall under the jurisdiction of any Party that encounters them. The Technical Working Group coordinates responses to stateless vessels through the Co-Chairs.</w:t>
      </w:r>
    </w:p>
    <w:p>
      <w:pPr>
        <w:spacing w:after="160" w:line="288" w:lineRule="auto"/>
        <w:jc w:val="both"/>
      </w:pPr>
      <w:r>
        <w:rPr>
          <w:rFonts w:ascii="Cambria" w:hAnsi="Cambria"/>
          <w:color w:val="1a1a1a"/>
          <w:sz w:val="22"/>
        </w:rPr>
        <w:t>Any Party exercises jurisdiction over a stateless vessel found in the monitored zone. The state taking action reports to the Technical Working Group within twenty-four hours.</w:t>
      </w:r>
    </w:p>
    <w:p>
      <w:pPr>
        <w:pStyle w:val="Heading2"/>
      </w:pPr>
      <w:r>
        <w:rPr>
          <w:rFonts w:ascii="Cambria" w:hAnsi="Cambria"/>
          <w:b/>
          <w:color w:val="1a1a1a"/>
          <w:sz w:val="28"/>
        </w:rPr>
        <w:t>C.5 Port State Coordination Procedures</w:t>
      </w:r>
    </w:p>
    <w:p>
      <w:pPr>
        <w:spacing w:after="160" w:line="288" w:lineRule="auto"/>
        <w:jc w:val="both"/>
      </w:pPr>
      <w:r>
        <w:rPr>
          <w:rFonts w:ascii="Cambria" w:hAnsi="Cambria"/>
          <w:color w:val="1a1a1a"/>
          <w:sz w:val="22"/>
        </w:rPr>
        <w:t>When a port state receives a notification concerning a vessel seeking entry to its ports, the following procedures apply:</w:t>
      </w:r>
    </w:p>
    <w:p>
      <w:pPr>
        <w:spacing w:after="160" w:line="288" w:lineRule="auto"/>
        <w:jc w:val="both"/>
      </w:pPr>
      <w:r>
        <w:rPr>
          <w:rFonts w:ascii="Cambria" w:hAnsi="Cambria"/>
          <w:color w:val="1a1a1a"/>
          <w:sz w:val="22"/>
        </w:rPr>
        <w:t>Notification Review: The port state reviews the TWG notification and determines whether additional verification measures are appropriate.</w:t>
      </w:r>
    </w:p>
    <w:p>
      <w:pPr>
        <w:spacing w:after="160" w:line="288" w:lineRule="auto"/>
        <w:jc w:val="both"/>
      </w:pPr>
      <w:r>
        <w:rPr>
          <w:rFonts w:ascii="Cambria" w:hAnsi="Cambria"/>
          <w:color w:val="1a1a1a"/>
          <w:sz w:val="22"/>
        </w:rPr>
        <w:t>Clarification Request: The port state requests additional information from the TWG regarding the vessel's transit history and verification status.</w:t>
      </w:r>
    </w:p>
    <w:p>
      <w:pPr>
        <w:spacing w:after="160" w:line="288" w:lineRule="auto"/>
        <w:jc w:val="both"/>
      </w:pPr>
      <w:r>
        <w:rPr>
          <w:rFonts w:ascii="Cambria" w:hAnsi="Cambria"/>
          <w:color w:val="1a1a1a"/>
          <w:sz w:val="22"/>
        </w:rPr>
        <w:t>Conditional Entry: The port state permits entry subject to specific conditions: submission of detailed transit documentation; agreement to port state verification procedures; and compliance with any TWG recommendations.</w:t>
      </w:r>
    </w:p>
    <w:p>
      <w:pPr>
        <w:spacing w:after="160" w:line="288" w:lineRule="auto"/>
        <w:jc w:val="both"/>
      </w:pPr>
      <w:r>
        <w:rPr>
          <w:rFonts w:ascii="Cambria" w:hAnsi="Cambria"/>
          <w:color w:val="1a1a1a"/>
          <w:sz w:val="22"/>
        </w:rPr>
        <w:t>Report: The port state reports all actions taken to the Technical Working Group within forty-eight hours.</w:t>
      </w:r>
    </w:p>
    <w:p>
      <w:pPr>
        <w:pStyle w:val="Heading1"/>
      </w:pPr>
      <w:r>
        <w:rPr>
          <w:rFonts w:ascii="Cambria" w:hAnsi="Cambria"/>
          <w:b/>
          <w:color w:val="1a2744"/>
          <w:sz w:val="36"/>
        </w:rPr>
        <w:t>Appendix D: Standard Operating Procedures</w:t>
      </w:r>
      <w:bookmarkStart w:name="_TocAppD" w:id="22"/>
      <w:bookmarkEnd w:id="22"/>
    </w:p>
    <w:p>
      <w:pPr>
        <w:spacing w:after="160" w:line="288" w:lineRule="auto"/>
        <w:jc w:val="both"/>
      </w:pPr>
      <w:r>
        <w:rPr>
          <w:rFonts w:ascii="Cambria" w:hAnsi="Cambria"/>
          <w:color w:val="1a1a1a"/>
          <w:sz w:val="22"/>
        </w:rPr>
        <w:t>This Appendix defines the standard operating procedures that Technical Working Group personnel follow for each operational activity. These procedures ensure consistency, quality, and legal defensibility across all monitoring and verification activities.</w:t>
      </w:r>
    </w:p>
    <w:p>
      <w:pPr>
        <w:pStyle w:val="Heading2"/>
      </w:pPr>
      <w:r>
        <w:rPr>
          <w:rFonts w:ascii="Cambria" w:hAnsi="Cambria"/>
          <w:b/>
          <w:color w:val="1a1a1a"/>
          <w:sz w:val="28"/>
        </w:rPr>
        <w:t>D.1 Anomaly Detection and Initial Assessment</w:t>
      </w:r>
    </w:p>
    <w:p>
      <w:pPr>
        <w:spacing w:after="160" w:line="288" w:lineRule="auto"/>
        <w:jc w:val="both"/>
      </w:pPr>
      <w:r>
        <w:rPr>
          <w:rFonts w:ascii="Cambria" w:hAnsi="Cambria"/>
          <w:color w:val="1a1a1a"/>
          <w:sz w:val="22"/>
        </w:rPr>
        <w:t>Step 1: The automated screening system flags a vessel based on defined anomaly indicators. The system assigns a preliminary severity score.</w:t>
      </w:r>
    </w:p>
    <w:p>
      <w:pPr>
        <w:spacing w:after="160" w:line="288" w:lineRule="auto"/>
        <w:jc w:val="both"/>
      </w:pPr>
      <w:r>
        <w:rPr>
          <w:rFonts w:ascii="Cambria" w:hAnsi="Cambria"/>
          <w:color w:val="1a1a1a"/>
          <w:sz w:val="22"/>
        </w:rPr>
        <w:t>Step 2: The on-duty analyst acknowledges the alert within five minutes. Acknowledgment triggers the tracking timer.</w:t>
      </w:r>
    </w:p>
    <w:p>
      <w:pPr>
        <w:spacing w:after="160" w:line="288" w:lineRule="auto"/>
        <w:jc w:val="both"/>
      </w:pPr>
      <w:r>
        <w:rPr>
          <w:rFonts w:ascii="Cambria" w:hAnsi="Cambria"/>
          <w:color w:val="1a1a1a"/>
          <w:sz w:val="22"/>
        </w:rPr>
        <w:t>Step 3: The analyst reviews all available data for the vessel: current and historical AIS tracks; radar data (if available); and previous alerts or Verification Packages.</w:t>
      </w:r>
    </w:p>
    <w:p>
      <w:pPr>
        <w:spacing w:after="160" w:line="288" w:lineRule="auto"/>
        <w:jc w:val="both"/>
      </w:pPr>
      <w:r>
        <w:rPr>
          <w:rFonts w:ascii="Cambria" w:hAnsi="Cambria"/>
          <w:color w:val="1a1a1a"/>
          <w:sz w:val="22"/>
        </w:rPr>
        <w:t>Step 4: The analyst assigns a priority level: Priority A (immediate supervisor notification, within fifteen minutes); Priority B (standard workflow, within two hours); or Priority C (routine assessment, within eight hours).</w:t>
      </w:r>
    </w:p>
    <w:p>
      <w:pPr>
        <w:spacing w:after="160" w:line="288" w:lineRule="auto"/>
        <w:jc w:val="both"/>
      </w:pPr>
      <w:r>
        <w:rPr>
          <w:rFonts w:ascii="Cambria" w:hAnsi="Cambria"/>
          <w:color w:val="1a1a1a"/>
          <w:sz w:val="22"/>
        </w:rPr>
        <w:t>Step 5: The analyst documents the initial assessment in the case management system, including the rationale for the priority assignment.</w:t>
      </w:r>
    </w:p>
    <w:p>
      <w:pPr>
        <w:pStyle w:val="Heading2"/>
      </w:pPr>
      <w:r>
        <w:rPr>
          <w:rFonts w:ascii="Cambria" w:hAnsi="Cambria"/>
          <w:b/>
          <w:color w:val="1a1a1a"/>
          <w:sz w:val="28"/>
        </w:rPr>
        <w:t>D.2 Verification Package Production</w:t>
      </w:r>
    </w:p>
    <w:p>
      <w:pPr>
        <w:spacing w:after="160" w:line="288" w:lineRule="auto"/>
        <w:jc w:val="both"/>
      </w:pPr>
      <w:r>
        <w:rPr>
          <w:rFonts w:ascii="Cambria" w:hAnsi="Cambria"/>
          <w:color w:val="1a1a1a"/>
          <w:sz w:val="22"/>
        </w:rPr>
        <w:t>Step 1: Upon receiving a Priority A or B anomaly alert, the assigned analyst conducts a comprehensive investigation of the vessel's transit activities.</w:t>
      </w:r>
    </w:p>
    <w:p>
      <w:pPr>
        <w:spacing w:after="160" w:line="288" w:lineRule="auto"/>
        <w:jc w:val="both"/>
      </w:pPr>
      <w:r>
        <w:rPr>
          <w:rFonts w:ascii="Cambria" w:hAnsi="Cambria"/>
          <w:color w:val="1a1a1a"/>
          <w:sz w:val="22"/>
        </w:rPr>
        <w:t>Step 2: The analyst collects all supporting evidence: AIS track data; radar correlations; optical imagery (if available); transit data from the Joint Iran-Oman Committee; and vessel history.</w:t>
      </w:r>
    </w:p>
    <w:p>
      <w:pPr>
        <w:spacing w:after="160" w:line="288" w:lineRule="auto"/>
        <w:jc w:val="both"/>
      </w:pPr>
      <w:r>
        <w:rPr>
          <w:rFonts w:ascii="Cambria" w:hAnsi="Cambria"/>
          <w:color w:val="1a1a1a"/>
          <w:sz w:val="22"/>
        </w:rPr>
        <w:t>Step 3: The analyst drafts the Verification Package following the format defined in Appendix B.3.</w:t>
      </w:r>
    </w:p>
    <w:p>
      <w:pPr>
        <w:spacing w:after="160" w:line="288" w:lineRule="auto"/>
        <w:jc w:val="both"/>
      </w:pPr>
      <w:r>
        <w:rPr>
          <w:rFonts w:ascii="Cambria" w:hAnsi="Cambria"/>
          <w:color w:val="1a1a1a"/>
          <w:sz w:val="22"/>
        </w:rPr>
        <w:t>Step 4: A second analyst conducts peer review. The peer reviewer independently validates all findings and confirms or challenges the conclusions.</w:t>
      </w:r>
    </w:p>
    <w:p>
      <w:pPr>
        <w:spacing w:after="160" w:line="288" w:lineRule="auto"/>
        <w:jc w:val="both"/>
      </w:pPr>
      <w:r>
        <w:rPr>
          <w:rFonts w:ascii="Cambria" w:hAnsi="Cambria"/>
          <w:color w:val="1a1a1a"/>
          <w:sz w:val="22"/>
        </w:rPr>
        <w:t>Step 5: The supervisor reviews the Verification Package and either approves it for dissemination or returns it for additional work.</w:t>
      </w:r>
    </w:p>
    <w:p>
      <w:pPr>
        <w:spacing w:after="160" w:line="288" w:lineRule="auto"/>
        <w:jc w:val="both"/>
      </w:pPr>
      <w:r>
        <w:rPr>
          <w:rFonts w:ascii="Cambria" w:hAnsi="Cambria"/>
          <w:color w:val="1a1a1a"/>
          <w:sz w:val="22"/>
        </w:rPr>
        <w:t>Step 6: Upon supervisor approval, the system distributes the Verification Package to all designated recipients within thirty minutes.</w:t>
      </w:r>
    </w:p>
    <w:p>
      <w:pPr>
        <w:spacing w:after="160" w:line="288" w:lineRule="auto"/>
        <w:jc w:val="both"/>
      </w:pPr>
      <w:r>
        <w:rPr>
          <w:rFonts w:ascii="Cambria" w:hAnsi="Cambria"/>
          <w:color w:val="1a1a1a"/>
          <w:sz w:val="22"/>
        </w:rPr>
        <w:t>Step 7: The case management system tracks all responses and follow-up actions. The assigned analyst updates the case record as new information arrives.</w:t>
      </w:r>
    </w:p>
    <w:p>
      <w:pPr>
        <w:pStyle w:val="Heading2"/>
      </w:pPr>
      <w:r>
        <w:rPr>
          <w:rFonts w:ascii="Cambria" w:hAnsi="Cambria"/>
          <w:b/>
          <w:color w:val="1a1a1a"/>
          <w:sz w:val="28"/>
        </w:rPr>
        <w:t>D.3 Dark Vessel Response</w:t>
      </w:r>
    </w:p>
    <w:p>
      <w:pPr>
        <w:spacing w:after="160" w:line="288" w:lineRule="auto"/>
        <w:jc w:val="both"/>
      </w:pPr>
      <w:r>
        <w:rPr>
          <w:rFonts w:ascii="Cambria" w:hAnsi="Cambria"/>
          <w:color w:val="1a1a1a"/>
          <w:sz w:val="22"/>
        </w:rPr>
        <w:t>Step 1: The system detects an AIS gap event and attempts radar correlation.</w:t>
      </w:r>
    </w:p>
    <w:p>
      <w:pPr>
        <w:spacing w:after="160" w:line="288" w:lineRule="auto"/>
        <w:jc w:val="both"/>
      </w:pPr>
      <w:r>
        <w:rPr>
          <w:rFonts w:ascii="Cambria" w:hAnsi="Cambria"/>
          <w:color w:val="1a1a1a"/>
          <w:sz w:val="22"/>
        </w:rPr>
        <w:t>Step 2: If radar correlation succeeds within fifteen minutes, the system continues tracking as a dark track and logs the event. No alert issues.</w:t>
      </w:r>
    </w:p>
    <w:p>
      <w:pPr>
        <w:spacing w:after="160" w:line="288" w:lineRule="auto"/>
        <w:jc w:val="both"/>
      </w:pPr>
      <w:r>
        <w:rPr>
          <w:rFonts w:ascii="Cambria" w:hAnsi="Cambria"/>
          <w:color w:val="1a1a1a"/>
          <w:sz w:val="22"/>
        </w:rPr>
        <w:t>Step 3: If radar correlation fails, the system issues a Dark Vessel Alert to all monitoring stations.</w:t>
      </w:r>
    </w:p>
    <w:p>
      <w:pPr>
        <w:spacing w:after="160" w:line="288" w:lineRule="auto"/>
        <w:jc w:val="both"/>
      </w:pPr>
      <w:r>
        <w:rPr>
          <w:rFonts w:ascii="Cambria" w:hAnsi="Cambria"/>
          <w:color w:val="1a1a1a"/>
          <w:sz w:val="22"/>
        </w:rPr>
        <w:t>Step 4: The on-duty analyst reviews the alert and determines whether UAV deployment is appropriate based on location, traffic density, and available resources.</w:t>
      </w:r>
    </w:p>
    <w:p>
      <w:pPr>
        <w:spacing w:after="160" w:line="288" w:lineRule="auto"/>
        <w:jc w:val="both"/>
      </w:pPr>
      <w:r>
        <w:rPr>
          <w:rFonts w:ascii="Cambria" w:hAnsi="Cambria"/>
          <w:color w:val="1a1a1a"/>
          <w:sz w:val="22"/>
        </w:rPr>
        <w:t>Step 5: If UAV deployment occurs, the UAV controller maintains contact with the TWG and reports visual findings in real time.</w:t>
      </w:r>
    </w:p>
    <w:p>
      <w:pPr>
        <w:spacing w:after="160" w:line="288" w:lineRule="auto"/>
        <w:jc w:val="both"/>
      </w:pPr>
      <w:r>
        <w:rPr>
          <w:rFonts w:ascii="Cambria" w:hAnsi="Cambria"/>
          <w:color w:val="1a1a1a"/>
          <w:sz w:val="22"/>
        </w:rPr>
        <w:t>Step 6: The analyst classifies the dark event as equipment failure or deliberate deactivation and documents the classification.</w:t>
      </w:r>
    </w:p>
    <w:p>
      <w:pPr>
        <w:spacing w:after="160" w:line="288" w:lineRule="auto"/>
        <w:jc w:val="both"/>
      </w:pPr>
      <w:r>
        <w:rPr>
          <w:rFonts w:ascii="Cambria" w:hAnsi="Cambria"/>
          <w:color w:val="1a1a1a"/>
          <w:sz w:val="22"/>
        </w:rPr>
        <w:t>Step 7: Deliberate deactivation triggers a full anomaly investigation. Equipment failure receives a routine log entry.</w:t>
      </w:r>
    </w:p>
    <w:p>
      <w:pPr>
        <w:pStyle w:val="Heading2"/>
      </w:pPr>
      <w:r>
        <w:rPr>
          <w:rFonts w:ascii="Cambria" w:hAnsi="Cambria"/>
          <w:b/>
          <w:color w:val="1a1a1a"/>
          <w:sz w:val="28"/>
        </w:rPr>
        <w:t>D.4 Ship-to-Ship Transfer Verification</w:t>
      </w:r>
    </w:p>
    <w:p>
      <w:pPr>
        <w:spacing w:after="160" w:line="288" w:lineRule="auto"/>
        <w:jc w:val="both"/>
      </w:pPr>
      <w:r>
        <w:rPr>
          <w:rFonts w:ascii="Cambria" w:hAnsi="Cambria"/>
          <w:color w:val="1a1a1a"/>
          <w:sz w:val="22"/>
        </w:rPr>
        <w:t>Step 1: The proximity detection system flags a close encounter between two vessels.</w:t>
      </w:r>
    </w:p>
    <w:p>
      <w:pPr>
        <w:spacing w:after="160" w:line="288" w:lineRule="auto"/>
        <w:jc w:val="both"/>
      </w:pPr>
      <w:r>
        <w:rPr>
          <w:rFonts w:ascii="Cambria" w:hAnsi="Cambria"/>
          <w:color w:val="1a1a1a"/>
          <w:sz w:val="22"/>
        </w:rPr>
        <w:t>Step 2: The analyst reviews the encounter parameters: duration, speed pattern, location, and vessel characteristics.</w:t>
      </w:r>
    </w:p>
    <w:p>
      <w:pPr>
        <w:spacing w:after="160" w:line="288" w:lineRule="auto"/>
        <w:jc w:val="both"/>
      </w:pPr>
      <w:r>
        <w:rPr>
          <w:rFonts w:ascii="Cambria" w:hAnsi="Cambria"/>
          <w:color w:val="1a1a1a"/>
          <w:sz w:val="22"/>
        </w:rPr>
        <w:t>Step 3: The analyst checks both vessels against the vessel registry and previous alert history.</w:t>
      </w:r>
    </w:p>
    <w:p>
      <w:pPr>
        <w:spacing w:after="160" w:line="288" w:lineRule="auto"/>
        <w:jc w:val="both"/>
      </w:pPr>
      <w:r>
        <w:rPr>
          <w:rFonts w:ascii="Cambria" w:hAnsi="Cambria"/>
          <w:color w:val="1a1a1a"/>
          <w:sz w:val="22"/>
        </w:rPr>
        <w:t>Step 4: Where available, the analyst requests UAV or satellite imagery of the encounter.</w:t>
      </w:r>
    </w:p>
    <w:p>
      <w:pPr>
        <w:spacing w:after="160" w:line="288" w:lineRule="auto"/>
        <w:jc w:val="both"/>
      </w:pPr>
      <w:r>
        <w:rPr>
          <w:rFonts w:ascii="Cambria" w:hAnsi="Cambria"/>
          <w:color w:val="1a1a1a"/>
          <w:sz w:val="22"/>
        </w:rPr>
        <w:t>Step 5: The analyst calculates a transfer probability score using the weighted indicator system.</w:t>
      </w:r>
    </w:p>
    <w:p>
      <w:pPr>
        <w:spacing w:after="160" w:line="288" w:lineRule="auto"/>
        <w:jc w:val="both"/>
      </w:pPr>
      <w:r>
        <w:rPr>
          <w:rFonts w:ascii="Cambria" w:hAnsi="Cambria"/>
          <w:color w:val="1a1a1a"/>
          <w:sz w:val="22"/>
        </w:rPr>
        <w:t>Step 6: If the score exceeds the defined threshold, the analyst initiates Verification Package production.</w:t>
      </w:r>
    </w:p>
    <w:p>
      <w:pPr>
        <w:spacing w:after="160" w:line="288" w:lineRule="auto"/>
        <w:jc w:val="both"/>
      </w:pPr>
      <w:r>
        <w:rPr>
          <w:rFonts w:ascii="Cambria" w:hAnsi="Cambria"/>
          <w:color w:val="1a1a1a"/>
          <w:sz w:val="22"/>
        </w:rPr>
        <w:t>Step 7: The analyst identifies both vessels in the Verification Package and recommends verification actions.</w:t>
      </w:r>
    </w:p>
    <w:p>
      <w:pPr>
        <w:pStyle w:val="Heading2"/>
      </w:pPr>
      <w:r>
        <w:rPr>
          <w:rFonts w:ascii="Cambria" w:hAnsi="Cambria"/>
          <w:b/>
          <w:color w:val="1a1a1a"/>
          <w:sz w:val="28"/>
        </w:rPr>
        <w:t>D.5 Activation Recommendation Tracking</w:t>
      </w:r>
    </w:p>
    <w:p>
      <w:pPr>
        <w:spacing w:after="160" w:line="288" w:lineRule="auto"/>
        <w:jc w:val="both"/>
      </w:pPr>
      <w:r>
        <w:rPr>
          <w:rFonts w:ascii="Cambria" w:hAnsi="Cambria"/>
          <w:color w:val="1a1a1a"/>
          <w:sz w:val="22"/>
        </w:rPr>
        <w:t>Step 1: The case management system creates an activation recommendation record when the TWG issues a Verification Package.</w:t>
      </w:r>
    </w:p>
    <w:p>
      <w:pPr>
        <w:spacing w:after="160" w:line="288" w:lineRule="auto"/>
        <w:jc w:val="both"/>
      </w:pPr>
      <w:r>
        <w:rPr>
          <w:rFonts w:ascii="Cambria" w:hAnsi="Cambria"/>
          <w:color w:val="1a1a1a"/>
          <w:sz w:val="22"/>
        </w:rPr>
        <w:t>Step 2: The system sends automatic reminders to the Joint Secretariat at seven days and twelve days after issuance if no acknowledgment is received.</w:t>
      </w:r>
    </w:p>
    <w:p>
      <w:pPr>
        <w:spacing w:after="160" w:line="288" w:lineRule="auto"/>
        <w:jc w:val="both"/>
      </w:pPr>
      <w:r>
        <w:rPr>
          <w:rFonts w:ascii="Cambria" w:hAnsi="Cambria"/>
          <w:color w:val="1a1a1a"/>
          <w:sz w:val="22"/>
        </w:rPr>
        <w:t>Step 3: Upon receiving a response from the Qatari Central Bank, the analyst updates the record with the response details.</w:t>
      </w:r>
    </w:p>
    <w:p>
      <w:pPr>
        <w:spacing w:after="160" w:line="288" w:lineRule="auto"/>
        <w:jc w:val="both"/>
      </w:pPr>
      <w:r>
        <w:rPr>
          <w:rFonts w:ascii="Cambria" w:hAnsi="Cambria"/>
          <w:color w:val="1a1a1a"/>
          <w:sz w:val="22"/>
        </w:rPr>
        <w:t>Step 4: If the Qatari Central Bank approves activation, the analyst verifies that the disbursement conditions in Annex ES are met.</w:t>
      </w:r>
    </w:p>
    <w:p>
      <w:pPr>
        <w:spacing w:after="160" w:line="288" w:lineRule="auto"/>
        <w:jc w:val="both"/>
      </w:pPr>
      <w:r>
        <w:rPr>
          <w:rFonts w:ascii="Cambria" w:hAnsi="Cambria"/>
          <w:color w:val="1a1a1a"/>
          <w:sz w:val="22"/>
        </w:rPr>
        <w:t>Step 5: If the Qatari Central Bank declines activation, the analyst documents the reasons and updates the case record.</w:t>
      </w:r>
    </w:p>
    <w:p>
      <w:pPr>
        <w:spacing w:after="160" w:line="288" w:lineRule="auto"/>
        <w:jc w:val="both"/>
      </w:pPr>
      <w:r>
        <w:rPr>
          <w:rFonts w:ascii="Cambria" w:hAnsi="Cambria"/>
          <w:color w:val="1a1a1a"/>
          <w:sz w:val="22"/>
        </w:rPr>
        <w:t>Step 6: If the Qatari Central Bank does not respond within the timeframe specified in Annex ES, the TWG escalates to the Co-Chairs through the Joint Secretariat.</w:t>
      </w:r>
    </w:p>
    <w:p>
      <w:pPr>
        <w:spacing w:after="160" w:line="288" w:lineRule="auto"/>
        <w:jc w:val="both"/>
      </w:pPr>
      <w:r>
        <w:rPr>
          <w:rFonts w:ascii="Cambria" w:hAnsi="Cambria"/>
          <w:color w:val="1a1a1a"/>
          <w:sz w:val="22"/>
        </w:rPr>
        <w:t>Step 7: The case remains open until the TWG verifies resolution or the Co-Chairs close the case.</w:t>
      </w:r>
    </w:p>
    <w:p>
      <w:pPr>
        <w:pStyle w:val="Heading2"/>
      </w:pPr>
      <w:r>
        <w:rPr>
          <w:rFonts w:ascii="Cambria" w:hAnsi="Cambria"/>
          <w:b/>
          <w:color w:val="1a1a1a"/>
          <w:sz w:val="28"/>
        </w:rPr>
        <w:t>D.6 Shift Handover Procedures</w:t>
      </w:r>
    </w:p>
    <w:p>
      <w:pPr>
        <w:spacing w:after="160" w:line="288" w:lineRule="auto"/>
        <w:jc w:val="both"/>
      </w:pPr>
      <w:r>
        <w:rPr>
          <w:rFonts w:ascii="Cambria" w:hAnsi="Cambria"/>
          <w:color w:val="1a1a1a"/>
          <w:sz w:val="22"/>
        </w:rPr>
        <w:t>Outgoing analysts brief incoming analysts on the following items: all active alerts and their current status; any Priority A cases requiring immediate attention; system status and any known technical issues; and scheduled patrols or special missions.</w:t>
      </w:r>
    </w:p>
    <w:p>
      <w:pPr>
        <w:spacing w:after="160" w:line="288" w:lineRule="auto"/>
        <w:jc w:val="both"/>
      </w:pPr>
      <w:r>
        <w:rPr>
          <w:rFonts w:ascii="Cambria" w:hAnsi="Cambria"/>
          <w:color w:val="1a1a1a"/>
          <w:sz w:val="22"/>
        </w:rPr>
        <w:t>The handover record includes: time of handover; names of outgoing and incoming analysts; list of active cases with status summary; and any special instructions or situational updates.</w:t>
      </w:r>
    </w:p>
    <w:p>
      <w:pPr>
        <w:spacing w:after="160" w:line="288" w:lineRule="auto"/>
        <w:jc w:val="both"/>
      </w:pPr>
      <w:r>
        <w:rPr>
          <w:rFonts w:ascii="Cambria" w:hAnsi="Cambria"/>
          <w:color w:val="1a1a1a"/>
          <w:sz w:val="22"/>
        </w:rPr>
        <w:t>Both outgoing and incoming analysts sign the handover record electronically. The record remains in the case management system for audit purposes.</w:t>
      </w:r>
    </w:p>
    <w:p>
      <w:pPr>
        <w:sectPr>
          <w:headerReference w:type="default" r:id="R3ec7c30cb6674a20"/>
          <w:footerReference w:type="default" r:id="R9a287d49207d40d1"/>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3281522378054b3a"/>
                    <a:stretch>
                      <a:fillRect/>
                    </a:stretch>
                  </pic:blipFill>
                  <pic:spPr>
                    <a:xfrm>
                      <a:off x="0" y="0"/>
                      <a:ext cx="7560000" cy="10692000"/>
                    </a:xfrm>
                    <a:prstGeom prst="rect"/>
                  </pic:spPr>
                </pic:pic>
              </a:graphicData>
            </a:graphic>
          </wp:anchor>
        </w:drawing>
      </w:r>
    </w:p>
    <w:p>
      <w:pPr>
        <w:spacing w:before="4800"/>
      </w:pPr>
      <w:r/>
    </w:p>
    <w:p>
      <w:pPr>
        <w:spacing w:after="200"/>
        <w:jc w:val="center"/>
      </w:pPr>
      <w:r>
        <w:rPr>
          <w:rFonts w:ascii="Cambria" w:hAnsi="Cambria"/>
          <w:b/>
          <w:color w:val="1a2744"/>
          <w:spacing w:val="60"/>
          <w:sz w:val="48"/>
        </w:rPr>
        <w:t>Annex B</w:t>
      </w:r>
    </w:p>
    <w:p>
      <w:pPr>
        <w:spacing w:after="600"/>
        <w:jc w:val="center"/>
      </w:pPr>
      <w:r>
        <w:rPr>
          <w:rFonts w:ascii="Cambria" w:hAnsi="Cambria"/>
          <w:color w:val="1a1a1a"/>
          <w:sz w:val="28"/>
        </w:rPr>
        <w:t>Maritime Monitoring and Verification Protocol</w:t>
      </w:r>
    </w:p>
    <w:p>
      <w:pPr>
        <w:jc w:val="center"/>
      </w:pPr>
      <w:r>
        <w:rPr>
          <w:color w:val="1A1A1A"/>
          <w:sz w:val="22"/>
        </w:rPr>
        <w:t>Coordinated Technical Activation Framework</w:t>
      </w:r>
    </w:p>
    <w:p>
      <w:pPr>
        <w:spacing w:before="1600"/>
        <w:jc w:val="center"/>
      </w:pPr>
      <w:r>
        <w:rPr>
          <w:color w:val="1A1A1A"/>
          <w:sz w:val="20"/>
        </w:rPr>
        <w:t>CTAF-2026-001</w:t>
      </w:r>
    </w:p>
    <w:p>
      <w:pPr>
        <w:jc w:val="center"/>
      </w:pPr>
      <w:r>
        <w:rPr>
          <w:color w:val="1A1A1A"/>
          <w:sz w:val="20"/>
        </w:rPr>
        <w:t>CONFIDENTIAL / FOR MEDIATOR USE ONLY / NON-PAPER</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a7a7a"/>
        <w:sz w:val="18"/>
      </w:rPr>
      <w:fldChar w:fldCharType="begin"/>
    </w:r>
    <w:r>
      <w:rPr>
        <w:color w:val="7a7a7a"/>
        <w:sz w:val="18"/>
      </w:rPr>
      <w:instrText xml:space="preserve"> PAGE </w:instrText>
    </w:r>
    <w:r>
      <w:rPr>
        <w:color w:val="7a7a7a"/>
        <w:sz w:val="18"/>
      </w:rPr>
      <w:fldChar w:fldCharType="separate"/>
    </w:r>
    <w:r>
      <w:rPr>
        <w:color w:val="7a7a7a"/>
        <w:sz w:val="18"/>
      </w:rPr>
      <w:t>1</w:t>
    </w:r>
    <w:r>
      <w:fldChar w:fldCharType="end"/>
    </w:r>
    <w:r>
      <w:rPr>
        <w:color w:val="7a7a7a"/>
        <w:sz w:val="18"/>
      </w:rPr>
      <w:t xml:space="preserve"> / </w:t>
    </w:r>
    <w:r>
      <w:rPr>
        <w:color w:val="7a7a7a"/>
        <w:sz w:val="18"/>
      </w:rPr>
      <w:fldChar w:fldCharType="begin"/>
    </w:r>
    <w:r>
      <w:rPr>
        <w:color w:val="7a7a7a"/>
        <w:sz w:val="18"/>
      </w:rPr>
      <w:instrText xml:space="preserve"> NUMPAGES </w:instrText>
    </w:r>
    <w:r>
      <w:rPr>
        <w:color w:val="7a7a7a"/>
        <w:sz w:val="18"/>
      </w:rPr>
      <w:fldChar w:fldCharType="separate"/>
    </w:r>
    <w:r>
      <w:rPr>
        <w:color w:val="7a7a7a"/>
        <w:sz w:val="18"/>
      </w:rPr>
      <w:t>1</w:t>
    </w:r>
    <w:r>
      <w:fldChar w:fldCharType="end"/>
    </w:r>
  </w:p>
</w:ftr>
</file>

<file path=word/header1.xml><?xml version="1.0" encoding="utf-8"?>
<w:hdr xmlns:w="http://schemas.openxmlformats.org/wordprocessingml/2006/main">
  <w:p>
    <w:pPr>
      <w:jc w:val="right"/>
    </w:pPr>
    <w:r>
      <w:rPr>
        <w:rFonts w:ascii="Cambria" w:hAnsi="Cambria"/>
        <w:color w:val="1A1A1A"/>
        <w:sz w:val="18"/>
      </w:rPr>
      <w:t>Annex B: Maritime Monitoring and Verification Protocol (CTAF)</w:t>
    </w:r>
  </w:p>
</w:hdr>
</file>

<file path=word/numbering.xml><?xml version="1.0" encoding="utf-8"?>
<w:numbering xmlns:w="http://schemas.openxmlformats.org/wordprocessingml/2006/main">
  <w:abstractNum w:abstractNumId="0">
    <w:lvl w:ilvl="0">
      <w:start w:val="1"/>
      <w:numFmt w:val="decimal"/>
      <w:lvlText w:val="%1."/>
      <w:pPr>
        <w:ind w:left="720" w:hanging="360"/>
      </w:pPr>
      <w:rPr>
        <w:rFonts w:ascii="Cambria" w:hAnsi="Cambria"/>
      </w:rPr>
    </w:lvl>
  </w:abstractNum>
  <w:num w:numId="1">
    <w:abstractNumId w:val="0"/>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60" w:line="288" w:lineRule="auto"/>
      <w:jc w:val="both"/>
    </w:pPr>
    <w:rPr>
      <w:rFonts w:ascii="Cambria" w:hAnsi="Cambria" w:eastAsia="Microsoft YaHei"/>
      <w:color w:val="1a1a1a"/>
      <w:sz w:val="22"/>
    </w:rPr>
  </w:style>
  <w:style w:type="paragraph" w:styleId="Heading1">
    <w:name w:val="heading 1"/>
    <w:basedOn w:val="Normal"/>
    <w:pPr>
      <w:keepNext/>
      <w:keepLines/>
      <w:spacing w:before="480" w:after="240"/>
      <w:outlineLvl w:val="0"/>
    </w:pPr>
    <w:rPr>
      <w:rFonts w:ascii="Cambria" w:hAnsi="Cambria" w:eastAsia="Microsoft YaHei"/>
      <w:b/>
      <w:color w:val="1a2744"/>
      <w:sz w:val="36"/>
    </w:rPr>
  </w:style>
  <w:style w:type="paragraph" w:styleId="Heading2">
    <w:name w:val="heading 2"/>
    <w:basedOn w:val="Normal"/>
    <w:pPr>
      <w:keepNext/>
      <w:keepLines/>
      <w:spacing w:before="360" w:after="160"/>
      <w:outlineLvl w:val="1"/>
    </w:pPr>
    <w:rPr>
      <w:rFonts w:ascii="Cambria" w:hAnsi="Cambria" w:eastAsia="Microsoft YaHei"/>
      <w:b/>
      <w:color w:val="1a1a1a"/>
      <w:sz w:val="28"/>
    </w:rPr>
  </w:style>
  <w:style w:type="paragraph" w:styleId="Heading3">
    <w:name w:val="heading 3"/>
    <w:basedOn w:val="Normal"/>
    <w:pPr>
      <w:keepNext/>
      <w:keepLines/>
      <w:spacing w:before="280" w:after="120"/>
      <w:outlineLvl w:val="2"/>
    </w:pPr>
    <w:rPr>
      <w:rFonts w:ascii="Cambria" w:hAnsi="Cambria" w:eastAsia="Microsoft YaHei"/>
      <w:b/>
      <w:color w:val="4a4a4a"/>
      <w:sz w:val="24"/>
    </w:rPr>
  </w:style>
  <w:style w:type="paragraph" w:styleId="Caption">
    <w:name w:val="Caption"/>
    <w:basedOn w:val="Normal"/>
    <w:pPr>
      <w:spacing w:before="60" w:after="320"/>
      <w:jc w:val="center"/>
    </w:pPr>
    <w:rPr>
      <w:color w:val="7a7a7a"/>
      <w:sz w:val="20"/>
    </w:rPr>
  </w:style>
  <w:style w:type="paragraph" w:styleId="TOC1">
    <w:name w:val="toc 1"/>
    <w:basedOn w:val="Normal"/>
    <w:pPr>
      <w:tabs>
        <w:tab w:val="right" w:leader="dot" w:pos="9350"/>
      </w:tabs>
      <w:spacing w:before="200" w:after="60"/>
      <w:ind w:left="0"/>
    </w:pPr>
    <w:rPr>
      <w:b/>
      <w:color w:val="1a1a1a"/>
    </w:rPr>
  </w:style>
  <w:style w:type="paragraph" w:styleId="TOC2">
    <w:name w:val="toc 2"/>
    <w:basedOn w:val="Normal"/>
    <w:pPr>
      <w:tabs>
        <w:tab w:val="right" w:leader="dot" w:pos="9350"/>
      </w:tabs>
      <w:spacing w:before="60" w:after="60"/>
      <w:ind w:left="360"/>
    </w:pPr>
    <w:rPr>
      <w:color w:val="4a4a4a"/>
    </w:rPr>
  </w:style>
</w:styles>
</file>

<file path=word/_rels/document.xml.rels><?xml version='1.0' encoding='UTF-8'?>
<Relationships xmlns="http://schemas.openxmlformats.org/package/2006/relationships"><Relationship Type="http://schemas.openxmlformats.org/officeDocument/2006/relationships/styles" Target="styles.xml" Id="Rd913ea69ff994f76" /><Relationship Type="http://schemas.openxmlformats.org/officeDocument/2006/relationships/numbering" Target="numbering.xml" Id="R6482d78f43bc44a6" /><Relationship Type="http://schemas.openxmlformats.org/officeDocument/2006/relationships/image" Target="media/image.png" Id="R24a308c4bddf4e3e" /><Relationship Type="http://schemas.openxmlformats.org/officeDocument/2006/relationships/image" Target="media/image2.png" Id="R3281522378054b3a" /><Relationship Type="http://schemas.openxmlformats.org/officeDocument/2006/relationships/header" Target="header1.xml" Id="R3ec7c30cb6674a20" /><Relationship Type="http://schemas.openxmlformats.org/officeDocument/2006/relationships/footer" Target="footer1.xml" Id="R9a287d49207d40d1" /><Relationship Type="http://schemas.openxmlformats.org/officeDocument/2006/relationships/settings" Target="settings.xml" Id="R048f8941cc5c440d" /></Relationships>
</file>