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CCB4" w14:textId="77777777" w:rsidR="007D2C39" w:rsidRDefault="00000000">
      <w:r>
        <w:rPr>
          <w:noProof/>
        </w:rPr>
        <w:drawing>
          <wp:anchor distT="0" distB="0" distL="0" distR="0" simplePos="0" relativeHeight="251657216" behindDoc="1" locked="0" layoutInCell="1" allowOverlap="1" wp14:anchorId="53C3FA17" wp14:editId="205E2E15">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g.png"/>
                    <pic:cNvPicPr/>
                  </pic:nvPicPr>
                  <pic:blipFill>
                    <a:blip r:embed="rId7"/>
                    <a:stretch>
                      <a:fillRect/>
                    </a:stretch>
                  </pic:blipFill>
                  <pic:spPr>
                    <a:xfrm>
                      <a:off x="0" y="0"/>
                      <a:ext cx="7560000" cy="10692000"/>
                    </a:xfrm>
                    <a:prstGeom prst="rect">
                      <a:avLst/>
                    </a:prstGeom>
                  </pic:spPr>
                </pic:pic>
              </a:graphicData>
            </a:graphic>
          </wp:anchor>
        </w:drawing>
      </w:r>
    </w:p>
    <w:p w14:paraId="6E880DDF" w14:textId="77777777" w:rsidR="007D2C39" w:rsidRDefault="007D2C39">
      <w:pPr>
        <w:spacing w:before="4800"/>
      </w:pPr>
    </w:p>
    <w:p w14:paraId="74892735" w14:textId="77777777" w:rsidR="007D2C39" w:rsidRPr="00925598" w:rsidRDefault="00000000">
      <w:pPr>
        <w:spacing w:after="200"/>
        <w:jc w:val="center"/>
        <w:rPr>
          <w:color w:val="60CAF3" w:themeColor="accent4" w:themeTint="99"/>
        </w:rPr>
      </w:pPr>
      <w:r w:rsidRPr="00925598">
        <w:rPr>
          <w:b/>
          <w:color w:val="60CAF3" w:themeColor="accent4" w:themeTint="99"/>
          <w:spacing w:val="30"/>
          <w:sz w:val="72"/>
        </w:rPr>
        <w:t>ANNEX C</w:t>
      </w:r>
    </w:p>
    <w:p w14:paraId="4CB21E8E" w14:textId="77777777" w:rsidR="007D2C39" w:rsidRPr="00925598" w:rsidRDefault="00000000">
      <w:pPr>
        <w:spacing w:after="120"/>
        <w:jc w:val="center"/>
        <w:rPr>
          <w:color w:val="60CAF3" w:themeColor="accent4" w:themeTint="99"/>
        </w:rPr>
      </w:pPr>
      <w:r w:rsidRPr="00925598">
        <w:rPr>
          <w:b/>
          <w:color w:val="60CAF3" w:themeColor="accent4" w:themeTint="99"/>
          <w:spacing w:val="20"/>
          <w:sz w:val="48"/>
        </w:rPr>
        <w:t>Escrow Release Mechanics</w:t>
      </w:r>
    </w:p>
    <w:p w14:paraId="684B02A1" w14:textId="77777777" w:rsidR="007D2C39" w:rsidRPr="00925598" w:rsidRDefault="00000000">
      <w:pPr>
        <w:spacing w:after="600"/>
        <w:jc w:val="center"/>
        <w:rPr>
          <w:color w:val="60CAF3" w:themeColor="accent4" w:themeTint="99"/>
        </w:rPr>
      </w:pPr>
      <w:r w:rsidRPr="00925598">
        <w:rPr>
          <w:color w:val="60CAF3" w:themeColor="accent4" w:themeTint="99"/>
          <w:sz w:val="28"/>
        </w:rPr>
        <w:t>Detailed Procedures for the Qatar Central Bank</w:t>
      </w:r>
    </w:p>
    <w:p w14:paraId="20B0BA8C" w14:textId="77777777" w:rsidR="007D2C39" w:rsidRPr="00925598" w:rsidRDefault="00000000">
      <w:pPr>
        <w:spacing w:after="80"/>
        <w:jc w:val="center"/>
        <w:rPr>
          <w:color w:val="60CAF3" w:themeColor="accent4" w:themeTint="99"/>
        </w:rPr>
      </w:pPr>
      <w:r w:rsidRPr="00925598">
        <w:rPr>
          <w:color w:val="60CAF3" w:themeColor="accent4" w:themeTint="99"/>
        </w:rPr>
        <w:t>Operational Procedures for the Two-Pool Synchronized</w:t>
      </w:r>
    </w:p>
    <w:p w14:paraId="36F16174" w14:textId="77777777" w:rsidR="007D2C39" w:rsidRPr="00925598" w:rsidRDefault="00000000">
      <w:pPr>
        <w:spacing w:after="400"/>
        <w:jc w:val="center"/>
        <w:rPr>
          <w:color w:val="60CAF3" w:themeColor="accent4" w:themeTint="99"/>
        </w:rPr>
      </w:pPr>
      <w:r w:rsidRPr="00925598">
        <w:rPr>
          <w:color w:val="60CAF3" w:themeColor="accent4" w:themeTint="99"/>
        </w:rPr>
        <w:t>Disbursement Architecture under the Islamabad Accord</w:t>
      </w:r>
    </w:p>
    <w:p w14:paraId="65347BC0" w14:textId="77777777" w:rsidR="007D2C39" w:rsidRDefault="00000000">
      <w:pPr>
        <w:spacing w:after="60"/>
        <w:jc w:val="center"/>
      </w:pPr>
      <w:r>
        <w:rPr>
          <w:color w:val="78909C"/>
          <w:sz w:val="18"/>
        </w:rPr>
        <w:t>Incorporated by Reference:</w:t>
      </w:r>
    </w:p>
    <w:p w14:paraId="297C6212" w14:textId="77777777" w:rsidR="007D2C39" w:rsidRDefault="00000000">
      <w:pPr>
        <w:spacing w:after="600"/>
        <w:jc w:val="center"/>
      </w:pPr>
      <w:r>
        <w:rPr>
          <w:color w:val="78909C"/>
          <w:sz w:val="18"/>
        </w:rPr>
        <w:t>MENOC Charter | Islamabad MoU | Annex ES | Annex B</w:t>
      </w:r>
    </w:p>
    <w:p w14:paraId="23CB26E8" w14:textId="77777777" w:rsidR="007D2C39" w:rsidRDefault="00000000">
      <w:pPr>
        <w:spacing w:after="200"/>
        <w:jc w:val="center"/>
      </w:pPr>
      <w:r>
        <w:rPr>
          <w:color w:val="78909C"/>
          <w:sz w:val="18"/>
        </w:rPr>
        <w:t>CONFIDENTIAL / FOR MEDIATOR USE ONLY / NON-PAPER</w:t>
      </w:r>
    </w:p>
    <w:p w14:paraId="43A04801" w14:textId="77777777" w:rsidR="007D2C39" w:rsidRDefault="007D2C39">
      <w:pPr>
        <w:sectPr w:rsidR="007D2C39">
          <w:pgSz w:w="11906" w:h="16838"/>
          <w:pgMar w:top="0" w:right="0" w:bottom="0" w:left="0" w:header="0" w:footer="0" w:gutter="0"/>
          <w:cols w:space="720"/>
          <w:titlePg/>
        </w:sectPr>
      </w:pPr>
    </w:p>
    <w:p w14:paraId="76F73144" w14:textId="77777777" w:rsidR="007D2C39" w:rsidRDefault="00000000">
      <w:pPr>
        <w:spacing w:before="400" w:after="200"/>
      </w:pPr>
      <w:r>
        <w:rPr>
          <w:b/>
          <w:color w:val="1E3A4C"/>
          <w:sz w:val="36"/>
        </w:rPr>
        <w:lastRenderedPageBreak/>
        <w:t>Table of Contents</w:t>
      </w:r>
    </w:p>
    <w:p w14:paraId="0429F4EB" w14:textId="77777777" w:rsidR="007D2C39" w:rsidRDefault="00000000">
      <w:pPr>
        <w:spacing w:after="240"/>
      </w:pPr>
      <w:r>
        <w:rPr>
          <w:color w:val="78909C"/>
          <w:sz w:val="18"/>
        </w:rPr>
        <w:t>Right-click the TOC and select "Update Field" to refresh page numbers</w:t>
      </w:r>
    </w:p>
    <w:p w14:paraId="58A58E8C" w14:textId="77777777" w:rsidR="007D2C39" w:rsidRDefault="00000000">
      <w:r>
        <w:fldChar w:fldCharType="begin"/>
      </w:r>
      <w:r>
        <w:instrText xml:space="preserve"> TOC \o "1-3" \h \z \u </w:instrText>
      </w:r>
      <w:r>
        <w:fldChar w:fldCharType="separate"/>
      </w:r>
    </w:p>
    <w:p w14:paraId="625A6D05" w14:textId="77777777" w:rsidR="007D2C39" w:rsidRDefault="00000000">
      <w:pPr>
        <w:pStyle w:val="TOC1"/>
      </w:pPr>
      <w:r>
        <w:t>Preamble</w:t>
      </w:r>
      <w:r>
        <w:tab/>
        <w:t>1</w:t>
      </w:r>
    </w:p>
    <w:p w14:paraId="421542B1" w14:textId="77777777" w:rsidR="007D2C39" w:rsidRDefault="00000000">
      <w:pPr>
        <w:pStyle w:val="TOC1"/>
      </w:pPr>
      <w:r>
        <w:t>Article 1: Definitions</w:t>
      </w:r>
      <w:r>
        <w:tab/>
        <w:t>2</w:t>
      </w:r>
    </w:p>
    <w:p w14:paraId="44AC4D07" w14:textId="77777777" w:rsidR="007D2C39" w:rsidRDefault="00000000">
      <w:pPr>
        <w:pStyle w:val="TOC1"/>
      </w:pPr>
      <w:r>
        <w:t>Article 2: Escrow Agent Authority and Fiduciary Duty</w:t>
      </w:r>
      <w:r>
        <w:tab/>
        <w:t>4</w:t>
      </w:r>
    </w:p>
    <w:p w14:paraId="2113DF62" w14:textId="77777777" w:rsidR="007D2C39" w:rsidRDefault="00000000">
      <w:pPr>
        <w:pStyle w:val="TOC1"/>
      </w:pPr>
      <w:r>
        <w:t>Article 3: Escrow Account Establishment</w:t>
      </w:r>
      <w:r>
        <w:tab/>
        <w:t>5</w:t>
      </w:r>
    </w:p>
    <w:p w14:paraId="126D8447" w14:textId="77777777" w:rsidR="007D2C39" w:rsidRDefault="00000000">
      <w:pPr>
        <w:pStyle w:val="TOC1"/>
      </w:pPr>
      <w:r>
        <w:t>Article 4: Verification and Authorization</w:t>
      </w:r>
      <w:r>
        <w:tab/>
        <w:t>6</w:t>
      </w:r>
    </w:p>
    <w:p w14:paraId="0E784AD3" w14:textId="77777777" w:rsidR="007D2C39" w:rsidRDefault="00000000">
      <w:pPr>
        <w:pStyle w:val="TOC1"/>
      </w:pPr>
      <w:r>
        <w:t>Article 5: Release Execution</w:t>
      </w:r>
      <w:r>
        <w:tab/>
        <w:t>8</w:t>
      </w:r>
    </w:p>
    <w:p w14:paraId="37DB2884" w14:textId="77777777" w:rsidR="007D2C39" w:rsidRDefault="00000000">
      <w:pPr>
        <w:pStyle w:val="TOC1"/>
      </w:pPr>
      <w:r>
        <w:t>Article 6: Dispute Resolution Override</w:t>
      </w:r>
      <w:r>
        <w:tab/>
        <w:t>10</w:t>
      </w:r>
    </w:p>
    <w:p w14:paraId="6DAE1BB4" w14:textId="77777777" w:rsidR="007D2C39" w:rsidRDefault="00000000">
      <w:pPr>
        <w:pStyle w:val="TOC1"/>
      </w:pPr>
      <w:r>
        <w:t>Article 7: Step-Back and Earn-Back Implementation</w:t>
      </w:r>
      <w:r>
        <w:tab/>
        <w:t>11</w:t>
      </w:r>
    </w:p>
    <w:p w14:paraId="4B69BABB" w14:textId="77777777" w:rsidR="007D2C39" w:rsidRDefault="00000000">
      <w:pPr>
        <w:pStyle w:val="TOC1"/>
      </w:pPr>
      <w:r>
        <w:t>Article 8: Investment and Interest</w:t>
      </w:r>
      <w:r>
        <w:tab/>
        <w:t>13</w:t>
      </w:r>
    </w:p>
    <w:p w14:paraId="322D78F8" w14:textId="77777777" w:rsidR="007D2C39" w:rsidRDefault="00000000">
      <w:pPr>
        <w:pStyle w:val="TOC1"/>
      </w:pPr>
      <w:r>
        <w:t>Article 9: Reporting and Transparency</w:t>
      </w:r>
      <w:r>
        <w:tab/>
        <w:t>14</w:t>
      </w:r>
    </w:p>
    <w:p w14:paraId="15867E30" w14:textId="77777777" w:rsidR="007D2C39" w:rsidRDefault="00000000">
      <w:pPr>
        <w:pStyle w:val="TOC1"/>
      </w:pPr>
      <w:r>
        <w:t>Article 10: Successor Escrow Agent</w:t>
      </w:r>
      <w:r>
        <w:tab/>
        <w:t>15</w:t>
      </w:r>
    </w:p>
    <w:p w14:paraId="63A3C4D6" w14:textId="77777777" w:rsidR="007D2C39" w:rsidRDefault="00000000">
      <w:pPr>
        <w:pStyle w:val="TOC1"/>
      </w:pPr>
      <w:r>
        <w:t>Article 11: Termination</w:t>
      </w:r>
      <w:r>
        <w:tab/>
        <w:t>16</w:t>
      </w:r>
    </w:p>
    <w:p w14:paraId="1CC337EF" w14:textId="77777777" w:rsidR="007D2C39" w:rsidRDefault="00000000">
      <w:pPr>
        <w:pStyle w:val="TOC1"/>
      </w:pPr>
      <w:r>
        <w:t>Article 12: Non-Recognition Clause</w:t>
      </w:r>
      <w:r>
        <w:tab/>
        <w:t>17</w:t>
      </w:r>
    </w:p>
    <w:p w14:paraId="08459EC6" w14:textId="77777777" w:rsidR="007D2C39" w:rsidRDefault="00000000">
      <w:pPr>
        <w:pStyle w:val="TOC1"/>
      </w:pPr>
      <w:r>
        <w:t>Appendix A: Release Instruction Form</w:t>
      </w:r>
      <w:r>
        <w:tab/>
        <w:t>18</w:t>
      </w:r>
    </w:p>
    <w:p w14:paraId="71E8C853" w14:textId="77777777" w:rsidR="007D2C39" w:rsidRDefault="00000000">
      <w:pPr>
        <w:pStyle w:val="TOC1"/>
      </w:pPr>
      <w:r>
        <w:t>Signature Block</w:t>
      </w:r>
      <w:r>
        <w:tab/>
        <w:t>19</w:t>
      </w:r>
    </w:p>
    <w:p w14:paraId="0A5A136A" w14:textId="77777777" w:rsidR="007D2C39" w:rsidRDefault="00000000">
      <w:r>
        <w:fldChar w:fldCharType="end"/>
      </w:r>
    </w:p>
    <w:p w14:paraId="3CA77557" w14:textId="77777777" w:rsidR="007D2C39" w:rsidRDefault="007D2C39">
      <w:pPr>
        <w:sectPr w:rsidR="007D2C39">
          <w:pgSz w:w="11906" w:h="16838"/>
          <w:pgMar w:top="1800" w:right="1440" w:bottom="1440" w:left="1440" w:header="720" w:footer="720" w:gutter="0"/>
          <w:cols w:space="720"/>
        </w:sectPr>
      </w:pPr>
    </w:p>
    <w:p w14:paraId="7F4D6E68" w14:textId="77777777" w:rsidR="007D2C39" w:rsidRDefault="00000000">
      <w:pPr>
        <w:pStyle w:val="Heading1"/>
      </w:pPr>
      <w:r>
        <w:lastRenderedPageBreak/>
        <w:t>Preamble</w:t>
      </w:r>
      <w:bookmarkStart w:id="0" w:name="_TocPreamble"/>
      <w:bookmarkEnd w:id="0"/>
    </w:p>
    <w:p w14:paraId="589189E2" w14:textId="77777777" w:rsidR="007D2C39" w:rsidRDefault="00000000">
      <w:pPr>
        <w:jc w:val="both"/>
      </w:pPr>
      <w:r>
        <w:t>This Annex C establishes the operational procedures for the release of escrowed funds under the Two-Pool Synchronized Disbursement architecture defined in Annex ES. The Qatar Central Bank (QCB) operates as the Escrow Agent for both Pool A (the Humanitarian and Agricultural Pool) and Pool B (the Sovereign Reconstruction Pool). This Annex translates the principles and trigger conditions of Annex ES into step-by-step operational instructions for the QCB.</w:t>
      </w:r>
    </w:p>
    <w:p w14:paraId="626397EA" w14:textId="77777777" w:rsidR="007D2C39" w:rsidRDefault="00000000">
      <w:pPr>
        <w:jc w:val="both"/>
      </w:pPr>
      <w:r>
        <w:t>The Parties incorporate the following instruments by reference into this Annex C:</w:t>
      </w:r>
    </w:p>
    <w:p w14:paraId="21C7CCAB" w14:textId="77777777" w:rsidR="007D2C39" w:rsidRDefault="00000000">
      <w:pPr>
        <w:ind w:left="720" w:hanging="360"/>
        <w:jc w:val="both"/>
      </w:pPr>
      <w:r>
        <w:t>• The MENOC Charter (Middle East Nuclear Organization for Cooperation Founding Charter), for the governance structure of the Joint Management Board, the Joint Commission, and the dispute resolution framework.</w:t>
      </w:r>
    </w:p>
    <w:p w14:paraId="09037BBD" w14:textId="77777777" w:rsidR="007D2C39" w:rsidRDefault="00000000">
      <w:pPr>
        <w:ind w:left="720" w:hanging="360"/>
        <w:jc w:val="both"/>
      </w:pPr>
      <w:r>
        <w:t>• The Islamabad Memorandum of Understanding, for the foundational obligations of the Parties, the framework architecture, and the normative hierarchy governing all annexes.</w:t>
      </w:r>
    </w:p>
    <w:p w14:paraId="65AEBD4D" w14:textId="77777777" w:rsidR="007D2C39" w:rsidRDefault="00000000">
      <w:pPr>
        <w:ind w:left="720" w:hanging="360"/>
        <w:jc w:val="both"/>
      </w:pPr>
      <w:r>
        <w:t>• Annex ES (Escrow and Trigger Sequence Protocol), for the definitions of Pool A, Pool B, Joint Disbursement Instruction, IAEA Verification Certificate, Release Trigger, Step-Back, and Earn-Back.</w:t>
      </w:r>
    </w:p>
    <w:p w14:paraId="7BA12349" w14:textId="77777777" w:rsidR="007D2C39" w:rsidRDefault="00000000">
      <w:pPr>
        <w:ind w:left="720" w:hanging="360"/>
        <w:jc w:val="both"/>
      </w:pPr>
      <w:r>
        <w:t>• Annex B (Maritime Monitoring and Verification Protocol), for the Verification Package and the corroboration procedures that trigger disbursement eligibility.</w:t>
      </w:r>
    </w:p>
    <w:p w14:paraId="6FD3B26F" w14:textId="77777777" w:rsidR="007D2C39" w:rsidRDefault="00000000">
      <w:pPr>
        <w:ind w:left="720" w:hanging="360"/>
        <w:jc w:val="both"/>
      </w:pPr>
      <w:r>
        <w:t>• Annex EV (Verification and Transparency Protocol), for the unified verification architecture and IAEA reporting standards.</w:t>
      </w:r>
    </w:p>
    <w:p w14:paraId="27714389" w14:textId="77777777" w:rsidR="007D2C39" w:rsidRDefault="00000000">
      <w:pPr>
        <w:jc w:val="both"/>
      </w:pPr>
      <w:r>
        <w:t>In the event of an inconsistency between this Annex C and any of the incorporated instruments, the normative hierarchy in MENOC Charter Article 20 and Islamabad MoU Article 1.3 governs. This Annex operates as a technical implementation document and does not amend the substantive obligations of the Parties under the Islamabad MoU or the MENOC Charter.</w:t>
      </w:r>
    </w:p>
    <w:p w14:paraId="3F38B84F" w14:textId="77777777" w:rsidR="007D2C39" w:rsidRDefault="00000000">
      <w:pPr>
        <w:jc w:val="both"/>
      </w:pPr>
      <w:r>
        <w:t>All references to "the Escrow Agent" in this Annex mean the Qatar Central Bank acting in its capacity as neutral custodian of both escrow pools. All references to "the Parties" mean the Islamic Republic of Iran and the United States of America. All references to "the Framework" mean the combined architecture of the Islamabad MoU, the MENOC Charter, and all annexes incorporated by reference.</w:t>
      </w:r>
    </w:p>
    <w:p w14:paraId="7E038ADC" w14:textId="77777777" w:rsidR="007D2C39" w:rsidRDefault="00000000">
      <w:pPr>
        <w:pStyle w:val="Heading1"/>
      </w:pPr>
      <w:r>
        <w:t>Article 1: Definitions</w:t>
      </w:r>
      <w:bookmarkStart w:id="1" w:name="_Toc001"/>
      <w:bookmarkEnd w:id="1"/>
    </w:p>
    <w:p w14:paraId="68F303CB" w14:textId="77777777" w:rsidR="007D2C39" w:rsidRDefault="00000000">
      <w:pPr>
        <w:jc w:val="both"/>
      </w:pPr>
      <w:r>
        <w:t xml:space="preserve">For the purposes of this Annex, the following terms carry the meanings set out below. Terms not defined in this Article retain the meanings given in Annex ES Article 1 and the Islamabad MoU Article </w:t>
      </w:r>
      <w:r>
        <w:lastRenderedPageBreak/>
        <w:t>1.6. Where a conflict exists between a definition in this Annex and a definition in Annex ES or the Islamabad MoU, the definition in the higher-ranking instrument governs per MENOC Charter Article 20.</w:t>
      </w:r>
    </w:p>
    <w:p w14:paraId="4DE575E9" w14:textId="77777777" w:rsidR="007D2C39" w:rsidRDefault="00000000">
      <w:pPr>
        <w:pStyle w:val="Heading2"/>
      </w:pPr>
      <w:r>
        <w:t>1.1 Joint Disbursement Instruction (JDI)</w:t>
      </w:r>
    </w:p>
    <w:p w14:paraId="76E94C73" w14:textId="77777777" w:rsidR="007D2C39" w:rsidRDefault="00000000">
      <w:pPr>
        <w:jc w:val="both"/>
      </w:pPr>
      <w:r>
        <w:t xml:space="preserve">"Joint Disbursement Instruction" means the written instruction defined in Annex ES Article 1.11, issued by the Political and Compliance Council (PCC), directing the Escrow Agent to release specified tranches from both Pool A and Pool B simultaneously. The JDI </w:t>
      </w:r>
      <w:proofErr w:type="gramStart"/>
      <w:r>
        <w:t>contains:</w:t>
      </w:r>
      <w:proofErr w:type="gramEnd"/>
      <w:r>
        <w:t xml:space="preserve"> affirmative votes from both Iranian and United States representatives on the PCC; reference to the specific IAEA Verification Certificate that triggered the instruction; the exact amounts to be released from each pool; the designated recipient accounts; the date of intended transfer; and signatures from both PCC co-chairs. A JDI is not valid unless all six elements are present and complete.</w:t>
      </w:r>
    </w:p>
    <w:p w14:paraId="6F26CBB0" w14:textId="77777777" w:rsidR="007D2C39" w:rsidRDefault="00000000">
      <w:pPr>
        <w:pStyle w:val="Heading2"/>
      </w:pPr>
      <w:r>
        <w:t>1.2 Escrow Agent</w:t>
      </w:r>
    </w:p>
    <w:p w14:paraId="3E611F24" w14:textId="77777777" w:rsidR="007D2C39" w:rsidRDefault="00000000">
      <w:pPr>
        <w:jc w:val="both"/>
      </w:pPr>
      <w:r>
        <w:t>"Escrow Agent" means the State of Qatar, acting through its Central Bank (the Qatar Central Bank, or QCB), serving as the neutral custodian of both Pool A and Pool B, as defined in Annex ES Article 1.1. The Escrow Agent maintains segregated accounts for each pool and exercises independent professional judgment in verifying all disbursement instructions.</w:t>
      </w:r>
    </w:p>
    <w:p w14:paraId="2EF479D4" w14:textId="77777777" w:rsidR="007D2C39" w:rsidRDefault="00000000">
      <w:pPr>
        <w:pStyle w:val="Heading2"/>
      </w:pPr>
      <w:r>
        <w:t>1.3 Verification Package</w:t>
      </w:r>
    </w:p>
    <w:p w14:paraId="73F27402" w14:textId="77777777" w:rsidR="007D2C39" w:rsidRDefault="00000000">
      <w:pPr>
        <w:jc w:val="both"/>
      </w:pPr>
      <w:r>
        <w:t>"Verification Package" means the formal analytical product defined in Annex B Article 1.7, issued by the Technical Working Group (TWG), that documents transit metrics, corroborates unobstructed passage against independent monitoring sources, and recommends tranche activation or non-activation. The Joint Secretariat transmits the Verification Package to the QCB for eligibility determination under this Annex.</w:t>
      </w:r>
    </w:p>
    <w:p w14:paraId="37596132" w14:textId="77777777" w:rsidR="007D2C39" w:rsidRDefault="00000000">
      <w:pPr>
        <w:pStyle w:val="Heading2"/>
      </w:pPr>
      <w:r>
        <w:t>1.4 Pool A and Pool B</w:t>
      </w:r>
    </w:p>
    <w:p w14:paraId="7AF2875D" w14:textId="77777777" w:rsidR="007D2C39" w:rsidRDefault="00000000">
      <w:pPr>
        <w:jc w:val="both"/>
      </w:pPr>
      <w:r>
        <w:t>"Pool A" means the Humanitarian and Agricultural Pool of $4,000,000,000 (four billion United States Dollars), held in the US-Qatar Joint Oversight Escrow, as defined in Annex ES Article 1.3. "Pool B" means the Sovereign Reconstruction Pool of $8,000,000,000 (eight billion United States Dollars), held in the Neutral Qatar Escrow, as defined in Annex ES Article 1.4.</w:t>
      </w:r>
    </w:p>
    <w:p w14:paraId="453FF093" w14:textId="77777777" w:rsidR="007D2C39" w:rsidRDefault="00000000">
      <w:pPr>
        <w:pStyle w:val="Heading2"/>
      </w:pPr>
      <w:r>
        <w:t>1.5 Release Confirmation Certificate</w:t>
      </w:r>
    </w:p>
    <w:p w14:paraId="40FCFF8F" w14:textId="77777777" w:rsidR="007D2C39" w:rsidRDefault="00000000">
      <w:pPr>
        <w:jc w:val="both"/>
      </w:pPr>
      <w:r>
        <w:t xml:space="preserve">"Release Confirmation Certificate" means the certification the Escrow Agent issues within six hours of executing a wire transfer, confirming: the date and time of transfer; the amount transferred; the </w:t>
      </w:r>
      <w:r>
        <w:lastRenderedPageBreak/>
        <w:t>recipient account; the triggering IAEA Verification Certificate number; and the reference number of the Joint Disbursement Instruction. The Escrow Agent transmits the Release Confirmation Certificate to the Joint Secretariat for entry into the official compliance register.</w:t>
      </w:r>
    </w:p>
    <w:p w14:paraId="44E4E7B7" w14:textId="77777777" w:rsidR="007D2C39" w:rsidRDefault="00000000">
      <w:pPr>
        <w:pStyle w:val="Heading2"/>
      </w:pPr>
      <w:r>
        <w:t>1.6 Deposit Confirmation Certificate</w:t>
      </w:r>
    </w:p>
    <w:p w14:paraId="1C9A3E5C" w14:textId="77777777" w:rsidR="007D2C39" w:rsidRDefault="00000000">
      <w:pPr>
        <w:jc w:val="both"/>
      </w:pPr>
      <w:r>
        <w:t>"Deposit Confirmation Certificate" means the certificate the Escrow Agent issues within 24 hours of receiving and dividing the $12 Billion Asset Pool into Pool A and Pool B, as specified in Annex ES Article 2.1. The certificate states the exact amount deposited into each account, the date and time of deposit, the account numbers, and the applicable interest rates.</w:t>
      </w:r>
    </w:p>
    <w:p w14:paraId="645711F5" w14:textId="77777777" w:rsidR="007D2C39" w:rsidRDefault="00000000">
      <w:pPr>
        <w:pStyle w:val="Heading2"/>
      </w:pPr>
      <w:r>
        <w:t>1.7 Final Determination</w:t>
      </w:r>
    </w:p>
    <w:p w14:paraId="7B58C93B" w14:textId="77777777" w:rsidR="007D2C39" w:rsidRDefault="00000000">
      <w:pPr>
        <w:jc w:val="both"/>
      </w:pPr>
      <w:r>
        <w:t>"Final Determination" means the binding determination issued by the expedited arbitration panel convened under the Guarantor Matrix, as described in Annex ES Article 4.4 and Article 6 of this Annex. A Final Determination authorizes the Escrow Agent to execute a release upon receipt of one PCC co-chair signature accompanied by the panel's authorization certificate.</w:t>
      </w:r>
    </w:p>
    <w:p w14:paraId="182CC57C" w14:textId="77777777" w:rsidR="007D2C39" w:rsidRDefault="00000000">
      <w:pPr>
        <w:pStyle w:val="Heading2"/>
      </w:pPr>
      <w:r>
        <w:t>1.8 Call-Back Verification</w:t>
      </w:r>
    </w:p>
    <w:p w14:paraId="08A0F300" w14:textId="77777777" w:rsidR="007D2C39" w:rsidRDefault="00000000">
      <w:pPr>
        <w:jc w:val="both"/>
      </w:pPr>
      <w:r>
        <w:t>"Call-Back Verification" means the security procedure under which the Escrow Agent verifies a Joint Disbursement Instruction by telephone confirmation with both PCC co-chairs. The Escrow Agent initiates call-back verification independently for each disbursement instruction and documents the confirmation in the transaction record.</w:t>
      </w:r>
    </w:p>
    <w:p w14:paraId="21970F62" w14:textId="77777777" w:rsidR="007D2C39" w:rsidRDefault="00000000">
      <w:pPr>
        <w:pStyle w:val="Heading2"/>
      </w:pPr>
      <w:r>
        <w:t>1.9 Successor Escrow Agent</w:t>
      </w:r>
    </w:p>
    <w:p w14:paraId="3B35E7E9" w14:textId="77777777" w:rsidR="007D2C39" w:rsidRDefault="00000000">
      <w:pPr>
        <w:jc w:val="both"/>
      </w:pPr>
      <w:r>
        <w:t>"Successor Escrow Agent" means the institution that assumes the duties of the Escrow Agent following resignation, removal, or incapacity of the Qatar Central Bank, as described in Article 10 of this Annex.</w:t>
      </w:r>
    </w:p>
    <w:p w14:paraId="1E0EB029" w14:textId="77777777" w:rsidR="007D2C39" w:rsidRDefault="00000000">
      <w:pPr>
        <w:pStyle w:val="Heading1"/>
      </w:pPr>
      <w:r>
        <w:t>Article 2: Escrow Agent Authority and Fiduciary Duty</w:t>
      </w:r>
      <w:bookmarkStart w:id="2" w:name="_Toc002"/>
      <w:bookmarkEnd w:id="2"/>
    </w:p>
    <w:p w14:paraId="3488D88E" w14:textId="77777777" w:rsidR="007D2C39" w:rsidRDefault="00000000">
      <w:pPr>
        <w:pStyle w:val="Heading2"/>
      </w:pPr>
      <w:r>
        <w:t>2.1 Ministerial Role</w:t>
      </w:r>
    </w:p>
    <w:p w14:paraId="00E89A41" w14:textId="77777777" w:rsidR="007D2C39" w:rsidRDefault="00000000">
      <w:pPr>
        <w:jc w:val="both"/>
      </w:pPr>
      <w:r>
        <w:t xml:space="preserve">The Escrow Agent acts on written instructions. The Escrow Agent does not investigate the underlying transactions, the merits of the Parties' positions, or the political context of any disbursement. The Escrow Agent verifies the form, authenticity, and completeness of instructions. The Escrow Agent </w:t>
      </w:r>
      <w:r>
        <w:lastRenderedPageBreak/>
        <w:t>exercises independent professional judgment only when an instruction appears facially invalid, incomplete, or contrary to the terms of this Annex.</w:t>
      </w:r>
    </w:p>
    <w:p w14:paraId="76725AD8" w14:textId="77777777" w:rsidR="007D2C39" w:rsidRDefault="00000000">
      <w:pPr>
        <w:pStyle w:val="Heading2"/>
      </w:pPr>
      <w:r>
        <w:t>2.2 Fiduciary Duty</w:t>
      </w:r>
    </w:p>
    <w:p w14:paraId="1C140942" w14:textId="77777777" w:rsidR="007D2C39" w:rsidRDefault="00000000">
      <w:pPr>
        <w:jc w:val="both"/>
      </w:pPr>
      <w:r>
        <w:t>The Escrow Agent owes a direct, enforceable fiduciary duty to both Parties equally. This fiduciary duty requires the QCB to exercise independent professional judgment in verifying Joint Disbursement Instructions, to maintain each pool as a segregated, bankruptcy-remote holding, and to bear liability for any loss of funds attributable to its negligence, willful misconduct, or failure to follow a valid Joint Disbursement Instruction. The fiduciary duty is enforceable by either Party through the dispute resolution procedures of MENOC Charter Article 10 and the Islamabad MoU.</w:t>
      </w:r>
    </w:p>
    <w:p w14:paraId="47B3E080" w14:textId="77777777" w:rsidR="007D2C39" w:rsidRDefault="00000000">
      <w:pPr>
        <w:pStyle w:val="Heading2"/>
      </w:pPr>
      <w:r>
        <w:t>2.3 Liability Protection</w:t>
      </w:r>
    </w:p>
    <w:p w14:paraId="5AB858D4" w14:textId="77777777" w:rsidR="007D2C39" w:rsidRDefault="00000000">
      <w:pPr>
        <w:jc w:val="both"/>
      </w:pPr>
      <w:r>
        <w:t>The Escrow Agent bears no liability for losses arising from: force majeure events as defined in Annex ES Article 11; actions taken in good faith reliance on a Joint Disbursement Instruction that is later determined to be invalid; cyberattacks or other events beyond the Escrow Agent's reasonable control; or losses that the affected Party could have avoided through reasonable action. The Escrow Agent notifies both Parties immediately upon discovering any potential loss or liability event and takes all reasonable steps to mitigate any loss.</w:t>
      </w:r>
    </w:p>
    <w:p w14:paraId="6D349E0C" w14:textId="77777777" w:rsidR="007D2C39" w:rsidRDefault="00000000">
      <w:pPr>
        <w:pStyle w:val="Heading2"/>
      </w:pPr>
      <w:r>
        <w:t>2.4 Interpleader Right</w:t>
      </w:r>
    </w:p>
    <w:p w14:paraId="16A014D1" w14:textId="77777777" w:rsidR="007D2C39" w:rsidRDefault="00000000">
      <w:pPr>
        <w:jc w:val="both"/>
      </w:pPr>
      <w:r>
        <w:t>If the Escrow Agent receives conflicting instructions from the Parties, or if the legal ownership of any portion of the escrowed funds becomes subject to a bona fide dispute that the Escrow Agent cannot resolve through clarification, the Escrow Agent has the right to file an interpleader action. The Escrow Agent deposits the disputed funds with the competent tribunal identified in the dispute resolution clause of the Islamabad MoU and notifies both Parties through the Joint Secretariat. Upon deposit, the Escrow Agent receives a full discharge from liability regarding the deposited funds.</w:t>
      </w:r>
    </w:p>
    <w:p w14:paraId="164B637B" w14:textId="77777777" w:rsidR="007D2C39" w:rsidRDefault="00000000">
      <w:pPr>
        <w:pStyle w:val="Heading1"/>
      </w:pPr>
      <w:r>
        <w:t>Article 3: Escrow Account Establishment</w:t>
      </w:r>
      <w:bookmarkStart w:id="3" w:name="_Toc003"/>
      <w:bookmarkEnd w:id="3"/>
    </w:p>
    <w:p w14:paraId="65341915" w14:textId="77777777" w:rsidR="007D2C39" w:rsidRDefault="00000000">
      <w:pPr>
        <w:pStyle w:val="Heading2"/>
      </w:pPr>
      <w:r>
        <w:t>3.1 Account Opening</w:t>
      </w:r>
    </w:p>
    <w:p w14:paraId="1AB32BB3" w14:textId="77777777" w:rsidR="007D2C39" w:rsidRDefault="00000000">
      <w:pPr>
        <w:jc w:val="both"/>
      </w:pPr>
      <w:r>
        <w:t xml:space="preserve">Upon entry into force of the Islamabad MoU, the Escrow Agent opens two segregated escrow accounts within the Qatar Central Bank: one account for Pool A (the US-Qatar Joint Oversight Escrow) and one account for Pool B (the Neutral Qatar Escrow). The Escrow Agent maintains each account as a separate legal entity, distinct from the Escrow Agent's own funds and from all other </w:t>
      </w:r>
      <w:r>
        <w:lastRenderedPageBreak/>
        <w:t>escrow or client funds. The account structure ensures that no commingling of Pool A and Pool B funds occurs at any time.</w:t>
      </w:r>
    </w:p>
    <w:p w14:paraId="66A0292C" w14:textId="77777777" w:rsidR="007D2C39" w:rsidRDefault="00000000">
      <w:pPr>
        <w:pStyle w:val="Heading2"/>
      </w:pPr>
      <w:r>
        <w:t>3.2 Funding</w:t>
      </w:r>
    </w:p>
    <w:p w14:paraId="29587133" w14:textId="77777777" w:rsidR="007D2C39" w:rsidRDefault="00000000">
      <w:pPr>
        <w:jc w:val="both"/>
      </w:pPr>
      <w:r>
        <w:t>The United States transfers the full $12 Billion Asset Pool from the frozen Iranian asset accounts into the dedicated escrow accounts held by the Qatar Central Bank. Upon receipt, the Escrow Agent divides the Asset Pool into Pool A ($4,000,000,000) and Pool B ($8,000,000,000) and places each sum into its respective segregated account. The Escrow Agent holds all funds in immediately available form until disbursement.</w:t>
      </w:r>
    </w:p>
    <w:p w14:paraId="40FB80CD" w14:textId="77777777" w:rsidR="007D2C39" w:rsidRDefault="00000000">
      <w:pPr>
        <w:pStyle w:val="Heading2"/>
      </w:pPr>
      <w:r>
        <w:t>3.3 Deposit Confirmation Certificate</w:t>
      </w:r>
    </w:p>
    <w:p w14:paraId="0B89190F" w14:textId="77777777" w:rsidR="007D2C39" w:rsidRDefault="00000000">
      <w:pPr>
        <w:jc w:val="both"/>
      </w:pPr>
      <w:r>
        <w:t>Within 24 hours of dividing the Asset Pool, the Escrow Agent issues a Deposit Confirmation Certificate for each pool. The certificate contains: the exact amount deposited into each account; the date and time of deposit; the account numbers; the SWIFT/BIC codes; and the applicable interest rates. The Joint Secretariat forwards both certificates to the PCC, which certifies within 48 hours that both deposits are complete. This certification constitutes the formal commencement of the escrow period.</w:t>
      </w:r>
    </w:p>
    <w:p w14:paraId="25930D19" w14:textId="77777777" w:rsidR="007D2C39" w:rsidRDefault="00000000">
      <w:pPr>
        <w:pStyle w:val="Heading2"/>
      </w:pPr>
      <w:r>
        <w:t>3.4 Banking Details</w:t>
      </w:r>
    </w:p>
    <w:p w14:paraId="156A37D9" w14:textId="77777777" w:rsidR="007D2C39" w:rsidRDefault="00000000">
      <w:pPr>
        <w:jc w:val="both"/>
      </w:pPr>
      <w:r>
        <w:t>The Escrow Agent provides the following banking details to both Parties through the Joint Secretariat within 48 hours of account opening:</w:t>
      </w:r>
    </w:p>
    <w:p w14:paraId="26ED496A" w14:textId="77777777" w:rsidR="007D2C39" w:rsidRDefault="00000000">
      <w:pPr>
        <w:ind w:left="720" w:hanging="360"/>
        <w:jc w:val="both"/>
      </w:pPr>
      <w:r>
        <w:t xml:space="preserve">• Pool </w:t>
      </w:r>
      <w:proofErr w:type="gramStart"/>
      <w:r>
        <w:t>A</w:t>
      </w:r>
      <w:proofErr w:type="gramEnd"/>
      <w:r>
        <w:t xml:space="preserve"> Account: SWIFT/BIC code, account number, and routing information for the US-Qatar Joint Oversight Escrow.</w:t>
      </w:r>
    </w:p>
    <w:p w14:paraId="78262938" w14:textId="77777777" w:rsidR="007D2C39" w:rsidRDefault="00000000">
      <w:pPr>
        <w:ind w:left="720" w:hanging="360"/>
        <w:jc w:val="both"/>
      </w:pPr>
      <w:r>
        <w:t>• Pool B Account: SWIFT/BIC code, account number, and routing information for the Neutral Qatar Escrow.</w:t>
      </w:r>
    </w:p>
    <w:p w14:paraId="6B082EA5" w14:textId="77777777" w:rsidR="007D2C39" w:rsidRDefault="00000000">
      <w:pPr>
        <w:ind w:left="720" w:hanging="360"/>
        <w:jc w:val="both"/>
      </w:pPr>
      <w:r>
        <w:t>• Correspondent bank details for both accounts, including intermediary bank information for SWIFT transfers.</w:t>
      </w:r>
    </w:p>
    <w:p w14:paraId="33F25FF6" w14:textId="77777777" w:rsidR="007D2C39" w:rsidRDefault="00000000">
      <w:pPr>
        <w:jc w:val="both"/>
      </w:pPr>
      <w:r>
        <w:t>The Escrow Agent notifies both Parties immediately of any change to the banking details. No disbursement occurs to accounts other than those specified in the valid Joint Disbursement Instruction.</w:t>
      </w:r>
    </w:p>
    <w:p w14:paraId="7458291F" w14:textId="77777777" w:rsidR="007D2C39" w:rsidRDefault="00000000">
      <w:pPr>
        <w:pStyle w:val="Heading1"/>
      </w:pPr>
      <w:r>
        <w:lastRenderedPageBreak/>
        <w:t>Article 4: Verification and Authorization</w:t>
      </w:r>
      <w:bookmarkStart w:id="4" w:name="_Toc004"/>
      <w:bookmarkEnd w:id="4"/>
    </w:p>
    <w:p w14:paraId="752E7269" w14:textId="77777777" w:rsidR="007D2C39" w:rsidRDefault="00000000">
      <w:pPr>
        <w:pStyle w:val="Heading2"/>
      </w:pPr>
      <w:r>
        <w:t>4.1 Triggering Documents</w:t>
      </w:r>
    </w:p>
    <w:p w14:paraId="11E81292" w14:textId="77777777" w:rsidR="007D2C39" w:rsidRDefault="00000000">
      <w:pPr>
        <w:jc w:val="both"/>
      </w:pPr>
      <w:r>
        <w:t>The Escrow Agent executes a release exclusively upon receipt of the following triggering documents, in the following order:</w:t>
      </w:r>
    </w:p>
    <w:p w14:paraId="0F1D1839" w14:textId="77777777" w:rsidR="007D2C39" w:rsidRDefault="00000000">
      <w:pPr>
        <w:ind w:left="720" w:hanging="360"/>
        <w:jc w:val="both"/>
      </w:pPr>
      <w:r>
        <w:t>• The IAEA Verification Certificate, issued by the Director General of the International Atomic Energy Agency, confirming completion of the applicable nuclear milestone as defined in Annex ES Articles 1.7 through 1.10.</w:t>
      </w:r>
    </w:p>
    <w:p w14:paraId="6A370A7C" w14:textId="77777777" w:rsidR="007D2C39" w:rsidRDefault="00000000">
      <w:pPr>
        <w:ind w:left="720" w:hanging="360"/>
        <w:jc w:val="both"/>
      </w:pPr>
      <w:r>
        <w:t>• The Verification Package, transmitted by the Joint Secretariat, containing the corroborated transit data and the Technical Working Group's activation recommendation as defined in Annex B Article 7.2.</w:t>
      </w:r>
    </w:p>
    <w:p w14:paraId="5C9A37B3" w14:textId="77777777" w:rsidR="007D2C39" w:rsidRDefault="00000000">
      <w:pPr>
        <w:ind w:left="720" w:hanging="360"/>
        <w:jc w:val="both"/>
      </w:pPr>
      <w:r>
        <w:t>• The Joint Disbursement Instruction (JDI), issued by the PCC, containing all six mandatory elements defined in Annex ES Article 1.11.</w:t>
      </w:r>
    </w:p>
    <w:p w14:paraId="2357A326" w14:textId="77777777" w:rsidR="007D2C39" w:rsidRDefault="00000000">
      <w:pPr>
        <w:jc w:val="both"/>
      </w:pPr>
      <w:r>
        <w:t>The Escrow Agent holds all three documents in the transaction file. No release executes without all three documents present and verified.</w:t>
      </w:r>
    </w:p>
    <w:p w14:paraId="741AA977" w14:textId="77777777" w:rsidR="007D2C39" w:rsidRDefault="00000000">
      <w:pPr>
        <w:pStyle w:val="Heading2"/>
      </w:pPr>
      <w:r>
        <w:t>4.2 JDI Requirements</w:t>
      </w:r>
    </w:p>
    <w:p w14:paraId="3DE43111" w14:textId="77777777" w:rsidR="007D2C39" w:rsidRDefault="00000000">
      <w:pPr>
        <w:jc w:val="both"/>
      </w:pPr>
      <w:r>
        <w:t>The Escrow Agent verifies that each Joint Disbursement Instruction contains all six mandatory elements specified in Annex ES Article 1.11:</w:t>
      </w:r>
    </w:p>
    <w:p w14:paraId="763B364F" w14:textId="77777777" w:rsidR="007D2C39" w:rsidRDefault="00000000">
      <w:pPr>
        <w:ind w:left="720" w:hanging="360"/>
        <w:jc w:val="both"/>
      </w:pPr>
      <w:r>
        <w:t>1. The Pool A amount, denominated in United States Dollars, matching the tranche specified for the applicable milestone.</w:t>
      </w:r>
    </w:p>
    <w:p w14:paraId="589F6C6F" w14:textId="77777777" w:rsidR="007D2C39" w:rsidRDefault="00000000">
      <w:pPr>
        <w:ind w:left="720" w:hanging="360"/>
        <w:jc w:val="both"/>
      </w:pPr>
      <w:r>
        <w:t>2. The Pool B amount, denominated in United States Dollars, matching the tranche specified for the applicable milestone.</w:t>
      </w:r>
    </w:p>
    <w:p w14:paraId="770FC25A" w14:textId="77777777" w:rsidR="007D2C39" w:rsidRDefault="00000000">
      <w:pPr>
        <w:ind w:left="720" w:hanging="360"/>
        <w:jc w:val="both"/>
      </w:pPr>
      <w:r>
        <w:t>3. The designated recipient accounts: Pool A funds transfer to the US-Qatar Joint Oversight Escrow disbursement account; Pool B funds transfer to the Central Bank of Iran account.</w:t>
      </w:r>
    </w:p>
    <w:p w14:paraId="329FE358" w14:textId="77777777" w:rsidR="007D2C39" w:rsidRDefault="00000000">
      <w:pPr>
        <w:ind w:left="720" w:hanging="360"/>
        <w:jc w:val="both"/>
      </w:pPr>
      <w:r>
        <w:t>4. The specific IAEA Verification Certificate number that authorizes the release.</w:t>
      </w:r>
    </w:p>
    <w:p w14:paraId="3AE16922" w14:textId="77777777" w:rsidR="007D2C39" w:rsidRDefault="00000000">
      <w:pPr>
        <w:ind w:left="720" w:hanging="360"/>
        <w:jc w:val="both"/>
      </w:pPr>
      <w:r>
        <w:t>5. The execution deadline, calculated as 24 hours from verification of the instruction.</w:t>
      </w:r>
    </w:p>
    <w:p w14:paraId="748AFFBC" w14:textId="77777777" w:rsidR="007D2C39" w:rsidRDefault="00000000">
      <w:pPr>
        <w:ind w:left="720" w:hanging="360"/>
        <w:jc w:val="both"/>
      </w:pPr>
      <w:r>
        <w:t xml:space="preserve">6. Affirmative signatures from both PCC co-chairs, </w:t>
      </w:r>
      <w:proofErr w:type="gramStart"/>
      <w:r>
        <w:t>or</w:t>
      </w:r>
      <w:proofErr w:type="gramEnd"/>
      <w:r>
        <w:t>, if a Final Determination has issued, one co-chair signature plus the arbitration panel's authorization certificate.</w:t>
      </w:r>
    </w:p>
    <w:p w14:paraId="1381CCF4" w14:textId="77777777" w:rsidR="007D2C39" w:rsidRDefault="00000000">
      <w:pPr>
        <w:pStyle w:val="Heading2"/>
      </w:pPr>
      <w:r>
        <w:lastRenderedPageBreak/>
        <w:t>4.3 Verification Package Receipt</w:t>
      </w:r>
    </w:p>
    <w:p w14:paraId="75A077A4" w14:textId="77777777" w:rsidR="007D2C39" w:rsidRDefault="00000000">
      <w:pPr>
        <w:jc w:val="both"/>
      </w:pPr>
      <w:r>
        <w:t>The Joint Secretariat transmits the Verification Package to the Escrow Agent immediately upon the TWG's issuance of a positive activation recommendation. The Escrow Agent confirms receipt of the Verification Package within 24 hours. The confirmation includes: the date and time of receipt; the Verification Package reference number; and a statement that the package is under review. If the Escrow Agent does not acknowledge receipt within 24 hours, the Joint Secretariat escalates to the Co-Chairs.</w:t>
      </w:r>
    </w:p>
    <w:p w14:paraId="281AC7F7" w14:textId="77777777" w:rsidR="007D2C39" w:rsidRDefault="00000000">
      <w:pPr>
        <w:pStyle w:val="Heading2"/>
      </w:pPr>
      <w:r>
        <w:t>4.4 Instruction Verification Procedure</w:t>
      </w:r>
    </w:p>
    <w:p w14:paraId="26760C19" w14:textId="77777777" w:rsidR="007D2C39" w:rsidRDefault="00000000">
      <w:pPr>
        <w:jc w:val="both"/>
      </w:pPr>
      <w:r>
        <w:t>The Escrow Agent applies the following verification procedure to every Joint Disbursement Instruction:</w:t>
      </w:r>
    </w:p>
    <w:p w14:paraId="19BAEBDB" w14:textId="77777777" w:rsidR="007D2C39" w:rsidRDefault="00000000">
      <w:pPr>
        <w:ind w:left="720" w:hanging="360"/>
        <w:jc w:val="both"/>
      </w:pPr>
      <w:r>
        <w:t>1. Signature Verification: The Escrow Agent compares the signatures on the JDI against the signature specimens on file. The Escrow Agent exercises reasonable care in comparing signatures and uses any additional verification methods that a professional escrow agent of ordinary prudence employs.</w:t>
      </w:r>
    </w:p>
    <w:p w14:paraId="32F7030E" w14:textId="77777777" w:rsidR="007D2C39" w:rsidRDefault="00000000">
      <w:pPr>
        <w:ind w:left="720" w:hanging="360"/>
        <w:jc w:val="both"/>
      </w:pPr>
      <w:r>
        <w:t>2. Call-Back Verification: The Escrow Agent initiates a telephone confirmation with both PCC co-chairs independently. The Escrow Agent speaks directly with each co-chair or a designated alternate whose identity the Escrow Agent verifies against a pre-approved list. The Escrow Agent documents the call-back in the transaction record, noting the date, time, and name of the confirming party.</w:t>
      </w:r>
    </w:p>
    <w:p w14:paraId="493D0966" w14:textId="77777777" w:rsidR="007D2C39" w:rsidRDefault="00000000">
      <w:pPr>
        <w:ind w:left="720" w:hanging="360"/>
        <w:jc w:val="both"/>
      </w:pPr>
      <w:r>
        <w:t>3. Certificate Cross-Reference: The Escrow Agent cross-references the IAEA Verification Certificate number on the JDI against its internal register of executed releases. If the certificate number has already triggered a release, the Escrow Agent rejects the instruction and refers the matter to the PCC.</w:t>
      </w:r>
    </w:p>
    <w:p w14:paraId="459E7BAD" w14:textId="77777777" w:rsidR="007D2C39" w:rsidRDefault="00000000">
      <w:pPr>
        <w:ind w:left="720" w:hanging="360"/>
        <w:jc w:val="both"/>
      </w:pPr>
      <w:r>
        <w:t>4. Suspension Status Check: The Escrow Agent verifies that the referenced tranche is not under active Step-Back suspension under Article 5 of Annex ES. If Step-Back is active, the Escrow Agent withholds execution and refers the instruction to the PCC.</w:t>
      </w:r>
    </w:p>
    <w:p w14:paraId="6BFB6BB8" w14:textId="77777777" w:rsidR="007D2C39" w:rsidRDefault="00000000">
      <w:pPr>
        <w:ind w:left="720" w:hanging="360"/>
        <w:jc w:val="both"/>
      </w:pPr>
      <w:r>
        <w:t>5. Legal Compliance Review: The Escrow Agent confirms that execution of the instruction does not violate applicable Qatari law, international sanctions binding on Qatar, or the Escrow Agent's fiduciary duty under Article 2.2 of this Annex.</w:t>
      </w:r>
    </w:p>
    <w:p w14:paraId="276063D0" w14:textId="77777777" w:rsidR="007D2C39" w:rsidRDefault="00000000">
      <w:pPr>
        <w:jc w:val="both"/>
      </w:pPr>
      <w:r>
        <w:t>If the Escrow Agent is unable to verify any element of the instruction, the Escrow Agent does not execute the release until the deficiency is resolved. The Escrow Agent notifies both Parties and the Joint Secretariat within 24 hours of identifying any verification failure.</w:t>
      </w:r>
    </w:p>
    <w:p w14:paraId="37E1E0AE" w14:textId="77777777" w:rsidR="007D2C39" w:rsidRDefault="00000000">
      <w:pPr>
        <w:pStyle w:val="Heading1"/>
      </w:pPr>
      <w:r>
        <w:lastRenderedPageBreak/>
        <w:t>Article 5: Release Execution</w:t>
      </w:r>
      <w:bookmarkStart w:id="5" w:name="_Toc005"/>
      <w:bookmarkEnd w:id="5"/>
    </w:p>
    <w:p w14:paraId="6F753CF0" w14:textId="77777777" w:rsidR="007D2C39" w:rsidRDefault="00000000">
      <w:pPr>
        <w:pStyle w:val="Heading2"/>
      </w:pPr>
      <w:r>
        <w:t>5.1 Release Timing</w:t>
      </w:r>
    </w:p>
    <w:p w14:paraId="7FAFB932" w14:textId="77777777" w:rsidR="007D2C39" w:rsidRDefault="00000000">
      <w:pPr>
        <w:jc w:val="both"/>
      </w:pPr>
      <w:r>
        <w:t>Both Pool A and Pool B disburse simultaneously upon each Release Trigger. No pool disburses independently; no tranche releases from one pool without the corresponding tranche releasing from the other pool at the same time. Simultaneous release means that the Escrow Agent executes both transfers within the same 24-hour operational window, using the same Joint Disbursement Instruction as the authorization for both.</w:t>
      </w:r>
    </w:p>
    <w:p w14:paraId="1360B6AB" w14:textId="77777777" w:rsidR="007D2C39" w:rsidRDefault="00000000">
      <w:pPr>
        <w:jc w:val="both"/>
      </w:pPr>
      <w:r>
        <w:t>If a technical or operational issue prevents simultaneous execution, the Escrow Agent holds both tranches until the issue resolves and then executes both together. The Escrow Agent does not release one pool's tranche and withhold the other. The principle of simultaneous release reflects the architecture of Synchronized Reciprocal Motion: both Parties move forward together or not at all.</w:t>
      </w:r>
    </w:p>
    <w:p w14:paraId="004C6936" w14:textId="77777777" w:rsidR="007D2C39" w:rsidRDefault="00000000">
      <w:pPr>
        <w:pStyle w:val="Heading2"/>
      </w:pPr>
      <w:r>
        <w:t>5.2 Wire Transfer Mechanics</w:t>
      </w:r>
    </w:p>
    <w:p w14:paraId="0E6CDABE" w14:textId="77777777" w:rsidR="007D2C39" w:rsidRDefault="00000000">
      <w:pPr>
        <w:jc w:val="both"/>
      </w:pPr>
      <w:r>
        <w:t>The Escrow Agent executes all transfers using standard SWIFT wire transfer mechanisms (MT103 for single customer credit transfers) or such other secure electronic transfer systems as both Parties approve. The transfer routing operates as follows:</w:t>
      </w:r>
    </w:p>
    <w:p w14:paraId="01105F41" w14:textId="77777777" w:rsidR="007D2C39" w:rsidRDefault="00000000">
      <w:pPr>
        <w:ind w:left="720" w:hanging="360"/>
        <w:jc w:val="both"/>
      </w:pPr>
      <w:r>
        <w:t>• Pool A Transfer: The Escrow Agent transfers the specified Pool A tranche from the US-Qatar Joint Oversight Escrow to the designated US-Qatar Joint Oversight Escrow disbursement account. Both the United States and Qatar jointly approve each Pool A disbursement request per Annex ES Article 2.2.4.</w:t>
      </w:r>
    </w:p>
    <w:p w14:paraId="6C22F33E" w14:textId="77777777" w:rsidR="007D2C39" w:rsidRDefault="00000000">
      <w:pPr>
        <w:ind w:left="720" w:hanging="360"/>
        <w:jc w:val="both"/>
      </w:pPr>
      <w:r>
        <w:t>• Pool B Transfer: The Escrow Agent transfers the specified Pool B tranche from the Neutral Qatar Escrow to the Central Bank of Iran account specified by Iran. No Party exercises oversight, approval authority, or veto over Pool B disbursements per Annex ES Article 2.3.4.</w:t>
      </w:r>
    </w:p>
    <w:p w14:paraId="13DA917D" w14:textId="77777777" w:rsidR="007D2C39" w:rsidRDefault="00000000">
      <w:pPr>
        <w:jc w:val="both"/>
      </w:pPr>
      <w:r>
        <w:t>The Escrow Agent executes both transfers within 24 hours of completing verification of the Joint Disbursement Instruction. The Escrow Agent prioritizes the execution of these transfers above routine banking operations.</w:t>
      </w:r>
    </w:p>
    <w:p w14:paraId="430C124C" w14:textId="77777777" w:rsidR="007D2C39" w:rsidRDefault="00000000">
      <w:pPr>
        <w:pStyle w:val="Heading2"/>
      </w:pPr>
      <w:r>
        <w:t>5.3 Interest Accrual Distribution</w:t>
      </w:r>
    </w:p>
    <w:p w14:paraId="4126B5B1" w14:textId="77777777" w:rsidR="007D2C39" w:rsidRDefault="00000000">
      <w:pPr>
        <w:jc w:val="both"/>
      </w:pPr>
      <w:r>
        <w:t>Upon release of the final tranche from both pools, the Escrow Agent calculates the total Interest Accrual for each pool and distributes it as follows: Interest Accrual for Pool A transfers to the US-Qatar Joint Oversight Escrow disbursement account for allocation to humanitarian and agricultural procurement. Interest Accrual for Pool B transfers to the Central Bank of Iran account specified for Pool B receipts.</w:t>
      </w:r>
    </w:p>
    <w:p w14:paraId="0515171A" w14:textId="77777777" w:rsidR="007D2C39" w:rsidRDefault="00000000">
      <w:pPr>
        <w:jc w:val="both"/>
      </w:pPr>
      <w:r>
        <w:lastRenderedPageBreak/>
        <w:t>The Escrow Agent publishes a final accounting statement showing: the principal amounts held for each pool; the interest rate applied; the calculation period for each pool; the gross interest earned; any applicable fees or withholding taxes under Qatari law; and the net interest distributed. The Escrow Agent provides this statement to both Parties and the Joint Secretariat within 14 days of the final tranche release.</w:t>
      </w:r>
    </w:p>
    <w:p w14:paraId="15240515" w14:textId="77777777" w:rsidR="007D2C39" w:rsidRDefault="00000000">
      <w:pPr>
        <w:pStyle w:val="Heading2"/>
      </w:pPr>
      <w:r>
        <w:t>5.4 Release Confirmation Certificate</w:t>
      </w:r>
    </w:p>
    <w:p w14:paraId="21E3B8CB" w14:textId="77777777" w:rsidR="007D2C39" w:rsidRDefault="00000000">
      <w:pPr>
        <w:jc w:val="both"/>
      </w:pPr>
      <w:r>
        <w:t>Within six hours of executing a transfer, the Escrow Agent issues a Release Confirmation Certificate for each pool. The certificate contains: the date and time of transfer; the amount transferred; the recipient account identifier; the triggering IAEA Verification Certificate number; and the reference number of the Joint Disbursement Instruction.</w:t>
      </w:r>
    </w:p>
    <w:p w14:paraId="38350622" w14:textId="77777777" w:rsidR="007D2C39" w:rsidRDefault="00000000">
      <w:pPr>
        <w:jc w:val="both"/>
      </w:pPr>
      <w:r>
        <w:t>The Escrow Agent transmits both Release Confirmation Certificates to the Joint Secretariat, which updates the official compliance register within 24 hours. The Joint Secretariat maintains the compliance register as the authoritative record of all escrow releases.</w:t>
      </w:r>
    </w:p>
    <w:p w14:paraId="65391DA4" w14:textId="77777777" w:rsidR="007D2C39" w:rsidRDefault="00000000">
      <w:pPr>
        <w:pStyle w:val="Heading2"/>
      </w:pPr>
      <w:r>
        <w:t>5.5 Technical Failure Protocol</w:t>
      </w:r>
    </w:p>
    <w:p w14:paraId="5B330DDE" w14:textId="77777777" w:rsidR="007D2C39" w:rsidRDefault="00000000">
      <w:pPr>
        <w:jc w:val="both"/>
      </w:pPr>
      <w:r>
        <w:t>If a technical failure prevents the Escrow Agent from executing a simultaneous transfer (including SWIFT system outage, cybersecurity incident, or force majeure affecting the Escrow Agent's banking systems), the Escrow Agent immediately notifies both Parties and the Joint Secretariat. The Escrow Agent holds both tranches until the technical issue resolves and then executes both transfers together. The Escrow Agent does not execute a partial transfer or release one pool while holding the other.</w:t>
      </w:r>
    </w:p>
    <w:p w14:paraId="50A7F010" w14:textId="77777777" w:rsidR="007D2C39" w:rsidRDefault="00000000">
      <w:pPr>
        <w:jc w:val="both"/>
      </w:pPr>
      <w:r>
        <w:t>The technical failure does not reset any timeline under this Annex; all deadlines pause during the technical failure and resume upon restoration of normal operations. For force majeure events beyond technical banking failures, including war, cyberattack, natural disaster, major radiological event, closure of airspace, or severe disruption of international banking systems, Annex ES Article 11 governs.</w:t>
      </w:r>
    </w:p>
    <w:p w14:paraId="55B17DAA" w14:textId="77777777" w:rsidR="007D2C39" w:rsidRDefault="00000000">
      <w:pPr>
        <w:pStyle w:val="Heading1"/>
      </w:pPr>
      <w:r>
        <w:t>Article 6: Dispute Resolution Override</w:t>
      </w:r>
      <w:bookmarkStart w:id="6" w:name="_Toc006"/>
      <w:bookmarkEnd w:id="6"/>
    </w:p>
    <w:p w14:paraId="152EB329" w14:textId="77777777" w:rsidR="007D2C39" w:rsidRDefault="00000000">
      <w:pPr>
        <w:pStyle w:val="Heading2"/>
      </w:pPr>
      <w:r>
        <w:t>6.1 Final Determination</w:t>
      </w:r>
    </w:p>
    <w:p w14:paraId="3B9BDB8D" w14:textId="77777777" w:rsidR="007D2C39" w:rsidRDefault="00000000">
      <w:pPr>
        <w:jc w:val="both"/>
      </w:pPr>
      <w:r>
        <w:t>If either PCC co-chair unreasonably withholds signature on a Joint Disbursement Instruction after the IAEA has issued the corresponding Verification Certificate, the following safeguard activates:</w:t>
      </w:r>
    </w:p>
    <w:p w14:paraId="654277C7" w14:textId="77777777" w:rsidR="007D2C39" w:rsidRDefault="00000000">
      <w:pPr>
        <w:ind w:left="720" w:hanging="360"/>
        <w:jc w:val="both"/>
      </w:pPr>
      <w:r>
        <w:lastRenderedPageBreak/>
        <w:t>1. Referral to Guarantor Matrix: The non-withholding co-chair refers the matter to the Guarantor Matrix within 72 hours of the withholding, providing the IAEA Verification Certificate, the draft Joint Disbursement Instruction, and a statement of the basis for the referral.</w:t>
      </w:r>
    </w:p>
    <w:p w14:paraId="41F9F90A" w14:textId="77777777" w:rsidR="007D2C39" w:rsidRDefault="00000000">
      <w:pPr>
        <w:ind w:left="720" w:hanging="360"/>
        <w:jc w:val="both"/>
      </w:pPr>
      <w:r>
        <w:t>2. Expedited Arbitration Panel: The Guarantor Matrix convenes an expedited arbitration panel within 14 days. The panel comprises three arbitrators: one nominated by the Iranian Party, one nominated by the United States Party, and one nominated by the Guarantor Matrix chair. The panel operates under the arbitration rules of the Guarantor Matrix.</w:t>
      </w:r>
    </w:p>
    <w:p w14:paraId="2DD3D61E" w14:textId="77777777" w:rsidR="007D2C39" w:rsidRDefault="00000000">
      <w:pPr>
        <w:ind w:left="720" w:hanging="360"/>
        <w:jc w:val="both"/>
      </w:pPr>
      <w:r>
        <w:t>3. Binding Determination: The panel determines whether the withholding is unreasonable based on: the technical sufficiency of the IAEA Verification Certificate; the terms of Annex ES; and the good-faith obligations of the Parties under the Islamabad MoU. If the panel determines the withholding is unreasonable, it issues a binding Final Determination authorizing the Escrow Agent to execute the release.</w:t>
      </w:r>
    </w:p>
    <w:p w14:paraId="32C9FC70" w14:textId="77777777" w:rsidR="007D2C39" w:rsidRDefault="00000000">
      <w:pPr>
        <w:pStyle w:val="Heading2"/>
      </w:pPr>
      <w:r>
        <w:t>6.2 Execution upon Final Determination</w:t>
      </w:r>
    </w:p>
    <w:p w14:paraId="09E62FBB" w14:textId="77777777" w:rsidR="007D2C39" w:rsidRDefault="00000000">
      <w:pPr>
        <w:jc w:val="both"/>
      </w:pPr>
      <w:r>
        <w:t xml:space="preserve">Upon receipt of a Final Determination authorizing release, the Escrow Agent executes the transfer upon receipt </w:t>
      </w:r>
      <w:proofErr w:type="gramStart"/>
      <w:r>
        <w:t>of:</w:t>
      </w:r>
      <w:proofErr w:type="gramEnd"/>
      <w:r>
        <w:t xml:space="preserve"> one PCC co-chair signature (either co-chair, regardless of which co-chair referred the matter); and the arbitration panel's authorization certificate accompanying the signature. The Escrow Agent acts on such instruction without further inquiry beyond verifying the authenticity of the signature and the validity of the panel's authorization certificate.</w:t>
      </w:r>
    </w:p>
    <w:p w14:paraId="5EC1C0A5" w14:textId="77777777" w:rsidR="007D2C39" w:rsidRDefault="00000000">
      <w:pPr>
        <w:pStyle w:val="Heading2"/>
      </w:pPr>
      <w:r>
        <w:t>6.3 No Delay of Other Obligations</w:t>
      </w:r>
    </w:p>
    <w:p w14:paraId="4A085E1F" w14:textId="77777777" w:rsidR="007D2C39" w:rsidRDefault="00000000">
      <w:pPr>
        <w:jc w:val="both"/>
      </w:pPr>
      <w:r>
        <w:t>The arbitration process does not delay or suspend any other obligation under this Annex or the Islamabad MoU. The non-withholding Party continues to perform all its obligations pending the panel's determination. The Escrow Agent continues to administer both pools, to accrue interest, and to accept new Joint Disbursement Instructions during the arbitration process.</w:t>
      </w:r>
    </w:p>
    <w:p w14:paraId="3E0F9F7B" w14:textId="77777777" w:rsidR="007D2C39" w:rsidRDefault="00000000">
      <w:pPr>
        <w:pStyle w:val="Heading2"/>
      </w:pPr>
      <w:r>
        <w:t>6.4 Definition of Unreasonable Withholding</w:t>
      </w:r>
    </w:p>
    <w:p w14:paraId="786611D0" w14:textId="77777777" w:rsidR="007D2C39" w:rsidRDefault="00000000">
      <w:pPr>
        <w:jc w:val="both"/>
      </w:pPr>
      <w:r>
        <w:t xml:space="preserve">For purposes of this Article, "unreasonable withholding" means withholding based </w:t>
      </w:r>
      <w:proofErr w:type="gramStart"/>
      <w:r>
        <w:t>on:</w:t>
      </w:r>
      <w:proofErr w:type="gramEnd"/>
      <w:r>
        <w:t xml:space="preserve"> absence of a plausible technical basis for the withholding; contradiction of the IAEA Verification Certificate's technical findings; a demand for additional conditions that this Annex does not specify; or a request for re-verification that duplicates an IAEA inspection the IAEA already completed. Withholding based on a good-faith disagreement regarding the IAEA's technical methodology, supported by a written technical critique, does not constitute unreasonable withholding.</w:t>
      </w:r>
    </w:p>
    <w:p w14:paraId="7EC65A7C" w14:textId="77777777" w:rsidR="007D2C39" w:rsidRDefault="00000000">
      <w:pPr>
        <w:pStyle w:val="Heading1"/>
      </w:pPr>
      <w:r>
        <w:lastRenderedPageBreak/>
        <w:t>Article 7: Step-Back and Earn-Back Implementation</w:t>
      </w:r>
      <w:bookmarkStart w:id="7" w:name="_Toc007"/>
      <w:bookmarkEnd w:id="7"/>
    </w:p>
    <w:p w14:paraId="1A8A460E" w14:textId="77777777" w:rsidR="007D2C39" w:rsidRDefault="00000000">
      <w:pPr>
        <w:pStyle w:val="Heading2"/>
      </w:pPr>
      <w:r>
        <w:t>7.1 Step-Back Activation</w:t>
      </w:r>
    </w:p>
    <w:p w14:paraId="45AE3611" w14:textId="77777777" w:rsidR="007D2C39" w:rsidRDefault="00000000">
      <w:pPr>
        <w:jc w:val="both"/>
      </w:pPr>
      <w:r>
        <w:t>Step-Back activates automatically when any of the following conditions occurs, as specified in Annex ES Article 5.1:</w:t>
      </w:r>
    </w:p>
    <w:p w14:paraId="475CFFBE" w14:textId="77777777" w:rsidR="007D2C39" w:rsidRDefault="00000000">
      <w:pPr>
        <w:ind w:left="720" w:hanging="360"/>
        <w:jc w:val="both"/>
      </w:pPr>
      <w:r>
        <w:t>• Milestone Deadline Expiration: The IAEA has not issued the applicable Verification Certificate by the hard-cap deadline specified in Annex ES Article 7.2.</w:t>
      </w:r>
    </w:p>
    <w:p w14:paraId="55CC067F" w14:textId="77777777" w:rsidR="007D2C39" w:rsidRDefault="00000000">
      <w:pPr>
        <w:ind w:left="720" w:hanging="360"/>
        <w:jc w:val="both"/>
      </w:pPr>
      <w:r>
        <w:t>• IAEA Non-Compliance Finding: The IAEA issues a formal non-compliance finding regarding Iran's obligations and the non-compliance relates directly to a Release Trigger milestone.</w:t>
      </w:r>
    </w:p>
    <w:p w14:paraId="0F221440" w14:textId="77777777" w:rsidR="007D2C39" w:rsidRDefault="00000000">
      <w:pPr>
        <w:ind w:left="720" w:hanging="360"/>
        <w:jc w:val="both"/>
      </w:pPr>
      <w:r>
        <w:t>• Material Breach: Either Party materially breaches a specific, identifiable obligation under Annex ES, as defined in Annex ES Article 5.1.1.</w:t>
      </w:r>
    </w:p>
    <w:p w14:paraId="296F941F" w14:textId="77777777" w:rsidR="007D2C39" w:rsidRDefault="00000000">
      <w:pPr>
        <w:pStyle w:val="Heading2"/>
      </w:pPr>
      <w:r>
        <w:t>7.2 Effects on Escrow</w:t>
      </w:r>
    </w:p>
    <w:p w14:paraId="38923DEE" w14:textId="77777777" w:rsidR="007D2C39" w:rsidRDefault="00000000">
      <w:pPr>
        <w:jc w:val="both"/>
      </w:pPr>
      <w:r>
        <w:t>Upon activation of Step-Back, the following effects apply to the escrow accounts automatically:</w:t>
      </w:r>
    </w:p>
    <w:p w14:paraId="5D5EB70A" w14:textId="77777777" w:rsidR="007D2C39" w:rsidRDefault="00000000">
      <w:pPr>
        <w:ind w:left="720" w:hanging="360"/>
        <w:jc w:val="both"/>
      </w:pPr>
      <w:r>
        <w:t>1. Suspension of Future Releases: The Escrow Agent suspends all future tranche releases from both pools. No Joint Disbursement Instruction for a future tranche is valid while Step-Back is active. The Escrow Agent rejects any such instruction and refers it to the PCC.</w:t>
      </w:r>
    </w:p>
    <w:p w14:paraId="15A0E3D6" w14:textId="77777777" w:rsidR="007D2C39" w:rsidRDefault="00000000">
      <w:pPr>
        <w:ind w:left="720" w:hanging="360"/>
        <w:jc w:val="both"/>
      </w:pPr>
      <w:r>
        <w:t>2. No Effect on Released Funds: Step-Back does not affect, impair, or claw back any funds already released from either pool. Funds already in the US-Qatar Joint Oversight Escrow disbursement account or the Central Bank of Iran remain the property of the respective recipients. Step-Back is prospective only.</w:t>
      </w:r>
    </w:p>
    <w:p w14:paraId="58513D1E" w14:textId="77777777" w:rsidR="007D2C39" w:rsidRDefault="00000000">
      <w:pPr>
        <w:ind w:left="720" w:hanging="360"/>
        <w:jc w:val="both"/>
      </w:pPr>
      <w:r>
        <w:t xml:space="preserve">3. Continuation of Interest Accrual: Interest accrues during a Step-Back </w:t>
      </w:r>
      <w:proofErr w:type="gramStart"/>
      <w:r>
        <w:t>period</w:t>
      </w:r>
      <w:proofErr w:type="gramEnd"/>
      <w:r>
        <w:t xml:space="preserve"> and the Escrow Agent holds that interest separately from the principal. Upon Earn-Back, the Escrow Agent releases the suspended tranche together with all interest that accrued during the Step-Back period.</w:t>
      </w:r>
    </w:p>
    <w:p w14:paraId="3FA28077" w14:textId="77777777" w:rsidR="007D2C39" w:rsidRDefault="00000000">
      <w:pPr>
        <w:ind w:left="720" w:hanging="360"/>
        <w:jc w:val="both"/>
      </w:pPr>
      <w:r>
        <w:t>4. Escrow Agent Continuity: The Escrow Agent continues to administer both pools during Step-Back, maintaining segregation, security, investment, and interest accrual.</w:t>
      </w:r>
    </w:p>
    <w:p w14:paraId="58272388" w14:textId="77777777" w:rsidR="007D2C39" w:rsidRDefault="00000000">
      <w:pPr>
        <w:pStyle w:val="Heading2"/>
      </w:pPr>
      <w:r>
        <w:t>7.3 Earn-Back Restoration</w:t>
      </w:r>
    </w:p>
    <w:p w14:paraId="708AEB20" w14:textId="77777777" w:rsidR="007D2C39" w:rsidRDefault="00000000">
      <w:pPr>
        <w:jc w:val="both"/>
      </w:pPr>
      <w:r>
        <w:t>Earn-Back occurs when the Party that triggered the Step-Back completes the originally required milestone and obtains the corresponding IAEA Verification Certificate. The procedure is:</w:t>
      </w:r>
    </w:p>
    <w:p w14:paraId="1C6B18D9" w14:textId="77777777" w:rsidR="007D2C39" w:rsidRDefault="00000000">
      <w:pPr>
        <w:ind w:left="720" w:hanging="360"/>
        <w:jc w:val="both"/>
      </w:pPr>
      <w:r>
        <w:lastRenderedPageBreak/>
        <w:t>1. The non-complying Party completes the milestone that triggered the Step-Back, in full, to the IAEA's satisfaction.</w:t>
      </w:r>
    </w:p>
    <w:p w14:paraId="53A4F7CD" w14:textId="77777777" w:rsidR="007D2C39" w:rsidRDefault="00000000">
      <w:pPr>
        <w:ind w:left="720" w:hanging="360"/>
        <w:jc w:val="both"/>
      </w:pPr>
      <w:r>
        <w:t>2. The IAEA issues the applicable Verification Certificate, confirming that the milestone is complete and all sub-elements are satisfied.</w:t>
      </w:r>
    </w:p>
    <w:p w14:paraId="7AC34B6F" w14:textId="77777777" w:rsidR="007D2C39" w:rsidRDefault="00000000">
      <w:pPr>
        <w:ind w:left="720" w:hanging="360"/>
        <w:jc w:val="both"/>
      </w:pPr>
      <w:r>
        <w:t>3. The Joint Secretariat verifies the certificate and forwards it to both Parties within 6 hours.</w:t>
      </w:r>
    </w:p>
    <w:p w14:paraId="3131EAF8" w14:textId="77777777" w:rsidR="007D2C39" w:rsidRDefault="00000000">
      <w:pPr>
        <w:ind w:left="720" w:hanging="360"/>
        <w:jc w:val="both"/>
      </w:pPr>
      <w:r>
        <w:t>4. The PCC convenes within 48 hours. The PCC reviews the certificate and, provided both representatives agree, issues a Joint Disbursement Instruction for the suspended tranche.</w:t>
      </w:r>
    </w:p>
    <w:p w14:paraId="630FF97E" w14:textId="77777777" w:rsidR="007D2C39" w:rsidRDefault="00000000">
      <w:pPr>
        <w:ind w:left="720" w:hanging="360"/>
        <w:jc w:val="both"/>
      </w:pPr>
      <w:r>
        <w:t>5. The Escrow Agent executes the release of the suspended tranche from both pools simultaneously within 24 hours.</w:t>
      </w:r>
    </w:p>
    <w:p w14:paraId="76E348F6" w14:textId="77777777" w:rsidR="007D2C39" w:rsidRDefault="00000000">
      <w:pPr>
        <w:ind w:left="720" w:hanging="360"/>
        <w:jc w:val="both"/>
      </w:pPr>
      <w:r>
        <w:t>6. Upon execution, the Parties return to the position they would have occupied had the Step-Back never occurred. No penalty, no prejudice, and no additional conditions apply.</w:t>
      </w:r>
    </w:p>
    <w:p w14:paraId="0872FEAE" w14:textId="77777777" w:rsidR="007D2C39" w:rsidRDefault="00000000">
      <w:pPr>
        <w:pStyle w:val="Heading1"/>
      </w:pPr>
      <w:r>
        <w:t>Article 8: Investment and Interest</w:t>
      </w:r>
      <w:bookmarkStart w:id="8" w:name="_Toc008"/>
      <w:bookmarkEnd w:id="8"/>
    </w:p>
    <w:p w14:paraId="3EA10FAF" w14:textId="77777777" w:rsidR="007D2C39" w:rsidRDefault="00000000">
      <w:pPr>
        <w:pStyle w:val="Heading2"/>
      </w:pPr>
      <w:r>
        <w:t>8.1 Investment Policy</w:t>
      </w:r>
    </w:p>
    <w:p w14:paraId="43E38870" w14:textId="77777777" w:rsidR="007D2C39" w:rsidRDefault="00000000">
      <w:pPr>
        <w:jc w:val="both"/>
      </w:pPr>
      <w:r>
        <w:t xml:space="preserve">The Escrow Agent invests each pool in short-term sovereign instruments of the State of Qatar or other AAA-rated instruments approved by both Parties. The investment policy prioritizes capital preservation over yield. The Escrow Agent does not invest </w:t>
      </w:r>
      <w:proofErr w:type="gramStart"/>
      <w:r>
        <w:t>in:</w:t>
      </w:r>
      <w:proofErr w:type="gramEnd"/>
      <w:r>
        <w:t xml:space="preserve"> equities; derivatives; cryptocurrency; below-investment-grade instruments; or any instrument with a maturity exceeding 90 days.</w:t>
      </w:r>
    </w:p>
    <w:p w14:paraId="0AF5FEB1" w14:textId="77777777" w:rsidR="007D2C39" w:rsidRDefault="00000000">
      <w:pPr>
        <w:jc w:val="both"/>
      </w:pPr>
      <w:r>
        <w:t>The Escrow Agent maintains a written record of all investment decisions. Both Parties receive a monthly investment report showing: the instruments held; their ratings; their maturity dates; the current yield; and any realized gains or losses. The Escrow Agent is not liable for investment losses attributable to market conditions, sovereign default of Qatar, or force majeure events.</w:t>
      </w:r>
    </w:p>
    <w:p w14:paraId="1A388327" w14:textId="77777777" w:rsidR="007D2C39" w:rsidRDefault="00000000">
      <w:pPr>
        <w:pStyle w:val="Heading2"/>
      </w:pPr>
      <w:r>
        <w:t>8.2 Interest Calculation</w:t>
      </w:r>
    </w:p>
    <w:p w14:paraId="050C2126" w14:textId="77777777" w:rsidR="007D2C39" w:rsidRDefault="00000000">
      <w:pPr>
        <w:jc w:val="both"/>
      </w:pPr>
      <w:r>
        <w:t>The Escrow Agent calculates Interest Accrual for Pool A and Pool B separately. Interest accrues daily on the outstanding principal balance of each pool at the effective rate earned on the invested funds. Interest continues to accrue during Step-Back periods. The Escrow Agent credits interest to a sub-account within each pool and holds it separately from principal until distribution.</w:t>
      </w:r>
    </w:p>
    <w:p w14:paraId="3D606833" w14:textId="77777777" w:rsidR="007D2C39" w:rsidRDefault="00000000">
      <w:pPr>
        <w:pStyle w:val="Heading2"/>
      </w:pPr>
      <w:r>
        <w:t>8.3 Interest Distribution</w:t>
      </w:r>
    </w:p>
    <w:p w14:paraId="368A4B9D" w14:textId="77777777" w:rsidR="007D2C39" w:rsidRDefault="00000000">
      <w:pPr>
        <w:jc w:val="both"/>
      </w:pPr>
      <w:r>
        <w:t>The Escrow Agent distributes Interest Accrual as follows:</w:t>
      </w:r>
    </w:p>
    <w:p w14:paraId="72838CC4" w14:textId="77777777" w:rsidR="007D2C39" w:rsidRDefault="00000000">
      <w:pPr>
        <w:ind w:left="720" w:hanging="360"/>
        <w:jc w:val="both"/>
      </w:pPr>
      <w:r>
        <w:lastRenderedPageBreak/>
        <w:t xml:space="preserve">• Pool </w:t>
      </w:r>
      <w:proofErr w:type="gramStart"/>
      <w:r>
        <w:t>A</w:t>
      </w:r>
      <w:proofErr w:type="gramEnd"/>
      <w:r>
        <w:t xml:space="preserve"> Interest: Transfers to the US-Qatar Joint Oversight Escrow disbursement account for allocation to humanitarian and agricultural procurement.</w:t>
      </w:r>
    </w:p>
    <w:p w14:paraId="3BBC2707" w14:textId="77777777" w:rsidR="007D2C39" w:rsidRDefault="00000000">
      <w:pPr>
        <w:ind w:left="720" w:hanging="360"/>
        <w:jc w:val="both"/>
      </w:pPr>
      <w:r>
        <w:t>• Pool B Interest: Transfers to the Central Bank of Iran account specified for Pool B receipts.</w:t>
      </w:r>
    </w:p>
    <w:p w14:paraId="3C31F9B5" w14:textId="77777777" w:rsidR="007D2C39" w:rsidRDefault="00000000">
      <w:pPr>
        <w:jc w:val="both"/>
      </w:pPr>
      <w:r>
        <w:t>The Escrow Agent distributes interest concurrently with the final tranche release of each pool. If both pools release simultaneously, the Escrow Agent splits the total Interest Accrual pro rata between the pools based on the duration each pool remained in escrow.</w:t>
      </w:r>
    </w:p>
    <w:p w14:paraId="64455723" w14:textId="77777777" w:rsidR="007D2C39" w:rsidRDefault="00000000">
      <w:pPr>
        <w:pStyle w:val="Heading1"/>
      </w:pPr>
      <w:r>
        <w:t>Article 9: Reporting and Transparency</w:t>
      </w:r>
      <w:bookmarkStart w:id="9" w:name="_Toc009"/>
      <w:bookmarkEnd w:id="9"/>
    </w:p>
    <w:p w14:paraId="532CD75E" w14:textId="77777777" w:rsidR="007D2C39" w:rsidRDefault="00000000">
      <w:pPr>
        <w:pStyle w:val="Heading2"/>
      </w:pPr>
      <w:r>
        <w:t>9.1 Reporting Obligations</w:t>
      </w:r>
    </w:p>
    <w:p w14:paraId="7A4F2270" w14:textId="77777777" w:rsidR="007D2C39" w:rsidRDefault="00000000">
      <w:pPr>
        <w:jc w:val="both"/>
      </w:pPr>
      <w:r>
        <w:t>The Escrow Agent provides the following reports to both Parties through the Joint Secretariat:</w:t>
      </w:r>
    </w:p>
    <w:p w14:paraId="48E9151A" w14:textId="77777777" w:rsidR="007D2C39" w:rsidRDefault="00000000">
      <w:pPr>
        <w:ind w:left="720" w:hanging="360"/>
        <w:jc w:val="both"/>
      </w:pPr>
      <w:r>
        <w:t>• Monthly Statements: A statement for each pool showing the opening balance, any deposits or withdrawals, interest accrued, investment holdings, and closing balance.</w:t>
      </w:r>
    </w:p>
    <w:p w14:paraId="30DB6E5F" w14:textId="77777777" w:rsidR="007D2C39" w:rsidRDefault="00000000">
      <w:pPr>
        <w:ind w:left="720" w:hanging="360"/>
        <w:jc w:val="both"/>
      </w:pPr>
      <w:r>
        <w:t>• Investment Reports: A detailed report of all investment holdings, including issuer, rating, maturity, yield, and market value.</w:t>
      </w:r>
    </w:p>
    <w:p w14:paraId="6D2609E0" w14:textId="77777777" w:rsidR="007D2C39" w:rsidRDefault="00000000">
      <w:pPr>
        <w:ind w:left="720" w:hanging="360"/>
        <w:jc w:val="both"/>
      </w:pPr>
      <w:r>
        <w:t>• Interest Accrual Statements: A statement showing the daily interest accrual rate, the calculation period, gross interest earned, applicable fees or withholding taxes, and net interest.</w:t>
      </w:r>
    </w:p>
    <w:p w14:paraId="6755CEA2" w14:textId="77777777" w:rsidR="007D2C39" w:rsidRDefault="00000000">
      <w:pPr>
        <w:ind w:left="720" w:hanging="360"/>
        <w:jc w:val="both"/>
      </w:pPr>
      <w:r>
        <w:t>• Transaction Reports: Within 24 hours of executing any transfer, a report showing the transfer date, amount, recipient, triggering certificate, and JDI reference.</w:t>
      </w:r>
    </w:p>
    <w:p w14:paraId="61E50B38" w14:textId="77777777" w:rsidR="007D2C39" w:rsidRDefault="00000000">
      <w:pPr>
        <w:ind w:left="720" w:hanging="360"/>
        <w:jc w:val="both"/>
      </w:pPr>
      <w:r>
        <w:t>• Annual Independent Audit: The Escrow Agent commissions an independent audit of both escrow accounts annually. The auditor publishes its report to the Joint Commission within 90 days of the close of each calendar year.</w:t>
      </w:r>
    </w:p>
    <w:p w14:paraId="2AEC528A" w14:textId="77777777" w:rsidR="007D2C39" w:rsidRDefault="00000000">
      <w:pPr>
        <w:pStyle w:val="Heading2"/>
      </w:pPr>
      <w:r>
        <w:t>9.2 Compliance Dashboard</w:t>
      </w:r>
    </w:p>
    <w:p w14:paraId="472740E3" w14:textId="77777777" w:rsidR="007D2C39" w:rsidRDefault="00000000">
      <w:pPr>
        <w:jc w:val="both"/>
      </w:pPr>
      <w:r>
        <w:t>The Escrow Agent maintains a real-time Compliance Dashboard accessible to authorized personnel from both Parties and the Joint Secretariat. The dashboard displays: the current balance of each pool; the status of pending Joint Disbursement Instructions; the verification status of each milestone; active Step-Back indicators; interest accrual to date; and audit findings. The dashboard updates automatically upon each transaction or status change.</w:t>
      </w:r>
    </w:p>
    <w:p w14:paraId="47F12C9D" w14:textId="77777777" w:rsidR="007D2C39" w:rsidRDefault="00000000">
      <w:pPr>
        <w:pStyle w:val="Heading2"/>
      </w:pPr>
      <w:r>
        <w:lastRenderedPageBreak/>
        <w:t>9.3 Audit</w:t>
      </w:r>
    </w:p>
    <w:p w14:paraId="0A496F4F" w14:textId="77777777" w:rsidR="007D2C39" w:rsidRDefault="00000000">
      <w:pPr>
        <w:jc w:val="both"/>
      </w:pPr>
      <w:r>
        <w:t>An independent accounting firm from among the Big Four firms audits both escrow accounts annually. The audit covers: the accuracy of account balances; the validity of all disbursements; the propriety of investment decisions; the accuracy of interest calculations; and compliance with the terms of this Annex. The auditor publishes its report to the Joint Commission within 90 days of the close of each audit year.</w:t>
      </w:r>
    </w:p>
    <w:p w14:paraId="3E3FEF3C" w14:textId="77777777" w:rsidR="007D2C39" w:rsidRDefault="00000000">
      <w:pPr>
        <w:pStyle w:val="Heading1"/>
      </w:pPr>
      <w:r>
        <w:t>Article 10: Successor Escrow Agent</w:t>
      </w:r>
      <w:bookmarkStart w:id="10" w:name="_Toc010"/>
      <w:bookmarkEnd w:id="10"/>
    </w:p>
    <w:p w14:paraId="35C999DA" w14:textId="77777777" w:rsidR="007D2C39" w:rsidRDefault="00000000">
      <w:pPr>
        <w:pStyle w:val="Heading2"/>
      </w:pPr>
      <w:r>
        <w:t>10.1 Resignation or Removal</w:t>
      </w:r>
    </w:p>
    <w:p w14:paraId="12201DDC" w14:textId="77777777" w:rsidR="007D2C39" w:rsidRDefault="00000000">
      <w:pPr>
        <w:jc w:val="both"/>
      </w:pPr>
      <w:r>
        <w:t>The Escrow Agent provides 180 days' written notice to both Parties through the Joint Secretariat before resigning. The Escrow Agent does not resign without a successor having accepted appointment. If the Escrow Agent becomes insolvent, loses its banking license, or is otherwise unable to perform its duties, the Parties select a successor within 30 days. If the Parties cannot agree on a successor within 30 days, either Party refers the matter to the Guarantor Matrix, which appoints a successor within 14 days.</w:t>
      </w:r>
    </w:p>
    <w:p w14:paraId="75263658" w14:textId="77777777" w:rsidR="007D2C39" w:rsidRDefault="00000000">
      <w:pPr>
        <w:pStyle w:val="Heading2"/>
      </w:pPr>
      <w:r>
        <w:t>10.2 Transition</w:t>
      </w:r>
    </w:p>
    <w:p w14:paraId="55FFBB5D" w14:textId="77777777" w:rsidR="007D2C39" w:rsidRDefault="00000000">
      <w:pPr>
        <w:jc w:val="both"/>
      </w:pPr>
      <w:r>
        <w:t>Upon appointment of a Successor Escrow Agent, the outgoing Escrow Agent transfers all funds, records, and documentation to the successor within 14 days. The transfer includes: the full principal balance of both pools; all accrued interest; all investment holdings; all transaction records; all signature specimens; all IAEA Verification Certificates received; and all Joint Disbursement Instructions executed or pending. The successor accepts all duties and obligations of the Escrow Agent in writing before the transfer occurs.</w:t>
      </w:r>
    </w:p>
    <w:p w14:paraId="4EC3C01E" w14:textId="77777777" w:rsidR="007D2C39" w:rsidRDefault="00000000">
      <w:pPr>
        <w:pStyle w:val="Heading2"/>
      </w:pPr>
      <w:r>
        <w:t>10.3 No Material Change</w:t>
      </w:r>
    </w:p>
    <w:p w14:paraId="46AE16DD" w14:textId="77777777" w:rsidR="007D2C39" w:rsidRDefault="00000000">
      <w:pPr>
        <w:jc w:val="both"/>
      </w:pPr>
      <w:r>
        <w:t>The appointment of a Successor Escrow Agent does not alter the terms and conditions of this Annex. All escrow obligations, timelines, and procedures remain in full force. The successor assumes the same fiduciary duties, liability protections, and interpleader rights as the original Escrow Agent.</w:t>
      </w:r>
    </w:p>
    <w:p w14:paraId="1FAFFF91" w14:textId="77777777" w:rsidR="007D2C39" w:rsidRDefault="00000000">
      <w:pPr>
        <w:pStyle w:val="Heading1"/>
      </w:pPr>
      <w:r>
        <w:lastRenderedPageBreak/>
        <w:t>Article 11: Termination</w:t>
      </w:r>
      <w:bookmarkStart w:id="11" w:name="_Toc011"/>
      <w:bookmarkEnd w:id="11"/>
    </w:p>
    <w:p w14:paraId="3DEC2B01" w14:textId="77777777" w:rsidR="007D2C39" w:rsidRDefault="00000000">
      <w:pPr>
        <w:pStyle w:val="Heading2"/>
      </w:pPr>
      <w:r>
        <w:t>11.1 Termination Events</w:t>
      </w:r>
    </w:p>
    <w:p w14:paraId="283A8A39" w14:textId="77777777" w:rsidR="007D2C39" w:rsidRDefault="00000000">
      <w:pPr>
        <w:jc w:val="both"/>
      </w:pPr>
      <w:r>
        <w:t>The escrow arrangement terminates upon the earliest of the following events:</w:t>
      </w:r>
    </w:p>
    <w:p w14:paraId="68D583C6" w14:textId="77777777" w:rsidR="007D2C39" w:rsidRDefault="00000000">
      <w:pPr>
        <w:ind w:left="720" w:hanging="360"/>
        <w:jc w:val="both"/>
      </w:pPr>
      <w:r>
        <w:t>• Completion of All Releases: The Escrow Agent has released all tranches from both pools, distributed all accrued interest, and issued final Release Confirmation Certificates.</w:t>
      </w:r>
    </w:p>
    <w:p w14:paraId="622D1F51" w14:textId="77777777" w:rsidR="007D2C39" w:rsidRDefault="00000000">
      <w:pPr>
        <w:ind w:left="720" w:hanging="360"/>
        <w:jc w:val="both"/>
      </w:pPr>
      <w:r>
        <w:t>• Termination of the Islamabad MoU: The Islamabad MoU terminates in accordance with its own provisions, as referenced in Annex ES Article 7.5.</w:t>
      </w:r>
    </w:p>
    <w:p w14:paraId="78173ED7" w14:textId="77777777" w:rsidR="007D2C39" w:rsidRDefault="00000000">
      <w:pPr>
        <w:ind w:left="720" w:hanging="360"/>
        <w:jc w:val="both"/>
      </w:pPr>
      <w:r>
        <w:t>• Joint Written Instruction: Both Parties issue a joint written instruction to the Escrow Agent directing termination.</w:t>
      </w:r>
    </w:p>
    <w:p w14:paraId="2ED2A4D5" w14:textId="77777777" w:rsidR="007D2C39" w:rsidRDefault="00000000">
      <w:pPr>
        <w:pStyle w:val="Heading2"/>
      </w:pPr>
      <w:r>
        <w:t>11.2 Effect of Termination</w:t>
      </w:r>
    </w:p>
    <w:p w14:paraId="620A5A6A" w14:textId="77777777" w:rsidR="007D2C39" w:rsidRDefault="00000000">
      <w:pPr>
        <w:jc w:val="both"/>
      </w:pPr>
      <w:r>
        <w:t>Upon termination, the Escrow Agent performs the following actions within 14 days:</w:t>
      </w:r>
    </w:p>
    <w:p w14:paraId="423B88F2" w14:textId="77777777" w:rsidR="007D2C39" w:rsidRDefault="00000000">
      <w:pPr>
        <w:ind w:left="720" w:hanging="360"/>
        <w:jc w:val="both"/>
      </w:pPr>
      <w:r>
        <w:t>1. The Escrow Agent closes both escrow accounts.</w:t>
      </w:r>
    </w:p>
    <w:p w14:paraId="01019019" w14:textId="77777777" w:rsidR="007D2C39" w:rsidRDefault="00000000">
      <w:pPr>
        <w:ind w:left="720" w:hanging="360"/>
        <w:jc w:val="both"/>
      </w:pPr>
      <w:r>
        <w:t>2. The Escrow Agent distributes any remaining interest in accordance with Article 8.3 of this Annex.</w:t>
      </w:r>
    </w:p>
    <w:p w14:paraId="3401BCF0" w14:textId="77777777" w:rsidR="007D2C39" w:rsidRDefault="00000000">
      <w:pPr>
        <w:ind w:left="720" w:hanging="360"/>
        <w:jc w:val="both"/>
      </w:pPr>
      <w:r>
        <w:t>3. The Escrow Agent publishes a final accounting statement showing all transactions from account opening through termination.</w:t>
      </w:r>
    </w:p>
    <w:p w14:paraId="41BA2352" w14:textId="77777777" w:rsidR="007D2C39" w:rsidRDefault="00000000">
      <w:pPr>
        <w:ind w:left="720" w:hanging="360"/>
        <w:jc w:val="both"/>
      </w:pPr>
      <w:r>
        <w:t>4. The Escrow Agent transfers all records to the Joint Secretariat for archival.</w:t>
      </w:r>
    </w:p>
    <w:p w14:paraId="1CE9E7DB" w14:textId="77777777" w:rsidR="007D2C39" w:rsidRDefault="00000000">
      <w:pPr>
        <w:jc w:val="both"/>
      </w:pPr>
      <w:r>
        <w:t>Termination does not affect any liability that accrued prior to the termination date. Neither Party asserts a claim against the Escrow Agent for actions taken in good faith prior to termination.</w:t>
      </w:r>
    </w:p>
    <w:p w14:paraId="54707D4C" w14:textId="77777777" w:rsidR="007D2C39" w:rsidRDefault="00000000">
      <w:pPr>
        <w:pStyle w:val="Heading1"/>
      </w:pPr>
      <w:r>
        <w:t>Article 12: Non-Recognition Clause</w:t>
      </w:r>
      <w:bookmarkStart w:id="12" w:name="_Toc012"/>
      <w:bookmarkEnd w:id="12"/>
    </w:p>
    <w:p w14:paraId="7A83A40C" w14:textId="77777777" w:rsidR="007D2C39" w:rsidRDefault="00000000">
      <w:pPr>
        <w:pStyle w:val="Heading2"/>
      </w:pPr>
      <w:r>
        <w:t>12.1 Technical Role Only</w:t>
      </w:r>
    </w:p>
    <w:p w14:paraId="27395F97" w14:textId="77777777" w:rsidR="007D2C39" w:rsidRDefault="00000000">
      <w:pPr>
        <w:jc w:val="both"/>
      </w:pPr>
      <w:r>
        <w:t>The Escrow Agent acts in a purely technical and operational role. The Escrow Agent's acceptance of funds, execution of transfers, and issuance of certificates do not constitute recognition of any sovereignty claim, jurisdictional assertion, or legal position by any Party. The Escrow Agent performs its functions under the terms of this Annex without regard to the political status of the Parties or the legal status of the underlying dispute.</w:t>
      </w:r>
    </w:p>
    <w:p w14:paraId="5F14E7D0" w14:textId="77777777" w:rsidR="007D2C39" w:rsidRDefault="00000000">
      <w:pPr>
        <w:pStyle w:val="Heading2"/>
      </w:pPr>
      <w:r>
        <w:lastRenderedPageBreak/>
        <w:t>12.2 No Precedent</w:t>
      </w:r>
    </w:p>
    <w:p w14:paraId="400E0D19" w14:textId="77777777" w:rsidR="007D2C39" w:rsidRDefault="00000000">
      <w:pPr>
        <w:jc w:val="both"/>
      </w:pPr>
      <w:r>
        <w:t>This Annex creates no precedent for any other escrow arrangement, financial mechanism, or dispute resolution procedure. No Party cites this Annex as a model, template, or basis for any other agreement involving frozen assets, escrow mechanisms, or the linkage between verification and financial release. This Annex addresses exclusively the specific $12 Billion Asset Pool and the specific escrow procedures described herein.</w:t>
      </w:r>
    </w:p>
    <w:p w14:paraId="76195F8E" w14:textId="77777777" w:rsidR="007D2C39" w:rsidRDefault="00000000">
      <w:pPr>
        <w:pStyle w:val="Heading2"/>
      </w:pPr>
      <w:r>
        <w:t>12.3 Preservation of Legal Positions</w:t>
      </w:r>
    </w:p>
    <w:p w14:paraId="4673C4DE" w14:textId="77777777" w:rsidR="007D2C39" w:rsidRDefault="00000000">
      <w:pPr>
        <w:jc w:val="both"/>
      </w:pPr>
      <w:r>
        <w:t>All Parties retain their respective positions regarding the legal status of the Strait of Hormuz, the Persian Gulf, and adjacent maritime areas. Nothing in this Annex alters, amends, or supersedes the legal positions of any Party. The inclusion of geographic names, coordinates, or navigational references in this Annex carries no implication regarding sovereignty, jurisdiction, or legal status.</w:t>
      </w:r>
    </w:p>
    <w:p w14:paraId="62546345" w14:textId="77777777" w:rsidR="007D2C39" w:rsidRDefault="00000000">
      <w:pPr>
        <w:pStyle w:val="Heading1"/>
      </w:pPr>
      <w:r>
        <w:t>Appendix A: Release Instruction Form</w:t>
      </w:r>
      <w:bookmarkStart w:id="13" w:name="_TocAppA"/>
      <w:bookmarkEnd w:id="13"/>
    </w:p>
    <w:p w14:paraId="5A713A1D" w14:textId="77777777" w:rsidR="007D2C39" w:rsidRDefault="00000000">
      <w:pPr>
        <w:jc w:val="both"/>
      </w:pPr>
      <w:r>
        <w:t>The following standardized template constitutes the required format for all Joint Disbursement Instructions submitted to the Escrow Agent. The Escrow Agent rejects any instruction that deviates from this format.</w:t>
      </w:r>
    </w:p>
    <w:p w14:paraId="44CF4187" w14:textId="77777777" w:rsidR="007D2C39" w:rsidRDefault="00000000">
      <w:pPr>
        <w:pStyle w:val="Heading2"/>
      </w:pPr>
      <w:r>
        <w:t>Joint Disbursement Instruction Template</w:t>
      </w:r>
    </w:p>
    <w:tbl>
      <w:tblPr>
        <w:tblW w:w="5000" w:type="pct"/>
        <w:tblInd w:w="10" w:type="dxa"/>
        <w:tblBorders>
          <w:top w:val="single" w:sz="8" w:space="0" w:color="1E3A4C"/>
          <w:left w:val="single" w:sz="4" w:space="0" w:color="B0BEC5"/>
          <w:bottom w:val="single" w:sz="8" w:space="0" w:color="1E3A4C"/>
          <w:right w:val="single" w:sz="4" w:space="0" w:color="B0BEC5"/>
          <w:insideH w:val="single" w:sz="4" w:space="0" w:color="B0BEC5"/>
          <w:insideV w:val="single" w:sz="4" w:space="0" w:color="B0BEC5"/>
        </w:tblBorders>
        <w:tblCellMar>
          <w:left w:w="10" w:type="dxa"/>
          <w:right w:w="10" w:type="dxa"/>
        </w:tblCellMar>
        <w:tblLook w:val="04A0" w:firstRow="1" w:lastRow="0" w:firstColumn="1" w:lastColumn="0" w:noHBand="0" w:noVBand="1"/>
      </w:tblPr>
      <w:tblGrid>
        <w:gridCol w:w="2751"/>
        <w:gridCol w:w="6295"/>
      </w:tblGrid>
      <w:tr w:rsidR="007D2C39" w14:paraId="7970A9C4" w14:textId="77777777">
        <w:tblPrEx>
          <w:tblCellMar>
            <w:top w:w="0" w:type="dxa"/>
            <w:bottom w:w="0" w:type="dxa"/>
          </w:tblCellMar>
        </w:tblPrEx>
        <w:tc>
          <w:tcPr>
            <w:tcW w:w="3000" w:type="dxa"/>
            <w:shd w:val="clear" w:color="auto" w:fill="ECEFF1"/>
          </w:tcPr>
          <w:p w14:paraId="5E11AD76" w14:textId="77777777" w:rsidR="007D2C39" w:rsidRDefault="00000000">
            <w:pPr>
              <w:spacing w:before="60" w:after="60"/>
            </w:pPr>
            <w:r>
              <w:rPr>
                <w:b/>
                <w:sz w:val="20"/>
              </w:rPr>
              <w:t>Field</w:t>
            </w:r>
          </w:p>
        </w:tc>
        <w:tc>
          <w:tcPr>
            <w:tcW w:w="7000" w:type="dxa"/>
            <w:shd w:val="clear" w:color="auto" w:fill="ECEFF1"/>
          </w:tcPr>
          <w:p w14:paraId="67386467" w14:textId="77777777" w:rsidR="007D2C39" w:rsidRDefault="00000000">
            <w:pPr>
              <w:spacing w:before="60" w:after="60"/>
            </w:pPr>
            <w:r>
              <w:rPr>
                <w:b/>
                <w:sz w:val="20"/>
              </w:rPr>
              <w:t>Entry</w:t>
            </w:r>
          </w:p>
        </w:tc>
      </w:tr>
      <w:tr w:rsidR="007D2C39" w14:paraId="0C6D0FB3" w14:textId="77777777">
        <w:tblPrEx>
          <w:tblCellMar>
            <w:top w:w="0" w:type="dxa"/>
            <w:bottom w:w="0" w:type="dxa"/>
          </w:tblCellMar>
        </w:tblPrEx>
        <w:tc>
          <w:tcPr>
            <w:tcW w:w="3000" w:type="dxa"/>
            <w:shd w:val="clear" w:color="auto" w:fill="FFFFFF"/>
          </w:tcPr>
          <w:p w14:paraId="722DC90C" w14:textId="77777777" w:rsidR="007D2C39" w:rsidRDefault="00000000">
            <w:pPr>
              <w:spacing w:before="60" w:after="60"/>
            </w:pPr>
            <w:r>
              <w:rPr>
                <w:color w:val="546E7A"/>
                <w:sz w:val="20"/>
              </w:rPr>
              <w:t>Date of Instruction</w:t>
            </w:r>
          </w:p>
        </w:tc>
        <w:tc>
          <w:tcPr>
            <w:tcW w:w="7000" w:type="dxa"/>
            <w:shd w:val="clear" w:color="auto" w:fill="FFFFFF"/>
          </w:tcPr>
          <w:p w14:paraId="6186D382" w14:textId="77777777" w:rsidR="007D2C39" w:rsidRDefault="00000000">
            <w:pPr>
              <w:spacing w:before="60" w:after="60"/>
            </w:pPr>
            <w:r>
              <w:rPr>
                <w:color w:val="546E7A"/>
                <w:sz w:val="20"/>
              </w:rPr>
              <w:t>[DD/MM/YYYY]</w:t>
            </w:r>
          </w:p>
        </w:tc>
      </w:tr>
      <w:tr w:rsidR="007D2C39" w14:paraId="2758850F" w14:textId="77777777">
        <w:tblPrEx>
          <w:tblCellMar>
            <w:top w:w="0" w:type="dxa"/>
            <w:bottom w:w="0" w:type="dxa"/>
          </w:tblCellMar>
        </w:tblPrEx>
        <w:tc>
          <w:tcPr>
            <w:tcW w:w="3000" w:type="dxa"/>
            <w:shd w:val="clear" w:color="auto" w:fill="FFFFFF"/>
          </w:tcPr>
          <w:p w14:paraId="4F0007F7" w14:textId="77777777" w:rsidR="007D2C39" w:rsidRDefault="00000000">
            <w:pPr>
              <w:spacing w:before="60" w:after="60"/>
            </w:pPr>
            <w:r>
              <w:rPr>
                <w:color w:val="546E7A"/>
                <w:sz w:val="20"/>
              </w:rPr>
              <w:t>Issuing Body</w:t>
            </w:r>
          </w:p>
        </w:tc>
        <w:tc>
          <w:tcPr>
            <w:tcW w:w="7000" w:type="dxa"/>
            <w:shd w:val="clear" w:color="auto" w:fill="FFFFFF"/>
          </w:tcPr>
          <w:p w14:paraId="4F3E6293" w14:textId="77777777" w:rsidR="007D2C39" w:rsidRDefault="00000000">
            <w:pPr>
              <w:spacing w:before="60" w:after="60"/>
            </w:pPr>
            <w:r>
              <w:rPr>
                <w:color w:val="546E7A"/>
                <w:sz w:val="20"/>
              </w:rPr>
              <w:t>Political and Compliance Council (PCC)</w:t>
            </w:r>
          </w:p>
        </w:tc>
      </w:tr>
      <w:tr w:rsidR="007D2C39" w14:paraId="67571E5F" w14:textId="77777777">
        <w:tblPrEx>
          <w:tblCellMar>
            <w:top w:w="0" w:type="dxa"/>
            <w:bottom w:w="0" w:type="dxa"/>
          </w:tblCellMar>
        </w:tblPrEx>
        <w:tc>
          <w:tcPr>
            <w:tcW w:w="3000" w:type="dxa"/>
            <w:shd w:val="clear" w:color="auto" w:fill="FFFFFF"/>
          </w:tcPr>
          <w:p w14:paraId="09F55A42" w14:textId="77777777" w:rsidR="007D2C39" w:rsidRDefault="00000000">
            <w:pPr>
              <w:spacing w:before="60" w:after="60"/>
            </w:pPr>
            <w:r>
              <w:rPr>
                <w:color w:val="546E7A"/>
                <w:sz w:val="20"/>
              </w:rPr>
              <w:t>Escrow Agent</w:t>
            </w:r>
          </w:p>
        </w:tc>
        <w:tc>
          <w:tcPr>
            <w:tcW w:w="7000" w:type="dxa"/>
            <w:shd w:val="clear" w:color="auto" w:fill="FFFFFF"/>
          </w:tcPr>
          <w:p w14:paraId="2494463B" w14:textId="77777777" w:rsidR="007D2C39" w:rsidRDefault="00000000">
            <w:pPr>
              <w:spacing w:before="60" w:after="60"/>
            </w:pPr>
            <w:r>
              <w:rPr>
                <w:color w:val="546E7A"/>
                <w:sz w:val="20"/>
              </w:rPr>
              <w:t>Qatar Central Bank</w:t>
            </w:r>
          </w:p>
        </w:tc>
      </w:tr>
      <w:tr w:rsidR="007D2C39" w14:paraId="526DC589" w14:textId="77777777">
        <w:tblPrEx>
          <w:tblCellMar>
            <w:top w:w="0" w:type="dxa"/>
            <w:bottom w:w="0" w:type="dxa"/>
          </w:tblCellMar>
        </w:tblPrEx>
        <w:tc>
          <w:tcPr>
            <w:tcW w:w="3000" w:type="dxa"/>
            <w:shd w:val="clear" w:color="auto" w:fill="FFFFFF"/>
          </w:tcPr>
          <w:p w14:paraId="143513A8" w14:textId="77777777" w:rsidR="007D2C39" w:rsidRDefault="00000000">
            <w:pPr>
              <w:spacing w:before="60" w:after="60"/>
            </w:pPr>
            <w:r>
              <w:rPr>
                <w:color w:val="546E7A"/>
                <w:sz w:val="20"/>
              </w:rPr>
              <w:t xml:space="preserve">Pool </w:t>
            </w:r>
            <w:proofErr w:type="gramStart"/>
            <w:r>
              <w:rPr>
                <w:color w:val="546E7A"/>
                <w:sz w:val="20"/>
              </w:rPr>
              <w:t>A</w:t>
            </w:r>
            <w:proofErr w:type="gramEnd"/>
            <w:r>
              <w:rPr>
                <w:color w:val="546E7A"/>
                <w:sz w:val="20"/>
              </w:rPr>
              <w:t xml:space="preserve"> Amount (USD)</w:t>
            </w:r>
          </w:p>
        </w:tc>
        <w:tc>
          <w:tcPr>
            <w:tcW w:w="7000" w:type="dxa"/>
            <w:shd w:val="clear" w:color="auto" w:fill="FFFFFF"/>
          </w:tcPr>
          <w:p w14:paraId="533FD225" w14:textId="77777777" w:rsidR="007D2C39" w:rsidRDefault="00000000">
            <w:pPr>
              <w:spacing w:before="60" w:after="60"/>
            </w:pPr>
            <w:r>
              <w:rPr>
                <w:color w:val="546E7A"/>
                <w:sz w:val="20"/>
              </w:rPr>
              <w:t>$[Amount]</w:t>
            </w:r>
          </w:p>
        </w:tc>
      </w:tr>
      <w:tr w:rsidR="007D2C39" w14:paraId="4F22F43A" w14:textId="77777777">
        <w:tblPrEx>
          <w:tblCellMar>
            <w:top w:w="0" w:type="dxa"/>
            <w:bottom w:w="0" w:type="dxa"/>
          </w:tblCellMar>
        </w:tblPrEx>
        <w:tc>
          <w:tcPr>
            <w:tcW w:w="3000" w:type="dxa"/>
            <w:shd w:val="clear" w:color="auto" w:fill="FFFFFF"/>
          </w:tcPr>
          <w:p w14:paraId="583FE86B" w14:textId="77777777" w:rsidR="007D2C39" w:rsidRDefault="00000000">
            <w:pPr>
              <w:spacing w:before="60" w:after="60"/>
            </w:pPr>
            <w:r>
              <w:rPr>
                <w:color w:val="546E7A"/>
                <w:sz w:val="20"/>
              </w:rPr>
              <w:t>Pool B Amount (USD)</w:t>
            </w:r>
          </w:p>
        </w:tc>
        <w:tc>
          <w:tcPr>
            <w:tcW w:w="7000" w:type="dxa"/>
            <w:shd w:val="clear" w:color="auto" w:fill="FFFFFF"/>
          </w:tcPr>
          <w:p w14:paraId="26C42DEF" w14:textId="77777777" w:rsidR="007D2C39" w:rsidRDefault="00000000">
            <w:pPr>
              <w:spacing w:before="60" w:after="60"/>
            </w:pPr>
            <w:r>
              <w:rPr>
                <w:color w:val="546E7A"/>
                <w:sz w:val="20"/>
              </w:rPr>
              <w:t>$[Amount]</w:t>
            </w:r>
          </w:p>
        </w:tc>
      </w:tr>
      <w:tr w:rsidR="007D2C39" w14:paraId="126E9427" w14:textId="77777777">
        <w:tblPrEx>
          <w:tblCellMar>
            <w:top w:w="0" w:type="dxa"/>
            <w:bottom w:w="0" w:type="dxa"/>
          </w:tblCellMar>
        </w:tblPrEx>
        <w:tc>
          <w:tcPr>
            <w:tcW w:w="3000" w:type="dxa"/>
            <w:shd w:val="clear" w:color="auto" w:fill="FFFFFF"/>
          </w:tcPr>
          <w:p w14:paraId="0B003D13" w14:textId="77777777" w:rsidR="007D2C39" w:rsidRDefault="00000000">
            <w:pPr>
              <w:spacing w:before="60" w:after="60"/>
            </w:pPr>
            <w:r>
              <w:rPr>
                <w:color w:val="546E7A"/>
                <w:sz w:val="20"/>
              </w:rPr>
              <w:t>Pool A Recipient Account</w:t>
            </w:r>
          </w:p>
        </w:tc>
        <w:tc>
          <w:tcPr>
            <w:tcW w:w="7000" w:type="dxa"/>
            <w:shd w:val="clear" w:color="auto" w:fill="FFFFFF"/>
          </w:tcPr>
          <w:p w14:paraId="2333B9E0" w14:textId="77777777" w:rsidR="007D2C39" w:rsidRDefault="00000000">
            <w:pPr>
              <w:spacing w:before="60" w:after="60"/>
            </w:pPr>
            <w:r>
              <w:rPr>
                <w:color w:val="546E7A"/>
                <w:sz w:val="20"/>
              </w:rPr>
              <w:t>[US-Qatar Joint Oversight Escrow Disbursement Account]</w:t>
            </w:r>
          </w:p>
        </w:tc>
      </w:tr>
      <w:tr w:rsidR="007D2C39" w14:paraId="2DD7E408" w14:textId="77777777">
        <w:tblPrEx>
          <w:tblCellMar>
            <w:top w:w="0" w:type="dxa"/>
            <w:bottom w:w="0" w:type="dxa"/>
          </w:tblCellMar>
        </w:tblPrEx>
        <w:tc>
          <w:tcPr>
            <w:tcW w:w="3000" w:type="dxa"/>
            <w:shd w:val="clear" w:color="auto" w:fill="FFFFFF"/>
          </w:tcPr>
          <w:p w14:paraId="3736647A" w14:textId="77777777" w:rsidR="007D2C39" w:rsidRDefault="00000000">
            <w:pPr>
              <w:spacing w:before="60" w:after="60"/>
            </w:pPr>
            <w:r>
              <w:rPr>
                <w:color w:val="546E7A"/>
                <w:sz w:val="20"/>
              </w:rPr>
              <w:t>Pool B Recipient Account</w:t>
            </w:r>
          </w:p>
        </w:tc>
        <w:tc>
          <w:tcPr>
            <w:tcW w:w="7000" w:type="dxa"/>
            <w:shd w:val="clear" w:color="auto" w:fill="FFFFFF"/>
          </w:tcPr>
          <w:p w14:paraId="3CB95AA9" w14:textId="77777777" w:rsidR="007D2C39" w:rsidRDefault="00000000">
            <w:pPr>
              <w:spacing w:before="60" w:after="60"/>
            </w:pPr>
            <w:r>
              <w:rPr>
                <w:color w:val="546E7A"/>
                <w:sz w:val="20"/>
              </w:rPr>
              <w:t>[Central Bank of Iran Account]</w:t>
            </w:r>
          </w:p>
        </w:tc>
      </w:tr>
      <w:tr w:rsidR="007D2C39" w14:paraId="035384C1" w14:textId="77777777">
        <w:tblPrEx>
          <w:tblCellMar>
            <w:top w:w="0" w:type="dxa"/>
            <w:bottom w:w="0" w:type="dxa"/>
          </w:tblCellMar>
        </w:tblPrEx>
        <w:tc>
          <w:tcPr>
            <w:tcW w:w="3000" w:type="dxa"/>
            <w:shd w:val="clear" w:color="auto" w:fill="FFFFFF"/>
          </w:tcPr>
          <w:p w14:paraId="4E53CA31" w14:textId="77777777" w:rsidR="007D2C39" w:rsidRDefault="00000000">
            <w:pPr>
              <w:spacing w:before="60" w:after="60"/>
            </w:pPr>
            <w:r>
              <w:rPr>
                <w:color w:val="546E7A"/>
                <w:sz w:val="20"/>
              </w:rPr>
              <w:t>Triggering IAEA Certificate No.</w:t>
            </w:r>
          </w:p>
        </w:tc>
        <w:tc>
          <w:tcPr>
            <w:tcW w:w="7000" w:type="dxa"/>
            <w:shd w:val="clear" w:color="auto" w:fill="FFFFFF"/>
          </w:tcPr>
          <w:p w14:paraId="7F8097FB" w14:textId="77777777" w:rsidR="007D2C39" w:rsidRDefault="00000000">
            <w:pPr>
              <w:spacing w:before="60" w:after="60"/>
            </w:pPr>
            <w:r>
              <w:rPr>
                <w:color w:val="546E7A"/>
                <w:sz w:val="20"/>
              </w:rPr>
              <w:t>[Certificate Number]</w:t>
            </w:r>
          </w:p>
        </w:tc>
      </w:tr>
      <w:tr w:rsidR="007D2C39" w14:paraId="1AA4B5FF" w14:textId="77777777">
        <w:tblPrEx>
          <w:tblCellMar>
            <w:top w:w="0" w:type="dxa"/>
            <w:bottom w:w="0" w:type="dxa"/>
          </w:tblCellMar>
        </w:tblPrEx>
        <w:tc>
          <w:tcPr>
            <w:tcW w:w="3000" w:type="dxa"/>
            <w:shd w:val="clear" w:color="auto" w:fill="FFFFFF"/>
          </w:tcPr>
          <w:p w14:paraId="36188A4D" w14:textId="77777777" w:rsidR="007D2C39" w:rsidRDefault="00000000">
            <w:pPr>
              <w:spacing w:before="60" w:after="60"/>
            </w:pPr>
            <w:r>
              <w:rPr>
                <w:color w:val="546E7A"/>
                <w:sz w:val="20"/>
              </w:rPr>
              <w:t>Certificate Date</w:t>
            </w:r>
          </w:p>
        </w:tc>
        <w:tc>
          <w:tcPr>
            <w:tcW w:w="7000" w:type="dxa"/>
            <w:shd w:val="clear" w:color="auto" w:fill="FFFFFF"/>
          </w:tcPr>
          <w:p w14:paraId="667E6990" w14:textId="77777777" w:rsidR="007D2C39" w:rsidRDefault="00000000">
            <w:pPr>
              <w:spacing w:before="60" w:after="60"/>
            </w:pPr>
            <w:r>
              <w:rPr>
                <w:color w:val="546E7A"/>
                <w:sz w:val="20"/>
              </w:rPr>
              <w:t>[DD/MM/YYYY]</w:t>
            </w:r>
          </w:p>
        </w:tc>
      </w:tr>
      <w:tr w:rsidR="007D2C39" w14:paraId="091D41A7" w14:textId="77777777">
        <w:tblPrEx>
          <w:tblCellMar>
            <w:top w:w="0" w:type="dxa"/>
            <w:bottom w:w="0" w:type="dxa"/>
          </w:tblCellMar>
        </w:tblPrEx>
        <w:tc>
          <w:tcPr>
            <w:tcW w:w="3000" w:type="dxa"/>
            <w:shd w:val="clear" w:color="auto" w:fill="FFFFFF"/>
          </w:tcPr>
          <w:p w14:paraId="3BE6B4B4" w14:textId="77777777" w:rsidR="007D2C39" w:rsidRDefault="00000000">
            <w:pPr>
              <w:spacing w:before="60" w:after="60"/>
            </w:pPr>
            <w:r>
              <w:rPr>
                <w:color w:val="546E7A"/>
                <w:sz w:val="20"/>
              </w:rPr>
              <w:t>Execution Deadline</w:t>
            </w:r>
          </w:p>
        </w:tc>
        <w:tc>
          <w:tcPr>
            <w:tcW w:w="7000" w:type="dxa"/>
            <w:shd w:val="clear" w:color="auto" w:fill="FFFFFF"/>
          </w:tcPr>
          <w:p w14:paraId="1CAF38A8" w14:textId="77777777" w:rsidR="007D2C39" w:rsidRDefault="00000000">
            <w:pPr>
              <w:spacing w:before="60" w:after="60"/>
            </w:pPr>
            <w:r>
              <w:rPr>
                <w:color w:val="546E7A"/>
                <w:sz w:val="20"/>
              </w:rPr>
              <w:t>[DD/MM/YYYY HH:MM]</w:t>
            </w:r>
          </w:p>
        </w:tc>
      </w:tr>
      <w:tr w:rsidR="007D2C39" w14:paraId="15691EE1" w14:textId="77777777">
        <w:tblPrEx>
          <w:tblCellMar>
            <w:top w:w="0" w:type="dxa"/>
            <w:bottom w:w="0" w:type="dxa"/>
          </w:tblCellMar>
        </w:tblPrEx>
        <w:tc>
          <w:tcPr>
            <w:tcW w:w="3000" w:type="dxa"/>
            <w:shd w:val="clear" w:color="auto" w:fill="FFFFFF"/>
          </w:tcPr>
          <w:p w14:paraId="426C551F" w14:textId="77777777" w:rsidR="007D2C39" w:rsidRDefault="00000000">
            <w:pPr>
              <w:spacing w:before="60" w:after="60"/>
            </w:pPr>
            <w:r>
              <w:rPr>
                <w:color w:val="546E7A"/>
                <w:sz w:val="20"/>
              </w:rPr>
              <w:t>PCC Co-Chair 1 (Iran) Signature</w:t>
            </w:r>
          </w:p>
        </w:tc>
        <w:tc>
          <w:tcPr>
            <w:tcW w:w="7000" w:type="dxa"/>
            <w:shd w:val="clear" w:color="auto" w:fill="FFFFFF"/>
          </w:tcPr>
          <w:p w14:paraId="510A5B9B" w14:textId="77777777" w:rsidR="007D2C39" w:rsidRDefault="00000000">
            <w:pPr>
              <w:spacing w:before="60" w:after="60"/>
            </w:pPr>
            <w:r>
              <w:rPr>
                <w:color w:val="546E7A"/>
                <w:sz w:val="20"/>
              </w:rPr>
              <w:t>_________________ Date: _______</w:t>
            </w:r>
          </w:p>
        </w:tc>
      </w:tr>
      <w:tr w:rsidR="007D2C39" w14:paraId="6904BFC8" w14:textId="77777777">
        <w:tblPrEx>
          <w:tblCellMar>
            <w:top w:w="0" w:type="dxa"/>
            <w:bottom w:w="0" w:type="dxa"/>
          </w:tblCellMar>
        </w:tblPrEx>
        <w:tc>
          <w:tcPr>
            <w:tcW w:w="3000" w:type="dxa"/>
            <w:shd w:val="clear" w:color="auto" w:fill="FFFFFF"/>
          </w:tcPr>
          <w:p w14:paraId="7CD261D8" w14:textId="77777777" w:rsidR="007D2C39" w:rsidRDefault="00000000">
            <w:pPr>
              <w:spacing w:before="60" w:after="60"/>
            </w:pPr>
            <w:r>
              <w:rPr>
                <w:color w:val="546E7A"/>
                <w:sz w:val="20"/>
              </w:rPr>
              <w:lastRenderedPageBreak/>
              <w:t>PCC Co-Chair 2 (US) Signature</w:t>
            </w:r>
          </w:p>
        </w:tc>
        <w:tc>
          <w:tcPr>
            <w:tcW w:w="7000" w:type="dxa"/>
            <w:shd w:val="clear" w:color="auto" w:fill="FFFFFF"/>
          </w:tcPr>
          <w:p w14:paraId="2E009FF2" w14:textId="77777777" w:rsidR="007D2C39" w:rsidRDefault="00000000">
            <w:pPr>
              <w:spacing w:before="60" w:after="60"/>
            </w:pPr>
            <w:r>
              <w:rPr>
                <w:color w:val="546E7A"/>
                <w:sz w:val="20"/>
              </w:rPr>
              <w:t>_________________ Date: _______</w:t>
            </w:r>
          </w:p>
        </w:tc>
      </w:tr>
      <w:tr w:rsidR="007D2C39" w14:paraId="52C58E3A" w14:textId="77777777">
        <w:tblPrEx>
          <w:tblCellMar>
            <w:top w:w="0" w:type="dxa"/>
            <w:bottom w:w="0" w:type="dxa"/>
          </w:tblCellMar>
        </w:tblPrEx>
        <w:tc>
          <w:tcPr>
            <w:tcW w:w="3000" w:type="dxa"/>
            <w:shd w:val="clear" w:color="auto" w:fill="FFFFFF"/>
          </w:tcPr>
          <w:p w14:paraId="763E56AF" w14:textId="77777777" w:rsidR="007D2C39" w:rsidRDefault="00000000">
            <w:pPr>
              <w:spacing w:before="60" w:after="60"/>
            </w:pPr>
            <w:r>
              <w:rPr>
                <w:color w:val="546E7A"/>
                <w:sz w:val="20"/>
              </w:rPr>
              <w:t>Arbitration Panel Authorization</w:t>
            </w:r>
          </w:p>
        </w:tc>
        <w:tc>
          <w:tcPr>
            <w:tcW w:w="7000" w:type="dxa"/>
            <w:shd w:val="clear" w:color="auto" w:fill="FFFFFF"/>
          </w:tcPr>
          <w:p w14:paraId="50908184" w14:textId="77777777" w:rsidR="007D2C39" w:rsidRDefault="00000000">
            <w:pPr>
              <w:spacing w:before="60" w:after="60"/>
            </w:pPr>
            <w:r>
              <w:rPr>
                <w:color w:val="546E7A"/>
                <w:sz w:val="20"/>
              </w:rPr>
              <w:t>(if applicable) _________________</w:t>
            </w:r>
          </w:p>
        </w:tc>
      </w:tr>
    </w:tbl>
    <w:p w14:paraId="7FEE28C6" w14:textId="77777777" w:rsidR="007D2C39" w:rsidRDefault="00000000">
      <w:pPr>
        <w:jc w:val="both"/>
      </w:pPr>
      <w:r>
        <w:t>The Escrow Agent accepts this instruction only when: all fields are complete; both PCC co-chairs have signed; the IAEA Verification Certificate number corresponds to a certificate on file with the Escrow Agent; and the amounts match the tranche schedule in Annex ES Article 2.</w:t>
      </w:r>
    </w:p>
    <w:p w14:paraId="6E9F2EBC" w14:textId="77777777" w:rsidR="007D2C39" w:rsidRDefault="00000000">
      <w:pPr>
        <w:pStyle w:val="Heading1"/>
      </w:pPr>
      <w:r>
        <w:t>Signature Block</w:t>
      </w:r>
      <w:bookmarkStart w:id="14" w:name="_TocSig"/>
      <w:bookmarkEnd w:id="14"/>
    </w:p>
    <w:p w14:paraId="6BD0D768" w14:textId="77777777" w:rsidR="007D2C39" w:rsidRDefault="00000000">
      <w:pPr>
        <w:jc w:val="both"/>
      </w:pPr>
      <w:r>
        <w:t>In witness whereof, the undersigned, being duly authorized by their respective governments, have signed this Annex C: Escrow Release Mechanics.</w:t>
      </w:r>
    </w:p>
    <w:p w14:paraId="45E4AD63" w14:textId="77777777" w:rsidR="007D2C39" w:rsidRDefault="00000000">
      <w:pPr>
        <w:jc w:val="both"/>
      </w:pPr>
      <w:r>
        <w:t>Done at Doha, State of Qatar, this ______ day of _______________, 2026, in triplicate in the English language.</w:t>
      </w:r>
    </w:p>
    <w:p w14:paraId="70DC8B80" w14:textId="77777777" w:rsidR="007D2C39" w:rsidRDefault="007D2C39">
      <w:pPr>
        <w:spacing w:before="400" w:after="200"/>
      </w:pPr>
    </w:p>
    <w:p w14:paraId="57E093DA" w14:textId="77777777" w:rsidR="007D2C39" w:rsidRDefault="00000000">
      <w:pPr>
        <w:spacing w:before="200" w:after="60"/>
      </w:pPr>
      <w:r>
        <w:rPr>
          <w:b/>
        </w:rPr>
        <w:t>For the Islamic Republic of Iran:</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5D94F0D4" w14:textId="77777777" w:rsidR="007D2C39" w:rsidRDefault="00000000">
      <w:pPr>
        <w:spacing w:before="200" w:after="60"/>
      </w:pPr>
      <w:r>
        <w:rPr>
          <w:b/>
        </w:rPr>
        <w:t>For the United States of America:</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35E7DEAA" w14:textId="77777777" w:rsidR="007D2C39" w:rsidRDefault="00000000">
      <w:pPr>
        <w:spacing w:before="200" w:after="60"/>
      </w:pPr>
      <w:r>
        <w:rPr>
          <w:b/>
        </w:rPr>
        <w:t>For the State of Qatar (Escrow Agent):</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1B55FDF2" w14:textId="77777777" w:rsidR="007D2C39" w:rsidRDefault="00000000">
      <w:pPr>
        <w:spacing w:before="200" w:after="60"/>
      </w:pPr>
      <w:r>
        <w:rPr>
          <w:b/>
        </w:rPr>
        <w:t>For the Sultanate of Oman:</w:t>
      </w:r>
      <w:r>
        <w:br/>
      </w:r>
      <w:r>
        <w:rPr>
          <w:color w:val="546E7A"/>
          <w:sz w:val="20"/>
        </w:rPr>
        <w:t>Name: _________________________________</w:t>
      </w:r>
      <w:r>
        <w:rPr>
          <w:color w:val="546E7A"/>
          <w:sz w:val="20"/>
        </w:rPr>
        <w:br/>
        <w:t>Title: _________________________________</w:t>
      </w:r>
      <w:r>
        <w:rPr>
          <w:color w:val="546E7A"/>
          <w:sz w:val="20"/>
        </w:rPr>
        <w:br/>
        <w:t>Date: __________________________________</w:t>
      </w:r>
    </w:p>
    <w:p w14:paraId="4CFBECC1" w14:textId="77777777" w:rsidR="007D2C39" w:rsidRDefault="007D2C39">
      <w:pPr>
        <w:spacing w:before="200" w:after="100"/>
      </w:pPr>
    </w:p>
    <w:p w14:paraId="77B678A8" w14:textId="77777777" w:rsidR="007D2C39" w:rsidRDefault="00000000">
      <w:pPr>
        <w:jc w:val="both"/>
      </w:pPr>
      <w:r>
        <w:t>Witnessed by the Joint Secretariat (Muscat):</w:t>
      </w:r>
    </w:p>
    <w:p w14:paraId="2E3FCF5A" w14:textId="77777777" w:rsidR="007D2C39" w:rsidRDefault="00000000">
      <w:pPr>
        <w:spacing w:before="100"/>
      </w:pPr>
      <w:r>
        <w:rPr>
          <w:color w:val="546E7A"/>
          <w:sz w:val="20"/>
        </w:rPr>
        <w:t>_________________________________</w:t>
      </w:r>
    </w:p>
    <w:p w14:paraId="61026F28" w14:textId="77777777" w:rsidR="007D2C39" w:rsidRDefault="00000000">
      <w:r>
        <w:rPr>
          <w:color w:val="546E7A"/>
          <w:sz w:val="20"/>
        </w:rPr>
        <w:t>Name, Title, Date</w:t>
      </w:r>
    </w:p>
    <w:p w14:paraId="356F4BF7" w14:textId="77777777" w:rsidR="007D2C39" w:rsidRDefault="007D2C39">
      <w:pPr>
        <w:spacing w:before="400"/>
      </w:pPr>
    </w:p>
    <w:p w14:paraId="09C214EE" w14:textId="77777777" w:rsidR="007D2C39" w:rsidRDefault="00000000">
      <w:pPr>
        <w:pBdr>
          <w:top w:val="single" w:sz="6" w:space="0" w:color="B0BEC5"/>
        </w:pBdr>
        <w:jc w:val="center"/>
      </w:pPr>
      <w:r>
        <w:rPr>
          <w:i/>
          <w:color w:val="78909C"/>
          <w:sz w:val="18"/>
        </w:rPr>
        <w:t>Participation in this Annex does not prejudice the legal positions, sovereignty claims, sanctions positions, or future political negotiations of any Party.</w:t>
      </w:r>
    </w:p>
    <w:p w14:paraId="75A9ABE6" w14:textId="77777777" w:rsidR="007D2C39" w:rsidRDefault="007D2C39">
      <w:pPr>
        <w:sectPr w:rsidR="007D2C39">
          <w:headerReference w:type="default" r:id="rId8"/>
          <w:footerReference w:type="default" r:id="rId9"/>
          <w:pgSz w:w="11906" w:h="16838"/>
          <w:pgMar w:top="1800" w:right="1440" w:bottom="1440" w:left="1440" w:header="720" w:footer="720" w:gutter="0"/>
          <w:cols w:space="720"/>
        </w:sectPr>
      </w:pPr>
    </w:p>
    <w:p w14:paraId="093494AA" w14:textId="77777777" w:rsidR="007D2C39" w:rsidRDefault="00000000">
      <w:r>
        <w:rPr>
          <w:noProof/>
        </w:rPr>
        <w:lastRenderedPageBreak/>
        <w:drawing>
          <wp:anchor distT="0" distB="0" distL="0" distR="0" simplePos="0" relativeHeight="251658240" behindDoc="1" locked="0" layoutInCell="1" allowOverlap="1" wp14:anchorId="581A9A6B" wp14:editId="0FA2DCF5">
            <wp:simplePos x="0" y="0"/>
            <wp:positionH relativeFrom="page">
              <wp:posOffset>0</wp:posOffset>
            </wp:positionH>
            <wp:positionV relativeFrom="page">
              <wp:posOffset>0</wp:posOffset>
            </wp:positionV>
            <wp:extent cx="7560000" cy="10692000"/>
            <wp:effectExtent l="0" t="0" r="0" b="0"/>
            <wp:wrapNone/>
            <wp:docPr id="2" name="Back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Bg.png"/>
                    <pic:cNvPicPr/>
                  </pic:nvPicPr>
                  <pic:blipFill>
                    <a:blip r:embed="rId7"/>
                    <a:stretch>
                      <a:fillRect/>
                    </a:stretch>
                  </pic:blipFill>
                  <pic:spPr>
                    <a:xfrm>
                      <a:off x="0" y="0"/>
                      <a:ext cx="7560000" cy="10692000"/>
                    </a:xfrm>
                    <a:prstGeom prst="rect">
                      <a:avLst/>
                    </a:prstGeom>
                  </pic:spPr>
                </pic:pic>
              </a:graphicData>
            </a:graphic>
          </wp:anchor>
        </w:drawing>
      </w:r>
    </w:p>
    <w:p w14:paraId="4137E5D8" w14:textId="77777777" w:rsidR="007D2C39" w:rsidRDefault="007D2C39">
      <w:pPr>
        <w:spacing w:before="5000"/>
      </w:pPr>
    </w:p>
    <w:p w14:paraId="18797021" w14:textId="77777777" w:rsidR="007D2C39" w:rsidRPr="00B8659B" w:rsidRDefault="00000000">
      <w:pPr>
        <w:spacing w:after="120"/>
        <w:jc w:val="center"/>
        <w:rPr>
          <w:color w:val="60CAF3" w:themeColor="accent4" w:themeTint="99"/>
        </w:rPr>
      </w:pPr>
      <w:r w:rsidRPr="00B8659B">
        <w:rPr>
          <w:b/>
          <w:color w:val="60CAF3" w:themeColor="accent4" w:themeTint="99"/>
          <w:spacing w:val="30"/>
          <w:sz w:val="56"/>
        </w:rPr>
        <w:t>Annex C</w:t>
      </w:r>
    </w:p>
    <w:p w14:paraId="05CF619B" w14:textId="77777777" w:rsidR="007D2C39" w:rsidRPr="00B8659B" w:rsidRDefault="00000000">
      <w:pPr>
        <w:spacing w:after="400"/>
        <w:jc w:val="center"/>
        <w:rPr>
          <w:color w:val="60CAF3" w:themeColor="accent4" w:themeTint="99"/>
        </w:rPr>
      </w:pPr>
      <w:r w:rsidRPr="00B8659B">
        <w:rPr>
          <w:b/>
          <w:color w:val="60CAF3" w:themeColor="accent4" w:themeTint="99"/>
          <w:sz w:val="36"/>
        </w:rPr>
        <w:t>Escrow Release Mechanics</w:t>
      </w:r>
    </w:p>
    <w:p w14:paraId="7FE032F3" w14:textId="77777777" w:rsidR="007D2C39" w:rsidRPr="00B8659B" w:rsidRDefault="00000000">
      <w:pPr>
        <w:spacing w:after="80"/>
        <w:jc w:val="center"/>
        <w:rPr>
          <w:color w:val="60CAF3" w:themeColor="accent4" w:themeTint="99"/>
        </w:rPr>
      </w:pPr>
      <w:r w:rsidRPr="00B8659B">
        <w:rPr>
          <w:color w:val="60CAF3" w:themeColor="accent4" w:themeTint="99"/>
        </w:rPr>
        <w:t>Middle East Nuclear Organization for Cooperation</w:t>
      </w:r>
    </w:p>
    <w:p w14:paraId="570F8498" w14:textId="77777777" w:rsidR="007D2C39" w:rsidRPr="00B8659B" w:rsidRDefault="00000000">
      <w:pPr>
        <w:spacing w:after="400"/>
        <w:jc w:val="center"/>
        <w:rPr>
          <w:color w:val="60CAF3" w:themeColor="accent4" w:themeTint="99"/>
        </w:rPr>
      </w:pPr>
      <w:r w:rsidRPr="00B8659B">
        <w:rPr>
          <w:color w:val="60CAF3" w:themeColor="accent4" w:themeTint="99"/>
        </w:rPr>
        <w:t>MENOC</w:t>
      </w:r>
    </w:p>
    <w:p w14:paraId="095E9FDA" w14:textId="77777777" w:rsidR="007D2C39" w:rsidRDefault="00000000">
      <w:pPr>
        <w:spacing w:after="80"/>
        <w:jc w:val="center"/>
      </w:pPr>
      <w:r>
        <w:rPr>
          <w:color w:val="78909C"/>
          <w:sz w:val="18"/>
        </w:rPr>
        <w:t>Joint Secretariat | Muscat, Sultanate of Oman</w:t>
      </w:r>
    </w:p>
    <w:p w14:paraId="0E271F80" w14:textId="77777777" w:rsidR="007D2C39" w:rsidRDefault="00000000">
      <w:pPr>
        <w:spacing w:after="400"/>
        <w:jc w:val="center"/>
      </w:pPr>
      <w:r>
        <w:rPr>
          <w:color w:val="78909C"/>
          <w:sz w:val="18"/>
        </w:rPr>
        <w:t>CTAF-2026-001</w:t>
      </w:r>
    </w:p>
    <w:p w14:paraId="0DF038E9" w14:textId="77777777" w:rsidR="007D2C39" w:rsidRDefault="00000000">
      <w:pPr>
        <w:spacing w:after="200"/>
        <w:jc w:val="center"/>
      </w:pPr>
      <w:r>
        <w:rPr>
          <w:color w:val="78909C"/>
          <w:sz w:val="16"/>
        </w:rPr>
        <w:t>CONFIDENTIAL / FOR MEDIATOR USE ONLY / NON-PAPER</w:t>
      </w:r>
    </w:p>
    <w:sectPr w:rsidR="007D2C39">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6A04F" w14:textId="77777777" w:rsidR="00FE03B5" w:rsidRDefault="00FE03B5">
      <w:pPr>
        <w:spacing w:after="0" w:line="240" w:lineRule="auto"/>
      </w:pPr>
      <w:r>
        <w:separator/>
      </w:r>
    </w:p>
  </w:endnote>
  <w:endnote w:type="continuationSeparator" w:id="0">
    <w:p w14:paraId="5BFB8C03" w14:textId="77777777" w:rsidR="00FE03B5" w:rsidRDefault="00FE0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BD6E" w14:textId="77777777" w:rsidR="007D2C39" w:rsidRDefault="00000000">
    <w:pPr>
      <w:jc w:val="center"/>
    </w:pPr>
    <w:r>
      <w:rPr>
        <w:color w:val="546E7A"/>
        <w:sz w:val="18"/>
      </w:rPr>
      <w:t xml:space="preserve">Page </w:t>
    </w:r>
    <w:r>
      <w:rPr>
        <w:color w:val="546E7A"/>
        <w:sz w:val="18"/>
      </w:rPr>
      <w:fldChar w:fldCharType="begin"/>
    </w:r>
    <w:r>
      <w:rPr>
        <w:color w:val="546E7A"/>
        <w:sz w:val="18"/>
      </w:rPr>
      <w:instrText xml:space="preserve"> PAGE </w:instrText>
    </w:r>
    <w:r>
      <w:rPr>
        <w:color w:val="546E7A"/>
        <w:sz w:val="18"/>
      </w:rPr>
      <w:fldChar w:fldCharType="separate"/>
    </w:r>
    <w:r>
      <w:rPr>
        <w:color w:val="546E7A"/>
        <w:sz w:val="18"/>
      </w:rPr>
      <w:t>1</w:t>
    </w:r>
    <w:r>
      <w:rPr>
        <w:color w:val="546E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8F21" w14:textId="77777777" w:rsidR="00FE03B5" w:rsidRDefault="00FE03B5">
      <w:pPr>
        <w:spacing w:after="0" w:line="240" w:lineRule="auto"/>
      </w:pPr>
      <w:r>
        <w:separator/>
      </w:r>
    </w:p>
  </w:footnote>
  <w:footnote w:type="continuationSeparator" w:id="0">
    <w:p w14:paraId="274D2BBF" w14:textId="77777777" w:rsidR="00FE03B5" w:rsidRDefault="00FE0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F763" w14:textId="77777777" w:rsidR="007D2C39" w:rsidRDefault="00000000">
    <w:pPr>
      <w:jc w:val="right"/>
    </w:pPr>
    <w:r>
      <w:rPr>
        <w:color w:val="546E7A"/>
        <w:sz w:val="18"/>
      </w:rPr>
      <w:t>Annex C | Escrow Release Mechanics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E2B9F"/>
    <w:multiLevelType w:val="multilevel"/>
    <w:tmpl w:val="DF5EAD14"/>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3176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D2C39"/>
    <w:rsid w:val="007D2C39"/>
    <w:rsid w:val="00925598"/>
    <w:rsid w:val="00982A7C"/>
    <w:rsid w:val="00B8659B"/>
    <w:rsid w:val="00FE03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2B79D"/>
  <w15:docId w15:val="{5A2A6FAF-66B2-493A-AAF6-5FB153C9F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12" w:lineRule="auto"/>
    </w:pPr>
    <w:rPr>
      <w:rFonts w:ascii="Calibri" w:eastAsia="Microsoft YaHei" w:hAnsi="Calibri"/>
      <w:color w:val="2C3E50"/>
      <w:sz w:val="22"/>
    </w:rPr>
  </w:style>
  <w:style w:type="paragraph" w:styleId="Heading1">
    <w:name w:val="heading 1"/>
    <w:basedOn w:val="Normal"/>
    <w:uiPriority w:val="9"/>
    <w:qFormat/>
    <w:pPr>
      <w:keepNext/>
      <w:keepLines/>
      <w:spacing w:before="480" w:after="200"/>
      <w:outlineLvl w:val="0"/>
    </w:pPr>
    <w:rPr>
      <w:b/>
      <w:color w:val="1E3A4C"/>
      <w:sz w:val="36"/>
    </w:rPr>
  </w:style>
  <w:style w:type="paragraph" w:styleId="Heading2">
    <w:name w:val="heading 2"/>
    <w:basedOn w:val="Normal"/>
    <w:uiPriority w:val="9"/>
    <w:unhideWhenUsed/>
    <w:qFormat/>
    <w:pPr>
      <w:keepNext/>
      <w:keepLines/>
      <w:spacing w:before="360" w:after="140"/>
      <w:outlineLvl w:val="1"/>
    </w:pPr>
    <w:rPr>
      <w:b/>
      <w:sz w:val="28"/>
    </w:rPr>
  </w:style>
  <w:style w:type="paragraph" w:styleId="Heading3">
    <w:name w:val="heading 3"/>
    <w:basedOn w:val="Normal"/>
    <w:uiPriority w:val="9"/>
    <w:semiHidden/>
    <w:unhideWhenUsed/>
    <w:qFormat/>
    <w:pPr>
      <w:keepNext/>
      <w:keepLines/>
      <w:spacing w:before="280" w:after="100"/>
      <w:outlineLvl w:val="2"/>
    </w:pPr>
    <w:rPr>
      <w:b/>
      <w:color w:val="546E7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78909C"/>
      <w:sz w:val="20"/>
    </w:rPr>
  </w:style>
  <w:style w:type="paragraph" w:styleId="TOC1">
    <w:name w:val="toc 1"/>
    <w:basedOn w:val="Normal"/>
    <w:pPr>
      <w:tabs>
        <w:tab w:val="right" w:leader="dot" w:pos="9350"/>
      </w:tabs>
      <w:spacing w:before="180" w:after="60"/>
    </w:pPr>
    <w:rPr>
      <w:b/>
    </w:rPr>
  </w:style>
  <w:style w:type="paragraph" w:styleId="TOC2">
    <w:name w:val="toc 2"/>
    <w:basedOn w:val="Normal"/>
    <w:pPr>
      <w:tabs>
        <w:tab w:val="right" w:leader="dot" w:pos="9350"/>
      </w:tabs>
      <w:spacing w:before="60" w:after="60"/>
      <w:ind w:left="360"/>
    </w:pPr>
    <w:rPr>
      <w:color w:val="546E7A"/>
    </w:rPr>
  </w:style>
  <w:style w:type="paragraph" w:styleId="TOC3">
    <w:name w:val="toc 3"/>
    <w:basedOn w:val="Normal"/>
    <w:pPr>
      <w:tabs>
        <w:tab w:val="right" w:leader="dot" w:pos="9350"/>
      </w:tabs>
      <w:spacing w:before="40" w:after="60"/>
      <w:ind w:left="720"/>
    </w:pPr>
    <w:rPr>
      <w:color w:val="546E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5273</Words>
  <Characters>31222</Characters>
  <Application>Microsoft Office Word</Application>
  <DocSecurity>0</DocSecurity>
  <Lines>547</Lines>
  <Paragraphs>294</Paragraphs>
  <ScaleCrop>false</ScaleCrop>
  <Company/>
  <LinksUpToDate>false</LinksUpToDate>
  <CharactersWithSpaces>36201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Sierra Moore</cp:lastModifiedBy>
  <cp:revision>3</cp:revision>
  <dcterms:created xsi:type="dcterms:W3CDTF">2026-06-30T12:49:00Z</dcterms:created>
  <dcterms:modified xsi:type="dcterms:W3CDTF">2026-06-30T12:50:00Z</dcterms:modified>
</cp:coreProperties>
</file>